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CC03BE" w:rsidRDefault="00C01764" w:rsidP="00603F4C">
      <w:pPr>
        <w:jc w:val="right"/>
        <w:rPr>
          <w:rFonts w:asciiTheme="majorHAnsi" w:hAnsiTheme="majorHAnsi" w:cs="Times New Roman"/>
          <w:b/>
          <w:bCs/>
          <w:sz w:val="20"/>
          <w:szCs w:val="20"/>
        </w:rPr>
      </w:pPr>
      <w:r w:rsidRPr="00CC03BE">
        <w:rPr>
          <w:rFonts w:asciiTheme="majorHAnsi" w:hAnsiTheme="majorHAnsi" w:cs="Times New Roman"/>
          <w:b/>
          <w:bCs/>
          <w:sz w:val="20"/>
          <w:szCs w:val="20"/>
        </w:rPr>
        <w:t>Original: español</w:t>
      </w:r>
    </w:p>
    <w:p w14:paraId="4667CD93" w14:textId="4CE28898" w:rsidR="00574154" w:rsidRPr="00CC03BE" w:rsidRDefault="00764B44" w:rsidP="002B4B7B">
      <w:pPr>
        <w:autoSpaceDE w:val="0"/>
        <w:autoSpaceDN w:val="0"/>
        <w:adjustRightInd w:val="0"/>
        <w:spacing w:after="0" w:line="240" w:lineRule="auto"/>
        <w:jc w:val="center"/>
        <w:rPr>
          <w:rFonts w:asciiTheme="majorHAnsi" w:hAnsiTheme="majorHAnsi" w:cs="Times New Roman"/>
          <w:b/>
          <w:bCs/>
          <w:sz w:val="20"/>
          <w:szCs w:val="20"/>
        </w:rPr>
      </w:pPr>
      <w:r w:rsidRPr="00CC03BE">
        <w:rPr>
          <w:rFonts w:asciiTheme="majorHAnsi" w:hAnsiTheme="majorHAnsi" w:cs="Times New Roman"/>
          <w:b/>
          <w:bCs/>
          <w:sz w:val="20"/>
          <w:szCs w:val="20"/>
        </w:rPr>
        <w:t>Situación del</w:t>
      </w:r>
      <w:r w:rsidR="00DA7E4C" w:rsidRPr="00CC03BE">
        <w:rPr>
          <w:rFonts w:asciiTheme="majorHAnsi" w:hAnsiTheme="majorHAnsi" w:cs="Times New Roman"/>
          <w:b/>
          <w:bCs/>
          <w:sz w:val="20"/>
          <w:szCs w:val="20"/>
        </w:rPr>
        <w:t xml:space="preserve"> F</w:t>
      </w:r>
      <w:r w:rsidRPr="00CC03BE">
        <w:rPr>
          <w:rFonts w:asciiTheme="majorHAnsi" w:hAnsiTheme="majorHAnsi" w:cs="Times New Roman"/>
          <w:b/>
          <w:bCs/>
          <w:sz w:val="20"/>
          <w:szCs w:val="20"/>
        </w:rPr>
        <w:t>ondo de operaciones de ICCAT</w:t>
      </w:r>
    </w:p>
    <w:p w14:paraId="653F8AD1" w14:textId="77777777" w:rsidR="009E024B" w:rsidRPr="00CC03BE" w:rsidRDefault="009E024B" w:rsidP="002B4B7B">
      <w:pPr>
        <w:autoSpaceDE w:val="0"/>
        <w:autoSpaceDN w:val="0"/>
        <w:adjustRightInd w:val="0"/>
        <w:spacing w:after="0" w:line="240" w:lineRule="auto"/>
        <w:jc w:val="center"/>
        <w:rPr>
          <w:rFonts w:asciiTheme="majorHAnsi" w:hAnsiTheme="majorHAnsi" w:cs="Times New Roman"/>
          <w:i/>
          <w:iCs/>
          <w:sz w:val="20"/>
          <w:szCs w:val="20"/>
        </w:rPr>
      </w:pPr>
    </w:p>
    <w:p w14:paraId="6B790F08" w14:textId="36EBB5A2" w:rsidR="009E024B" w:rsidRPr="00CC03BE" w:rsidRDefault="009E024B" w:rsidP="009E024B">
      <w:pPr>
        <w:autoSpaceDE w:val="0"/>
        <w:autoSpaceDN w:val="0"/>
        <w:adjustRightInd w:val="0"/>
        <w:spacing w:after="0" w:line="240" w:lineRule="auto"/>
        <w:jc w:val="center"/>
        <w:rPr>
          <w:rFonts w:asciiTheme="majorHAnsi" w:hAnsiTheme="majorHAnsi" w:cs="Times New Roman"/>
          <w:i/>
          <w:iCs/>
          <w:caps/>
          <w:sz w:val="20"/>
          <w:szCs w:val="20"/>
        </w:rPr>
      </w:pPr>
      <w:r w:rsidRPr="00CC03BE">
        <w:rPr>
          <w:rFonts w:asciiTheme="majorHAnsi" w:hAnsiTheme="majorHAnsi" w:cs="Times New Roman"/>
          <w:i/>
          <w:iCs/>
          <w:sz w:val="20"/>
          <w:szCs w:val="20"/>
        </w:rPr>
        <w:t>(</w:t>
      </w:r>
      <w:r w:rsidR="00ED78EF" w:rsidRPr="00CC03BE">
        <w:rPr>
          <w:rFonts w:asciiTheme="majorHAnsi" w:hAnsiTheme="majorHAnsi" w:cs="Times New Roman"/>
          <w:i/>
          <w:iCs/>
          <w:sz w:val="20"/>
          <w:szCs w:val="20"/>
        </w:rPr>
        <w:t xml:space="preserve">Presentado por la </w:t>
      </w:r>
      <w:r w:rsidRPr="00CC03BE">
        <w:rPr>
          <w:rFonts w:asciiTheme="majorHAnsi" w:hAnsiTheme="majorHAnsi" w:cs="Times New Roman"/>
          <w:i/>
          <w:iCs/>
          <w:sz w:val="20"/>
          <w:szCs w:val="20"/>
        </w:rPr>
        <w:t>Secretaría de ICCAT)</w:t>
      </w:r>
    </w:p>
    <w:p w14:paraId="174649FC"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7E910A41" w14:textId="069EBA76" w:rsidR="00A143E4" w:rsidRPr="00CC03BE" w:rsidRDefault="00B70222" w:rsidP="008B173B">
      <w:pPr>
        <w:pStyle w:val="ListParagraph"/>
        <w:numPr>
          <w:ilvl w:val="0"/>
          <w:numId w:val="13"/>
        </w:numPr>
        <w:spacing w:after="0" w:line="240" w:lineRule="auto"/>
        <w:ind w:left="426" w:hanging="426"/>
        <w:jc w:val="both"/>
        <w:rPr>
          <w:rFonts w:asciiTheme="majorHAnsi" w:hAnsiTheme="majorHAnsi" w:cs="Times New Roman"/>
          <w:b/>
          <w:sz w:val="20"/>
          <w:szCs w:val="20"/>
          <w:lang w:val="es-ES_tradnl"/>
        </w:rPr>
      </w:pPr>
      <w:r w:rsidRPr="00CC03BE">
        <w:rPr>
          <w:rFonts w:asciiTheme="majorHAnsi" w:hAnsiTheme="majorHAnsi" w:cs="Times New Roman"/>
          <w:b/>
          <w:sz w:val="20"/>
          <w:szCs w:val="20"/>
          <w:lang w:val="es-ES_tradnl"/>
        </w:rPr>
        <w:t>Constitución del f</w:t>
      </w:r>
      <w:r w:rsidR="00A143E4" w:rsidRPr="00CC03BE">
        <w:rPr>
          <w:rFonts w:asciiTheme="majorHAnsi" w:hAnsiTheme="majorHAnsi" w:cs="Times New Roman"/>
          <w:b/>
          <w:sz w:val="20"/>
          <w:szCs w:val="20"/>
          <w:lang w:val="es-ES_tradnl"/>
        </w:rPr>
        <w:t xml:space="preserve">ondo de operaciones </w:t>
      </w:r>
    </w:p>
    <w:p w14:paraId="1D436B48"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3E7772D0" w14:textId="2BBB6112"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La Comisión tiene un fo</w:t>
      </w:r>
      <w:r w:rsidR="00333B2B" w:rsidRPr="00CC03BE">
        <w:rPr>
          <w:rFonts w:asciiTheme="majorHAnsi" w:hAnsiTheme="majorHAnsi" w:cs="Times New Roman"/>
          <w:sz w:val="20"/>
          <w:szCs w:val="20"/>
          <w:lang w:val="es-ES_tradnl"/>
        </w:rPr>
        <w:t>n</w:t>
      </w:r>
      <w:r w:rsidRPr="00CC03BE">
        <w:rPr>
          <w:rFonts w:asciiTheme="majorHAnsi" w:hAnsiTheme="majorHAnsi" w:cs="Times New Roman"/>
          <w:sz w:val="20"/>
          <w:szCs w:val="20"/>
          <w:lang w:val="es-ES_tradnl"/>
        </w:rPr>
        <w:t>do de capital de trabajo (Fondo de operaciones) para financiar las operaciones de la Comisión antes de recibir las contribuciones anuales y para cualesquiera otros fines que la Comisión determine (Artículo X.9 del Convenio).</w:t>
      </w:r>
    </w:p>
    <w:p w14:paraId="077C5E3F"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493851B5" w14:textId="27A21126"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De acuerdo con la recomendación del Grupo de trabajo sobre </w:t>
      </w:r>
      <w:r w:rsidR="00055DF4" w:rsidRPr="00CC03BE">
        <w:rPr>
          <w:rFonts w:asciiTheme="majorHAnsi" w:hAnsiTheme="majorHAnsi" w:cs="Times New Roman"/>
          <w:sz w:val="20"/>
          <w:szCs w:val="20"/>
          <w:lang w:val="es-ES_tradnl"/>
        </w:rPr>
        <w:t xml:space="preserve">finanzas </w:t>
      </w:r>
      <w:r w:rsidRPr="00CC03BE">
        <w:rPr>
          <w:rFonts w:asciiTheme="majorHAnsi" w:hAnsiTheme="majorHAnsi" w:cs="Times New Roman"/>
          <w:sz w:val="20"/>
          <w:szCs w:val="20"/>
          <w:lang w:val="es-ES_tradnl"/>
        </w:rPr>
        <w:t xml:space="preserve">y </w:t>
      </w:r>
      <w:r w:rsidR="00055DF4" w:rsidRPr="00CC03BE">
        <w:rPr>
          <w:rFonts w:asciiTheme="majorHAnsi" w:hAnsiTheme="majorHAnsi" w:cs="Times New Roman"/>
          <w:sz w:val="20"/>
          <w:szCs w:val="20"/>
          <w:lang w:val="es-ES_tradnl"/>
        </w:rPr>
        <w:t xml:space="preserve">administración </w:t>
      </w:r>
      <w:r w:rsidRPr="00CC03BE">
        <w:rPr>
          <w:rFonts w:asciiTheme="majorHAnsi" w:hAnsiTheme="majorHAnsi" w:cs="Times New Roman"/>
          <w:sz w:val="20"/>
          <w:szCs w:val="20"/>
          <w:lang w:val="es-ES_tradnl"/>
        </w:rPr>
        <w:t>en su reunión celebrada los días 29, 30 de noviembre y 1 de diciembre de 1971, en Madrid, “Se consideró que el Fondo de operaciones... debería mantenerse a un nivel aproximado de un 15</w:t>
      </w:r>
      <w:r w:rsidR="006E7829"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del presupuesto total anual”. Esta recomendación fue adoptada por la Comisión.</w:t>
      </w:r>
    </w:p>
    <w:p w14:paraId="10A356C9" w14:textId="77777777" w:rsidR="00907ADE" w:rsidRPr="00CC03BE" w:rsidRDefault="00907ADE" w:rsidP="002B4B7B">
      <w:pPr>
        <w:spacing w:after="0" w:line="240" w:lineRule="auto"/>
        <w:jc w:val="both"/>
        <w:rPr>
          <w:rFonts w:asciiTheme="majorHAnsi" w:hAnsiTheme="majorHAnsi" w:cs="Times New Roman"/>
          <w:sz w:val="20"/>
          <w:szCs w:val="20"/>
          <w:lang w:val="es-ES_tradnl"/>
        </w:rPr>
      </w:pPr>
    </w:p>
    <w:p w14:paraId="6545222D" w14:textId="6DA55BB1" w:rsidR="00A143E4" w:rsidRPr="00CC03BE" w:rsidRDefault="00A143E4" w:rsidP="005D1A31">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A 31 de diciembre de 20</w:t>
      </w:r>
      <w:r w:rsidR="003764FB"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4</w:t>
      </w:r>
      <w:r w:rsidRPr="00CC03BE">
        <w:rPr>
          <w:rFonts w:asciiTheme="majorHAnsi" w:hAnsiTheme="majorHAnsi" w:cs="Times New Roman"/>
          <w:sz w:val="20"/>
          <w:szCs w:val="20"/>
          <w:lang w:val="es-ES_tradnl"/>
        </w:rPr>
        <w:t xml:space="preserve">, el saldo era de </w:t>
      </w:r>
      <w:r w:rsidR="004B258A" w:rsidRPr="00CC03BE">
        <w:rPr>
          <w:rFonts w:asciiTheme="majorHAnsi" w:hAnsiTheme="majorHAnsi" w:cs="Times New Roman"/>
          <w:sz w:val="20"/>
          <w:szCs w:val="20"/>
          <w:lang w:val="es-ES_tradnl"/>
        </w:rPr>
        <w:t>2.900.070,01</w:t>
      </w:r>
      <w:r w:rsidR="003764FB"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xml:space="preserve">euros, que representa el </w:t>
      </w:r>
      <w:r w:rsidR="004B258A" w:rsidRPr="00CC03BE">
        <w:rPr>
          <w:rFonts w:asciiTheme="majorHAnsi" w:hAnsiTheme="majorHAnsi" w:cs="Times New Roman"/>
          <w:sz w:val="20"/>
          <w:szCs w:val="20"/>
          <w:lang w:val="es-ES_tradnl"/>
        </w:rPr>
        <w:t>49,94</w:t>
      </w:r>
      <w:r w:rsidR="006E7829"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 del presupuesto de 20</w:t>
      </w:r>
      <w:r w:rsidR="003764FB"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4</w:t>
      </w:r>
      <w:r w:rsidRPr="00CC03BE">
        <w:rPr>
          <w:rFonts w:asciiTheme="majorHAnsi" w:hAnsiTheme="majorHAnsi" w:cs="Times New Roman"/>
          <w:sz w:val="20"/>
          <w:szCs w:val="20"/>
          <w:lang w:val="es-ES_tradnl"/>
        </w:rPr>
        <w:t xml:space="preserve">, </w:t>
      </w:r>
      <w:r w:rsidR="00B70222" w:rsidRPr="00CC03BE">
        <w:rPr>
          <w:rFonts w:asciiTheme="majorHAnsi" w:hAnsiTheme="majorHAnsi" w:cs="Times New Roman"/>
          <w:sz w:val="20"/>
          <w:szCs w:val="20"/>
          <w:lang w:val="es-ES_tradnl"/>
        </w:rPr>
        <w:t>tasa</w:t>
      </w:r>
      <w:r w:rsidRPr="00CC03BE">
        <w:rPr>
          <w:rFonts w:asciiTheme="majorHAnsi" w:hAnsiTheme="majorHAnsi" w:cs="Times New Roman"/>
          <w:sz w:val="20"/>
          <w:szCs w:val="20"/>
          <w:lang w:val="es-ES_tradnl"/>
        </w:rPr>
        <w:t xml:space="preserve"> </w:t>
      </w:r>
      <w:r w:rsidR="003764FB" w:rsidRPr="00CC03BE">
        <w:rPr>
          <w:rFonts w:asciiTheme="majorHAnsi" w:hAnsiTheme="majorHAnsi" w:cs="Times New Roman"/>
          <w:sz w:val="20"/>
          <w:szCs w:val="20"/>
          <w:lang w:val="es-ES_tradnl"/>
        </w:rPr>
        <w:t>superior</w:t>
      </w:r>
      <w:r w:rsidR="001E13A3" w:rsidRPr="00CC03BE">
        <w:rPr>
          <w:rFonts w:asciiTheme="majorHAnsi" w:hAnsiTheme="majorHAnsi" w:cs="Times New Roman"/>
          <w:sz w:val="20"/>
          <w:szCs w:val="20"/>
          <w:lang w:val="es-ES_tradnl"/>
        </w:rPr>
        <w:t xml:space="preserve"> a la adoptada </w:t>
      </w:r>
      <w:r w:rsidRPr="00CC03BE">
        <w:rPr>
          <w:rFonts w:asciiTheme="majorHAnsi" w:hAnsiTheme="majorHAnsi" w:cs="Times New Roman"/>
          <w:sz w:val="20"/>
          <w:szCs w:val="20"/>
          <w:lang w:val="es-ES_tradnl"/>
        </w:rPr>
        <w:t>por la Comisión.</w:t>
      </w:r>
    </w:p>
    <w:p w14:paraId="283D0B4A"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48E6E1C9" w14:textId="77777777"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Fondo de operaciones está compuesto por:</w:t>
      </w:r>
    </w:p>
    <w:p w14:paraId="6B006A76" w14:textId="09A5EB02" w:rsidR="00A143E4" w:rsidRPr="00CC03BE" w:rsidRDefault="00A143E4" w:rsidP="002B4B7B">
      <w:pPr>
        <w:pStyle w:val="ListParagraph"/>
        <w:numPr>
          <w:ilvl w:val="0"/>
          <w:numId w:val="11"/>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saldo a la apertura del ejercicio</w:t>
      </w:r>
      <w:r w:rsidR="00D45506" w:rsidRPr="00CC03BE">
        <w:rPr>
          <w:rFonts w:asciiTheme="majorHAnsi" w:hAnsiTheme="majorHAnsi" w:cs="Times New Roman"/>
          <w:sz w:val="20"/>
          <w:szCs w:val="20"/>
          <w:lang w:val="es-ES_tradnl"/>
        </w:rPr>
        <w:t>.</w:t>
      </w:r>
    </w:p>
    <w:p w14:paraId="0A012C81" w14:textId="77777777" w:rsidR="00A143E4" w:rsidRPr="00CC03BE" w:rsidRDefault="00A143E4" w:rsidP="002B4B7B">
      <w:pPr>
        <w:pStyle w:val="ListParagraph"/>
        <w:numPr>
          <w:ilvl w:val="0"/>
          <w:numId w:val="11"/>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El resultado del ejercicio:</w:t>
      </w:r>
    </w:p>
    <w:p w14:paraId="6A14F93F" w14:textId="77777777" w:rsidR="00A143E4" w:rsidRPr="00CC03BE" w:rsidRDefault="001E13A3" w:rsidP="002B4B7B">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Resultado de la liquidación</w:t>
      </w:r>
      <w:r w:rsidR="00A143E4" w:rsidRPr="00CC03BE">
        <w:rPr>
          <w:rFonts w:asciiTheme="majorHAnsi" w:hAnsiTheme="majorHAnsi" w:cs="Times New Roman"/>
          <w:sz w:val="20"/>
          <w:szCs w:val="20"/>
          <w:lang w:val="es-ES_tradnl"/>
        </w:rPr>
        <w:t xml:space="preserve"> de ingresos y gastos al presupuesto del ejercicio</w:t>
      </w:r>
    </w:p>
    <w:p w14:paraId="41AAE26B" w14:textId="77777777" w:rsidR="00A143E4" w:rsidRPr="00CC03BE" w:rsidRDefault="001E13A3" w:rsidP="002B4B7B">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Resultado de la li</w:t>
      </w:r>
      <w:r w:rsidR="00A143E4" w:rsidRPr="00CC03BE">
        <w:rPr>
          <w:rFonts w:asciiTheme="majorHAnsi" w:hAnsiTheme="majorHAnsi" w:cs="Times New Roman"/>
          <w:sz w:val="20"/>
          <w:szCs w:val="20"/>
          <w:lang w:val="es-ES_tradnl"/>
        </w:rPr>
        <w:t>quidación de ingresos y gastos no recogidos en el presupuesto del ejercicio</w:t>
      </w:r>
    </w:p>
    <w:p w14:paraId="3EBCC1EF" w14:textId="7BCAEF70" w:rsidR="003D2D4C" w:rsidRPr="00CC03BE" w:rsidRDefault="00A143E4" w:rsidP="003D2D4C">
      <w:pPr>
        <w:pStyle w:val="ListParagraph"/>
        <w:numPr>
          <w:ilvl w:val="0"/>
          <w:numId w:val="10"/>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Contribuciones pagadas por las </w:t>
      </w:r>
      <w:r w:rsidR="00A61433" w:rsidRPr="00CC03BE">
        <w:rPr>
          <w:rFonts w:asciiTheme="majorHAnsi" w:hAnsiTheme="majorHAnsi" w:cs="Times New Roman"/>
          <w:sz w:val="20"/>
          <w:szCs w:val="20"/>
          <w:lang w:val="es-ES_tradnl"/>
        </w:rPr>
        <w:t>Partes contratante</w:t>
      </w:r>
      <w:r w:rsidR="004A0B78" w:rsidRPr="00CC03BE">
        <w:rPr>
          <w:rFonts w:asciiTheme="majorHAnsi" w:hAnsiTheme="majorHAnsi" w:cs="Times New Roman"/>
          <w:sz w:val="20"/>
          <w:szCs w:val="20"/>
          <w:lang w:val="es-ES_tradnl"/>
        </w:rPr>
        <w:t>s</w:t>
      </w:r>
      <w:r w:rsidRPr="00CC03BE">
        <w:rPr>
          <w:rFonts w:asciiTheme="majorHAnsi" w:hAnsiTheme="majorHAnsi" w:cs="Times New Roman"/>
          <w:sz w:val="20"/>
          <w:szCs w:val="20"/>
          <w:lang w:val="es-ES_tradnl"/>
        </w:rPr>
        <w:t xml:space="preserve"> a presupuestos anteriores (atrasos).</w:t>
      </w:r>
    </w:p>
    <w:p w14:paraId="3350A555" w14:textId="77777777" w:rsidR="003D2D4C" w:rsidRPr="00CC03BE" w:rsidRDefault="003D2D4C" w:rsidP="003F3A8F">
      <w:pPr>
        <w:spacing w:after="0" w:line="240" w:lineRule="auto"/>
        <w:jc w:val="both"/>
        <w:rPr>
          <w:rFonts w:asciiTheme="majorHAnsi" w:hAnsiTheme="majorHAnsi" w:cs="Times New Roman"/>
          <w:sz w:val="20"/>
          <w:szCs w:val="20"/>
          <w:lang w:val="es-ES_tradnl"/>
        </w:rPr>
      </w:pPr>
    </w:p>
    <w:p w14:paraId="1390EB4B" w14:textId="72988849" w:rsidR="00A143E4" w:rsidRPr="00CC03BE" w:rsidRDefault="003D2D4C" w:rsidP="003D2D4C">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La tabla del </w:t>
      </w:r>
      <w:r w:rsidR="002516B8" w:rsidRPr="00CC03BE">
        <w:rPr>
          <w:rFonts w:asciiTheme="majorHAnsi" w:hAnsiTheme="majorHAnsi" w:cs="Times New Roman"/>
          <w:b/>
          <w:bCs/>
          <w:sz w:val="20"/>
          <w:szCs w:val="20"/>
          <w:lang w:val="es-ES_tradnl"/>
        </w:rPr>
        <w:t>Anexo</w:t>
      </w:r>
      <w:r w:rsidRPr="00CC03BE">
        <w:rPr>
          <w:rFonts w:asciiTheme="majorHAnsi" w:hAnsiTheme="majorHAnsi" w:cs="Times New Roman"/>
          <w:sz w:val="20"/>
          <w:szCs w:val="20"/>
          <w:lang w:val="es-ES_tradnl"/>
        </w:rPr>
        <w:t xml:space="preserve"> contiene la situación del fondo de operaciones a </w:t>
      </w:r>
      <w:r w:rsidR="004B258A" w:rsidRPr="00CC03BE">
        <w:rPr>
          <w:rFonts w:asciiTheme="majorHAnsi" w:hAnsiTheme="majorHAnsi" w:cs="Times New Roman"/>
          <w:sz w:val="20"/>
          <w:szCs w:val="20"/>
          <w:lang w:val="es-ES_tradnl"/>
        </w:rPr>
        <w:t>8</w:t>
      </w:r>
      <w:r w:rsidRPr="00CC03BE">
        <w:rPr>
          <w:rFonts w:asciiTheme="majorHAnsi" w:hAnsiTheme="majorHAnsi" w:cs="Times New Roman"/>
          <w:sz w:val="20"/>
          <w:szCs w:val="20"/>
          <w:lang w:val="es-ES_tradnl"/>
        </w:rPr>
        <w:t xml:space="preserve"> de octubre de 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w:t>
      </w:r>
    </w:p>
    <w:p w14:paraId="06F3228D" w14:textId="77777777" w:rsidR="003D2D4C" w:rsidRPr="00CC03BE" w:rsidRDefault="003D2D4C" w:rsidP="003F3A8F">
      <w:pPr>
        <w:spacing w:after="0" w:line="240" w:lineRule="auto"/>
        <w:jc w:val="both"/>
        <w:rPr>
          <w:rFonts w:asciiTheme="majorHAnsi" w:hAnsiTheme="majorHAnsi" w:cs="Times New Roman"/>
          <w:sz w:val="20"/>
          <w:szCs w:val="20"/>
          <w:lang w:val="es-ES_tradnl"/>
        </w:rPr>
      </w:pPr>
    </w:p>
    <w:p w14:paraId="399F581D" w14:textId="77777777" w:rsidR="00A143E4" w:rsidRPr="00CC03BE" w:rsidRDefault="00A143E4" w:rsidP="002B4B7B">
      <w:pPr>
        <w:tabs>
          <w:tab w:val="left" w:pos="426"/>
        </w:tabs>
        <w:spacing w:after="0" w:line="240" w:lineRule="auto"/>
        <w:jc w:val="both"/>
        <w:rPr>
          <w:rFonts w:asciiTheme="majorHAnsi" w:hAnsiTheme="majorHAnsi" w:cs="Times New Roman"/>
          <w:b/>
          <w:i/>
          <w:sz w:val="20"/>
          <w:szCs w:val="20"/>
          <w:lang w:val="es-ES_tradnl"/>
        </w:rPr>
      </w:pPr>
      <w:r w:rsidRPr="00CC03BE">
        <w:rPr>
          <w:rFonts w:asciiTheme="majorHAnsi" w:hAnsiTheme="majorHAnsi" w:cs="Times New Roman"/>
          <w:b/>
          <w:i/>
          <w:sz w:val="20"/>
          <w:szCs w:val="20"/>
          <w:lang w:val="es-ES_tradnl"/>
        </w:rPr>
        <w:t xml:space="preserve">1.a </w:t>
      </w:r>
      <w:r w:rsidR="00C54504" w:rsidRPr="00CC03BE">
        <w:rPr>
          <w:rFonts w:asciiTheme="majorHAnsi" w:hAnsiTheme="majorHAnsi" w:cs="Times New Roman"/>
          <w:b/>
          <w:i/>
          <w:sz w:val="20"/>
          <w:szCs w:val="20"/>
          <w:lang w:val="es-ES_tradnl"/>
        </w:rPr>
        <w:tab/>
      </w:r>
      <w:r w:rsidRPr="00CC03BE">
        <w:rPr>
          <w:rFonts w:asciiTheme="majorHAnsi" w:hAnsiTheme="majorHAnsi" w:cs="Times New Roman"/>
          <w:b/>
          <w:i/>
          <w:sz w:val="20"/>
          <w:szCs w:val="20"/>
          <w:lang w:val="es-ES_tradnl"/>
        </w:rPr>
        <w:t>Liquidación de ingresos y gastos al presupuesto del ejercicio</w:t>
      </w:r>
    </w:p>
    <w:p w14:paraId="16961BF6" w14:textId="77777777" w:rsidR="006E0DAA" w:rsidRDefault="006E0DAA" w:rsidP="002B4B7B">
      <w:pPr>
        <w:spacing w:after="0" w:line="240" w:lineRule="auto"/>
        <w:jc w:val="both"/>
        <w:rPr>
          <w:rFonts w:asciiTheme="majorHAnsi" w:hAnsiTheme="majorHAnsi" w:cs="Times New Roman"/>
          <w:sz w:val="20"/>
          <w:szCs w:val="20"/>
          <w:lang w:val="es-ES_tradnl"/>
        </w:rPr>
      </w:pPr>
    </w:p>
    <w:p w14:paraId="089B0DE3" w14:textId="17BB6B4F" w:rsidR="00A143E4" w:rsidRPr="00CC03BE" w:rsidRDefault="006E0DAA" w:rsidP="002B4B7B">
      <w:pPr>
        <w:spacing w:after="0" w:line="240" w:lineRule="auto"/>
        <w:jc w:val="both"/>
        <w:rPr>
          <w:rFonts w:asciiTheme="majorHAnsi" w:hAnsiTheme="majorHAnsi" w:cs="Times New Roman"/>
          <w:sz w:val="20"/>
          <w:szCs w:val="20"/>
          <w:lang w:val="es-ES_tradnl"/>
        </w:rPr>
      </w:pPr>
      <w:r>
        <w:rPr>
          <w:rFonts w:asciiTheme="majorHAnsi" w:hAnsiTheme="majorHAnsi" w:cs="Times New Roman"/>
          <w:sz w:val="20"/>
          <w:szCs w:val="20"/>
          <w:lang w:val="es-ES_tradnl"/>
        </w:rPr>
        <w:t>L</w:t>
      </w:r>
      <w:r w:rsidR="00A143E4" w:rsidRPr="00CC03BE">
        <w:rPr>
          <w:rFonts w:asciiTheme="majorHAnsi" w:hAnsiTheme="majorHAnsi" w:cs="Times New Roman"/>
          <w:sz w:val="20"/>
          <w:szCs w:val="20"/>
          <w:lang w:val="es-ES_tradnl"/>
        </w:rPr>
        <w:t xml:space="preserve">a Comisión aprueba </w:t>
      </w:r>
      <w:r w:rsidR="006966E0" w:rsidRPr="00CC03BE">
        <w:rPr>
          <w:rFonts w:asciiTheme="majorHAnsi" w:hAnsiTheme="majorHAnsi" w:cs="Times New Roman"/>
          <w:sz w:val="20"/>
          <w:szCs w:val="20"/>
          <w:lang w:val="es-ES_tradnl"/>
        </w:rPr>
        <w:t>cada dos años</w:t>
      </w:r>
      <w:r w:rsidR="00A143E4" w:rsidRPr="00CC03BE">
        <w:rPr>
          <w:rFonts w:asciiTheme="majorHAnsi" w:hAnsiTheme="majorHAnsi" w:cs="Times New Roman"/>
          <w:sz w:val="20"/>
          <w:szCs w:val="20"/>
          <w:lang w:val="es-ES_tradnl"/>
        </w:rPr>
        <w:t xml:space="preserve"> un presupuesto de gastos conjuntos durante sus reuniones ordinarias. El presupuesto de gastos está dividido en capítulos o subcapítulos, según las necesidades de la Comisión.</w:t>
      </w:r>
    </w:p>
    <w:p w14:paraId="3F7068EC"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56760D0F" w14:textId="3AFD009F"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Cada </w:t>
      </w:r>
      <w:r w:rsidR="00435720" w:rsidRPr="00CC03BE">
        <w:rPr>
          <w:rFonts w:asciiTheme="majorHAnsi" w:hAnsiTheme="majorHAnsi" w:cs="Times New Roman"/>
          <w:sz w:val="20"/>
          <w:szCs w:val="20"/>
          <w:lang w:val="es-ES_tradnl"/>
        </w:rPr>
        <w:t>Parte contratante</w:t>
      </w:r>
      <w:r w:rsidRPr="00CC03BE">
        <w:rPr>
          <w:rFonts w:asciiTheme="majorHAnsi" w:hAnsiTheme="majorHAnsi" w:cs="Times New Roman"/>
          <w:sz w:val="20"/>
          <w:szCs w:val="20"/>
          <w:lang w:val="es-ES_tradnl"/>
        </w:rPr>
        <w:t xml:space="preserve"> contribuye anualmente al presupuesto de la Comisión con una cantidad calculada de acuerdo con el sistema establecido en el Artículo 4 </w:t>
      </w:r>
      <w:r w:rsidR="006E7829" w:rsidRPr="00CC03BE">
        <w:rPr>
          <w:rFonts w:asciiTheme="majorHAnsi" w:hAnsiTheme="majorHAnsi" w:cs="Times New Roman"/>
          <w:sz w:val="20"/>
          <w:szCs w:val="20"/>
          <w:lang w:val="es-ES_tradnl"/>
        </w:rPr>
        <w:t xml:space="preserve">del </w:t>
      </w:r>
      <w:r w:rsidRPr="00CC03BE">
        <w:rPr>
          <w:rFonts w:asciiTheme="majorHAnsi" w:hAnsiTheme="majorHAnsi" w:cs="Times New Roman"/>
          <w:sz w:val="20"/>
          <w:szCs w:val="20"/>
          <w:lang w:val="es-ES_tradnl"/>
        </w:rPr>
        <w:t xml:space="preserve">Reglamento </w:t>
      </w:r>
      <w:r w:rsidR="00582358" w:rsidRPr="00CC03BE">
        <w:rPr>
          <w:rFonts w:asciiTheme="majorHAnsi" w:hAnsiTheme="majorHAnsi" w:cs="Times New Roman"/>
          <w:sz w:val="20"/>
          <w:szCs w:val="20"/>
          <w:lang w:val="es-ES_tradnl"/>
        </w:rPr>
        <w:t>financiero</w:t>
      </w:r>
      <w:r w:rsidRPr="00CC03BE">
        <w:rPr>
          <w:rFonts w:asciiTheme="majorHAnsi" w:hAnsiTheme="majorHAnsi" w:cs="Times New Roman"/>
          <w:sz w:val="20"/>
          <w:szCs w:val="20"/>
          <w:lang w:val="es-ES_tradnl"/>
        </w:rPr>
        <w:t>.</w:t>
      </w:r>
    </w:p>
    <w:p w14:paraId="09DFE4CD"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6D59329C" w14:textId="7B0B5521" w:rsidR="00A143E4" w:rsidRPr="00CC03BE" w:rsidRDefault="00A143E4" w:rsidP="002B4B7B">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La liquidación de los ingresos y gastos al presupuesto del ejercicio nos da el resultado presupuestario. A fecha </w:t>
      </w:r>
      <w:r w:rsidR="004B258A" w:rsidRPr="00CC03BE">
        <w:rPr>
          <w:rFonts w:asciiTheme="majorHAnsi" w:hAnsiTheme="majorHAnsi" w:cs="Times New Roman"/>
          <w:sz w:val="20"/>
          <w:szCs w:val="20"/>
          <w:lang w:val="es-ES_tradnl"/>
        </w:rPr>
        <w:t>8</w:t>
      </w:r>
      <w:r w:rsidR="00173BE3" w:rsidRPr="00CC03BE">
        <w:rPr>
          <w:rFonts w:asciiTheme="majorHAnsi" w:hAnsiTheme="majorHAnsi" w:cs="Times New Roman"/>
          <w:sz w:val="20"/>
          <w:szCs w:val="20"/>
          <w:lang w:val="es-ES_tradnl"/>
        </w:rPr>
        <w:t xml:space="preserve"> de octubre de 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la liquidación del presupuesto tiene un resultado positivo de </w:t>
      </w:r>
      <w:r w:rsidR="004B258A" w:rsidRPr="00CC03BE">
        <w:rPr>
          <w:rFonts w:asciiTheme="majorHAnsi" w:hAnsiTheme="majorHAnsi" w:cs="Times New Roman"/>
          <w:sz w:val="20"/>
          <w:szCs w:val="20"/>
          <w:lang w:val="es-ES_tradnl"/>
        </w:rPr>
        <w:t>625.808,65</w:t>
      </w:r>
      <w:r w:rsidR="000823C3" w:rsidRPr="00CC03BE">
        <w:rPr>
          <w:rFonts w:asciiTheme="majorHAnsi" w:hAnsiTheme="majorHAnsi" w:cs="Times New Roman"/>
          <w:sz w:val="20"/>
          <w:szCs w:val="20"/>
          <w:lang w:val="es-ES_tradnl"/>
        </w:rPr>
        <w:t xml:space="preserve"> </w:t>
      </w:r>
      <w:r w:rsidRPr="00CC03BE">
        <w:rPr>
          <w:rFonts w:asciiTheme="majorHAnsi" w:hAnsiTheme="majorHAnsi" w:cs="Times New Roman"/>
          <w:sz w:val="20"/>
          <w:szCs w:val="20"/>
          <w:lang w:val="es-ES_tradnl"/>
        </w:rPr>
        <w:t>euros.</w:t>
      </w:r>
    </w:p>
    <w:p w14:paraId="3F90A6C6" w14:textId="2B5AC4EF" w:rsidR="003778DD" w:rsidRPr="00CC03BE" w:rsidRDefault="003778DD" w:rsidP="002B4B7B">
      <w:pPr>
        <w:spacing w:after="0" w:line="240" w:lineRule="auto"/>
        <w:jc w:val="both"/>
        <w:rPr>
          <w:rFonts w:asciiTheme="majorHAnsi" w:hAnsiTheme="majorHAnsi" w:cs="Times New Roman"/>
          <w:sz w:val="20"/>
          <w:szCs w:val="20"/>
          <w:lang w:val="es-ES_tradnl"/>
        </w:rPr>
      </w:pPr>
    </w:p>
    <w:p w14:paraId="1A759D59" w14:textId="65DC05B0" w:rsidR="00B01731" w:rsidRPr="00CC03BE" w:rsidRDefault="003778DD" w:rsidP="002B4B7B">
      <w:pPr>
        <w:spacing w:after="0" w:line="240" w:lineRule="auto"/>
        <w:jc w:val="both"/>
        <w:rPr>
          <w:rFonts w:asciiTheme="majorHAnsi" w:hAnsiTheme="majorHAnsi" w:cs="Times New Roman"/>
          <w:spacing w:val="-2"/>
          <w:sz w:val="20"/>
          <w:szCs w:val="20"/>
          <w:lang w:val="es-ES_tradnl"/>
        </w:rPr>
      </w:pPr>
      <w:r w:rsidRPr="00CC03BE">
        <w:rPr>
          <w:rFonts w:asciiTheme="majorHAnsi" w:hAnsiTheme="majorHAnsi" w:cs="Times New Roman"/>
          <w:spacing w:val="-2"/>
          <w:sz w:val="20"/>
          <w:szCs w:val="20"/>
          <w:lang w:val="es-ES_tradnl"/>
        </w:rPr>
        <w:t xml:space="preserve">En </w:t>
      </w:r>
      <w:r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w:t>
      </w:r>
      <w:r w:rsidR="00582358" w:rsidRPr="00CC03BE">
        <w:rPr>
          <w:rFonts w:asciiTheme="majorHAnsi" w:hAnsiTheme="majorHAnsi" w:cs="Times New Roman"/>
          <w:spacing w:val="-2"/>
          <w:sz w:val="20"/>
          <w:szCs w:val="20"/>
          <w:lang w:val="es-ES_tradnl"/>
        </w:rPr>
        <w:t>continuó</w:t>
      </w:r>
      <w:r w:rsidR="00A7230F" w:rsidRPr="00CC03BE">
        <w:rPr>
          <w:rFonts w:asciiTheme="majorHAnsi" w:hAnsiTheme="majorHAnsi" w:cs="Times New Roman"/>
          <w:spacing w:val="-2"/>
          <w:sz w:val="20"/>
          <w:szCs w:val="20"/>
          <w:lang w:val="es-ES_tradnl"/>
        </w:rPr>
        <w:t xml:space="preserve"> la tendencia de que muchas </w:t>
      </w:r>
      <w:r w:rsidRPr="00CC03BE">
        <w:rPr>
          <w:rFonts w:asciiTheme="majorHAnsi" w:hAnsiTheme="majorHAnsi" w:cs="Times New Roman"/>
          <w:spacing w:val="-2"/>
          <w:sz w:val="20"/>
          <w:szCs w:val="20"/>
          <w:lang w:val="es-ES_tradnl"/>
        </w:rPr>
        <w:t xml:space="preserve">de las Partes contratantes </w:t>
      </w:r>
      <w:r w:rsidR="00A7230F" w:rsidRPr="00CC03BE">
        <w:rPr>
          <w:rFonts w:asciiTheme="majorHAnsi" w:hAnsiTheme="majorHAnsi" w:cs="Times New Roman"/>
          <w:spacing w:val="-2"/>
          <w:sz w:val="20"/>
          <w:szCs w:val="20"/>
          <w:lang w:val="es-ES_tradnl"/>
        </w:rPr>
        <w:t>no realizan el pago de sus contribuciones</w:t>
      </w:r>
      <w:r w:rsidRPr="00CC03BE">
        <w:rPr>
          <w:rFonts w:asciiTheme="majorHAnsi" w:hAnsiTheme="majorHAnsi" w:cs="Times New Roman"/>
          <w:spacing w:val="-2"/>
          <w:sz w:val="20"/>
          <w:szCs w:val="20"/>
          <w:lang w:val="es-ES_tradnl"/>
        </w:rPr>
        <w:t xml:space="preserve">. Tanto es así, </w:t>
      </w:r>
      <w:r w:rsidR="00B01731" w:rsidRPr="00CC03BE">
        <w:rPr>
          <w:rFonts w:asciiTheme="majorHAnsi" w:hAnsiTheme="majorHAnsi" w:cs="Times New Roman"/>
          <w:spacing w:val="-2"/>
          <w:sz w:val="20"/>
          <w:szCs w:val="20"/>
          <w:lang w:val="es-ES_tradnl"/>
        </w:rPr>
        <w:t xml:space="preserve">que, a </w:t>
      </w:r>
      <w:r w:rsidR="004B258A" w:rsidRPr="00CC03BE">
        <w:rPr>
          <w:rFonts w:asciiTheme="majorHAnsi" w:hAnsiTheme="majorHAnsi" w:cs="Times New Roman"/>
          <w:spacing w:val="-2"/>
          <w:sz w:val="20"/>
          <w:szCs w:val="20"/>
          <w:lang w:val="es-ES_tradnl"/>
        </w:rPr>
        <w:t>8</w:t>
      </w:r>
      <w:r w:rsidR="00A7230F" w:rsidRPr="00CC03BE">
        <w:rPr>
          <w:rFonts w:asciiTheme="majorHAnsi" w:hAnsiTheme="majorHAnsi" w:cs="Times New Roman"/>
          <w:spacing w:val="-2"/>
          <w:sz w:val="20"/>
          <w:szCs w:val="20"/>
          <w:lang w:val="es-ES_tradnl"/>
        </w:rPr>
        <w:t xml:space="preserve"> de octubre de </w:t>
      </w:r>
      <w:r w:rsidR="00A7230F"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B01731" w:rsidRPr="00CC03BE">
        <w:rPr>
          <w:rFonts w:asciiTheme="majorHAnsi" w:hAnsiTheme="majorHAnsi" w:cs="Times New Roman"/>
          <w:spacing w:val="-2"/>
          <w:sz w:val="20"/>
          <w:szCs w:val="20"/>
          <w:lang w:val="es-ES_tradnl"/>
        </w:rPr>
        <w:t xml:space="preserve">, sólo </w:t>
      </w:r>
      <w:r w:rsidR="004B258A" w:rsidRPr="00CC03BE">
        <w:rPr>
          <w:rFonts w:asciiTheme="majorHAnsi" w:hAnsiTheme="majorHAnsi" w:cs="Times New Roman"/>
          <w:spacing w:val="-2"/>
          <w:sz w:val="20"/>
          <w:szCs w:val="20"/>
          <w:lang w:val="es-ES_tradnl"/>
        </w:rPr>
        <w:t>27</w:t>
      </w:r>
      <w:r w:rsidR="00B01731" w:rsidRPr="00CC03BE">
        <w:rPr>
          <w:rFonts w:asciiTheme="majorHAnsi" w:hAnsiTheme="majorHAnsi" w:cs="Times New Roman"/>
          <w:spacing w:val="-2"/>
          <w:sz w:val="20"/>
          <w:szCs w:val="20"/>
          <w:lang w:val="es-ES_tradnl"/>
        </w:rPr>
        <w:t xml:space="preserve"> Partes contratantes han cumplido con la totalidad del pago de sus contribuciones al ejercicio actual </w:t>
      </w:r>
      <w:r w:rsidRPr="00CC03BE">
        <w:rPr>
          <w:rFonts w:asciiTheme="majorHAnsi" w:hAnsiTheme="majorHAnsi" w:cs="Times New Roman"/>
          <w:spacing w:val="-2"/>
          <w:sz w:val="20"/>
          <w:szCs w:val="20"/>
          <w:lang w:val="es-ES_tradnl"/>
        </w:rPr>
        <w:t>y</w:t>
      </w:r>
      <w:r w:rsidR="00B01731" w:rsidRPr="00CC03BE">
        <w:rPr>
          <w:rFonts w:asciiTheme="majorHAnsi" w:hAnsiTheme="majorHAnsi" w:cs="Times New Roman"/>
          <w:spacing w:val="-2"/>
          <w:sz w:val="20"/>
          <w:szCs w:val="20"/>
          <w:lang w:val="es-ES_tradnl"/>
        </w:rPr>
        <w:t xml:space="preserve"> </w:t>
      </w:r>
      <w:r w:rsidR="004B258A" w:rsidRPr="00CC03BE">
        <w:rPr>
          <w:rFonts w:asciiTheme="majorHAnsi" w:hAnsiTheme="majorHAnsi" w:cs="Times New Roman"/>
          <w:spacing w:val="-2"/>
          <w:sz w:val="20"/>
          <w:szCs w:val="20"/>
          <w:lang w:val="es-ES_tradnl"/>
        </w:rPr>
        <w:t>19</w:t>
      </w:r>
      <w:r w:rsidR="00B01731" w:rsidRPr="00CC03BE">
        <w:rPr>
          <w:rFonts w:asciiTheme="majorHAnsi" w:hAnsiTheme="majorHAnsi" w:cs="Times New Roman"/>
          <w:spacing w:val="-2"/>
          <w:sz w:val="20"/>
          <w:szCs w:val="20"/>
          <w:lang w:val="es-ES_tradnl"/>
        </w:rPr>
        <w:t xml:space="preserve"> tienen toda su contribución pendiente de pago. </w:t>
      </w:r>
      <w:r w:rsidR="0050695E" w:rsidRPr="00CC03BE">
        <w:rPr>
          <w:rFonts w:asciiTheme="majorHAnsi" w:hAnsiTheme="majorHAnsi" w:cs="Times New Roman"/>
          <w:spacing w:val="-2"/>
          <w:sz w:val="20"/>
          <w:szCs w:val="20"/>
          <w:lang w:val="es-ES_tradnl"/>
        </w:rPr>
        <w:t xml:space="preserve">La deuda </w:t>
      </w:r>
      <w:r w:rsidR="00DF4036" w:rsidRPr="00CC03BE">
        <w:rPr>
          <w:rFonts w:asciiTheme="majorHAnsi" w:hAnsiTheme="majorHAnsi" w:cs="Times New Roman"/>
          <w:spacing w:val="-2"/>
          <w:sz w:val="20"/>
          <w:szCs w:val="20"/>
          <w:lang w:val="es-ES_tradnl"/>
        </w:rPr>
        <w:t>por</w:t>
      </w:r>
      <w:r w:rsidR="0050695E" w:rsidRPr="00CC03BE">
        <w:rPr>
          <w:rFonts w:asciiTheme="majorHAnsi" w:hAnsiTheme="majorHAnsi" w:cs="Times New Roman"/>
          <w:spacing w:val="-2"/>
          <w:sz w:val="20"/>
          <w:szCs w:val="20"/>
          <w:lang w:val="es-ES_tradnl"/>
        </w:rPr>
        <w:t xml:space="preserve"> contribuciones pendientes de recibir del presupuesto </w:t>
      </w:r>
      <w:r w:rsidR="0050695E"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50695E" w:rsidRPr="00CC03BE">
        <w:rPr>
          <w:rFonts w:asciiTheme="majorHAnsi" w:hAnsiTheme="majorHAnsi" w:cs="Times New Roman"/>
          <w:spacing w:val="-2"/>
          <w:sz w:val="20"/>
          <w:szCs w:val="20"/>
          <w:lang w:val="es-ES_tradnl"/>
        </w:rPr>
        <w:t xml:space="preserve"> </w:t>
      </w:r>
      <w:r w:rsidR="00582358" w:rsidRPr="00CC03BE">
        <w:rPr>
          <w:rFonts w:asciiTheme="majorHAnsi" w:hAnsiTheme="majorHAnsi" w:cs="Times New Roman"/>
          <w:spacing w:val="-2"/>
          <w:sz w:val="20"/>
          <w:szCs w:val="20"/>
          <w:lang w:val="es-ES_tradnl"/>
        </w:rPr>
        <w:t>asciende a</w:t>
      </w:r>
      <w:r w:rsidR="0050695E" w:rsidRPr="00CC03BE">
        <w:rPr>
          <w:rFonts w:asciiTheme="majorHAnsi" w:hAnsiTheme="majorHAnsi" w:cs="Times New Roman"/>
          <w:spacing w:val="-2"/>
          <w:sz w:val="20"/>
          <w:szCs w:val="20"/>
          <w:lang w:val="es-ES_tradnl"/>
        </w:rPr>
        <w:t xml:space="preserve"> </w:t>
      </w:r>
      <w:r w:rsidR="004B258A" w:rsidRPr="00CC03BE">
        <w:rPr>
          <w:rFonts w:asciiTheme="majorHAnsi" w:hAnsiTheme="majorHAnsi" w:cs="Times New Roman"/>
          <w:spacing w:val="-2"/>
          <w:sz w:val="20"/>
          <w:szCs w:val="20"/>
          <w:lang w:val="es-ES_tradnl"/>
        </w:rPr>
        <w:t>1.018.202,58</w:t>
      </w:r>
      <w:r w:rsidR="00A7230F" w:rsidRPr="00CC03BE">
        <w:rPr>
          <w:rFonts w:asciiTheme="majorHAnsi" w:hAnsiTheme="majorHAnsi" w:cs="Times New Roman"/>
          <w:spacing w:val="-2"/>
          <w:sz w:val="20"/>
          <w:szCs w:val="20"/>
          <w:lang w:val="es-ES_tradnl"/>
        </w:rPr>
        <w:t xml:space="preserve"> </w:t>
      </w:r>
      <w:r w:rsidR="0050695E" w:rsidRPr="00CC03BE">
        <w:rPr>
          <w:rFonts w:asciiTheme="majorHAnsi" w:hAnsiTheme="majorHAnsi" w:cs="Times New Roman"/>
          <w:spacing w:val="-2"/>
          <w:sz w:val="20"/>
          <w:szCs w:val="20"/>
          <w:lang w:val="es-ES_tradnl"/>
        </w:rPr>
        <w:t>euros.</w:t>
      </w:r>
    </w:p>
    <w:p w14:paraId="118C4780" w14:textId="4D9FA316" w:rsidR="00B01731" w:rsidRPr="00CC03BE" w:rsidRDefault="00B01731" w:rsidP="002B4B7B">
      <w:pPr>
        <w:spacing w:after="0" w:line="240" w:lineRule="auto"/>
        <w:jc w:val="both"/>
        <w:rPr>
          <w:rFonts w:asciiTheme="majorHAnsi" w:hAnsiTheme="majorHAnsi" w:cs="Times New Roman"/>
          <w:sz w:val="20"/>
          <w:szCs w:val="20"/>
          <w:lang w:val="es-ES_tradnl"/>
        </w:rPr>
      </w:pPr>
    </w:p>
    <w:p w14:paraId="7ECA60D5" w14:textId="1AABCE39" w:rsidR="003778DD" w:rsidRPr="00CC03BE" w:rsidRDefault="00B01731" w:rsidP="00B01731">
      <w:p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Es de vital importancia para los trabajos de esta Comisión que todas las </w:t>
      </w:r>
      <w:r w:rsidR="00435720" w:rsidRPr="00CC03BE">
        <w:rPr>
          <w:rFonts w:asciiTheme="majorHAnsi" w:hAnsiTheme="majorHAnsi" w:cs="Times New Roman"/>
          <w:sz w:val="20"/>
          <w:szCs w:val="20"/>
          <w:lang w:val="es-ES_tradnl"/>
        </w:rPr>
        <w:t>Partes contratantes</w:t>
      </w:r>
      <w:r w:rsidRPr="00CC03BE">
        <w:rPr>
          <w:rFonts w:asciiTheme="majorHAnsi" w:hAnsiTheme="majorHAnsi" w:cs="Times New Roman"/>
          <w:sz w:val="20"/>
          <w:szCs w:val="20"/>
          <w:lang w:val="es-ES_tradnl"/>
        </w:rPr>
        <w:t xml:space="preserve"> cumplan con sus obligaciones presupuestarias.</w:t>
      </w:r>
      <w:r w:rsidR="003778DD" w:rsidRPr="00CC03BE">
        <w:rPr>
          <w:rFonts w:asciiTheme="majorHAnsi" w:hAnsiTheme="majorHAnsi" w:cs="Times New Roman"/>
          <w:sz w:val="20"/>
          <w:szCs w:val="20"/>
          <w:lang w:val="es-ES_tradnl"/>
        </w:rPr>
        <w:t xml:space="preserve"> </w:t>
      </w:r>
    </w:p>
    <w:p w14:paraId="11F775F9" w14:textId="77777777" w:rsidR="00A143E4" w:rsidRPr="00CC03BE" w:rsidRDefault="00A143E4" w:rsidP="002B4B7B">
      <w:pPr>
        <w:spacing w:after="0" w:line="240" w:lineRule="auto"/>
        <w:jc w:val="both"/>
        <w:rPr>
          <w:rFonts w:asciiTheme="majorHAnsi" w:hAnsiTheme="majorHAnsi" w:cs="Times New Roman"/>
          <w:sz w:val="20"/>
          <w:szCs w:val="20"/>
          <w:lang w:val="es-ES_tradnl"/>
        </w:rPr>
      </w:pPr>
    </w:p>
    <w:p w14:paraId="5D758921" w14:textId="77777777" w:rsidR="00A143E4" w:rsidRPr="00CC03BE" w:rsidRDefault="00A143E4" w:rsidP="002B4B7B">
      <w:pPr>
        <w:tabs>
          <w:tab w:val="left" w:pos="426"/>
        </w:tabs>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 xml:space="preserve">1.b </w:t>
      </w:r>
      <w:r w:rsidR="00C54504" w:rsidRPr="00CC03BE">
        <w:rPr>
          <w:rFonts w:asciiTheme="majorHAnsi" w:hAnsiTheme="majorHAnsi" w:cs="Times New Roman"/>
          <w:b/>
          <w:i/>
          <w:sz w:val="20"/>
          <w:szCs w:val="20"/>
        </w:rPr>
        <w:tab/>
      </w:r>
      <w:r w:rsidRPr="00CC03BE">
        <w:rPr>
          <w:rFonts w:asciiTheme="majorHAnsi" w:hAnsiTheme="majorHAnsi" w:cs="Times New Roman"/>
          <w:b/>
          <w:i/>
          <w:sz w:val="20"/>
          <w:szCs w:val="20"/>
        </w:rPr>
        <w:t>Liquidación de ingresos y gastos no recogidos en el presupuesto del ejercicio</w:t>
      </w:r>
    </w:p>
    <w:p w14:paraId="011A8F42" w14:textId="77777777" w:rsidR="00A143E4" w:rsidRPr="00CC03BE" w:rsidRDefault="00A143E4" w:rsidP="002B4B7B">
      <w:pPr>
        <w:spacing w:after="0" w:line="240" w:lineRule="auto"/>
        <w:jc w:val="both"/>
        <w:rPr>
          <w:rFonts w:asciiTheme="majorHAnsi" w:hAnsiTheme="majorHAnsi" w:cs="Times New Roman"/>
          <w:b/>
          <w:i/>
          <w:sz w:val="20"/>
          <w:szCs w:val="20"/>
        </w:rPr>
      </w:pPr>
    </w:p>
    <w:p w14:paraId="72F68967" w14:textId="77777777"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Todos aquellos gastos e ingresos que no están incluidos dentro del presupuesto ordinario de la Comisión, ni forman parte de cualquier Fondo fiduciario de la Comisión (contribuciones voluntarias para finalidades en consonancia con las normas, propósitos y actividades de la Comisión), son denominados extrapresupuestarios.</w:t>
      </w:r>
    </w:p>
    <w:p w14:paraId="7702179F" w14:textId="77777777" w:rsidR="00C54504" w:rsidRPr="00CC03BE" w:rsidRDefault="00C54504" w:rsidP="002B4B7B">
      <w:pPr>
        <w:spacing w:after="0" w:line="240" w:lineRule="auto"/>
        <w:jc w:val="both"/>
        <w:rPr>
          <w:rFonts w:asciiTheme="majorHAnsi" w:hAnsiTheme="majorHAnsi" w:cs="Times New Roman"/>
          <w:sz w:val="20"/>
          <w:szCs w:val="20"/>
        </w:rPr>
      </w:pPr>
    </w:p>
    <w:p w14:paraId="26512706" w14:textId="77777777"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Actualmente </w:t>
      </w:r>
      <w:r w:rsidR="00054010" w:rsidRPr="00CC03BE">
        <w:rPr>
          <w:rFonts w:asciiTheme="majorHAnsi" w:hAnsiTheme="majorHAnsi" w:cs="Times New Roman"/>
          <w:sz w:val="20"/>
          <w:szCs w:val="20"/>
        </w:rPr>
        <w:t xml:space="preserve">se </w:t>
      </w:r>
      <w:r w:rsidRPr="00CC03BE">
        <w:rPr>
          <w:rFonts w:asciiTheme="majorHAnsi" w:hAnsiTheme="majorHAnsi" w:cs="Times New Roman"/>
          <w:sz w:val="20"/>
          <w:szCs w:val="20"/>
        </w:rPr>
        <w:t>ha</w:t>
      </w:r>
      <w:r w:rsidR="00054010" w:rsidRPr="00CC03BE">
        <w:rPr>
          <w:rFonts w:asciiTheme="majorHAnsi" w:hAnsiTheme="majorHAnsi" w:cs="Times New Roman"/>
          <w:sz w:val="20"/>
          <w:szCs w:val="20"/>
        </w:rPr>
        <w:t>n</w:t>
      </w:r>
      <w:r w:rsidRPr="00CC03BE">
        <w:rPr>
          <w:rFonts w:asciiTheme="majorHAnsi" w:hAnsiTheme="majorHAnsi" w:cs="Times New Roman"/>
          <w:sz w:val="20"/>
          <w:szCs w:val="20"/>
        </w:rPr>
        <w:t xml:space="preserve"> aprobado los siguientes gastos extrapresupuestarios y</w:t>
      </w:r>
      <w:r w:rsidR="00C54504" w:rsidRPr="00CC03BE">
        <w:rPr>
          <w:rFonts w:asciiTheme="majorHAnsi" w:hAnsiTheme="majorHAnsi" w:cs="Times New Roman"/>
          <w:sz w:val="20"/>
          <w:szCs w:val="20"/>
        </w:rPr>
        <w:t>,</w:t>
      </w:r>
      <w:r w:rsidRPr="00CC03BE">
        <w:rPr>
          <w:rFonts w:asciiTheme="majorHAnsi" w:hAnsiTheme="majorHAnsi" w:cs="Times New Roman"/>
          <w:sz w:val="20"/>
          <w:szCs w:val="20"/>
        </w:rPr>
        <w:t xml:space="preserve"> por tanto, su financiación a través del Fondo de operaciones:</w:t>
      </w:r>
    </w:p>
    <w:p w14:paraId="1252D930" w14:textId="77777777" w:rsidR="00C54504" w:rsidRPr="00CC03BE" w:rsidRDefault="00C54504" w:rsidP="002B4B7B">
      <w:pPr>
        <w:spacing w:after="0" w:line="240" w:lineRule="auto"/>
        <w:jc w:val="both"/>
        <w:rPr>
          <w:rFonts w:asciiTheme="majorHAnsi" w:hAnsiTheme="majorHAnsi" w:cs="Times New Roman"/>
          <w:sz w:val="20"/>
          <w:szCs w:val="20"/>
          <w:lang w:val="es-ES_tradnl"/>
        </w:rPr>
      </w:pPr>
    </w:p>
    <w:p w14:paraId="0DFC9BE4" w14:textId="0DD3BF05" w:rsidR="00A7230F" w:rsidRPr="00CC03BE" w:rsidRDefault="00A7230F" w:rsidP="005D1A31">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lastRenderedPageBreak/>
        <w:t>Parte de los gastos relativos a las reuniones intersesiones.</w:t>
      </w:r>
    </w:p>
    <w:p w14:paraId="60885EB5" w14:textId="0B66084D" w:rsidR="004B258A" w:rsidRPr="00CC03BE" w:rsidRDefault="00A7230F"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Gastos de interpretación simultánea al árabe.</w:t>
      </w:r>
    </w:p>
    <w:p w14:paraId="6AA63ACA" w14:textId="6C1E0D03" w:rsidR="004B258A" w:rsidRPr="00CC03BE" w:rsidRDefault="004B258A"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Auditoría del Programa </w:t>
      </w:r>
      <w:r w:rsidR="0082130F" w:rsidRPr="00CC03BE">
        <w:rPr>
          <w:rFonts w:asciiTheme="majorHAnsi" w:hAnsiTheme="majorHAnsi" w:cs="Times New Roman"/>
          <w:sz w:val="20"/>
          <w:szCs w:val="20"/>
          <w:lang w:val="es-ES_tradnl"/>
        </w:rPr>
        <w:t>científico de</w:t>
      </w:r>
      <w:r w:rsidRPr="00CC03BE">
        <w:rPr>
          <w:rFonts w:asciiTheme="majorHAnsi" w:hAnsiTheme="majorHAnsi" w:cs="Times New Roman"/>
          <w:sz w:val="20"/>
          <w:szCs w:val="20"/>
          <w:lang w:val="es-ES_tradnl"/>
        </w:rPr>
        <w:t xml:space="preserve"> 2024. </w:t>
      </w:r>
    </w:p>
    <w:p w14:paraId="2B7C6844" w14:textId="73EE3AAB" w:rsidR="004B258A" w:rsidRPr="00CC03BE" w:rsidRDefault="004B258A" w:rsidP="004B258A">
      <w:pPr>
        <w:pStyle w:val="ListParagraph"/>
        <w:numPr>
          <w:ilvl w:val="0"/>
          <w:numId w:val="23"/>
        </w:numPr>
        <w:spacing w:after="0" w:line="240" w:lineRule="auto"/>
        <w:jc w:val="both"/>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 xml:space="preserve">Diferencias de cambio negativas. </w:t>
      </w:r>
    </w:p>
    <w:p w14:paraId="78313C30" w14:textId="77777777" w:rsidR="00C54504" w:rsidRPr="00CC03BE" w:rsidRDefault="00C54504" w:rsidP="008D218B">
      <w:pPr>
        <w:pStyle w:val="ListParagraph"/>
        <w:spacing w:after="0"/>
        <w:jc w:val="both"/>
        <w:rPr>
          <w:rFonts w:asciiTheme="majorHAnsi" w:hAnsiTheme="majorHAnsi" w:cs="Times New Roman"/>
          <w:sz w:val="20"/>
          <w:szCs w:val="20"/>
        </w:rPr>
      </w:pPr>
    </w:p>
    <w:p w14:paraId="13DF06A2" w14:textId="01AD707A" w:rsidR="00A143E4" w:rsidRPr="00CC03BE" w:rsidRDefault="00A143E4"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Son considerados ingresos extrapresupuestarios, todos aquellos que no provienen de las asignaciones de las </w:t>
      </w:r>
      <w:r w:rsidR="00435720" w:rsidRPr="00CC03BE">
        <w:rPr>
          <w:rFonts w:asciiTheme="majorHAnsi" w:hAnsiTheme="majorHAnsi" w:cs="Times New Roman"/>
          <w:sz w:val="20"/>
          <w:szCs w:val="20"/>
        </w:rPr>
        <w:t>Partes contratantes</w:t>
      </w:r>
      <w:r w:rsidRPr="00CC03BE">
        <w:rPr>
          <w:rFonts w:asciiTheme="majorHAnsi" w:hAnsiTheme="majorHAnsi" w:cs="Times New Roman"/>
          <w:sz w:val="20"/>
          <w:szCs w:val="20"/>
        </w:rPr>
        <w:t xml:space="preserve"> mediante contribuciones anuales.</w:t>
      </w:r>
    </w:p>
    <w:p w14:paraId="338C4964" w14:textId="77777777" w:rsidR="006E7829" w:rsidRPr="00CC03BE" w:rsidRDefault="006E7829" w:rsidP="00A143E4">
      <w:pPr>
        <w:spacing w:after="0"/>
        <w:jc w:val="both"/>
        <w:rPr>
          <w:rFonts w:asciiTheme="majorHAnsi" w:hAnsiTheme="majorHAnsi" w:cs="Times New Roman"/>
          <w:sz w:val="20"/>
          <w:szCs w:val="20"/>
        </w:rPr>
      </w:pPr>
    </w:p>
    <w:p w14:paraId="27E8522D" w14:textId="36712200"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Los ingresos extrapresupuestarios recibidos durante 20</w:t>
      </w:r>
      <w:r w:rsidR="00CF6B24" w:rsidRPr="00CC03BE">
        <w:rPr>
          <w:rFonts w:asciiTheme="majorHAnsi" w:hAnsiTheme="majorHAnsi" w:cs="Times New Roman"/>
          <w:sz w:val="20"/>
          <w:szCs w:val="20"/>
        </w:rPr>
        <w:t>2</w:t>
      </w:r>
      <w:r w:rsidR="004B258A" w:rsidRPr="00CC03BE">
        <w:rPr>
          <w:rFonts w:asciiTheme="majorHAnsi" w:hAnsiTheme="majorHAnsi" w:cs="Times New Roman"/>
          <w:sz w:val="20"/>
          <w:szCs w:val="20"/>
        </w:rPr>
        <w:t>5</w:t>
      </w:r>
      <w:r w:rsidRPr="00CC03BE">
        <w:rPr>
          <w:rFonts w:asciiTheme="majorHAnsi" w:hAnsiTheme="majorHAnsi" w:cs="Times New Roman"/>
          <w:sz w:val="20"/>
          <w:szCs w:val="20"/>
        </w:rPr>
        <w:t xml:space="preserve"> son:</w:t>
      </w:r>
    </w:p>
    <w:p w14:paraId="16A561D1" w14:textId="77777777" w:rsidR="00C54504" w:rsidRPr="00CC03BE" w:rsidRDefault="00C54504" w:rsidP="002B4B7B">
      <w:pPr>
        <w:spacing w:after="0" w:line="240" w:lineRule="auto"/>
        <w:jc w:val="both"/>
        <w:rPr>
          <w:rFonts w:asciiTheme="majorHAnsi" w:hAnsiTheme="majorHAnsi" w:cs="Times New Roman"/>
          <w:sz w:val="20"/>
          <w:szCs w:val="20"/>
        </w:rPr>
      </w:pPr>
    </w:p>
    <w:p w14:paraId="61A63DC1" w14:textId="1DCBF692"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 xml:space="preserve">Cuotas de observadores a las reuniones </w:t>
      </w:r>
      <w:r w:rsidR="00031F4A" w:rsidRPr="00CC03BE">
        <w:rPr>
          <w:rFonts w:asciiTheme="majorHAnsi" w:hAnsiTheme="majorHAnsi" w:cs="Times New Roman"/>
          <w:sz w:val="20"/>
          <w:szCs w:val="20"/>
        </w:rPr>
        <w:t>presenciales</w:t>
      </w:r>
      <w:r w:rsidR="003A116D" w:rsidRPr="00CC03BE">
        <w:rPr>
          <w:rFonts w:asciiTheme="majorHAnsi" w:hAnsiTheme="majorHAnsi" w:cs="Times New Roman"/>
          <w:sz w:val="20"/>
          <w:szCs w:val="20"/>
        </w:rPr>
        <w:t xml:space="preserve"> </w:t>
      </w:r>
      <w:r w:rsidRPr="00CC03BE">
        <w:rPr>
          <w:rFonts w:asciiTheme="majorHAnsi" w:hAnsiTheme="majorHAnsi" w:cs="Times New Roman"/>
          <w:sz w:val="20"/>
          <w:szCs w:val="20"/>
        </w:rPr>
        <w:t>de la Comisión.</w:t>
      </w:r>
    </w:p>
    <w:p w14:paraId="419C031C" w14:textId="4E6758F7"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Contribución voluntaria de Taipei Chino</w:t>
      </w:r>
      <w:r w:rsidR="003C786C" w:rsidRPr="00CC03BE">
        <w:rPr>
          <w:rFonts w:asciiTheme="majorHAnsi" w:hAnsiTheme="majorHAnsi" w:cs="Times New Roman"/>
          <w:sz w:val="20"/>
          <w:szCs w:val="20"/>
        </w:rPr>
        <w:t xml:space="preserve"> y </w:t>
      </w:r>
      <w:r w:rsidR="00031F4A" w:rsidRPr="00CC03BE">
        <w:rPr>
          <w:rFonts w:asciiTheme="majorHAnsi" w:hAnsiTheme="majorHAnsi" w:cs="Times New Roman"/>
          <w:sz w:val="20"/>
          <w:szCs w:val="20"/>
        </w:rPr>
        <w:t>Surinam</w:t>
      </w:r>
      <w:r w:rsidR="00054010" w:rsidRPr="00CC03BE">
        <w:rPr>
          <w:rFonts w:asciiTheme="majorHAnsi" w:hAnsiTheme="majorHAnsi" w:cs="Times New Roman"/>
          <w:sz w:val="20"/>
          <w:szCs w:val="20"/>
        </w:rPr>
        <w:t>.</w:t>
      </w:r>
    </w:p>
    <w:p w14:paraId="19301587" w14:textId="714D484F" w:rsidR="00A143E4" w:rsidRPr="00CC03BE" w:rsidRDefault="00A143E4"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Ingresos financieros</w:t>
      </w:r>
      <w:r w:rsidR="00054010" w:rsidRPr="00CC03BE">
        <w:rPr>
          <w:rFonts w:asciiTheme="majorHAnsi" w:hAnsiTheme="majorHAnsi" w:cs="Times New Roman"/>
          <w:sz w:val="20"/>
          <w:szCs w:val="20"/>
        </w:rPr>
        <w:t>.</w:t>
      </w:r>
    </w:p>
    <w:p w14:paraId="3CDBF1F1" w14:textId="1D48BD03" w:rsidR="00A7230F" w:rsidRPr="00CC03BE" w:rsidRDefault="00A7230F"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Reembolso del IVA soportado.</w:t>
      </w:r>
    </w:p>
    <w:p w14:paraId="0F7FAABB" w14:textId="6C9FAB8F" w:rsidR="00054010" w:rsidRPr="00CC03BE" w:rsidRDefault="00054010" w:rsidP="00054010">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Contribución voluntaria de la Unión Europea para la </w:t>
      </w:r>
      <w:r w:rsidR="00E87389" w:rsidRPr="00CC03BE">
        <w:rPr>
          <w:rFonts w:asciiTheme="majorHAnsi" w:hAnsiTheme="majorHAnsi" w:cs="Times New Roman"/>
          <w:sz w:val="20"/>
          <w:szCs w:val="20"/>
        </w:rPr>
        <w:t>tercera r</w:t>
      </w:r>
      <w:r w:rsidRPr="00CC03BE">
        <w:rPr>
          <w:rFonts w:asciiTheme="majorHAnsi" w:hAnsiTheme="majorHAnsi" w:cs="Times New Roman"/>
          <w:sz w:val="20"/>
          <w:szCs w:val="20"/>
        </w:rPr>
        <w:t xml:space="preserve">eunión </w:t>
      </w:r>
      <w:r w:rsidR="00031F4A" w:rsidRPr="00CC03BE">
        <w:rPr>
          <w:rFonts w:asciiTheme="majorHAnsi" w:hAnsiTheme="majorHAnsi" w:cs="Times New Roman"/>
          <w:sz w:val="20"/>
          <w:szCs w:val="20"/>
        </w:rPr>
        <w:t xml:space="preserve">intersesiones </w:t>
      </w:r>
      <w:r w:rsidR="00A7230F" w:rsidRPr="00CC03BE">
        <w:rPr>
          <w:rFonts w:asciiTheme="majorHAnsi" w:hAnsiTheme="majorHAnsi" w:cs="Times New Roman"/>
          <w:sz w:val="20"/>
          <w:szCs w:val="20"/>
        </w:rPr>
        <w:t xml:space="preserve">de la Subcomisión </w:t>
      </w:r>
      <w:r w:rsidR="00E87389" w:rsidRPr="00CC03BE">
        <w:rPr>
          <w:rFonts w:asciiTheme="majorHAnsi" w:hAnsiTheme="majorHAnsi" w:cs="Times New Roman"/>
          <w:sz w:val="20"/>
          <w:szCs w:val="20"/>
        </w:rPr>
        <w:t>1</w:t>
      </w:r>
      <w:r w:rsidRPr="00CC03BE">
        <w:rPr>
          <w:rFonts w:asciiTheme="majorHAnsi" w:hAnsiTheme="majorHAnsi" w:cs="Times New Roman"/>
          <w:sz w:val="20"/>
          <w:szCs w:val="20"/>
        </w:rPr>
        <w:t xml:space="preserve"> y la 2</w:t>
      </w:r>
      <w:r w:rsidR="00E87389" w:rsidRPr="00CC03BE">
        <w:rPr>
          <w:rFonts w:asciiTheme="majorHAnsi" w:hAnsiTheme="majorHAnsi" w:cs="Times New Roman"/>
          <w:sz w:val="20"/>
          <w:szCs w:val="20"/>
        </w:rPr>
        <w:t>4</w:t>
      </w:r>
      <w:r w:rsidRPr="00CC03BE">
        <w:rPr>
          <w:rFonts w:asciiTheme="majorHAnsi" w:hAnsiTheme="majorHAnsi" w:cs="Times New Roman"/>
          <w:sz w:val="20"/>
          <w:szCs w:val="20"/>
        </w:rPr>
        <w:t>ª Reunión extraordinaria de la Comisión.</w:t>
      </w:r>
    </w:p>
    <w:p w14:paraId="7D9C7951" w14:textId="77777777" w:rsidR="004B258A" w:rsidRPr="00CC03BE" w:rsidRDefault="004B258A" w:rsidP="004B258A">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Contribución voluntaria de la Unión Europea para reuniones intersesiones de ICCAT y otros grupos de trabajo 2023-2024.</w:t>
      </w:r>
    </w:p>
    <w:p w14:paraId="7598FAF1" w14:textId="484F5F39" w:rsidR="004B258A" w:rsidRPr="00CC03BE" w:rsidRDefault="004B258A" w:rsidP="004B258A">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Contribución voluntaria de la Unión Europea para reuniones intersesiones de ICCAT y otros grupos de trabajo 2025-2026.</w:t>
      </w:r>
    </w:p>
    <w:p w14:paraId="47F0C7BC" w14:textId="063391CD" w:rsidR="00A143E4" w:rsidRPr="00CC03BE" w:rsidRDefault="007F72F6" w:rsidP="00883039">
      <w:pPr>
        <w:pStyle w:val="ListParagraph"/>
        <w:numPr>
          <w:ilvl w:val="0"/>
          <w:numId w:val="12"/>
        </w:numPr>
        <w:spacing w:after="0" w:line="240" w:lineRule="auto"/>
        <w:ind w:left="357" w:hanging="357"/>
        <w:jc w:val="both"/>
        <w:rPr>
          <w:rFonts w:asciiTheme="majorHAnsi" w:hAnsiTheme="majorHAnsi" w:cs="Times New Roman"/>
          <w:sz w:val="20"/>
          <w:szCs w:val="20"/>
        </w:rPr>
      </w:pPr>
      <w:r w:rsidRPr="00CC03BE">
        <w:rPr>
          <w:rFonts w:asciiTheme="majorHAnsi" w:hAnsiTheme="majorHAnsi" w:cs="Times New Roman"/>
          <w:sz w:val="20"/>
          <w:szCs w:val="20"/>
        </w:rPr>
        <w:t xml:space="preserve">Ingresos </w:t>
      </w:r>
      <w:r w:rsidR="00A143E4" w:rsidRPr="00CC03BE">
        <w:rPr>
          <w:rFonts w:asciiTheme="majorHAnsi" w:hAnsiTheme="majorHAnsi" w:cs="Times New Roman"/>
          <w:sz w:val="20"/>
          <w:szCs w:val="20"/>
        </w:rPr>
        <w:t>de programas y fondos fiduciar</w:t>
      </w:r>
      <w:r w:rsidR="00C54504" w:rsidRPr="00CC03BE">
        <w:rPr>
          <w:rFonts w:asciiTheme="majorHAnsi" w:hAnsiTheme="majorHAnsi" w:cs="Times New Roman"/>
          <w:sz w:val="20"/>
          <w:szCs w:val="20"/>
        </w:rPr>
        <w:t>ios gestionados por la Secretarí</w:t>
      </w:r>
      <w:r w:rsidR="00A143E4" w:rsidRPr="00CC03BE">
        <w:rPr>
          <w:rFonts w:asciiTheme="majorHAnsi" w:hAnsiTheme="majorHAnsi" w:cs="Times New Roman"/>
          <w:sz w:val="20"/>
          <w:szCs w:val="20"/>
        </w:rPr>
        <w:t>a.</w:t>
      </w:r>
    </w:p>
    <w:p w14:paraId="4A94BDB4" w14:textId="77777777" w:rsidR="00C54504" w:rsidRPr="00CC03BE" w:rsidRDefault="00C54504" w:rsidP="00883039">
      <w:pPr>
        <w:pStyle w:val="ListParagraph"/>
        <w:spacing w:after="0" w:line="240" w:lineRule="auto"/>
        <w:ind w:left="360"/>
        <w:jc w:val="both"/>
        <w:rPr>
          <w:rFonts w:asciiTheme="majorHAnsi" w:hAnsiTheme="majorHAnsi" w:cs="Times New Roman"/>
          <w:sz w:val="20"/>
          <w:szCs w:val="20"/>
        </w:rPr>
      </w:pPr>
    </w:p>
    <w:p w14:paraId="473E6FA4" w14:textId="572B7CB9"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 liquidación de los gastos e ingresos extrapresupuestarios </w:t>
      </w:r>
      <w:r w:rsidR="00582358" w:rsidRPr="00CC03BE">
        <w:rPr>
          <w:rFonts w:asciiTheme="majorHAnsi" w:hAnsiTheme="majorHAnsi" w:cs="Times New Roman"/>
          <w:sz w:val="20"/>
          <w:szCs w:val="20"/>
        </w:rPr>
        <w:t>arroja</w:t>
      </w:r>
      <w:r w:rsidRPr="00CC03BE">
        <w:rPr>
          <w:rFonts w:asciiTheme="majorHAnsi" w:hAnsiTheme="majorHAnsi" w:cs="Times New Roman"/>
          <w:sz w:val="20"/>
          <w:szCs w:val="20"/>
        </w:rPr>
        <w:t xml:space="preserve"> </w:t>
      </w:r>
      <w:r w:rsidR="001E13A3" w:rsidRPr="00CC03BE">
        <w:rPr>
          <w:rFonts w:asciiTheme="majorHAnsi" w:hAnsiTheme="majorHAnsi" w:cs="Times New Roman"/>
          <w:sz w:val="20"/>
          <w:szCs w:val="20"/>
        </w:rPr>
        <w:t>un</w:t>
      </w:r>
      <w:r w:rsidRPr="00CC03BE">
        <w:rPr>
          <w:rFonts w:asciiTheme="majorHAnsi" w:hAnsiTheme="majorHAnsi" w:cs="Times New Roman"/>
          <w:sz w:val="20"/>
          <w:szCs w:val="20"/>
        </w:rPr>
        <w:t xml:space="preserve"> resultado</w:t>
      </w:r>
      <w:r w:rsidR="00C54504" w:rsidRPr="00CC03BE">
        <w:rPr>
          <w:rFonts w:asciiTheme="majorHAnsi" w:hAnsiTheme="majorHAnsi" w:cs="Times New Roman"/>
          <w:sz w:val="20"/>
          <w:szCs w:val="20"/>
        </w:rPr>
        <w:t xml:space="preserve"> </w:t>
      </w:r>
      <w:r w:rsidR="007144B3" w:rsidRPr="00CC03BE">
        <w:rPr>
          <w:rFonts w:asciiTheme="majorHAnsi" w:hAnsiTheme="majorHAnsi" w:cs="Times New Roman"/>
          <w:sz w:val="20"/>
          <w:szCs w:val="20"/>
          <w:lang w:val="es-ES_tradnl"/>
        </w:rPr>
        <w:t>positivo</w:t>
      </w:r>
      <w:r w:rsidR="00A7230F" w:rsidRPr="00CC03BE">
        <w:rPr>
          <w:rFonts w:asciiTheme="majorHAnsi" w:hAnsiTheme="majorHAnsi" w:cs="Times New Roman"/>
          <w:sz w:val="20"/>
          <w:szCs w:val="20"/>
        </w:rPr>
        <w:t xml:space="preserve"> </w:t>
      </w:r>
      <w:r w:rsidRPr="00CC03BE">
        <w:rPr>
          <w:rFonts w:asciiTheme="majorHAnsi" w:hAnsiTheme="majorHAnsi" w:cs="Times New Roman"/>
          <w:sz w:val="20"/>
          <w:szCs w:val="20"/>
        </w:rPr>
        <w:t>que</w:t>
      </w:r>
      <w:r w:rsidR="00C54504" w:rsidRPr="00CC03BE">
        <w:rPr>
          <w:rFonts w:asciiTheme="majorHAnsi" w:hAnsiTheme="majorHAnsi" w:cs="Times New Roman"/>
          <w:sz w:val="20"/>
          <w:szCs w:val="20"/>
        </w:rPr>
        <w:t>,</w:t>
      </w:r>
      <w:r w:rsidRPr="00CC03BE">
        <w:rPr>
          <w:rFonts w:asciiTheme="majorHAnsi" w:hAnsiTheme="majorHAnsi" w:cs="Times New Roman"/>
          <w:sz w:val="20"/>
          <w:szCs w:val="20"/>
        </w:rPr>
        <w:t xml:space="preserve"> </w:t>
      </w:r>
      <w:r w:rsidR="001E13A3" w:rsidRPr="00CC03BE">
        <w:rPr>
          <w:rFonts w:asciiTheme="majorHAnsi" w:hAnsiTheme="majorHAnsi" w:cs="Times New Roman"/>
          <w:sz w:val="20"/>
          <w:szCs w:val="20"/>
        </w:rPr>
        <w:t xml:space="preserve">a </w:t>
      </w:r>
      <w:r w:rsidR="004B258A" w:rsidRPr="00CC03BE">
        <w:rPr>
          <w:rFonts w:asciiTheme="majorHAnsi" w:hAnsiTheme="majorHAnsi" w:cs="Times New Roman"/>
          <w:sz w:val="20"/>
          <w:szCs w:val="20"/>
        </w:rPr>
        <w:t>8</w:t>
      </w:r>
      <w:r w:rsidR="00A7230F" w:rsidRPr="00CC03BE">
        <w:rPr>
          <w:rFonts w:asciiTheme="majorHAnsi" w:hAnsiTheme="majorHAnsi" w:cs="Times New Roman"/>
          <w:sz w:val="20"/>
          <w:szCs w:val="20"/>
        </w:rPr>
        <w:t xml:space="preserve"> de octubre de </w:t>
      </w:r>
      <w:r w:rsidR="00A7230F"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0077376D" w:rsidRPr="00CC03BE">
        <w:rPr>
          <w:rFonts w:asciiTheme="majorHAnsi" w:hAnsiTheme="majorHAnsi" w:cs="Times New Roman"/>
          <w:sz w:val="20"/>
          <w:szCs w:val="20"/>
        </w:rPr>
        <w:t>,</w:t>
      </w:r>
      <w:r w:rsidR="00C957A9" w:rsidRPr="00CC03BE">
        <w:rPr>
          <w:rFonts w:asciiTheme="majorHAnsi" w:hAnsiTheme="majorHAnsi" w:cs="Times New Roman"/>
          <w:sz w:val="20"/>
          <w:szCs w:val="20"/>
        </w:rPr>
        <w:t xml:space="preserve"> asciende </w:t>
      </w:r>
      <w:r w:rsidR="00C957A9" w:rsidRPr="00CC03BE">
        <w:rPr>
          <w:rFonts w:asciiTheme="majorHAnsi" w:hAnsiTheme="majorHAnsi" w:cs="Times New Roman"/>
          <w:sz w:val="20"/>
          <w:szCs w:val="20"/>
          <w:lang w:val="es-ES_tradnl"/>
        </w:rPr>
        <w:t xml:space="preserve">a </w:t>
      </w:r>
      <w:r w:rsidR="004B258A" w:rsidRPr="00CC03BE">
        <w:rPr>
          <w:rFonts w:asciiTheme="majorHAnsi" w:hAnsiTheme="majorHAnsi" w:cs="Times New Roman"/>
          <w:sz w:val="20"/>
          <w:szCs w:val="20"/>
          <w:lang w:val="es-ES_tradnl"/>
        </w:rPr>
        <w:t>553.285,09</w:t>
      </w:r>
      <w:r w:rsidRPr="00CC03BE">
        <w:rPr>
          <w:rFonts w:asciiTheme="majorHAnsi" w:hAnsiTheme="majorHAnsi" w:cs="Times New Roman"/>
          <w:sz w:val="20"/>
          <w:szCs w:val="20"/>
        </w:rPr>
        <w:t xml:space="preserve"> euros.</w:t>
      </w:r>
    </w:p>
    <w:p w14:paraId="414DCAD5" w14:textId="77777777" w:rsidR="00A143E4" w:rsidRPr="00CC03BE" w:rsidRDefault="00A143E4" w:rsidP="002B4B7B">
      <w:pPr>
        <w:spacing w:after="0" w:line="240" w:lineRule="auto"/>
        <w:ind w:left="426" w:hanging="426"/>
        <w:jc w:val="both"/>
        <w:rPr>
          <w:rFonts w:asciiTheme="majorHAnsi" w:hAnsiTheme="majorHAnsi" w:cs="Times New Roman"/>
          <w:sz w:val="20"/>
          <w:szCs w:val="20"/>
        </w:rPr>
      </w:pPr>
    </w:p>
    <w:p w14:paraId="606B2891" w14:textId="6B3246CB" w:rsidR="00A143E4" w:rsidRPr="00CC03BE" w:rsidRDefault="00A143E4" w:rsidP="006E7829">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 xml:space="preserve">1.c Contribuciones pagadas por las </w:t>
      </w:r>
      <w:r w:rsidR="00435720" w:rsidRPr="00CC03BE">
        <w:rPr>
          <w:rFonts w:asciiTheme="majorHAnsi" w:hAnsiTheme="majorHAnsi" w:cs="Times New Roman"/>
          <w:b/>
          <w:i/>
          <w:sz w:val="20"/>
          <w:szCs w:val="20"/>
        </w:rPr>
        <w:t>Partes contratantes</w:t>
      </w:r>
      <w:r w:rsidRPr="00CC03BE">
        <w:rPr>
          <w:rFonts w:asciiTheme="majorHAnsi" w:hAnsiTheme="majorHAnsi" w:cs="Times New Roman"/>
          <w:b/>
          <w:i/>
          <w:sz w:val="20"/>
          <w:szCs w:val="20"/>
        </w:rPr>
        <w:t xml:space="preserve"> a presupuestos anteriores (atrasos) o contribuciones de nuevos miembros de la Comisión</w:t>
      </w:r>
    </w:p>
    <w:p w14:paraId="0A001EB1" w14:textId="77777777" w:rsidR="00A143E4" w:rsidRPr="00CC03BE" w:rsidRDefault="00A143E4" w:rsidP="002B4B7B">
      <w:pPr>
        <w:spacing w:after="0" w:line="240" w:lineRule="auto"/>
        <w:jc w:val="both"/>
        <w:rPr>
          <w:rFonts w:asciiTheme="majorHAnsi" w:hAnsiTheme="majorHAnsi" w:cs="Times New Roman"/>
          <w:b/>
          <w:i/>
          <w:sz w:val="20"/>
          <w:szCs w:val="20"/>
        </w:rPr>
      </w:pPr>
    </w:p>
    <w:p w14:paraId="41A621E0" w14:textId="2CF9DB18"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Las </w:t>
      </w:r>
      <w:r w:rsidR="00435720" w:rsidRPr="00CC03BE">
        <w:rPr>
          <w:rFonts w:asciiTheme="majorHAnsi" w:hAnsiTheme="majorHAnsi" w:cs="Times New Roman"/>
          <w:sz w:val="20"/>
          <w:szCs w:val="20"/>
        </w:rPr>
        <w:t>Partes contratantes</w:t>
      </w:r>
      <w:r w:rsidR="00C957A9" w:rsidRPr="00CC03BE">
        <w:rPr>
          <w:rFonts w:asciiTheme="majorHAnsi" w:hAnsiTheme="majorHAnsi" w:cs="Times New Roman"/>
          <w:sz w:val="20"/>
          <w:szCs w:val="20"/>
        </w:rPr>
        <w:t xml:space="preserve"> deben pagar sus </w:t>
      </w:r>
      <w:r w:rsidRPr="00CC03BE">
        <w:rPr>
          <w:rFonts w:asciiTheme="majorHAnsi" w:hAnsiTheme="majorHAnsi" w:cs="Times New Roman"/>
          <w:sz w:val="20"/>
          <w:szCs w:val="20"/>
        </w:rPr>
        <w:t>contribuciones anuales el 1º de enero del año para el cual hayan sido fijadas. Las que no hayan sido pagadas antes del 1</w:t>
      </w:r>
      <w:r w:rsidR="007144B3" w:rsidRPr="00CC03BE">
        <w:rPr>
          <w:rFonts w:asciiTheme="majorHAnsi" w:hAnsiTheme="majorHAnsi" w:cs="Times New Roman"/>
          <w:sz w:val="20"/>
          <w:szCs w:val="20"/>
        </w:rPr>
        <w:t xml:space="preserve"> </w:t>
      </w:r>
      <w:r w:rsidRPr="00CC03BE">
        <w:rPr>
          <w:rFonts w:asciiTheme="majorHAnsi" w:hAnsiTheme="majorHAnsi" w:cs="Times New Roman"/>
          <w:sz w:val="20"/>
          <w:szCs w:val="20"/>
        </w:rPr>
        <w:t>de enero del año siguiente</w:t>
      </w:r>
      <w:r w:rsidR="00CD20A6" w:rsidRPr="00CC03BE">
        <w:rPr>
          <w:rFonts w:asciiTheme="majorHAnsi" w:hAnsiTheme="majorHAnsi" w:cs="Times New Roman"/>
          <w:sz w:val="20"/>
          <w:szCs w:val="20"/>
        </w:rPr>
        <w:t xml:space="preserve"> </w:t>
      </w:r>
      <w:r w:rsidRPr="00CC03BE">
        <w:rPr>
          <w:rFonts w:asciiTheme="majorHAnsi" w:hAnsiTheme="majorHAnsi" w:cs="Times New Roman"/>
          <w:sz w:val="20"/>
          <w:szCs w:val="20"/>
        </w:rPr>
        <w:t xml:space="preserve">serán consideradas como atrasos. </w:t>
      </w:r>
    </w:p>
    <w:p w14:paraId="1D6E6359" w14:textId="77777777" w:rsidR="00C54504" w:rsidRPr="00CC03BE" w:rsidRDefault="00C54504" w:rsidP="002B4B7B">
      <w:pPr>
        <w:spacing w:after="0" w:line="240" w:lineRule="auto"/>
        <w:jc w:val="both"/>
        <w:rPr>
          <w:rFonts w:asciiTheme="majorHAnsi" w:hAnsiTheme="majorHAnsi" w:cs="Times New Roman"/>
          <w:sz w:val="20"/>
          <w:szCs w:val="20"/>
        </w:rPr>
      </w:pPr>
    </w:p>
    <w:p w14:paraId="2EE6000F" w14:textId="41D6B261"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Cuando se recibe una contribución atrasada, se imputa al Fondo de operaciones. Hasta la fecha, se han recibido atrasos por importe d</w:t>
      </w:r>
      <w:proofErr w:type="spellStart"/>
      <w:r w:rsidRPr="00CC03BE">
        <w:rPr>
          <w:rFonts w:asciiTheme="majorHAnsi" w:hAnsiTheme="majorHAnsi" w:cs="Times New Roman"/>
          <w:sz w:val="20"/>
          <w:szCs w:val="20"/>
          <w:lang w:val="es-ES_tradnl"/>
        </w:rPr>
        <w:t>e</w:t>
      </w:r>
      <w:proofErr w:type="spellEnd"/>
      <w:r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233.488,67</w:t>
      </w:r>
      <w:r w:rsidR="00541032" w:rsidRPr="00CC03BE">
        <w:rPr>
          <w:rFonts w:asciiTheme="majorHAnsi" w:hAnsiTheme="majorHAnsi" w:cs="Times New Roman"/>
          <w:sz w:val="20"/>
          <w:szCs w:val="20"/>
        </w:rPr>
        <w:t xml:space="preserve"> </w:t>
      </w:r>
      <w:r w:rsidRPr="00CC03BE">
        <w:rPr>
          <w:rFonts w:asciiTheme="majorHAnsi" w:hAnsiTheme="majorHAnsi" w:cs="Times New Roman"/>
          <w:sz w:val="20"/>
          <w:szCs w:val="20"/>
        </w:rPr>
        <w:t>euros.</w:t>
      </w:r>
      <w:r w:rsidR="00541032" w:rsidRPr="00CC03BE">
        <w:rPr>
          <w:rFonts w:asciiTheme="majorHAnsi" w:hAnsiTheme="majorHAnsi" w:cs="Times New Roman"/>
          <w:sz w:val="20"/>
          <w:szCs w:val="20"/>
        </w:rPr>
        <w:t xml:space="preserve"> Cabe señalar que algunas Partes contratantes están haciendo importantes esfuerzos por minorar sus atrasos acumulados.</w:t>
      </w:r>
    </w:p>
    <w:p w14:paraId="489D182A" w14:textId="77777777" w:rsidR="00C54504" w:rsidRPr="00CC03BE" w:rsidRDefault="00C54504" w:rsidP="002B4B7B">
      <w:pPr>
        <w:spacing w:after="0" w:line="240" w:lineRule="auto"/>
        <w:jc w:val="both"/>
        <w:rPr>
          <w:rFonts w:asciiTheme="majorHAnsi" w:hAnsiTheme="majorHAnsi" w:cs="Times New Roman"/>
          <w:sz w:val="20"/>
          <w:szCs w:val="20"/>
        </w:rPr>
      </w:pPr>
    </w:p>
    <w:p w14:paraId="4DB4DF7E" w14:textId="2B1FCA3C"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Por otro lado, el reglamento financiero de la Comisión establece en su</w:t>
      </w:r>
      <w:r w:rsidR="006966E0" w:rsidRPr="00CC03BE">
        <w:rPr>
          <w:rFonts w:asciiTheme="majorHAnsi" w:hAnsiTheme="majorHAnsi" w:cs="Times New Roman"/>
          <w:sz w:val="20"/>
          <w:szCs w:val="20"/>
        </w:rPr>
        <w:t>s</w:t>
      </w:r>
      <w:r w:rsidRPr="00CC03BE">
        <w:rPr>
          <w:rFonts w:asciiTheme="majorHAnsi" w:hAnsiTheme="majorHAnsi" w:cs="Times New Roman"/>
          <w:sz w:val="20"/>
          <w:szCs w:val="20"/>
        </w:rPr>
        <w:t xml:space="preserve"> Artículo</w:t>
      </w:r>
      <w:r w:rsidR="006966E0" w:rsidRPr="00CC03BE">
        <w:rPr>
          <w:rFonts w:asciiTheme="majorHAnsi" w:hAnsiTheme="majorHAnsi" w:cs="Times New Roman"/>
          <w:sz w:val="20"/>
          <w:szCs w:val="20"/>
        </w:rPr>
        <w:t>s</w:t>
      </w:r>
      <w:r w:rsidRPr="00CC03BE">
        <w:rPr>
          <w:rFonts w:asciiTheme="majorHAnsi" w:hAnsiTheme="majorHAnsi" w:cs="Times New Roman"/>
          <w:sz w:val="20"/>
          <w:szCs w:val="20"/>
        </w:rPr>
        <w:t xml:space="preserve"> 4.4 y 4.5, que los nuevos miembros de la Comisión cuyo ingreso sea efectivo durante los primeros seis meses de un año estarán obligados a pagar el importe completo de la contribución anual que tendrían que satisfacer si hubieran sido miembros de la Comisión al fijarse dicha contribución conforme al Convenio. Si el ingreso es efectivo durante los seis meses últimos de un año estarán obligados a pagar la mitad del importe de la contribución anual. </w:t>
      </w:r>
    </w:p>
    <w:p w14:paraId="2EEED59E" w14:textId="77777777" w:rsidR="00C54504" w:rsidRPr="00CC03BE" w:rsidRDefault="00C54504" w:rsidP="00A143E4">
      <w:pPr>
        <w:spacing w:after="0"/>
        <w:jc w:val="both"/>
        <w:rPr>
          <w:rFonts w:asciiTheme="majorHAnsi" w:hAnsiTheme="majorHAnsi" w:cs="Times New Roman"/>
          <w:sz w:val="20"/>
          <w:szCs w:val="20"/>
        </w:rPr>
      </w:pPr>
    </w:p>
    <w:p w14:paraId="1B85D702" w14:textId="34FFB466" w:rsidR="00A143E4" w:rsidRPr="00CC03BE" w:rsidRDefault="00A143E4"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Las contribuciones recibidas de nuevas </w:t>
      </w:r>
      <w:r w:rsidR="00435720" w:rsidRPr="00CC03BE">
        <w:rPr>
          <w:rFonts w:asciiTheme="majorHAnsi" w:hAnsiTheme="majorHAnsi" w:cs="Times New Roman"/>
          <w:sz w:val="20"/>
          <w:szCs w:val="20"/>
        </w:rPr>
        <w:t>Partes contratantes</w:t>
      </w:r>
      <w:r w:rsidRPr="00CC03BE">
        <w:rPr>
          <w:rFonts w:asciiTheme="majorHAnsi" w:hAnsiTheme="majorHAnsi" w:cs="Times New Roman"/>
          <w:sz w:val="20"/>
          <w:szCs w:val="20"/>
        </w:rPr>
        <w:t xml:space="preserve"> son imputadas al </w:t>
      </w:r>
      <w:r w:rsidR="00EB23E5" w:rsidRPr="00CC03BE">
        <w:rPr>
          <w:rFonts w:asciiTheme="majorHAnsi" w:hAnsiTheme="majorHAnsi" w:cs="Times New Roman"/>
          <w:sz w:val="20"/>
          <w:szCs w:val="20"/>
        </w:rPr>
        <w:t>f</w:t>
      </w:r>
      <w:r w:rsidRPr="00CC03BE">
        <w:rPr>
          <w:rFonts w:asciiTheme="majorHAnsi" w:hAnsiTheme="majorHAnsi" w:cs="Times New Roman"/>
          <w:sz w:val="20"/>
          <w:szCs w:val="20"/>
        </w:rPr>
        <w:t xml:space="preserve">ondo de operaciones. </w:t>
      </w:r>
    </w:p>
    <w:p w14:paraId="21C4D9BE" w14:textId="17E2137C" w:rsidR="008F3AB8" w:rsidRPr="00CC03BE" w:rsidRDefault="008F3AB8" w:rsidP="002B4B7B">
      <w:pPr>
        <w:spacing w:after="0" w:line="240" w:lineRule="auto"/>
        <w:jc w:val="both"/>
        <w:rPr>
          <w:rFonts w:asciiTheme="majorHAnsi" w:hAnsiTheme="majorHAnsi" w:cs="Times New Roman"/>
          <w:sz w:val="20"/>
          <w:szCs w:val="20"/>
        </w:rPr>
      </w:pPr>
    </w:p>
    <w:p w14:paraId="4ADA36D3" w14:textId="5E4D1E04" w:rsidR="00C51878" w:rsidRPr="00CC03BE" w:rsidRDefault="00C51878"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Al igual que en punto 1.a</w:t>
      </w:r>
      <w:bookmarkStart w:id="0" w:name="_Hlk118710329"/>
      <w:r w:rsidR="00354656" w:rsidRPr="00CC03BE">
        <w:rPr>
          <w:rFonts w:asciiTheme="majorHAnsi" w:hAnsiTheme="majorHAnsi" w:cs="Times New Roman"/>
          <w:sz w:val="20"/>
          <w:szCs w:val="20"/>
        </w:rPr>
        <w:t xml:space="preserve"> de este documento</w:t>
      </w:r>
      <w:bookmarkEnd w:id="0"/>
      <w:r w:rsidRPr="00CC03BE">
        <w:rPr>
          <w:rFonts w:asciiTheme="majorHAnsi" w:hAnsiTheme="majorHAnsi" w:cs="Times New Roman"/>
          <w:sz w:val="20"/>
          <w:szCs w:val="20"/>
        </w:rPr>
        <w:t xml:space="preserve">, es necesario destacar el impago de las </w:t>
      </w:r>
      <w:r w:rsidR="00435720" w:rsidRPr="00CC03BE">
        <w:rPr>
          <w:rFonts w:asciiTheme="majorHAnsi" w:hAnsiTheme="majorHAnsi" w:cs="Times New Roman"/>
          <w:sz w:val="20"/>
          <w:szCs w:val="20"/>
        </w:rPr>
        <w:t xml:space="preserve">Partes contratantes </w:t>
      </w:r>
      <w:r w:rsidRPr="00CC03BE">
        <w:rPr>
          <w:rFonts w:asciiTheme="majorHAnsi" w:hAnsiTheme="majorHAnsi" w:cs="Times New Roman"/>
          <w:sz w:val="20"/>
          <w:szCs w:val="20"/>
        </w:rPr>
        <w:t xml:space="preserve">respecto a sus obligaciones </w:t>
      </w:r>
      <w:r w:rsidR="003A116D" w:rsidRPr="00CC03BE">
        <w:rPr>
          <w:rFonts w:asciiTheme="majorHAnsi" w:hAnsiTheme="majorHAnsi" w:cs="Times New Roman"/>
          <w:sz w:val="20"/>
          <w:szCs w:val="20"/>
        </w:rPr>
        <w:t xml:space="preserve">a </w:t>
      </w:r>
      <w:r w:rsidRPr="00CC03BE">
        <w:rPr>
          <w:rFonts w:asciiTheme="majorHAnsi" w:hAnsiTheme="majorHAnsi" w:cs="Times New Roman"/>
          <w:sz w:val="20"/>
          <w:szCs w:val="20"/>
        </w:rPr>
        <w:t>presupuest</w:t>
      </w:r>
      <w:r w:rsidR="003A116D" w:rsidRPr="00CC03BE">
        <w:rPr>
          <w:rFonts w:asciiTheme="majorHAnsi" w:hAnsiTheme="majorHAnsi" w:cs="Times New Roman"/>
          <w:sz w:val="20"/>
          <w:szCs w:val="20"/>
        </w:rPr>
        <w:t>os anteriores</w:t>
      </w:r>
      <w:r w:rsidRPr="00CC03BE">
        <w:rPr>
          <w:rFonts w:asciiTheme="majorHAnsi" w:hAnsiTheme="majorHAnsi" w:cs="Times New Roman"/>
          <w:sz w:val="20"/>
          <w:szCs w:val="20"/>
        </w:rPr>
        <w:t>. A</w:t>
      </w:r>
      <w:r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8</w:t>
      </w:r>
      <w:r w:rsidR="00541032" w:rsidRPr="00CC03BE">
        <w:rPr>
          <w:rFonts w:asciiTheme="majorHAnsi" w:hAnsiTheme="majorHAnsi" w:cs="Times New Roman"/>
          <w:sz w:val="20"/>
          <w:szCs w:val="20"/>
          <w:lang w:val="es-ES_tradnl"/>
        </w:rPr>
        <w:t xml:space="preserve"> </w:t>
      </w:r>
      <w:r w:rsidR="00541032" w:rsidRPr="00CC03BE">
        <w:rPr>
          <w:rFonts w:asciiTheme="majorHAnsi" w:hAnsiTheme="majorHAnsi" w:cs="Times New Roman"/>
          <w:sz w:val="20"/>
          <w:szCs w:val="20"/>
        </w:rPr>
        <w:t xml:space="preserve">de octubre de </w:t>
      </w:r>
      <w:r w:rsidR="00541032" w:rsidRPr="00CC03BE">
        <w:rPr>
          <w:rFonts w:asciiTheme="majorHAnsi" w:hAnsiTheme="majorHAnsi" w:cs="Times New Roman"/>
          <w:sz w:val="20"/>
          <w:szCs w:val="20"/>
          <w:lang w:val="es-ES_tradnl"/>
        </w:rPr>
        <w:t>202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rPr>
        <w:t xml:space="preserve">, la deuda acumulada de las </w:t>
      </w:r>
      <w:r w:rsidR="00435720" w:rsidRPr="00CC03BE">
        <w:rPr>
          <w:rFonts w:asciiTheme="majorHAnsi" w:hAnsiTheme="majorHAnsi" w:cs="Times New Roman"/>
          <w:sz w:val="20"/>
          <w:szCs w:val="20"/>
        </w:rPr>
        <w:t xml:space="preserve">Partes contratantes </w:t>
      </w:r>
      <w:r w:rsidR="003A116D" w:rsidRPr="00CC03BE">
        <w:rPr>
          <w:rFonts w:asciiTheme="majorHAnsi" w:hAnsiTheme="majorHAnsi" w:cs="Times New Roman"/>
          <w:sz w:val="20"/>
          <w:szCs w:val="20"/>
        </w:rPr>
        <w:t xml:space="preserve">en concepto de atrasos </w:t>
      </w:r>
      <w:r w:rsidRPr="00CC03BE">
        <w:rPr>
          <w:rFonts w:asciiTheme="majorHAnsi" w:hAnsiTheme="majorHAnsi" w:cs="Times New Roman"/>
          <w:sz w:val="20"/>
          <w:szCs w:val="20"/>
        </w:rPr>
        <w:t xml:space="preserve">es de </w:t>
      </w:r>
      <w:r w:rsidR="004B258A" w:rsidRPr="00CC03BE">
        <w:rPr>
          <w:rFonts w:asciiTheme="majorHAnsi" w:hAnsiTheme="majorHAnsi" w:cs="Times New Roman"/>
          <w:sz w:val="20"/>
          <w:szCs w:val="20"/>
        </w:rPr>
        <w:t>1.460.051,76</w:t>
      </w:r>
      <w:r w:rsidRPr="00CC03BE">
        <w:rPr>
          <w:rFonts w:asciiTheme="majorHAnsi" w:hAnsiTheme="majorHAnsi" w:cs="Times New Roman"/>
          <w:sz w:val="20"/>
          <w:szCs w:val="20"/>
        </w:rPr>
        <w:t xml:space="preserve"> euros </w:t>
      </w:r>
      <w:r w:rsidRPr="00CC03BE">
        <w:rPr>
          <w:rFonts w:asciiTheme="majorHAnsi" w:hAnsiTheme="majorHAnsi" w:cs="Times New Roman"/>
          <w:sz w:val="20"/>
          <w:szCs w:val="20"/>
          <w:lang w:val="es-ES_tradnl"/>
        </w:rPr>
        <w:t>(</w:t>
      </w:r>
      <w:r w:rsidR="004B258A" w:rsidRPr="00CC03BE">
        <w:rPr>
          <w:rFonts w:asciiTheme="majorHAnsi" w:hAnsiTheme="majorHAnsi" w:cs="Times New Roman"/>
          <w:sz w:val="20"/>
          <w:szCs w:val="20"/>
          <w:lang w:val="es-ES_tradnl"/>
        </w:rPr>
        <w:t>24,34</w:t>
      </w:r>
      <w:r w:rsidR="00776ACC" w:rsidRPr="00CC03BE">
        <w:rPr>
          <w:rFonts w:asciiTheme="majorHAnsi" w:hAnsiTheme="majorHAnsi" w:cs="Times New Roman"/>
          <w:sz w:val="20"/>
          <w:szCs w:val="20"/>
        </w:rPr>
        <w:t xml:space="preserve"> </w:t>
      </w:r>
      <w:r w:rsidRPr="00CC03BE">
        <w:rPr>
          <w:rFonts w:asciiTheme="majorHAnsi" w:hAnsiTheme="majorHAnsi" w:cs="Times New Roman"/>
          <w:sz w:val="20"/>
          <w:szCs w:val="20"/>
        </w:rPr>
        <w:t>% del presupuesto de 202</w:t>
      </w:r>
      <w:r w:rsidR="004B258A" w:rsidRPr="00CC03BE">
        <w:rPr>
          <w:rFonts w:asciiTheme="majorHAnsi" w:hAnsiTheme="majorHAnsi" w:cs="Times New Roman"/>
          <w:sz w:val="20"/>
          <w:szCs w:val="20"/>
        </w:rPr>
        <w:t>5</w:t>
      </w:r>
      <w:r w:rsidRPr="00CC03BE">
        <w:rPr>
          <w:rFonts w:asciiTheme="majorHAnsi" w:hAnsiTheme="majorHAnsi" w:cs="Times New Roman"/>
          <w:sz w:val="20"/>
          <w:szCs w:val="20"/>
        </w:rPr>
        <w:t>)</w:t>
      </w:r>
      <w:r w:rsidR="00317A3A" w:rsidRPr="00CC03BE">
        <w:rPr>
          <w:rFonts w:asciiTheme="majorHAnsi" w:hAnsiTheme="majorHAnsi" w:cs="Times New Roman"/>
          <w:sz w:val="20"/>
          <w:szCs w:val="20"/>
        </w:rPr>
        <w:t xml:space="preserve">, correspondiendo </w:t>
      </w:r>
      <w:r w:rsidR="000E37F2" w:rsidRPr="00CC03BE">
        <w:rPr>
          <w:rFonts w:asciiTheme="majorHAnsi" w:hAnsiTheme="majorHAnsi" w:cs="Times New Roman"/>
          <w:sz w:val="20"/>
          <w:szCs w:val="20"/>
        </w:rPr>
        <w:t xml:space="preserve">el importe de </w:t>
      </w:r>
      <w:r w:rsidR="004B258A" w:rsidRPr="00CC03BE">
        <w:rPr>
          <w:rFonts w:asciiTheme="majorHAnsi" w:hAnsiTheme="majorHAnsi" w:cs="Times New Roman"/>
          <w:sz w:val="20"/>
          <w:szCs w:val="20"/>
        </w:rPr>
        <w:t>1.453.151,35</w:t>
      </w:r>
      <w:r w:rsidR="00317A3A" w:rsidRPr="00CC03BE">
        <w:rPr>
          <w:rFonts w:asciiTheme="majorHAnsi" w:hAnsiTheme="majorHAnsi" w:cs="Times New Roman"/>
          <w:sz w:val="20"/>
          <w:szCs w:val="20"/>
        </w:rPr>
        <w:t xml:space="preserve"> euros </w:t>
      </w:r>
      <w:r w:rsidR="000E37F2" w:rsidRPr="00CC03BE">
        <w:rPr>
          <w:rFonts w:asciiTheme="majorHAnsi" w:hAnsiTheme="majorHAnsi" w:cs="Times New Roman"/>
          <w:sz w:val="20"/>
          <w:szCs w:val="20"/>
        </w:rPr>
        <w:t>a atrasos</w:t>
      </w:r>
      <w:r w:rsidR="00E87389" w:rsidRPr="00CC03BE">
        <w:rPr>
          <w:rFonts w:asciiTheme="majorHAnsi" w:hAnsiTheme="majorHAnsi" w:cs="Times New Roman"/>
          <w:sz w:val="20"/>
          <w:szCs w:val="20"/>
        </w:rPr>
        <w:t xml:space="preserve"> y 6.900,41 euros de la deuda de la nueva Parte contratante</w:t>
      </w:r>
      <w:r w:rsidRPr="00CC03BE">
        <w:rPr>
          <w:rFonts w:asciiTheme="majorHAnsi" w:hAnsiTheme="majorHAnsi" w:cs="Times New Roman"/>
          <w:sz w:val="20"/>
          <w:szCs w:val="20"/>
        </w:rPr>
        <w:t xml:space="preserve">. </w:t>
      </w:r>
    </w:p>
    <w:p w14:paraId="1263F47C" w14:textId="1FA6FC09" w:rsidR="00CD20A6" w:rsidRPr="00CC03BE" w:rsidRDefault="00CD20A6" w:rsidP="00A143E4">
      <w:pPr>
        <w:spacing w:after="0"/>
        <w:jc w:val="both"/>
        <w:rPr>
          <w:rFonts w:asciiTheme="majorHAnsi" w:hAnsiTheme="majorHAnsi" w:cs="Times New Roman"/>
          <w:sz w:val="20"/>
          <w:szCs w:val="20"/>
        </w:rPr>
      </w:pPr>
    </w:p>
    <w:p w14:paraId="641FA794" w14:textId="77777777" w:rsidR="00CD20A6" w:rsidRPr="00CC03BE" w:rsidRDefault="00CD20A6" w:rsidP="00A143E4">
      <w:pPr>
        <w:spacing w:after="0"/>
        <w:jc w:val="both"/>
        <w:rPr>
          <w:rFonts w:asciiTheme="majorHAnsi" w:hAnsiTheme="majorHAnsi" w:cs="Times New Roman"/>
          <w:sz w:val="20"/>
          <w:szCs w:val="20"/>
        </w:rPr>
      </w:pPr>
    </w:p>
    <w:p w14:paraId="1AE905FC" w14:textId="77777777" w:rsidR="00661BB3" w:rsidRDefault="00661BB3">
      <w:pPr>
        <w:rPr>
          <w:rFonts w:asciiTheme="majorHAnsi" w:hAnsiTheme="majorHAnsi" w:cs="Times New Roman"/>
          <w:b/>
          <w:sz w:val="20"/>
          <w:szCs w:val="20"/>
        </w:rPr>
      </w:pPr>
      <w:r>
        <w:rPr>
          <w:rFonts w:asciiTheme="majorHAnsi" w:hAnsiTheme="majorHAnsi" w:cs="Times New Roman"/>
          <w:b/>
          <w:sz w:val="20"/>
          <w:szCs w:val="20"/>
        </w:rPr>
        <w:br w:type="page"/>
      </w:r>
    </w:p>
    <w:p w14:paraId="4CF15E3B" w14:textId="27A25D7B" w:rsidR="00A143E4" w:rsidRPr="00CC03BE" w:rsidRDefault="00A143E4" w:rsidP="008B173B">
      <w:pPr>
        <w:pStyle w:val="ListParagraph"/>
        <w:numPr>
          <w:ilvl w:val="0"/>
          <w:numId w:val="13"/>
        </w:numPr>
        <w:spacing w:after="0"/>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lastRenderedPageBreak/>
        <w:t xml:space="preserve">Evolución del </w:t>
      </w:r>
      <w:r w:rsidR="00EF20B9" w:rsidRPr="00CC03BE">
        <w:rPr>
          <w:rFonts w:asciiTheme="majorHAnsi" w:hAnsiTheme="majorHAnsi" w:cs="Times New Roman"/>
          <w:b/>
          <w:sz w:val="20"/>
          <w:szCs w:val="20"/>
        </w:rPr>
        <w:t>f</w:t>
      </w:r>
      <w:r w:rsidRPr="00CC03BE">
        <w:rPr>
          <w:rFonts w:asciiTheme="majorHAnsi" w:hAnsiTheme="majorHAnsi" w:cs="Times New Roman"/>
          <w:b/>
          <w:sz w:val="20"/>
          <w:szCs w:val="20"/>
        </w:rPr>
        <w:t xml:space="preserve">ondo de operaciones en los últimos </w:t>
      </w:r>
      <w:r w:rsidR="00186B3F" w:rsidRPr="00CC03BE">
        <w:rPr>
          <w:rFonts w:asciiTheme="majorHAnsi" w:hAnsiTheme="majorHAnsi" w:cs="Times New Roman"/>
          <w:b/>
          <w:sz w:val="20"/>
          <w:szCs w:val="20"/>
        </w:rPr>
        <w:t>doce</w:t>
      </w:r>
      <w:r w:rsidRPr="00CC03BE">
        <w:rPr>
          <w:rFonts w:asciiTheme="majorHAnsi" w:hAnsiTheme="majorHAnsi" w:cs="Times New Roman"/>
          <w:b/>
          <w:sz w:val="20"/>
          <w:szCs w:val="20"/>
        </w:rPr>
        <w:t xml:space="preserve"> años</w:t>
      </w:r>
    </w:p>
    <w:p w14:paraId="62B8D480" w14:textId="77777777" w:rsidR="008C7172" w:rsidRPr="00CC03BE" w:rsidRDefault="008C7172" w:rsidP="008C7172">
      <w:pPr>
        <w:pStyle w:val="ListParagraph"/>
        <w:spacing w:after="0"/>
        <w:ind w:left="360"/>
        <w:jc w:val="both"/>
        <w:rPr>
          <w:rFonts w:asciiTheme="majorHAnsi" w:hAnsiTheme="majorHAnsi" w:cs="Times New Roman"/>
          <w:b/>
          <w:sz w:val="20"/>
          <w:szCs w:val="20"/>
        </w:rPr>
      </w:pPr>
    </w:p>
    <w:p w14:paraId="215EFD46" w14:textId="69ED7778" w:rsidR="008C7172" w:rsidRPr="00CC03BE" w:rsidRDefault="00EF20B9" w:rsidP="002B4B7B">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Desde el año 2008 a 201</w:t>
      </w:r>
      <w:r w:rsidR="00ED53B6" w:rsidRPr="00CC03BE">
        <w:rPr>
          <w:rFonts w:asciiTheme="majorHAnsi" w:hAnsiTheme="majorHAnsi" w:cs="Times New Roman"/>
          <w:sz w:val="20"/>
          <w:szCs w:val="20"/>
        </w:rPr>
        <w:t>2</w:t>
      </w:r>
      <w:r w:rsidRPr="00CC03BE">
        <w:rPr>
          <w:rFonts w:asciiTheme="majorHAnsi" w:hAnsiTheme="majorHAnsi" w:cs="Times New Roman"/>
          <w:sz w:val="20"/>
          <w:szCs w:val="20"/>
        </w:rPr>
        <w:t>, el fondo de operaciones se increment</w:t>
      </w:r>
      <w:r w:rsidR="00642313" w:rsidRPr="00CC03BE">
        <w:rPr>
          <w:rFonts w:asciiTheme="majorHAnsi" w:hAnsiTheme="majorHAnsi" w:cs="Times New Roman"/>
          <w:sz w:val="20"/>
          <w:szCs w:val="20"/>
        </w:rPr>
        <w:t>ó</w:t>
      </w:r>
      <w:r w:rsidRPr="00CC03BE">
        <w:rPr>
          <w:rFonts w:asciiTheme="majorHAnsi" w:hAnsiTheme="majorHAnsi" w:cs="Times New Roman"/>
          <w:sz w:val="20"/>
          <w:szCs w:val="20"/>
        </w:rPr>
        <w:t xml:space="preserve"> considerablemente</w:t>
      </w:r>
      <w:r w:rsidR="008C7172" w:rsidRPr="00CC03BE">
        <w:rPr>
          <w:rFonts w:asciiTheme="majorHAnsi" w:hAnsiTheme="majorHAnsi" w:cs="Times New Roman"/>
          <w:sz w:val="20"/>
          <w:szCs w:val="20"/>
        </w:rPr>
        <w:t xml:space="preserve">. Por este motivo, algunas de las recomendaciones adoptadas por la Comisión con implicación financiera han sido cubiertas por el </w:t>
      </w:r>
      <w:r w:rsidRPr="00CC03BE">
        <w:rPr>
          <w:rFonts w:asciiTheme="majorHAnsi" w:hAnsiTheme="majorHAnsi" w:cs="Times New Roman"/>
          <w:sz w:val="20"/>
          <w:szCs w:val="20"/>
        </w:rPr>
        <w:t>f</w:t>
      </w:r>
      <w:r w:rsidR="008C7172" w:rsidRPr="00CC03BE">
        <w:rPr>
          <w:rFonts w:asciiTheme="majorHAnsi" w:hAnsiTheme="majorHAnsi" w:cs="Times New Roman"/>
          <w:sz w:val="20"/>
          <w:szCs w:val="20"/>
        </w:rPr>
        <w:t>ondo de operaciones (</w:t>
      </w:r>
      <w:r w:rsidR="006966E0" w:rsidRPr="00CC03BE">
        <w:rPr>
          <w:rFonts w:asciiTheme="majorHAnsi" w:hAnsiTheme="majorHAnsi" w:cs="Times New Roman"/>
          <w:sz w:val="20"/>
          <w:szCs w:val="20"/>
        </w:rPr>
        <w:t>interpretación</w:t>
      </w:r>
      <w:r w:rsidR="008C7172" w:rsidRPr="00CC03BE">
        <w:rPr>
          <w:rFonts w:asciiTheme="majorHAnsi" w:hAnsiTheme="majorHAnsi" w:cs="Times New Roman"/>
          <w:sz w:val="20"/>
          <w:szCs w:val="20"/>
        </w:rPr>
        <w:t xml:space="preserve"> simultánea al árabe durante la reunión anual de</w:t>
      </w:r>
      <w:r w:rsidR="008C7172" w:rsidRPr="00CC03BE">
        <w:rPr>
          <w:rFonts w:asciiTheme="majorHAnsi" w:hAnsiTheme="majorHAnsi" w:cs="Times New Roman"/>
          <w:sz w:val="20"/>
          <w:szCs w:val="20"/>
          <w:lang w:val="es-ES_tradnl"/>
        </w:rPr>
        <w:t xml:space="preserve"> la Comisión</w:t>
      </w:r>
      <w:r w:rsidR="008C7172" w:rsidRPr="00CC03BE">
        <w:rPr>
          <w:rFonts w:asciiTheme="majorHAnsi" w:hAnsiTheme="majorHAnsi" w:cs="Times New Roman"/>
          <w:sz w:val="20"/>
          <w:szCs w:val="20"/>
        </w:rPr>
        <w:t>), así como el aumento en los gastos relativos a las celebraciones de las reuniones de la Comisión (ordinaria e intersesiones). D</w:t>
      </w:r>
      <w:r w:rsidR="00C54504" w:rsidRPr="00CC03BE">
        <w:rPr>
          <w:rFonts w:asciiTheme="majorHAnsi" w:hAnsiTheme="majorHAnsi" w:cs="Times New Roman"/>
          <w:sz w:val="20"/>
          <w:szCs w:val="20"/>
        </w:rPr>
        <w:t xml:space="preserve">esde 2012 </w:t>
      </w:r>
      <w:r w:rsidR="008C7172" w:rsidRPr="00CC03BE">
        <w:rPr>
          <w:rFonts w:asciiTheme="majorHAnsi" w:hAnsiTheme="majorHAnsi" w:cs="Times New Roman"/>
          <w:sz w:val="20"/>
          <w:szCs w:val="20"/>
        </w:rPr>
        <w:t>se ha producido un punto de inflexión</w:t>
      </w:r>
      <w:r w:rsidR="00C54504" w:rsidRPr="00CC03BE">
        <w:rPr>
          <w:rFonts w:asciiTheme="majorHAnsi" w:hAnsiTheme="majorHAnsi" w:cs="Times New Roman"/>
          <w:sz w:val="20"/>
          <w:szCs w:val="20"/>
        </w:rPr>
        <w:t xml:space="preserve">, </w:t>
      </w:r>
      <w:r w:rsidR="008C7172" w:rsidRPr="00CC03BE">
        <w:rPr>
          <w:rFonts w:asciiTheme="majorHAnsi" w:hAnsiTheme="majorHAnsi" w:cs="Times New Roman"/>
          <w:sz w:val="20"/>
          <w:szCs w:val="20"/>
        </w:rPr>
        <w:t xml:space="preserve">ya que la utilización de dicho </w:t>
      </w:r>
      <w:r w:rsidR="00B1742C" w:rsidRPr="00CC03BE">
        <w:rPr>
          <w:rFonts w:asciiTheme="majorHAnsi" w:hAnsiTheme="majorHAnsi" w:cs="Times New Roman"/>
          <w:sz w:val="20"/>
          <w:szCs w:val="20"/>
        </w:rPr>
        <w:t>f</w:t>
      </w:r>
      <w:r w:rsidR="00C54504" w:rsidRPr="00CC03BE">
        <w:rPr>
          <w:rFonts w:asciiTheme="majorHAnsi" w:hAnsiTheme="majorHAnsi" w:cs="Times New Roman"/>
          <w:sz w:val="20"/>
          <w:szCs w:val="20"/>
        </w:rPr>
        <w:t xml:space="preserve">ondo </w:t>
      </w:r>
      <w:r w:rsidR="008C7172" w:rsidRPr="00CC03BE">
        <w:rPr>
          <w:rFonts w:asciiTheme="majorHAnsi" w:hAnsiTheme="majorHAnsi" w:cs="Times New Roman"/>
          <w:sz w:val="20"/>
          <w:szCs w:val="20"/>
        </w:rPr>
        <w:t>ha sido cada vez mayor, lo que ha producido una reducción significativa</w:t>
      </w:r>
      <w:r w:rsidR="00C54504" w:rsidRPr="00CC03BE">
        <w:rPr>
          <w:rFonts w:asciiTheme="majorHAnsi" w:hAnsiTheme="majorHAnsi" w:cs="Times New Roman"/>
          <w:sz w:val="20"/>
          <w:szCs w:val="20"/>
        </w:rPr>
        <w:t>, tal y como</w:t>
      </w:r>
      <w:r w:rsidR="008C7172" w:rsidRPr="00CC03BE">
        <w:rPr>
          <w:rFonts w:asciiTheme="majorHAnsi" w:hAnsiTheme="majorHAnsi" w:cs="Times New Roman"/>
          <w:sz w:val="20"/>
          <w:szCs w:val="20"/>
        </w:rPr>
        <w:t xml:space="preserve"> se refleja en la siguiente tabla.</w:t>
      </w:r>
    </w:p>
    <w:p w14:paraId="3DEE746A" w14:textId="77777777" w:rsidR="0092676D" w:rsidRPr="00CC03BE" w:rsidRDefault="0092676D" w:rsidP="002B4B7B">
      <w:pPr>
        <w:spacing w:after="0" w:line="240" w:lineRule="auto"/>
        <w:jc w:val="both"/>
        <w:rPr>
          <w:rFonts w:asciiTheme="majorHAnsi" w:hAnsiTheme="majorHAnsi" w:cs="Times New Roman"/>
          <w:sz w:val="20"/>
          <w:szCs w:val="20"/>
        </w:rPr>
      </w:pPr>
    </w:p>
    <w:tbl>
      <w:tblPr>
        <w:tblW w:w="5940" w:type="dxa"/>
        <w:jc w:val="center"/>
        <w:tblCellMar>
          <w:left w:w="70" w:type="dxa"/>
          <w:right w:w="70" w:type="dxa"/>
        </w:tblCellMar>
        <w:tblLook w:val="04A0" w:firstRow="1" w:lastRow="0" w:firstColumn="1" w:lastColumn="0" w:noHBand="0" w:noVBand="1"/>
      </w:tblPr>
      <w:tblGrid>
        <w:gridCol w:w="1200"/>
        <w:gridCol w:w="1580"/>
        <w:gridCol w:w="1580"/>
        <w:gridCol w:w="1580"/>
      </w:tblGrid>
      <w:tr w:rsidR="008C7172" w:rsidRPr="00CC03BE" w14:paraId="4F44DDE3" w14:textId="77777777" w:rsidTr="006966E0">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CC03BE" w:rsidRDefault="008C7172" w:rsidP="00E117B4">
            <w:pPr>
              <w:spacing w:after="0" w:line="240" w:lineRule="auto"/>
              <w:jc w:val="both"/>
              <w:rPr>
                <w:rFonts w:asciiTheme="majorHAnsi" w:eastAsia="Times New Roman" w:hAnsiTheme="majorHAnsi" w:cs="Times New Roman"/>
                <w: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Presupuesto</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F. Operaciones</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CC03BE" w:rsidRDefault="008C7172" w:rsidP="00E117B4">
            <w:pPr>
              <w:spacing w:after="0" w:line="240" w:lineRule="auto"/>
              <w:jc w:val="center"/>
              <w:rPr>
                <w:rFonts w:asciiTheme="majorHAnsi" w:eastAsia="Times New Roman" w:hAnsiTheme="majorHAnsi" w:cs="Times New Roman"/>
                <w:bCs/>
                <w:i/>
                <w:color w:val="000000"/>
                <w:sz w:val="20"/>
                <w:szCs w:val="20"/>
              </w:rPr>
            </w:pPr>
            <w:r w:rsidRPr="00CC03BE">
              <w:rPr>
                <w:rFonts w:asciiTheme="majorHAnsi" w:eastAsia="Times New Roman" w:hAnsiTheme="majorHAnsi" w:cs="Times New Roman"/>
                <w:bCs/>
                <w:i/>
                <w:color w:val="000000"/>
                <w:sz w:val="20"/>
                <w:szCs w:val="20"/>
              </w:rPr>
              <w:t>%</w:t>
            </w:r>
          </w:p>
        </w:tc>
      </w:tr>
      <w:tr w:rsidR="00186B3F" w:rsidRPr="00CC03BE" w14:paraId="4FF1BB29" w14:textId="77777777" w:rsidTr="007B0F8F">
        <w:trPr>
          <w:trHeight w:val="300"/>
          <w:jc w:val="center"/>
        </w:trPr>
        <w:tc>
          <w:tcPr>
            <w:tcW w:w="1200" w:type="dxa"/>
            <w:tcBorders>
              <w:top w:val="nil"/>
              <w:left w:val="single" w:sz="4" w:space="0" w:color="auto"/>
              <w:bottom w:val="single" w:sz="4" w:space="0" w:color="auto"/>
              <w:right w:val="single" w:sz="4" w:space="0" w:color="auto"/>
            </w:tcBorders>
            <w:noWrap/>
            <w:vAlign w:val="center"/>
          </w:tcPr>
          <w:p w14:paraId="6F006CAD" w14:textId="1D8205C4" w:rsidR="00186B3F" w:rsidRPr="00CC03BE" w:rsidRDefault="00186B3F" w:rsidP="00186B3F">
            <w:pPr>
              <w:spacing w:after="0" w:line="240" w:lineRule="auto"/>
              <w:jc w:val="center"/>
              <w:rPr>
                <w:rFonts w:asciiTheme="majorHAnsi" w:eastAsia="Times New Roman" w:hAnsiTheme="majorHAnsi" w:cs="Times New Roman"/>
                <w:color w:val="000000"/>
                <w:sz w:val="20"/>
                <w:szCs w:val="20"/>
              </w:rPr>
            </w:pPr>
            <w:r w:rsidRPr="00CC03BE">
              <w:rPr>
                <w:rFonts w:asciiTheme="majorHAnsi" w:hAnsiTheme="majorHAnsi"/>
                <w:color w:val="000000"/>
                <w:sz w:val="20"/>
              </w:rPr>
              <w:t>2013</w:t>
            </w:r>
          </w:p>
        </w:tc>
        <w:tc>
          <w:tcPr>
            <w:tcW w:w="1580" w:type="dxa"/>
            <w:tcBorders>
              <w:top w:val="nil"/>
              <w:left w:val="nil"/>
              <w:bottom w:val="single" w:sz="4" w:space="0" w:color="auto"/>
              <w:right w:val="single" w:sz="4" w:space="0" w:color="auto"/>
            </w:tcBorders>
            <w:noWrap/>
            <w:vAlign w:val="center"/>
          </w:tcPr>
          <w:p w14:paraId="7E561FAE" w14:textId="1A8AA998"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3.025.599,85</w:t>
            </w:r>
          </w:p>
        </w:tc>
        <w:tc>
          <w:tcPr>
            <w:tcW w:w="1580" w:type="dxa"/>
            <w:tcBorders>
              <w:top w:val="nil"/>
              <w:left w:val="nil"/>
              <w:bottom w:val="single" w:sz="4" w:space="0" w:color="auto"/>
              <w:right w:val="single" w:sz="4" w:space="0" w:color="auto"/>
            </w:tcBorders>
            <w:noWrap/>
            <w:vAlign w:val="center"/>
          </w:tcPr>
          <w:p w14:paraId="490A59B6" w14:textId="1259F176"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3.570.895,20</w:t>
            </w:r>
          </w:p>
        </w:tc>
        <w:tc>
          <w:tcPr>
            <w:tcW w:w="1580" w:type="dxa"/>
            <w:tcBorders>
              <w:top w:val="nil"/>
              <w:left w:val="nil"/>
              <w:bottom w:val="single" w:sz="4" w:space="0" w:color="auto"/>
              <w:right w:val="single" w:sz="4" w:space="0" w:color="auto"/>
            </w:tcBorders>
            <w:noWrap/>
            <w:vAlign w:val="center"/>
          </w:tcPr>
          <w:p w14:paraId="2D206C91" w14:textId="3A84AF0A" w:rsidR="00186B3F" w:rsidRPr="00CC03BE" w:rsidRDefault="00186B3F" w:rsidP="00186B3F">
            <w:pPr>
              <w:spacing w:after="0" w:line="240" w:lineRule="auto"/>
              <w:jc w:val="right"/>
              <w:rPr>
                <w:rFonts w:asciiTheme="majorHAnsi" w:eastAsia="Times New Roman" w:hAnsiTheme="majorHAnsi" w:cs="Times New Roman"/>
                <w:color w:val="000000"/>
                <w:sz w:val="20"/>
                <w:szCs w:val="20"/>
              </w:rPr>
            </w:pPr>
            <w:r w:rsidRPr="00CC03BE">
              <w:rPr>
                <w:rFonts w:asciiTheme="majorHAnsi" w:hAnsiTheme="majorHAnsi"/>
                <w:color w:val="000000"/>
                <w:sz w:val="20"/>
              </w:rPr>
              <w:t>118,02 %</w:t>
            </w:r>
          </w:p>
        </w:tc>
      </w:tr>
      <w:tr w:rsidR="008C7172" w:rsidRPr="00CC03BE" w14:paraId="1FAB97DC" w14:textId="77777777" w:rsidTr="00E117B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4ABF02F" w14:textId="77777777" w:rsidR="008C7172" w:rsidRPr="00CC03BE" w:rsidRDefault="008C7172" w:rsidP="00E117B4">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2014</w:t>
            </w:r>
          </w:p>
        </w:tc>
        <w:tc>
          <w:tcPr>
            <w:tcW w:w="1580" w:type="dxa"/>
            <w:tcBorders>
              <w:top w:val="nil"/>
              <w:left w:val="nil"/>
              <w:bottom w:val="single" w:sz="4" w:space="0" w:color="auto"/>
              <w:right w:val="single" w:sz="4" w:space="0" w:color="auto"/>
            </w:tcBorders>
            <w:noWrap/>
            <w:vAlign w:val="bottom"/>
            <w:hideMark/>
          </w:tcPr>
          <w:p w14:paraId="632A2219"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3.122.635,17</w:t>
            </w:r>
          </w:p>
        </w:tc>
        <w:tc>
          <w:tcPr>
            <w:tcW w:w="1580" w:type="dxa"/>
            <w:tcBorders>
              <w:top w:val="nil"/>
              <w:left w:val="nil"/>
              <w:bottom w:val="single" w:sz="4" w:space="0" w:color="auto"/>
              <w:right w:val="single" w:sz="4" w:space="0" w:color="auto"/>
            </w:tcBorders>
            <w:noWrap/>
            <w:vAlign w:val="bottom"/>
            <w:hideMark/>
          </w:tcPr>
          <w:p w14:paraId="626B0FEB"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2.700.041,34</w:t>
            </w:r>
          </w:p>
        </w:tc>
        <w:tc>
          <w:tcPr>
            <w:tcW w:w="1580" w:type="dxa"/>
            <w:tcBorders>
              <w:top w:val="nil"/>
              <w:left w:val="nil"/>
              <w:bottom w:val="single" w:sz="4" w:space="0" w:color="auto"/>
              <w:right w:val="single" w:sz="4" w:space="0" w:color="auto"/>
            </w:tcBorders>
            <w:noWrap/>
            <w:vAlign w:val="bottom"/>
            <w:hideMark/>
          </w:tcPr>
          <w:p w14:paraId="404E875B" w14:textId="77777777" w:rsidR="008C7172" w:rsidRPr="00CC03BE" w:rsidRDefault="008C7172"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86,47</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C131A0" w:rsidRPr="00CC03BE" w14:paraId="286237F4" w14:textId="77777777" w:rsidTr="00883039">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4ED98AF" w14:textId="77777777" w:rsidR="00C131A0" w:rsidRPr="00CC03BE" w:rsidRDefault="00C131A0" w:rsidP="00E117B4">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2015</w:t>
            </w:r>
          </w:p>
        </w:tc>
        <w:tc>
          <w:tcPr>
            <w:tcW w:w="1580" w:type="dxa"/>
            <w:tcBorders>
              <w:top w:val="nil"/>
              <w:left w:val="nil"/>
              <w:bottom w:val="single" w:sz="4" w:space="0" w:color="auto"/>
              <w:right w:val="single" w:sz="4" w:space="0" w:color="auto"/>
            </w:tcBorders>
            <w:noWrap/>
            <w:vAlign w:val="bottom"/>
            <w:hideMark/>
          </w:tcPr>
          <w:p w14:paraId="7A07292B"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3.199.887,87</w:t>
            </w:r>
          </w:p>
        </w:tc>
        <w:tc>
          <w:tcPr>
            <w:tcW w:w="1580" w:type="dxa"/>
            <w:tcBorders>
              <w:top w:val="nil"/>
              <w:left w:val="nil"/>
              <w:bottom w:val="single" w:sz="4" w:space="0" w:color="auto"/>
              <w:right w:val="single" w:sz="4" w:space="0" w:color="auto"/>
            </w:tcBorders>
            <w:noWrap/>
            <w:vAlign w:val="bottom"/>
          </w:tcPr>
          <w:p w14:paraId="7FC34E47"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1.823.382,55</w:t>
            </w:r>
          </w:p>
        </w:tc>
        <w:tc>
          <w:tcPr>
            <w:tcW w:w="1580" w:type="dxa"/>
            <w:tcBorders>
              <w:top w:val="nil"/>
              <w:left w:val="nil"/>
              <w:bottom w:val="single" w:sz="4" w:space="0" w:color="auto"/>
              <w:right w:val="single" w:sz="4" w:space="0" w:color="auto"/>
            </w:tcBorders>
            <w:noWrap/>
            <w:vAlign w:val="bottom"/>
            <w:hideMark/>
          </w:tcPr>
          <w:p w14:paraId="029EFD25" w14:textId="77777777" w:rsidR="00C131A0" w:rsidRPr="00CC03BE" w:rsidRDefault="00C131A0" w:rsidP="00C131A0">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56,98</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C131A0" w:rsidRPr="00CC03BE" w14:paraId="1C4599CB" w14:textId="77777777" w:rsidTr="00C131A0">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B09585E" w14:textId="77777777" w:rsidR="00C131A0" w:rsidRPr="00CC03BE" w:rsidRDefault="00C131A0" w:rsidP="00C131A0">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2016</w:t>
            </w:r>
          </w:p>
        </w:tc>
        <w:tc>
          <w:tcPr>
            <w:tcW w:w="1580" w:type="dxa"/>
            <w:tcBorders>
              <w:top w:val="nil"/>
              <w:left w:val="nil"/>
              <w:bottom w:val="single" w:sz="4" w:space="0" w:color="auto"/>
              <w:right w:val="single" w:sz="4" w:space="0" w:color="auto"/>
            </w:tcBorders>
            <w:noWrap/>
            <w:vAlign w:val="bottom"/>
            <w:hideMark/>
          </w:tcPr>
          <w:p w14:paraId="108FFEFE"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3.392.031,52</w:t>
            </w:r>
          </w:p>
        </w:tc>
        <w:tc>
          <w:tcPr>
            <w:tcW w:w="1580" w:type="dxa"/>
            <w:tcBorders>
              <w:top w:val="nil"/>
              <w:left w:val="nil"/>
              <w:bottom w:val="single" w:sz="4" w:space="0" w:color="auto"/>
              <w:right w:val="single" w:sz="4" w:space="0" w:color="auto"/>
            </w:tcBorders>
            <w:noWrap/>
            <w:vAlign w:val="bottom"/>
          </w:tcPr>
          <w:p w14:paraId="7F361EE0" w14:textId="77777777" w:rsidR="00C131A0" w:rsidRPr="00CC03BE" w:rsidRDefault="00C131A0" w:rsidP="00E117B4">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843.923,95</w:t>
            </w:r>
          </w:p>
        </w:tc>
        <w:tc>
          <w:tcPr>
            <w:tcW w:w="1580" w:type="dxa"/>
            <w:tcBorders>
              <w:top w:val="nil"/>
              <w:left w:val="nil"/>
              <w:bottom w:val="single" w:sz="4" w:space="0" w:color="auto"/>
              <w:right w:val="single" w:sz="4" w:space="0" w:color="auto"/>
            </w:tcBorders>
            <w:noWrap/>
            <w:vAlign w:val="bottom"/>
            <w:hideMark/>
          </w:tcPr>
          <w:p w14:paraId="5A4B77F3" w14:textId="77777777" w:rsidR="00C131A0" w:rsidRPr="00CC03BE" w:rsidRDefault="00C131A0" w:rsidP="00C131A0">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24,88</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B1742C" w:rsidRPr="00CC03BE" w14:paraId="45A5B68C" w14:textId="77777777" w:rsidTr="003303CE">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529C588" w14:textId="77777777" w:rsidR="00B1742C" w:rsidRPr="00CC03BE" w:rsidRDefault="00B1742C" w:rsidP="00B1742C">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2017</w:t>
            </w:r>
          </w:p>
        </w:tc>
        <w:tc>
          <w:tcPr>
            <w:tcW w:w="1580" w:type="dxa"/>
            <w:tcBorders>
              <w:top w:val="nil"/>
              <w:left w:val="nil"/>
              <w:bottom w:val="single" w:sz="4" w:space="0" w:color="auto"/>
              <w:right w:val="single" w:sz="4" w:space="0" w:color="auto"/>
            </w:tcBorders>
            <w:noWrap/>
            <w:vAlign w:val="bottom"/>
            <w:hideMark/>
          </w:tcPr>
          <w:p w14:paraId="1E8BC282" w14:textId="77777777" w:rsidR="00B1742C" w:rsidRPr="00CC03BE" w:rsidRDefault="00B1742C"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3.635.672,15</w:t>
            </w:r>
          </w:p>
        </w:tc>
        <w:tc>
          <w:tcPr>
            <w:tcW w:w="1580" w:type="dxa"/>
            <w:tcBorders>
              <w:top w:val="nil"/>
              <w:left w:val="nil"/>
              <w:bottom w:val="single" w:sz="4" w:space="0" w:color="auto"/>
              <w:right w:val="single" w:sz="4" w:space="0" w:color="auto"/>
            </w:tcBorders>
            <w:noWrap/>
            <w:vAlign w:val="bottom"/>
          </w:tcPr>
          <w:p w14:paraId="72B1AF5E" w14:textId="77777777" w:rsidR="00B1742C" w:rsidRPr="00CC03BE" w:rsidRDefault="00B1742C"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701.586,18</w:t>
            </w:r>
          </w:p>
        </w:tc>
        <w:tc>
          <w:tcPr>
            <w:tcW w:w="1580" w:type="dxa"/>
            <w:tcBorders>
              <w:top w:val="nil"/>
              <w:left w:val="nil"/>
              <w:bottom w:val="single" w:sz="4" w:space="0" w:color="auto"/>
              <w:right w:val="single" w:sz="4" w:space="0" w:color="auto"/>
            </w:tcBorders>
            <w:noWrap/>
            <w:vAlign w:val="bottom"/>
            <w:hideMark/>
          </w:tcPr>
          <w:p w14:paraId="25A1A78E" w14:textId="77777777" w:rsidR="00B1742C" w:rsidRPr="00CC03BE" w:rsidRDefault="00B1742C" w:rsidP="00B1742C">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19,30</w:t>
            </w:r>
            <w:r w:rsidR="00642313" w:rsidRPr="00CC03BE">
              <w:rPr>
                <w:rFonts w:asciiTheme="majorHAnsi" w:eastAsia="Times New Roman" w:hAnsiTheme="majorHAnsi" w:cs="Times New Roman"/>
                <w:color w:val="000000"/>
                <w:sz w:val="20"/>
                <w:szCs w:val="20"/>
              </w:rPr>
              <w:t xml:space="preserve"> </w:t>
            </w:r>
            <w:r w:rsidRPr="00CC03BE">
              <w:rPr>
                <w:rFonts w:asciiTheme="majorHAnsi" w:eastAsia="Times New Roman" w:hAnsiTheme="majorHAnsi" w:cs="Times New Roman"/>
                <w:color w:val="000000"/>
                <w:sz w:val="20"/>
                <w:szCs w:val="20"/>
              </w:rPr>
              <w:t>%</w:t>
            </w:r>
          </w:p>
        </w:tc>
      </w:tr>
      <w:tr w:rsidR="00AF7AAF" w:rsidRPr="00CC03BE" w14:paraId="6B3F0B1F" w14:textId="77777777" w:rsidTr="003303CE">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BE876EE" w14:textId="0AFDEF99" w:rsidR="00AF7AAF" w:rsidRPr="00CC03BE" w:rsidRDefault="00AF7AAF" w:rsidP="00B1742C">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2018</w:t>
            </w:r>
          </w:p>
        </w:tc>
        <w:tc>
          <w:tcPr>
            <w:tcW w:w="1580" w:type="dxa"/>
            <w:tcBorders>
              <w:top w:val="single" w:sz="4" w:space="0" w:color="auto"/>
              <w:left w:val="nil"/>
              <w:bottom w:val="single" w:sz="4" w:space="0" w:color="auto"/>
              <w:right w:val="single" w:sz="4" w:space="0" w:color="auto"/>
            </w:tcBorders>
            <w:noWrap/>
            <w:vAlign w:val="bottom"/>
          </w:tcPr>
          <w:p w14:paraId="302760CD" w14:textId="7BDE0E16" w:rsidR="00AF7AAF" w:rsidRPr="00CC03BE" w:rsidRDefault="00AF7AAF"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3.817.573,51</w:t>
            </w:r>
          </w:p>
        </w:tc>
        <w:tc>
          <w:tcPr>
            <w:tcW w:w="1580" w:type="dxa"/>
            <w:tcBorders>
              <w:top w:val="single" w:sz="4" w:space="0" w:color="auto"/>
              <w:left w:val="nil"/>
              <w:bottom w:val="single" w:sz="4" w:space="0" w:color="auto"/>
              <w:right w:val="single" w:sz="4" w:space="0" w:color="auto"/>
            </w:tcBorders>
            <w:noWrap/>
            <w:vAlign w:val="bottom"/>
          </w:tcPr>
          <w:p w14:paraId="71B9783A" w14:textId="15A75857" w:rsidR="00AF7AAF" w:rsidRPr="00CC03BE" w:rsidRDefault="00AF7AAF" w:rsidP="00981E91">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697.504,77</w:t>
            </w:r>
          </w:p>
        </w:tc>
        <w:tc>
          <w:tcPr>
            <w:tcW w:w="1580" w:type="dxa"/>
            <w:tcBorders>
              <w:top w:val="single" w:sz="4" w:space="0" w:color="auto"/>
              <w:left w:val="nil"/>
              <w:bottom w:val="single" w:sz="4" w:space="0" w:color="auto"/>
              <w:right w:val="single" w:sz="4" w:space="0" w:color="auto"/>
            </w:tcBorders>
            <w:noWrap/>
            <w:vAlign w:val="bottom"/>
          </w:tcPr>
          <w:p w14:paraId="73464E84" w14:textId="7F15E573" w:rsidR="00AF7AAF" w:rsidRPr="00CC03BE" w:rsidRDefault="00576990" w:rsidP="00B1742C">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18,27 %</w:t>
            </w:r>
          </w:p>
        </w:tc>
      </w:tr>
      <w:tr w:rsidR="00BF5588" w:rsidRPr="00CC03BE" w14:paraId="5DDD247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31C0A2C0" w14:textId="24959D8B" w:rsidR="00BF5588" w:rsidRPr="00CC03BE" w:rsidRDefault="00BF5588">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2019</w:t>
            </w:r>
          </w:p>
        </w:tc>
        <w:tc>
          <w:tcPr>
            <w:tcW w:w="1580" w:type="dxa"/>
            <w:tcBorders>
              <w:top w:val="single" w:sz="4" w:space="0" w:color="auto"/>
              <w:left w:val="nil"/>
              <w:bottom w:val="single" w:sz="4" w:space="0" w:color="auto"/>
              <w:right w:val="single" w:sz="4" w:space="0" w:color="auto"/>
            </w:tcBorders>
            <w:noWrap/>
            <w:vAlign w:val="bottom"/>
          </w:tcPr>
          <w:p w14:paraId="46306249" w14:textId="1605D398"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4.008.554,98</w:t>
            </w:r>
          </w:p>
        </w:tc>
        <w:tc>
          <w:tcPr>
            <w:tcW w:w="1580" w:type="dxa"/>
            <w:tcBorders>
              <w:top w:val="single" w:sz="4" w:space="0" w:color="auto"/>
              <w:left w:val="nil"/>
              <w:bottom w:val="single" w:sz="4" w:space="0" w:color="auto"/>
              <w:right w:val="single" w:sz="4" w:space="0" w:color="auto"/>
            </w:tcBorders>
            <w:noWrap/>
            <w:vAlign w:val="bottom"/>
          </w:tcPr>
          <w:p w14:paraId="49376FBF" w14:textId="117286A1"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578.133,92</w:t>
            </w:r>
          </w:p>
        </w:tc>
        <w:tc>
          <w:tcPr>
            <w:tcW w:w="1580" w:type="dxa"/>
            <w:tcBorders>
              <w:top w:val="single" w:sz="4" w:space="0" w:color="auto"/>
              <w:left w:val="nil"/>
              <w:bottom w:val="single" w:sz="4" w:space="0" w:color="auto"/>
              <w:right w:val="single" w:sz="4" w:space="0" w:color="auto"/>
            </w:tcBorders>
            <w:noWrap/>
            <w:vAlign w:val="bottom"/>
          </w:tcPr>
          <w:p w14:paraId="6EC6DB6F" w14:textId="7566DD91" w:rsidR="00BF5588" w:rsidRPr="00CC03BE" w:rsidRDefault="00BF5588">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14,42 %</w:t>
            </w:r>
          </w:p>
        </w:tc>
      </w:tr>
      <w:tr w:rsidR="00D16CCD" w:rsidRPr="00CC03BE" w14:paraId="4A2C5AA4"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B6E1830" w14:textId="7AAD425A" w:rsidR="00D16CCD" w:rsidRPr="00CC03BE" w:rsidRDefault="00D16CCD" w:rsidP="00D16CCD">
            <w:pPr>
              <w:spacing w:after="0" w:line="240" w:lineRule="auto"/>
              <w:jc w:val="center"/>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2020</w:t>
            </w:r>
          </w:p>
        </w:tc>
        <w:tc>
          <w:tcPr>
            <w:tcW w:w="1580" w:type="dxa"/>
            <w:tcBorders>
              <w:top w:val="single" w:sz="4" w:space="0" w:color="auto"/>
              <w:left w:val="nil"/>
              <w:bottom w:val="single" w:sz="4" w:space="0" w:color="auto"/>
              <w:right w:val="single" w:sz="4" w:space="0" w:color="auto"/>
            </w:tcBorders>
            <w:noWrap/>
            <w:vAlign w:val="bottom"/>
          </w:tcPr>
          <w:p w14:paraId="39A2B9E9" w14:textId="72B411D8"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4.222.708,17</w:t>
            </w:r>
          </w:p>
        </w:tc>
        <w:tc>
          <w:tcPr>
            <w:tcW w:w="1580" w:type="dxa"/>
            <w:tcBorders>
              <w:top w:val="single" w:sz="4" w:space="0" w:color="auto"/>
              <w:left w:val="nil"/>
              <w:bottom w:val="single" w:sz="4" w:space="0" w:color="auto"/>
              <w:right w:val="single" w:sz="4" w:space="0" w:color="auto"/>
            </w:tcBorders>
            <w:noWrap/>
            <w:vAlign w:val="bottom"/>
          </w:tcPr>
          <w:p w14:paraId="32C2FCA2" w14:textId="24946C45"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891.080,91</w:t>
            </w:r>
          </w:p>
        </w:tc>
        <w:tc>
          <w:tcPr>
            <w:tcW w:w="1580" w:type="dxa"/>
            <w:tcBorders>
              <w:top w:val="single" w:sz="4" w:space="0" w:color="auto"/>
              <w:left w:val="nil"/>
              <w:bottom w:val="single" w:sz="4" w:space="0" w:color="auto"/>
              <w:right w:val="single" w:sz="4" w:space="0" w:color="auto"/>
            </w:tcBorders>
            <w:noWrap/>
            <w:vAlign w:val="bottom"/>
          </w:tcPr>
          <w:p w14:paraId="7D629649" w14:textId="4575D7BD"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21,10 %</w:t>
            </w:r>
          </w:p>
        </w:tc>
      </w:tr>
      <w:tr w:rsidR="00D16CCD" w:rsidRPr="00CC03BE" w14:paraId="201F1EB8"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29E239E" w14:textId="1607EF18" w:rsidR="00D16CCD" w:rsidRPr="00CC03BE" w:rsidRDefault="00D16CCD">
            <w:pPr>
              <w:spacing w:after="0" w:line="240" w:lineRule="auto"/>
              <w:jc w:val="center"/>
              <w:rPr>
                <w:rFonts w:asciiTheme="majorHAnsi" w:eastAsia="Times New Roman" w:hAnsiTheme="majorHAnsi" w:cs="Times New Roman"/>
                <w:color w:val="000000"/>
                <w:sz w:val="20"/>
                <w:szCs w:val="20"/>
              </w:rPr>
            </w:pPr>
            <w:bookmarkStart w:id="1" w:name="_Hlk148953202"/>
            <w:r w:rsidRPr="00CC03BE">
              <w:rPr>
                <w:rFonts w:asciiTheme="majorHAnsi" w:eastAsia="Times New Roman" w:hAnsiTheme="majorHAnsi" w:cs="Times New Roman"/>
                <w:color w:val="000000"/>
                <w:sz w:val="20"/>
                <w:szCs w:val="20"/>
              </w:rPr>
              <w:t>2021</w:t>
            </w:r>
          </w:p>
        </w:tc>
        <w:tc>
          <w:tcPr>
            <w:tcW w:w="1580" w:type="dxa"/>
            <w:tcBorders>
              <w:top w:val="single" w:sz="4" w:space="0" w:color="auto"/>
              <w:left w:val="nil"/>
              <w:bottom w:val="single" w:sz="4" w:space="0" w:color="auto"/>
              <w:right w:val="single" w:sz="4" w:space="0" w:color="auto"/>
            </w:tcBorders>
            <w:noWrap/>
            <w:vAlign w:val="bottom"/>
          </w:tcPr>
          <w:p w14:paraId="27C9164D" w14:textId="13B2CB1E"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4.489.286,68</w:t>
            </w:r>
          </w:p>
        </w:tc>
        <w:tc>
          <w:tcPr>
            <w:tcW w:w="1580" w:type="dxa"/>
            <w:tcBorders>
              <w:top w:val="single" w:sz="4" w:space="0" w:color="auto"/>
              <w:left w:val="nil"/>
              <w:bottom w:val="single" w:sz="4" w:space="0" w:color="auto"/>
              <w:right w:val="single" w:sz="4" w:space="0" w:color="auto"/>
            </w:tcBorders>
            <w:noWrap/>
            <w:vAlign w:val="bottom"/>
          </w:tcPr>
          <w:p w14:paraId="686960C3" w14:textId="2C11C14A"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2.039.057,97</w:t>
            </w:r>
          </w:p>
        </w:tc>
        <w:tc>
          <w:tcPr>
            <w:tcW w:w="1580" w:type="dxa"/>
            <w:tcBorders>
              <w:top w:val="single" w:sz="4" w:space="0" w:color="auto"/>
              <w:left w:val="nil"/>
              <w:bottom w:val="single" w:sz="4" w:space="0" w:color="auto"/>
              <w:right w:val="single" w:sz="4" w:space="0" w:color="auto"/>
            </w:tcBorders>
            <w:noWrap/>
            <w:vAlign w:val="bottom"/>
          </w:tcPr>
          <w:p w14:paraId="2DB1FC0C" w14:textId="3E250CC9" w:rsidR="00D16CCD" w:rsidRPr="00CC03BE" w:rsidRDefault="00D16CCD">
            <w:pPr>
              <w:spacing w:after="0" w:line="240" w:lineRule="auto"/>
              <w:jc w:val="right"/>
              <w:rPr>
                <w:rFonts w:asciiTheme="majorHAnsi" w:eastAsia="Times New Roman" w:hAnsiTheme="majorHAnsi" w:cs="Times New Roman"/>
                <w:color w:val="000000"/>
                <w:sz w:val="20"/>
                <w:szCs w:val="20"/>
              </w:rPr>
            </w:pPr>
            <w:r w:rsidRPr="00CC03BE">
              <w:rPr>
                <w:rFonts w:asciiTheme="majorHAnsi" w:eastAsia="Times New Roman" w:hAnsiTheme="majorHAnsi" w:cs="Times New Roman"/>
                <w:color w:val="000000"/>
                <w:sz w:val="20"/>
                <w:szCs w:val="20"/>
              </w:rPr>
              <w:t>45,42 %</w:t>
            </w:r>
          </w:p>
        </w:tc>
      </w:tr>
      <w:tr w:rsidR="00F830BF" w:rsidRPr="00CC03BE" w14:paraId="2FD0E50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E86251D" w14:textId="43EDDAB8" w:rsidR="00F830BF" w:rsidRPr="00CC03BE" w:rsidRDefault="00F830BF" w:rsidP="00FB0DE0">
            <w:pPr>
              <w:spacing w:after="0" w:line="240" w:lineRule="auto"/>
              <w:jc w:val="center"/>
              <w:rPr>
                <w:rFonts w:asciiTheme="majorHAnsi" w:hAnsiTheme="majorHAnsi" w:cs="Times New Roman"/>
                <w:sz w:val="20"/>
                <w:szCs w:val="20"/>
                <w:lang w:val="es-ES_tradnl"/>
              </w:rPr>
            </w:pPr>
            <w:bookmarkStart w:id="2" w:name="_Hlk180663323"/>
            <w:r w:rsidRPr="00CC03BE">
              <w:rPr>
                <w:rFonts w:asciiTheme="majorHAnsi" w:hAnsiTheme="majorHAnsi" w:cs="Times New Roman"/>
                <w:sz w:val="20"/>
                <w:szCs w:val="20"/>
                <w:lang w:val="es-ES_tradnl"/>
              </w:rPr>
              <w:t>2022</w:t>
            </w:r>
          </w:p>
        </w:tc>
        <w:tc>
          <w:tcPr>
            <w:tcW w:w="1580" w:type="dxa"/>
            <w:tcBorders>
              <w:top w:val="single" w:sz="4" w:space="0" w:color="auto"/>
              <w:left w:val="nil"/>
              <w:bottom w:val="single" w:sz="4" w:space="0" w:color="auto"/>
              <w:right w:val="single" w:sz="4" w:space="0" w:color="auto"/>
            </w:tcBorders>
            <w:noWrap/>
            <w:vAlign w:val="bottom"/>
          </w:tcPr>
          <w:p w14:paraId="4B4A773E" w14:textId="30BA4FF0"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4.788.676,80</w:t>
            </w:r>
          </w:p>
        </w:tc>
        <w:tc>
          <w:tcPr>
            <w:tcW w:w="1580" w:type="dxa"/>
            <w:tcBorders>
              <w:top w:val="single" w:sz="4" w:space="0" w:color="auto"/>
              <w:left w:val="nil"/>
              <w:bottom w:val="single" w:sz="4" w:space="0" w:color="auto"/>
              <w:right w:val="single" w:sz="4" w:space="0" w:color="auto"/>
            </w:tcBorders>
            <w:noWrap/>
            <w:vAlign w:val="bottom"/>
          </w:tcPr>
          <w:p w14:paraId="02CD57B9" w14:textId="3C0BA53A"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1.906.160,09</w:t>
            </w:r>
          </w:p>
        </w:tc>
        <w:tc>
          <w:tcPr>
            <w:tcW w:w="1580" w:type="dxa"/>
            <w:tcBorders>
              <w:top w:val="single" w:sz="4" w:space="0" w:color="auto"/>
              <w:left w:val="nil"/>
              <w:bottom w:val="single" w:sz="4" w:space="0" w:color="auto"/>
              <w:right w:val="single" w:sz="4" w:space="0" w:color="auto"/>
            </w:tcBorders>
            <w:noWrap/>
            <w:vAlign w:val="bottom"/>
          </w:tcPr>
          <w:p w14:paraId="1AAB11A7" w14:textId="1908DC62" w:rsidR="00F830BF" w:rsidRPr="00CC03BE" w:rsidRDefault="00F830BF"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39,81 %</w:t>
            </w:r>
          </w:p>
        </w:tc>
      </w:tr>
      <w:tr w:rsidR="00E87389" w:rsidRPr="00CC03BE" w14:paraId="48C1BBCA"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019A515" w14:textId="35E1B436" w:rsidR="00E87389" w:rsidRPr="00CC03BE" w:rsidRDefault="00E87389" w:rsidP="00FB0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2023</w:t>
            </w:r>
          </w:p>
        </w:tc>
        <w:tc>
          <w:tcPr>
            <w:tcW w:w="1580" w:type="dxa"/>
            <w:tcBorders>
              <w:top w:val="single" w:sz="4" w:space="0" w:color="auto"/>
              <w:left w:val="nil"/>
              <w:bottom w:val="single" w:sz="4" w:space="0" w:color="auto"/>
              <w:right w:val="single" w:sz="4" w:space="0" w:color="auto"/>
            </w:tcBorders>
            <w:noWrap/>
            <w:vAlign w:val="bottom"/>
          </w:tcPr>
          <w:p w14:paraId="72DEBD4A" w14:textId="0A1A55A3"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5.598.443,51</w:t>
            </w:r>
          </w:p>
        </w:tc>
        <w:tc>
          <w:tcPr>
            <w:tcW w:w="1580" w:type="dxa"/>
            <w:tcBorders>
              <w:top w:val="single" w:sz="4" w:space="0" w:color="auto"/>
              <w:left w:val="nil"/>
              <w:bottom w:val="single" w:sz="4" w:space="0" w:color="auto"/>
              <w:right w:val="single" w:sz="4" w:space="0" w:color="auto"/>
            </w:tcBorders>
            <w:noWrap/>
            <w:vAlign w:val="bottom"/>
          </w:tcPr>
          <w:p w14:paraId="6610B598" w14:textId="5511CCB8"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2.582.282,44</w:t>
            </w:r>
          </w:p>
        </w:tc>
        <w:tc>
          <w:tcPr>
            <w:tcW w:w="1580" w:type="dxa"/>
            <w:tcBorders>
              <w:top w:val="single" w:sz="4" w:space="0" w:color="auto"/>
              <w:left w:val="nil"/>
              <w:bottom w:val="single" w:sz="4" w:space="0" w:color="auto"/>
              <w:right w:val="single" w:sz="4" w:space="0" w:color="auto"/>
            </w:tcBorders>
            <w:noWrap/>
            <w:vAlign w:val="bottom"/>
          </w:tcPr>
          <w:p w14:paraId="2A137D7C" w14:textId="6B4A8E54" w:rsidR="00E87389" w:rsidRPr="00CC03BE" w:rsidRDefault="00E87389" w:rsidP="004E1EAD">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46,13 %</w:t>
            </w:r>
          </w:p>
        </w:tc>
      </w:tr>
      <w:tr w:rsidR="004B258A" w:rsidRPr="00CC03BE" w14:paraId="7D064D6C"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CC03BE" w:rsidRDefault="004B258A" w:rsidP="004B258A">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2024</w:t>
            </w:r>
          </w:p>
        </w:tc>
        <w:tc>
          <w:tcPr>
            <w:tcW w:w="1580" w:type="dxa"/>
            <w:tcBorders>
              <w:top w:val="single" w:sz="4" w:space="0" w:color="auto"/>
              <w:left w:val="nil"/>
              <w:bottom w:val="single" w:sz="4" w:space="0" w:color="auto"/>
              <w:right w:val="single" w:sz="4" w:space="0" w:color="auto"/>
            </w:tcBorders>
            <w:noWrap/>
            <w:vAlign w:val="bottom"/>
          </w:tcPr>
          <w:p w14:paraId="789B651F" w14:textId="049FC404"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5.806.790,36</w:t>
            </w:r>
          </w:p>
        </w:tc>
        <w:tc>
          <w:tcPr>
            <w:tcW w:w="1580" w:type="dxa"/>
            <w:tcBorders>
              <w:top w:val="single" w:sz="4" w:space="0" w:color="auto"/>
              <w:left w:val="nil"/>
              <w:bottom w:val="single" w:sz="4" w:space="0" w:color="auto"/>
              <w:right w:val="single" w:sz="4" w:space="0" w:color="auto"/>
            </w:tcBorders>
            <w:noWrap/>
            <w:vAlign w:val="bottom"/>
          </w:tcPr>
          <w:p w14:paraId="7C835E7A" w14:textId="002F82F5"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2.900.070,01</w:t>
            </w:r>
          </w:p>
        </w:tc>
        <w:tc>
          <w:tcPr>
            <w:tcW w:w="1580" w:type="dxa"/>
            <w:tcBorders>
              <w:top w:val="single" w:sz="4" w:space="0" w:color="auto"/>
              <w:left w:val="nil"/>
              <w:bottom w:val="single" w:sz="4" w:space="0" w:color="auto"/>
              <w:right w:val="single" w:sz="4" w:space="0" w:color="auto"/>
            </w:tcBorders>
            <w:noWrap/>
            <w:vAlign w:val="bottom"/>
          </w:tcPr>
          <w:p w14:paraId="56CC7737" w14:textId="39BF98A4" w:rsidR="004B258A" w:rsidRPr="00CC03BE" w:rsidRDefault="004B258A" w:rsidP="004B258A">
            <w:pPr>
              <w:spacing w:after="0" w:line="240" w:lineRule="auto"/>
              <w:jc w:val="right"/>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49,94 %</w:t>
            </w:r>
          </w:p>
        </w:tc>
      </w:tr>
      <w:bookmarkEnd w:id="1"/>
      <w:bookmarkEnd w:id="2"/>
    </w:tbl>
    <w:p w14:paraId="0158E909" w14:textId="38DF1A6B" w:rsidR="008C7172" w:rsidRPr="00CC03BE" w:rsidRDefault="008C7172" w:rsidP="00883039">
      <w:pPr>
        <w:spacing w:after="0" w:line="240" w:lineRule="auto"/>
        <w:jc w:val="both"/>
        <w:rPr>
          <w:rFonts w:asciiTheme="majorHAnsi" w:hAnsiTheme="majorHAnsi" w:cs="Times New Roman"/>
          <w:sz w:val="20"/>
          <w:szCs w:val="20"/>
        </w:rPr>
      </w:pPr>
    </w:p>
    <w:p w14:paraId="4CFF27F6" w14:textId="75BC5533" w:rsidR="00DD1076" w:rsidRPr="00CC03BE" w:rsidRDefault="00FF23CE"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Desde 2021</w:t>
      </w:r>
      <w:r w:rsidR="0082130F" w:rsidRPr="00CC03BE">
        <w:rPr>
          <w:rFonts w:asciiTheme="majorHAnsi" w:hAnsiTheme="majorHAnsi" w:cs="Times New Roman"/>
          <w:sz w:val="20"/>
          <w:szCs w:val="20"/>
        </w:rPr>
        <w:t>,</w:t>
      </w:r>
      <w:r w:rsidR="00DD1076" w:rsidRPr="00CC03BE">
        <w:rPr>
          <w:rFonts w:asciiTheme="majorHAnsi" w:hAnsiTheme="majorHAnsi" w:cs="Times New Roman"/>
          <w:sz w:val="20"/>
          <w:szCs w:val="20"/>
        </w:rPr>
        <w:t xml:space="preserve"> se ha producido un nuevo </w:t>
      </w:r>
      <w:r w:rsidR="00ED1BD5" w:rsidRPr="00CC03BE">
        <w:rPr>
          <w:rFonts w:asciiTheme="majorHAnsi" w:hAnsiTheme="majorHAnsi" w:cs="Times New Roman"/>
          <w:sz w:val="20"/>
          <w:szCs w:val="20"/>
        </w:rPr>
        <w:t>punto de inflexión</w:t>
      </w:r>
      <w:r w:rsidR="00DD1076" w:rsidRPr="00CC03BE">
        <w:rPr>
          <w:rFonts w:asciiTheme="majorHAnsi" w:hAnsiTheme="majorHAnsi" w:cs="Times New Roman"/>
          <w:sz w:val="20"/>
          <w:szCs w:val="20"/>
        </w:rPr>
        <w:t xml:space="preserve"> en el fondo de operaciones, recuperándose notablemente.</w:t>
      </w:r>
    </w:p>
    <w:p w14:paraId="21B41017" w14:textId="77777777" w:rsidR="00DD1076" w:rsidRPr="00CC03BE" w:rsidRDefault="00DD1076" w:rsidP="00883039">
      <w:pPr>
        <w:spacing w:after="0" w:line="240" w:lineRule="auto"/>
        <w:jc w:val="both"/>
        <w:rPr>
          <w:rFonts w:asciiTheme="majorHAnsi" w:hAnsiTheme="majorHAnsi" w:cs="Times New Roman"/>
          <w:sz w:val="20"/>
          <w:szCs w:val="20"/>
        </w:rPr>
      </w:pPr>
    </w:p>
    <w:p w14:paraId="4AF0BF62" w14:textId="77777777" w:rsidR="00B50A56" w:rsidRPr="00CC03BE" w:rsidRDefault="00B50A56" w:rsidP="00883039">
      <w:pPr>
        <w:spacing w:after="0" w:line="240" w:lineRule="auto"/>
        <w:jc w:val="both"/>
        <w:rPr>
          <w:rFonts w:asciiTheme="majorHAnsi" w:hAnsiTheme="majorHAnsi" w:cs="Times New Roman"/>
          <w:sz w:val="20"/>
          <w:szCs w:val="20"/>
        </w:rPr>
      </w:pPr>
    </w:p>
    <w:p w14:paraId="10EAE687" w14:textId="665C8E86" w:rsidR="008C7172" w:rsidRPr="00CC03BE" w:rsidRDefault="008C7172" w:rsidP="000B162D">
      <w:pPr>
        <w:pStyle w:val="ListParagraph"/>
        <w:numPr>
          <w:ilvl w:val="0"/>
          <w:numId w:val="13"/>
        </w:numPr>
        <w:spacing w:after="0" w:line="240" w:lineRule="auto"/>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t xml:space="preserve">Posibles </w:t>
      </w:r>
      <w:r w:rsidR="00633463" w:rsidRPr="00CC03BE">
        <w:rPr>
          <w:rFonts w:asciiTheme="majorHAnsi" w:hAnsiTheme="majorHAnsi" w:cs="Times New Roman"/>
          <w:b/>
          <w:sz w:val="20"/>
          <w:szCs w:val="20"/>
        </w:rPr>
        <w:t>opciones</w:t>
      </w:r>
      <w:r w:rsidRPr="00CC03BE">
        <w:rPr>
          <w:rFonts w:asciiTheme="majorHAnsi" w:hAnsiTheme="majorHAnsi" w:cs="Times New Roman"/>
          <w:b/>
          <w:sz w:val="20"/>
          <w:szCs w:val="20"/>
        </w:rPr>
        <w:t xml:space="preserve"> para la utilización del fondo de operaciones en 20</w:t>
      </w:r>
      <w:r w:rsidR="00BF5588" w:rsidRPr="00CC03BE">
        <w:rPr>
          <w:rFonts w:asciiTheme="majorHAnsi" w:hAnsiTheme="majorHAnsi" w:cs="Times New Roman"/>
          <w:b/>
          <w:bCs/>
          <w:sz w:val="20"/>
          <w:szCs w:val="20"/>
          <w:lang w:val="es-ES_tradnl"/>
        </w:rPr>
        <w:t>2</w:t>
      </w:r>
      <w:r w:rsidR="004B258A" w:rsidRPr="00CC03BE">
        <w:rPr>
          <w:rFonts w:asciiTheme="majorHAnsi" w:hAnsiTheme="majorHAnsi" w:cs="Times New Roman"/>
          <w:b/>
          <w:bCs/>
          <w:sz w:val="20"/>
          <w:szCs w:val="20"/>
          <w:lang w:val="es-ES_tradnl"/>
        </w:rPr>
        <w:t>6</w:t>
      </w:r>
    </w:p>
    <w:p w14:paraId="1E9A7268" w14:textId="77777777" w:rsidR="008C7172" w:rsidRPr="00CC03BE" w:rsidRDefault="008C7172" w:rsidP="002B4B7B">
      <w:pPr>
        <w:spacing w:after="0" w:line="240" w:lineRule="auto"/>
        <w:jc w:val="both"/>
        <w:rPr>
          <w:rFonts w:asciiTheme="majorHAnsi" w:hAnsiTheme="majorHAnsi" w:cs="Times New Roman"/>
          <w:sz w:val="20"/>
          <w:szCs w:val="20"/>
        </w:rPr>
      </w:pPr>
    </w:p>
    <w:p w14:paraId="2623BD73" w14:textId="4C4166F7" w:rsidR="00BC2693" w:rsidRPr="00CC03BE" w:rsidRDefault="00EB3417" w:rsidP="00C615D0">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Conforme a la evolución del fondo de operaciones en los últimos años, y recogiendo la petición de algunas delegaciones durante las sesiones del STACFAD de incorporar en el presupuesto de la Comisión la financiación de </w:t>
      </w:r>
      <w:r w:rsidR="006966E0" w:rsidRPr="00CC03BE">
        <w:rPr>
          <w:rFonts w:asciiTheme="majorHAnsi" w:hAnsiTheme="majorHAnsi" w:cs="Times New Roman"/>
          <w:sz w:val="20"/>
          <w:szCs w:val="20"/>
        </w:rPr>
        <w:t xml:space="preserve">las actividades que </w:t>
      </w:r>
      <w:r w:rsidR="009F25CF" w:rsidRPr="00CC03BE">
        <w:rPr>
          <w:rFonts w:asciiTheme="majorHAnsi" w:hAnsiTheme="majorHAnsi" w:cs="Times New Roman"/>
          <w:sz w:val="20"/>
          <w:szCs w:val="20"/>
        </w:rPr>
        <w:t>sean</w:t>
      </w:r>
      <w:r w:rsidR="006966E0" w:rsidRPr="00CC03BE">
        <w:rPr>
          <w:rFonts w:asciiTheme="majorHAnsi" w:hAnsiTheme="majorHAnsi" w:cs="Times New Roman"/>
          <w:sz w:val="20"/>
          <w:szCs w:val="20"/>
        </w:rPr>
        <w:t xml:space="preserve"> r</w:t>
      </w:r>
      <w:r w:rsidRPr="00CC03BE">
        <w:rPr>
          <w:rFonts w:asciiTheme="majorHAnsi" w:hAnsiTheme="majorHAnsi" w:cs="Times New Roman"/>
          <w:sz w:val="20"/>
          <w:szCs w:val="20"/>
        </w:rPr>
        <w:t xml:space="preserve">egulares, </w:t>
      </w:r>
      <w:r w:rsidR="0082792E" w:rsidRPr="00CC03BE">
        <w:rPr>
          <w:rFonts w:asciiTheme="majorHAnsi" w:hAnsiTheme="majorHAnsi" w:cs="Times New Roman"/>
          <w:sz w:val="20"/>
          <w:szCs w:val="20"/>
        </w:rPr>
        <w:t xml:space="preserve">los últimos </w:t>
      </w:r>
      <w:r w:rsidRPr="00CC03BE">
        <w:rPr>
          <w:rFonts w:asciiTheme="majorHAnsi" w:hAnsiTheme="majorHAnsi" w:cs="Times New Roman"/>
          <w:sz w:val="20"/>
          <w:szCs w:val="20"/>
        </w:rPr>
        <w:t>proyecto</w:t>
      </w:r>
      <w:r w:rsidR="0082792E" w:rsidRPr="00CC03BE">
        <w:rPr>
          <w:rFonts w:asciiTheme="majorHAnsi" w:hAnsiTheme="majorHAnsi" w:cs="Times New Roman"/>
          <w:sz w:val="20"/>
          <w:szCs w:val="20"/>
        </w:rPr>
        <w:t>s</w:t>
      </w:r>
      <w:r w:rsidRPr="00CC03BE">
        <w:rPr>
          <w:rFonts w:asciiTheme="majorHAnsi" w:hAnsiTheme="majorHAnsi" w:cs="Times New Roman"/>
          <w:sz w:val="20"/>
          <w:szCs w:val="20"/>
        </w:rPr>
        <w:t xml:space="preserve"> de presupuesto </w:t>
      </w:r>
      <w:r w:rsidR="0082792E" w:rsidRPr="00CC03BE">
        <w:rPr>
          <w:rFonts w:asciiTheme="majorHAnsi" w:hAnsiTheme="majorHAnsi" w:cs="Times New Roman"/>
          <w:sz w:val="20"/>
          <w:szCs w:val="20"/>
        </w:rPr>
        <w:t>han incluido</w:t>
      </w:r>
      <w:r w:rsidRPr="00CC03BE">
        <w:rPr>
          <w:rFonts w:asciiTheme="majorHAnsi" w:hAnsiTheme="majorHAnsi" w:cs="Times New Roman"/>
          <w:sz w:val="20"/>
          <w:szCs w:val="20"/>
        </w:rPr>
        <w:t xml:space="preserve"> algunos cambios en los capítulos y la creación de otros para </w:t>
      </w:r>
      <w:r w:rsidR="00932BEF" w:rsidRPr="00CC03BE">
        <w:rPr>
          <w:rFonts w:asciiTheme="majorHAnsi" w:hAnsiTheme="majorHAnsi" w:cs="Times New Roman"/>
          <w:sz w:val="20"/>
          <w:szCs w:val="20"/>
        </w:rPr>
        <w:t>continuar regularizando</w:t>
      </w:r>
      <w:r w:rsidRPr="00CC03BE">
        <w:rPr>
          <w:rFonts w:asciiTheme="majorHAnsi" w:hAnsiTheme="majorHAnsi" w:cs="Times New Roman"/>
          <w:sz w:val="20"/>
          <w:szCs w:val="20"/>
        </w:rPr>
        <w:t xml:space="preserve"> </w:t>
      </w:r>
      <w:r w:rsidR="00835568" w:rsidRPr="00CC03BE">
        <w:rPr>
          <w:rFonts w:asciiTheme="majorHAnsi" w:hAnsiTheme="majorHAnsi" w:cs="Times New Roman"/>
          <w:sz w:val="20"/>
          <w:szCs w:val="20"/>
        </w:rPr>
        <w:t>progresivamente</w:t>
      </w:r>
      <w:r w:rsidRPr="00CC03BE">
        <w:rPr>
          <w:rFonts w:asciiTheme="majorHAnsi" w:hAnsiTheme="majorHAnsi" w:cs="Times New Roman"/>
          <w:sz w:val="20"/>
          <w:szCs w:val="20"/>
        </w:rPr>
        <w:t xml:space="preserve"> los gastos extrapresupuestarios que</w:t>
      </w:r>
      <w:r w:rsidR="00D90164" w:rsidRPr="00CC03BE">
        <w:rPr>
          <w:rFonts w:asciiTheme="majorHAnsi" w:hAnsiTheme="majorHAnsi" w:cs="Times New Roman"/>
          <w:sz w:val="20"/>
          <w:szCs w:val="20"/>
        </w:rPr>
        <w:t xml:space="preserve"> </w:t>
      </w:r>
      <w:r w:rsidRPr="00CC03BE">
        <w:rPr>
          <w:rFonts w:asciiTheme="majorHAnsi" w:hAnsiTheme="majorHAnsi" w:cs="Times New Roman"/>
          <w:sz w:val="20"/>
          <w:szCs w:val="20"/>
        </w:rPr>
        <w:t>deberían estar incluidos dentro de presupuesto ordinario de la Comisión</w:t>
      </w:r>
      <w:r w:rsidR="009D3AE9" w:rsidRPr="00CC03BE">
        <w:rPr>
          <w:rFonts w:asciiTheme="majorHAnsi" w:hAnsiTheme="majorHAnsi" w:cs="Times New Roman"/>
          <w:sz w:val="20"/>
          <w:szCs w:val="20"/>
        </w:rPr>
        <w:t>.</w:t>
      </w:r>
    </w:p>
    <w:p w14:paraId="4427AB0F" w14:textId="77777777" w:rsidR="00BC2693" w:rsidRPr="00CC03BE" w:rsidRDefault="00BC2693" w:rsidP="00C615D0">
      <w:pPr>
        <w:spacing w:after="0" w:line="240" w:lineRule="auto"/>
        <w:jc w:val="both"/>
        <w:rPr>
          <w:rFonts w:asciiTheme="majorHAnsi" w:hAnsiTheme="majorHAnsi" w:cs="Times New Roman"/>
          <w:sz w:val="20"/>
          <w:szCs w:val="20"/>
        </w:rPr>
      </w:pPr>
    </w:p>
    <w:p w14:paraId="40DA46D3" w14:textId="77777777" w:rsidR="00C37A12" w:rsidRPr="00CC03BE" w:rsidRDefault="00C37A12" w:rsidP="00C615D0">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Regularización de actividades dentro del presupuesto de la Comisión</w:t>
      </w:r>
    </w:p>
    <w:p w14:paraId="10DBE778" w14:textId="77777777" w:rsidR="00C37A12" w:rsidRPr="00CC03BE" w:rsidRDefault="00C37A12" w:rsidP="001F13FF">
      <w:pPr>
        <w:spacing w:after="0" w:line="240" w:lineRule="auto"/>
        <w:jc w:val="both"/>
        <w:rPr>
          <w:rFonts w:asciiTheme="majorHAnsi" w:hAnsiTheme="majorHAnsi" w:cs="Times New Roman"/>
          <w:sz w:val="20"/>
          <w:szCs w:val="20"/>
        </w:rPr>
      </w:pPr>
    </w:p>
    <w:p w14:paraId="5F4B9FC3" w14:textId="31729119" w:rsidR="00BC2693" w:rsidRPr="00CC03BE" w:rsidRDefault="00C37A12" w:rsidP="00582427">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En 2017 la Comisión aprobó que dicha regularización se hiciera en un período de cuatro años para que no hubiera un impacto muy grande en las contribuciones de las Partes contratantes. </w:t>
      </w:r>
      <w:r w:rsidR="00A16100" w:rsidRPr="00CC03BE">
        <w:rPr>
          <w:rFonts w:asciiTheme="majorHAnsi" w:hAnsiTheme="majorHAnsi" w:cs="Times New Roman"/>
          <w:sz w:val="20"/>
          <w:szCs w:val="20"/>
        </w:rPr>
        <w:t xml:space="preserve">Dicha regularización se tendrá que prorrogar en los próximos presupuestos, para dar cabida a </w:t>
      </w:r>
      <w:r w:rsidR="00DC57F0" w:rsidRPr="00CC03BE">
        <w:rPr>
          <w:rFonts w:asciiTheme="majorHAnsi" w:hAnsiTheme="majorHAnsi" w:cs="Times New Roman"/>
          <w:sz w:val="20"/>
          <w:szCs w:val="20"/>
        </w:rPr>
        <w:t>l</w:t>
      </w:r>
      <w:r w:rsidR="00BC2693" w:rsidRPr="00CC03BE">
        <w:rPr>
          <w:rFonts w:asciiTheme="majorHAnsi" w:hAnsiTheme="majorHAnsi" w:cs="Times New Roman"/>
          <w:sz w:val="20"/>
          <w:szCs w:val="20"/>
        </w:rPr>
        <w:t xml:space="preserve">as actividades </w:t>
      </w:r>
      <w:r w:rsidR="00FB708D" w:rsidRPr="00CC03BE">
        <w:rPr>
          <w:rFonts w:asciiTheme="majorHAnsi" w:hAnsiTheme="majorHAnsi" w:cs="Times New Roman"/>
          <w:sz w:val="20"/>
          <w:szCs w:val="20"/>
        </w:rPr>
        <w:t>que necesita</w:t>
      </w:r>
      <w:r w:rsidR="00DC57F0" w:rsidRPr="00CC03BE">
        <w:rPr>
          <w:rFonts w:asciiTheme="majorHAnsi" w:hAnsiTheme="majorHAnsi" w:cs="Times New Roman"/>
          <w:sz w:val="20"/>
          <w:szCs w:val="20"/>
        </w:rPr>
        <w:t>n regularización</w:t>
      </w:r>
      <w:r w:rsidR="00582358" w:rsidRPr="00CC03BE">
        <w:rPr>
          <w:rFonts w:asciiTheme="majorHAnsi" w:hAnsiTheme="majorHAnsi" w:cs="Times New Roman"/>
          <w:sz w:val="20"/>
          <w:szCs w:val="20"/>
        </w:rPr>
        <w:t>,</w:t>
      </w:r>
      <w:r w:rsidR="00DC57F0" w:rsidRPr="00CC03BE">
        <w:rPr>
          <w:rFonts w:asciiTheme="majorHAnsi" w:hAnsiTheme="majorHAnsi" w:cs="Times New Roman"/>
          <w:sz w:val="20"/>
          <w:szCs w:val="20"/>
        </w:rPr>
        <w:t xml:space="preserve"> y no </w:t>
      </w:r>
      <w:r w:rsidR="00980E62" w:rsidRPr="00CC03BE">
        <w:rPr>
          <w:rFonts w:asciiTheme="majorHAnsi" w:hAnsiTheme="majorHAnsi" w:cs="Times New Roman"/>
          <w:sz w:val="20"/>
          <w:szCs w:val="20"/>
        </w:rPr>
        <w:t xml:space="preserve">se ha podido llevar a cabo </w:t>
      </w:r>
      <w:r w:rsidR="009F25CF" w:rsidRPr="00CC03BE">
        <w:rPr>
          <w:rFonts w:asciiTheme="majorHAnsi" w:hAnsiTheme="majorHAnsi" w:cs="Times New Roman"/>
          <w:sz w:val="20"/>
          <w:szCs w:val="20"/>
        </w:rPr>
        <w:t>todavía</w:t>
      </w:r>
      <w:r w:rsidR="00BC2693" w:rsidRPr="00CC03BE">
        <w:rPr>
          <w:rFonts w:asciiTheme="majorHAnsi" w:hAnsiTheme="majorHAnsi" w:cs="Times New Roman"/>
          <w:sz w:val="20"/>
          <w:szCs w:val="20"/>
        </w:rPr>
        <w:t>:</w:t>
      </w:r>
    </w:p>
    <w:p w14:paraId="2DE58670" w14:textId="77777777" w:rsidR="00726B93" w:rsidRPr="00CC03BE" w:rsidRDefault="00726B93" w:rsidP="00582427">
      <w:pPr>
        <w:spacing w:after="0" w:line="240" w:lineRule="auto"/>
        <w:jc w:val="both"/>
        <w:rPr>
          <w:rFonts w:asciiTheme="majorHAnsi" w:hAnsiTheme="majorHAnsi" w:cs="Times New Roman"/>
          <w:sz w:val="20"/>
          <w:szCs w:val="20"/>
        </w:rPr>
      </w:pPr>
    </w:p>
    <w:p w14:paraId="6DE3F574" w14:textId="4E8D214D" w:rsidR="00726B93" w:rsidRPr="00CC03BE" w:rsidRDefault="00726B93" w:rsidP="0082130F">
      <w:pPr>
        <w:pStyle w:val="ListParagraph"/>
        <w:numPr>
          <w:ilvl w:val="0"/>
          <w:numId w:val="12"/>
        </w:numPr>
        <w:spacing w:after="0" w:line="240" w:lineRule="auto"/>
        <w:jc w:val="both"/>
        <w:rPr>
          <w:rFonts w:asciiTheme="majorHAnsi" w:hAnsiTheme="majorHAnsi" w:cs="Times New Roman"/>
          <w:sz w:val="20"/>
          <w:szCs w:val="20"/>
        </w:rPr>
      </w:pPr>
      <w:r w:rsidRPr="00CC03BE">
        <w:rPr>
          <w:rFonts w:asciiTheme="majorHAnsi" w:hAnsiTheme="majorHAnsi" w:cs="Times New Roman"/>
          <w:i/>
          <w:iCs/>
          <w:sz w:val="20"/>
          <w:szCs w:val="20"/>
        </w:rPr>
        <w:t>Capítulo 2.d). Fondo especial para la participación en reuniones</w:t>
      </w:r>
      <w:r w:rsidRPr="00CC03BE">
        <w:rPr>
          <w:rFonts w:asciiTheme="majorHAnsi" w:hAnsiTheme="majorHAnsi" w:cs="Times New Roman"/>
          <w:sz w:val="20"/>
          <w:szCs w:val="20"/>
        </w:rPr>
        <w:t xml:space="preserve">. El fondo para </w:t>
      </w:r>
      <w:r w:rsidR="0082130F" w:rsidRPr="00CC03BE">
        <w:rPr>
          <w:rFonts w:asciiTheme="majorHAnsi" w:hAnsiTheme="majorHAnsi" w:cs="Times New Roman"/>
          <w:sz w:val="20"/>
          <w:szCs w:val="20"/>
        </w:rPr>
        <w:t xml:space="preserve">la </w:t>
      </w:r>
      <w:r w:rsidRPr="00CC03BE">
        <w:rPr>
          <w:rFonts w:asciiTheme="majorHAnsi" w:hAnsiTheme="majorHAnsi" w:cs="Times New Roman"/>
          <w:sz w:val="20"/>
          <w:szCs w:val="20"/>
        </w:rPr>
        <w:t xml:space="preserve">participación en reuniones se ha nutrido a lo largo de los años de la aportación del presupuesto regular de ICCAT y de contribuciones voluntarias. En 2025 no se ha recibido </w:t>
      </w:r>
      <w:r w:rsidR="00DB1397" w:rsidRPr="00CC03BE">
        <w:rPr>
          <w:rFonts w:asciiTheme="majorHAnsi" w:hAnsiTheme="majorHAnsi" w:cs="Times New Roman"/>
          <w:sz w:val="20"/>
          <w:szCs w:val="20"/>
        </w:rPr>
        <w:t xml:space="preserve">ninguna </w:t>
      </w:r>
      <w:r w:rsidRPr="00CC03BE">
        <w:rPr>
          <w:rFonts w:asciiTheme="majorHAnsi" w:hAnsiTheme="majorHAnsi" w:cs="Times New Roman"/>
          <w:sz w:val="20"/>
          <w:szCs w:val="20"/>
        </w:rPr>
        <w:t>contribuci</w:t>
      </w:r>
      <w:r w:rsidR="00DB1397" w:rsidRPr="00CC03BE">
        <w:rPr>
          <w:rFonts w:asciiTheme="majorHAnsi" w:hAnsiTheme="majorHAnsi" w:cs="Times New Roman"/>
          <w:sz w:val="20"/>
          <w:szCs w:val="20"/>
        </w:rPr>
        <w:t>ón</w:t>
      </w:r>
      <w:r w:rsidRPr="00CC03BE">
        <w:rPr>
          <w:rFonts w:asciiTheme="majorHAnsi" w:hAnsiTheme="majorHAnsi" w:cs="Times New Roman"/>
          <w:sz w:val="20"/>
          <w:szCs w:val="20"/>
        </w:rPr>
        <w:t xml:space="preserve"> voluntaria</w:t>
      </w:r>
      <w:r w:rsidR="00DB1397" w:rsidRPr="00CC03BE">
        <w:rPr>
          <w:rFonts w:asciiTheme="majorHAnsi" w:hAnsiTheme="majorHAnsi" w:cs="Times New Roman"/>
          <w:sz w:val="20"/>
          <w:szCs w:val="20"/>
        </w:rPr>
        <w:t xml:space="preserve"> para este fin</w:t>
      </w:r>
      <w:r w:rsidRPr="00CC03BE">
        <w:rPr>
          <w:rFonts w:asciiTheme="majorHAnsi" w:hAnsiTheme="majorHAnsi" w:cs="Times New Roman"/>
          <w:sz w:val="20"/>
          <w:szCs w:val="20"/>
        </w:rPr>
        <w:t xml:space="preserve">, por lo que el balance del fondo ha disminuido de tal manera que únicamente con la aportación del presupuesto no será suficiente para cubrir la estimación de los costes para el próximo bienio. </w:t>
      </w:r>
      <w:r w:rsidR="00DB1397" w:rsidRPr="00CC03BE">
        <w:rPr>
          <w:rFonts w:asciiTheme="majorHAnsi" w:hAnsiTheme="majorHAnsi" w:cs="Times New Roman"/>
          <w:sz w:val="20"/>
          <w:szCs w:val="20"/>
        </w:rPr>
        <w:t>Por este motivo</w:t>
      </w:r>
      <w:r w:rsidR="0082130F" w:rsidRPr="00CC03BE">
        <w:rPr>
          <w:rFonts w:asciiTheme="majorHAnsi" w:hAnsiTheme="majorHAnsi" w:cs="Times New Roman"/>
          <w:sz w:val="20"/>
          <w:szCs w:val="20"/>
        </w:rPr>
        <w:t>,</w:t>
      </w:r>
      <w:r w:rsidR="00DB1397" w:rsidRPr="00CC03BE">
        <w:rPr>
          <w:rFonts w:asciiTheme="majorHAnsi" w:hAnsiTheme="majorHAnsi" w:cs="Times New Roman"/>
          <w:sz w:val="20"/>
          <w:szCs w:val="20"/>
        </w:rPr>
        <w:t xml:space="preserve"> se solicita aumentar progresivamente la dotación de la Comisión a este fondo.</w:t>
      </w:r>
    </w:p>
    <w:p w14:paraId="733CEC61" w14:textId="77777777" w:rsidR="00BC2693" w:rsidRPr="00CC03BE" w:rsidRDefault="00BC2693">
      <w:pPr>
        <w:spacing w:after="0" w:line="240" w:lineRule="auto"/>
        <w:jc w:val="both"/>
        <w:rPr>
          <w:rFonts w:asciiTheme="majorHAnsi" w:hAnsiTheme="majorHAnsi" w:cs="Times New Roman"/>
          <w:sz w:val="20"/>
          <w:szCs w:val="20"/>
        </w:rPr>
      </w:pPr>
    </w:p>
    <w:p w14:paraId="12831D71" w14:textId="59B5DC9E" w:rsidR="00FB708D" w:rsidRPr="00CC03BE" w:rsidRDefault="00FB708D" w:rsidP="003F3A8F">
      <w:pPr>
        <w:pStyle w:val="ListParagraph"/>
        <w:numPr>
          <w:ilvl w:val="0"/>
          <w:numId w:val="12"/>
        </w:numPr>
        <w:spacing w:line="240" w:lineRule="auto"/>
        <w:ind w:left="357"/>
        <w:jc w:val="both"/>
        <w:rPr>
          <w:rFonts w:asciiTheme="majorHAnsi" w:hAnsiTheme="majorHAnsi"/>
          <w:sz w:val="20"/>
          <w:szCs w:val="20"/>
        </w:rPr>
      </w:pPr>
      <w:r w:rsidRPr="00CC03BE">
        <w:rPr>
          <w:rFonts w:asciiTheme="majorHAnsi" w:hAnsiTheme="majorHAnsi" w:cs="Times New Roman"/>
          <w:i/>
          <w:sz w:val="20"/>
          <w:szCs w:val="20"/>
        </w:rPr>
        <w:t>Capítulo 3. Reuniones</w:t>
      </w:r>
      <w:r w:rsidRPr="00CC03BE">
        <w:rPr>
          <w:rFonts w:asciiTheme="majorHAnsi" w:hAnsiTheme="majorHAnsi" w:cs="Times New Roman"/>
          <w:sz w:val="20"/>
          <w:szCs w:val="20"/>
        </w:rPr>
        <w:t xml:space="preserve">. </w:t>
      </w:r>
      <w:r w:rsidR="006A7434" w:rsidRPr="00CC03BE">
        <w:rPr>
          <w:rFonts w:asciiTheme="majorHAnsi" w:hAnsiTheme="majorHAnsi" w:cs="Times New Roman"/>
          <w:sz w:val="20"/>
          <w:szCs w:val="20"/>
        </w:rPr>
        <w:t xml:space="preserve">Aumentar este capítulo para cubrir los gastos de </w:t>
      </w:r>
      <w:r w:rsidR="004B258A" w:rsidRPr="00CC03BE">
        <w:rPr>
          <w:rFonts w:asciiTheme="majorHAnsi" w:hAnsiTheme="majorHAnsi" w:cs="Times New Roman"/>
          <w:sz w:val="20"/>
          <w:szCs w:val="20"/>
        </w:rPr>
        <w:t>las</w:t>
      </w:r>
      <w:r w:rsidR="006A7434" w:rsidRPr="00CC03BE">
        <w:rPr>
          <w:rFonts w:asciiTheme="majorHAnsi" w:hAnsiTheme="majorHAnsi" w:cs="Times New Roman"/>
          <w:sz w:val="20"/>
          <w:szCs w:val="20"/>
        </w:rPr>
        <w:t xml:space="preserve"> reuniones intersesiones y los gastos completos de la reunión anual de la Comisión</w:t>
      </w:r>
      <w:r w:rsidR="00980E62" w:rsidRPr="00CC03BE">
        <w:rPr>
          <w:rFonts w:asciiTheme="majorHAnsi" w:hAnsiTheme="majorHAnsi" w:cs="Times New Roman"/>
          <w:sz w:val="20"/>
          <w:szCs w:val="20"/>
        </w:rPr>
        <w:t xml:space="preserve"> </w:t>
      </w:r>
      <w:r w:rsidR="00980E62" w:rsidRPr="00CC03BE">
        <w:rPr>
          <w:rFonts w:asciiTheme="majorHAnsi" w:hAnsiTheme="majorHAnsi" w:cs="Times New Roman"/>
          <w:sz w:val="20"/>
          <w:szCs w:val="20"/>
          <w:lang w:val="es-ES_tradnl"/>
        </w:rPr>
        <w:t>(</w:t>
      </w:r>
      <w:r w:rsidR="003A116D" w:rsidRPr="00CC03BE">
        <w:rPr>
          <w:rFonts w:asciiTheme="majorHAnsi" w:hAnsiTheme="majorHAnsi" w:cs="Times New Roman"/>
          <w:sz w:val="20"/>
          <w:szCs w:val="20"/>
          <w:lang w:val="es-ES_tradnl"/>
        </w:rPr>
        <w:t xml:space="preserve">considerando </w:t>
      </w:r>
      <w:r w:rsidR="004B258A" w:rsidRPr="00CC03BE">
        <w:rPr>
          <w:rFonts w:asciiTheme="majorHAnsi" w:hAnsiTheme="majorHAnsi" w:cs="Times New Roman"/>
          <w:sz w:val="20"/>
          <w:szCs w:val="20"/>
          <w:lang w:val="es-ES_tradnl"/>
        </w:rPr>
        <w:t>un</w:t>
      </w:r>
      <w:r w:rsidR="003A116D" w:rsidRPr="00CC03BE">
        <w:rPr>
          <w:rFonts w:asciiTheme="majorHAnsi" w:hAnsiTheme="majorHAnsi" w:cs="Times New Roman"/>
          <w:sz w:val="20"/>
          <w:szCs w:val="20"/>
          <w:lang w:val="es-ES_tradnl"/>
        </w:rPr>
        <w:t xml:space="preserve"> coste </w:t>
      </w:r>
      <w:r w:rsidR="004B258A" w:rsidRPr="00CC03BE">
        <w:rPr>
          <w:rFonts w:asciiTheme="majorHAnsi" w:hAnsiTheme="majorHAnsi" w:cs="Times New Roman"/>
          <w:sz w:val="20"/>
          <w:szCs w:val="20"/>
          <w:lang w:val="es-ES_tradnl"/>
        </w:rPr>
        <w:t xml:space="preserve">como el previsto </w:t>
      </w:r>
      <w:r w:rsidR="003A116D" w:rsidRPr="00CC03BE">
        <w:rPr>
          <w:rFonts w:asciiTheme="majorHAnsi" w:hAnsiTheme="majorHAnsi" w:cs="Times New Roman"/>
          <w:sz w:val="20"/>
          <w:szCs w:val="20"/>
          <w:lang w:val="es-ES_tradnl"/>
        </w:rPr>
        <w:t xml:space="preserve">para la reunión de la Comisión </w:t>
      </w:r>
      <w:r w:rsidR="004B258A" w:rsidRPr="00CC03BE">
        <w:rPr>
          <w:rFonts w:asciiTheme="majorHAnsi" w:hAnsiTheme="majorHAnsi" w:cs="Times New Roman"/>
          <w:sz w:val="20"/>
          <w:szCs w:val="20"/>
          <w:lang w:val="es-ES_tradnl"/>
        </w:rPr>
        <w:t>de 2025</w:t>
      </w:r>
      <w:r w:rsidR="00C97A9D" w:rsidRPr="00CC03BE">
        <w:rPr>
          <w:rFonts w:asciiTheme="majorHAnsi" w:hAnsiTheme="majorHAnsi" w:cs="Times New Roman"/>
          <w:sz w:val="20"/>
          <w:szCs w:val="20"/>
          <w:lang w:val="es-ES_tradnl"/>
        </w:rPr>
        <w:t>,</w:t>
      </w:r>
      <w:r w:rsidR="004B258A" w:rsidRPr="00CC03BE">
        <w:rPr>
          <w:rFonts w:asciiTheme="majorHAnsi" w:hAnsiTheme="majorHAnsi" w:cs="Times New Roman"/>
          <w:sz w:val="20"/>
          <w:szCs w:val="20"/>
          <w:lang w:val="es-ES_tradnl"/>
        </w:rPr>
        <w:t xml:space="preserve"> se necesita</w:t>
      </w:r>
      <w:r w:rsidR="0082130F" w:rsidRPr="00CC03BE">
        <w:rPr>
          <w:rFonts w:asciiTheme="majorHAnsi" w:hAnsiTheme="majorHAnsi" w:cs="Times New Roman"/>
          <w:sz w:val="20"/>
          <w:szCs w:val="20"/>
          <w:lang w:val="es-ES_tradnl"/>
        </w:rPr>
        <w:t>n</w:t>
      </w:r>
      <w:r w:rsidR="00C97A9D" w:rsidRPr="00CC03BE">
        <w:rPr>
          <w:rFonts w:asciiTheme="majorHAnsi" w:hAnsiTheme="majorHAnsi" w:cs="Times New Roman"/>
          <w:sz w:val="20"/>
          <w:szCs w:val="20"/>
          <w:lang w:val="es-ES_tradnl"/>
        </w:rPr>
        <w:t xml:space="preserve"> </w:t>
      </w:r>
      <w:r w:rsidR="004B258A" w:rsidRPr="00CC03BE">
        <w:rPr>
          <w:rFonts w:asciiTheme="majorHAnsi" w:hAnsiTheme="majorHAnsi" w:cs="Times New Roman"/>
          <w:sz w:val="20"/>
          <w:szCs w:val="20"/>
          <w:lang w:val="es-ES_tradnl"/>
        </w:rPr>
        <w:t>al menos 532.700,00 euros</w:t>
      </w:r>
      <w:r w:rsidR="00980E62" w:rsidRPr="00CC03BE">
        <w:rPr>
          <w:rFonts w:asciiTheme="majorHAnsi" w:hAnsiTheme="majorHAnsi" w:cs="Times New Roman"/>
          <w:sz w:val="20"/>
          <w:szCs w:val="20"/>
        </w:rPr>
        <w:t>)</w:t>
      </w:r>
      <w:r w:rsidR="006A7434" w:rsidRPr="00CC03BE">
        <w:rPr>
          <w:rFonts w:asciiTheme="majorHAnsi" w:hAnsiTheme="majorHAnsi" w:cs="Times New Roman"/>
          <w:sz w:val="20"/>
          <w:szCs w:val="20"/>
        </w:rPr>
        <w:t xml:space="preserve">. </w:t>
      </w:r>
      <w:r w:rsidR="009012D7" w:rsidRPr="00CC03BE">
        <w:rPr>
          <w:rFonts w:asciiTheme="majorHAnsi" w:hAnsiTheme="majorHAnsi" w:cs="Times New Roman"/>
          <w:sz w:val="20"/>
          <w:szCs w:val="20"/>
        </w:rPr>
        <w:t>En 202</w:t>
      </w:r>
      <w:r w:rsidR="004B258A" w:rsidRPr="00CC03BE">
        <w:rPr>
          <w:rFonts w:asciiTheme="majorHAnsi" w:hAnsiTheme="majorHAnsi" w:cs="Times New Roman"/>
          <w:sz w:val="20"/>
          <w:szCs w:val="20"/>
        </w:rPr>
        <w:t>6</w:t>
      </w:r>
      <w:r w:rsidR="009012D7" w:rsidRPr="00CC03BE">
        <w:rPr>
          <w:rFonts w:asciiTheme="majorHAnsi" w:hAnsiTheme="majorHAnsi" w:cs="Times New Roman"/>
          <w:sz w:val="20"/>
          <w:szCs w:val="20"/>
        </w:rPr>
        <w:t xml:space="preserve"> esta partida </w:t>
      </w:r>
      <w:r w:rsidR="00322377" w:rsidRPr="00CC03BE">
        <w:rPr>
          <w:rFonts w:asciiTheme="majorHAnsi" w:hAnsiTheme="majorHAnsi" w:cs="Times New Roman"/>
          <w:sz w:val="20"/>
          <w:szCs w:val="20"/>
        </w:rPr>
        <w:t xml:space="preserve">alcanza </w:t>
      </w:r>
      <w:r w:rsidR="004B258A" w:rsidRPr="00CC03BE">
        <w:rPr>
          <w:rFonts w:asciiTheme="majorHAnsi" w:hAnsiTheme="majorHAnsi" w:cs="Times New Roman"/>
          <w:sz w:val="20"/>
          <w:szCs w:val="20"/>
        </w:rPr>
        <w:t>210</w:t>
      </w:r>
      <w:r w:rsidR="00322377" w:rsidRPr="00CC03BE">
        <w:rPr>
          <w:rFonts w:asciiTheme="majorHAnsi" w:hAnsiTheme="majorHAnsi" w:cs="Times New Roman"/>
          <w:sz w:val="20"/>
          <w:szCs w:val="20"/>
        </w:rPr>
        <w:t xml:space="preserve">.000,00 euros, </w:t>
      </w:r>
      <w:r w:rsidR="00665D29" w:rsidRPr="00CC03BE">
        <w:rPr>
          <w:rFonts w:asciiTheme="majorHAnsi" w:hAnsiTheme="majorHAnsi" w:cs="Times New Roman"/>
          <w:sz w:val="20"/>
          <w:szCs w:val="20"/>
        </w:rPr>
        <w:t>un</w:t>
      </w:r>
      <w:r w:rsidR="009012D7" w:rsidRPr="00CC03BE">
        <w:rPr>
          <w:rFonts w:asciiTheme="majorHAnsi" w:hAnsiTheme="majorHAnsi" w:cs="Times New Roman"/>
          <w:sz w:val="20"/>
          <w:szCs w:val="20"/>
        </w:rPr>
        <w:t xml:space="preserve"> importe muy alejado de</w:t>
      </w:r>
      <w:r w:rsidR="00322377" w:rsidRPr="00CC03BE">
        <w:rPr>
          <w:rFonts w:asciiTheme="majorHAnsi" w:hAnsiTheme="majorHAnsi" w:cs="Times New Roman"/>
          <w:sz w:val="20"/>
          <w:szCs w:val="20"/>
        </w:rPr>
        <w:t>l necesario</w:t>
      </w:r>
      <w:r w:rsidR="009012D7" w:rsidRPr="00CC03BE">
        <w:rPr>
          <w:rFonts w:asciiTheme="majorHAnsi" w:hAnsiTheme="majorHAnsi" w:cs="Times New Roman"/>
          <w:sz w:val="20"/>
          <w:szCs w:val="20"/>
        </w:rPr>
        <w:t>.</w:t>
      </w:r>
    </w:p>
    <w:p w14:paraId="612F59CA" w14:textId="619FD4D0" w:rsidR="0073585E" w:rsidRPr="00CC03BE" w:rsidRDefault="000A2EA4">
      <w:pPr>
        <w:spacing w:after="0" w:line="240" w:lineRule="auto"/>
        <w:ind w:left="357"/>
        <w:jc w:val="both"/>
        <w:rPr>
          <w:rFonts w:asciiTheme="majorHAnsi" w:hAnsiTheme="majorHAnsi" w:cs="Times New Roman"/>
          <w:sz w:val="20"/>
          <w:szCs w:val="20"/>
        </w:rPr>
      </w:pPr>
      <w:r w:rsidRPr="00CC03BE">
        <w:rPr>
          <w:rFonts w:asciiTheme="majorHAnsi" w:hAnsiTheme="majorHAnsi" w:cs="Times New Roman"/>
          <w:sz w:val="20"/>
          <w:szCs w:val="20"/>
        </w:rPr>
        <w:lastRenderedPageBreak/>
        <w:t xml:space="preserve">La Secretaría solicita </w:t>
      </w:r>
      <w:r w:rsidR="0073585E" w:rsidRPr="00CC03BE">
        <w:rPr>
          <w:rFonts w:asciiTheme="majorHAnsi" w:hAnsiTheme="majorHAnsi" w:cs="Times New Roman"/>
          <w:sz w:val="20"/>
          <w:szCs w:val="20"/>
        </w:rPr>
        <w:t>a la Comisión que se establezcan medidas para cubrir dichos gastos</w:t>
      </w:r>
      <w:r w:rsidR="001A2EC0" w:rsidRPr="00CC03BE">
        <w:rPr>
          <w:rFonts w:asciiTheme="majorHAnsi" w:hAnsiTheme="majorHAnsi" w:cs="Times New Roman"/>
          <w:sz w:val="20"/>
          <w:szCs w:val="20"/>
        </w:rPr>
        <w:t xml:space="preserve"> l</w:t>
      </w:r>
      <w:r w:rsidR="001A2EC0" w:rsidRPr="00CC03BE">
        <w:rPr>
          <w:rFonts w:asciiTheme="majorHAnsi" w:hAnsiTheme="majorHAnsi" w:cs="Times New Roman"/>
          <w:sz w:val="20"/>
          <w:szCs w:val="20"/>
          <w:lang w:val="es-ES_tradnl"/>
        </w:rPr>
        <w:t xml:space="preserve">o antes posible, </w:t>
      </w:r>
      <w:r w:rsidR="0073585E" w:rsidRPr="00CC03BE">
        <w:rPr>
          <w:rFonts w:asciiTheme="majorHAnsi" w:hAnsiTheme="majorHAnsi" w:cs="Times New Roman"/>
          <w:sz w:val="20"/>
          <w:szCs w:val="20"/>
        </w:rPr>
        <w:t>ya que el fondo de operaciones no podrá asumir dicho gasto</w:t>
      </w:r>
      <w:r w:rsidR="008B144C" w:rsidRPr="00CC03BE">
        <w:rPr>
          <w:rFonts w:asciiTheme="majorHAnsi" w:hAnsiTheme="majorHAnsi" w:cs="Times New Roman"/>
          <w:sz w:val="20"/>
          <w:szCs w:val="20"/>
        </w:rPr>
        <w:t xml:space="preserve"> y no tenemos ninguna invitación oficial para la celebración de la reunión de la Comisión</w:t>
      </w:r>
      <w:r w:rsidR="003537E8" w:rsidRPr="00CC03BE">
        <w:rPr>
          <w:rFonts w:asciiTheme="majorHAnsi" w:hAnsiTheme="majorHAnsi" w:cs="Times New Roman"/>
          <w:sz w:val="20"/>
          <w:szCs w:val="20"/>
        </w:rPr>
        <w:t xml:space="preserve"> de 202</w:t>
      </w:r>
      <w:r w:rsidR="004B258A" w:rsidRPr="00CC03BE">
        <w:rPr>
          <w:rFonts w:asciiTheme="majorHAnsi" w:hAnsiTheme="majorHAnsi" w:cs="Times New Roman"/>
          <w:sz w:val="20"/>
          <w:szCs w:val="20"/>
        </w:rPr>
        <w:t>6</w:t>
      </w:r>
      <w:r w:rsidR="0073585E" w:rsidRPr="00CC03BE">
        <w:rPr>
          <w:rFonts w:asciiTheme="majorHAnsi" w:hAnsiTheme="majorHAnsi" w:cs="Times New Roman"/>
          <w:sz w:val="20"/>
          <w:szCs w:val="20"/>
        </w:rPr>
        <w:t>.</w:t>
      </w:r>
      <w:r w:rsidR="001A2EC0" w:rsidRPr="00CC03BE">
        <w:rPr>
          <w:rFonts w:asciiTheme="majorHAnsi" w:hAnsiTheme="majorHAnsi" w:cs="Times New Roman"/>
          <w:sz w:val="20"/>
          <w:szCs w:val="20"/>
        </w:rPr>
        <w:t xml:space="preserve"> </w:t>
      </w:r>
    </w:p>
    <w:p w14:paraId="7305BEAF" w14:textId="77777777" w:rsidR="00BD7D42" w:rsidRPr="00CC03BE" w:rsidRDefault="00BD7D42" w:rsidP="003F3A8F">
      <w:pPr>
        <w:spacing w:after="0" w:line="240" w:lineRule="auto"/>
        <w:ind w:left="357"/>
        <w:jc w:val="both"/>
        <w:rPr>
          <w:rFonts w:asciiTheme="majorHAnsi" w:hAnsiTheme="majorHAnsi" w:cs="Times New Roman"/>
          <w:sz w:val="20"/>
          <w:szCs w:val="20"/>
        </w:rPr>
      </w:pPr>
    </w:p>
    <w:p w14:paraId="5D568389" w14:textId="0F86024F" w:rsidR="00FB708D" w:rsidRPr="00CC03BE" w:rsidRDefault="00785D49" w:rsidP="00582427">
      <w:pPr>
        <w:pStyle w:val="ListParagraph"/>
        <w:numPr>
          <w:ilvl w:val="0"/>
          <w:numId w:val="20"/>
        </w:numPr>
        <w:spacing w:after="0" w:line="240" w:lineRule="auto"/>
        <w:jc w:val="both"/>
        <w:rPr>
          <w:rFonts w:asciiTheme="majorHAnsi" w:hAnsiTheme="majorHAnsi" w:cs="Times New Roman"/>
          <w:sz w:val="20"/>
          <w:szCs w:val="20"/>
        </w:rPr>
      </w:pPr>
      <w:r w:rsidRPr="00CC03BE">
        <w:rPr>
          <w:rFonts w:asciiTheme="majorHAnsi" w:hAnsiTheme="majorHAnsi" w:cs="Times New Roman"/>
          <w:i/>
          <w:iCs/>
          <w:sz w:val="20"/>
          <w:szCs w:val="20"/>
          <w:lang w:val="es-ES_tradnl"/>
        </w:rPr>
        <w:t xml:space="preserve">Capítulo </w:t>
      </w:r>
      <w:r w:rsidR="004B258A" w:rsidRPr="00CC03BE">
        <w:rPr>
          <w:rFonts w:asciiTheme="majorHAnsi" w:hAnsiTheme="majorHAnsi" w:cs="Times New Roman"/>
          <w:i/>
          <w:iCs/>
          <w:sz w:val="20"/>
          <w:szCs w:val="20"/>
          <w:lang w:val="es-ES_tradnl"/>
        </w:rPr>
        <w:t>7. Dotación para la ciencia (programas de investigación de ICCAT)</w:t>
      </w:r>
      <w:r w:rsidRPr="00CC03BE">
        <w:rPr>
          <w:rFonts w:asciiTheme="majorHAnsi" w:hAnsiTheme="majorHAnsi" w:cs="Times New Roman"/>
          <w:sz w:val="20"/>
          <w:szCs w:val="20"/>
        </w:rPr>
        <w:t xml:space="preserve">. </w:t>
      </w:r>
      <w:r w:rsidR="0073585E" w:rsidRPr="00CC03BE">
        <w:rPr>
          <w:rFonts w:asciiTheme="majorHAnsi" w:hAnsiTheme="majorHAnsi" w:cs="Times New Roman"/>
          <w:sz w:val="20"/>
          <w:szCs w:val="20"/>
        </w:rPr>
        <w:t xml:space="preserve">Aumentar este capítulo </w:t>
      </w:r>
      <w:r w:rsidRPr="00CC03BE">
        <w:rPr>
          <w:rFonts w:asciiTheme="majorHAnsi" w:hAnsiTheme="majorHAnsi" w:cs="Times New Roman"/>
          <w:sz w:val="20"/>
          <w:szCs w:val="20"/>
        </w:rPr>
        <w:t>para cubrir todas las actividades requeridas por el SCRS.</w:t>
      </w:r>
    </w:p>
    <w:p w14:paraId="5B00FA1B" w14:textId="77777777" w:rsidR="00785D49" w:rsidRPr="00CC03BE" w:rsidRDefault="00785D49">
      <w:pPr>
        <w:pStyle w:val="ListParagraph"/>
        <w:spacing w:after="0" w:line="240" w:lineRule="auto"/>
        <w:ind w:left="360"/>
        <w:jc w:val="both"/>
        <w:rPr>
          <w:rFonts w:asciiTheme="majorHAnsi" w:hAnsiTheme="majorHAnsi" w:cs="Times New Roman"/>
          <w:sz w:val="16"/>
          <w:szCs w:val="16"/>
        </w:rPr>
      </w:pPr>
    </w:p>
    <w:p w14:paraId="5FAF3A68" w14:textId="40CA9EB4" w:rsidR="001E724E" w:rsidRPr="00CC03BE" w:rsidRDefault="001E724E">
      <w:pPr>
        <w:pStyle w:val="ListParagraph"/>
        <w:spacing w:after="0" w:line="240" w:lineRule="auto"/>
        <w:ind w:left="360"/>
        <w:jc w:val="both"/>
        <w:rPr>
          <w:rFonts w:asciiTheme="majorHAnsi" w:hAnsiTheme="majorHAnsi" w:cs="Times New Roman"/>
          <w:sz w:val="20"/>
          <w:szCs w:val="20"/>
        </w:rPr>
      </w:pPr>
      <w:r w:rsidRPr="00CC03BE">
        <w:rPr>
          <w:rFonts w:asciiTheme="majorHAnsi" w:hAnsiTheme="majorHAnsi" w:cs="Times New Roman"/>
          <w:sz w:val="20"/>
          <w:szCs w:val="20"/>
          <w:lang w:val="es-ES_tradnl"/>
        </w:rPr>
        <w:t>En 20</w:t>
      </w:r>
      <w:r w:rsidR="0075453A" w:rsidRPr="00CC03BE">
        <w:rPr>
          <w:rFonts w:asciiTheme="majorHAnsi" w:hAnsiTheme="majorHAnsi" w:cs="Times New Roman"/>
          <w:sz w:val="20"/>
          <w:szCs w:val="20"/>
          <w:lang w:val="es-ES_tradnl"/>
        </w:rPr>
        <w:t>2</w:t>
      </w:r>
      <w:r w:rsidR="004B258A" w:rsidRPr="00CC03BE">
        <w:rPr>
          <w:rFonts w:asciiTheme="majorHAnsi" w:hAnsiTheme="majorHAnsi" w:cs="Times New Roman"/>
          <w:sz w:val="20"/>
          <w:szCs w:val="20"/>
          <w:lang w:val="es-ES_tradnl"/>
        </w:rPr>
        <w:t>5</w:t>
      </w:r>
      <w:r w:rsidRPr="00CC03BE">
        <w:rPr>
          <w:rFonts w:asciiTheme="majorHAnsi" w:hAnsiTheme="majorHAnsi" w:cs="Times New Roman"/>
          <w:sz w:val="20"/>
          <w:szCs w:val="20"/>
          <w:lang w:val="es-ES_tradnl"/>
        </w:rPr>
        <w:t xml:space="preserve"> </w:t>
      </w:r>
      <w:r w:rsidR="00764B44" w:rsidRPr="00CC03BE">
        <w:rPr>
          <w:rFonts w:asciiTheme="majorHAnsi" w:hAnsiTheme="majorHAnsi" w:cs="Times New Roman"/>
          <w:sz w:val="20"/>
          <w:szCs w:val="20"/>
        </w:rPr>
        <w:t>este</w:t>
      </w:r>
      <w:r w:rsidRPr="00CC03BE">
        <w:rPr>
          <w:rFonts w:asciiTheme="majorHAnsi" w:hAnsiTheme="majorHAnsi" w:cs="Times New Roman"/>
          <w:sz w:val="20"/>
          <w:szCs w:val="20"/>
        </w:rPr>
        <w:t xml:space="preserve"> Programa </w:t>
      </w:r>
      <w:r w:rsidR="003F0BEC" w:rsidRPr="00CC03BE">
        <w:rPr>
          <w:rFonts w:asciiTheme="majorHAnsi" w:hAnsiTheme="majorHAnsi" w:cs="Times New Roman"/>
          <w:sz w:val="20"/>
          <w:szCs w:val="20"/>
        </w:rPr>
        <w:t xml:space="preserve">está siendo </w:t>
      </w:r>
      <w:r w:rsidRPr="00CC03BE">
        <w:rPr>
          <w:rFonts w:asciiTheme="majorHAnsi" w:hAnsiTheme="majorHAnsi" w:cs="Times New Roman"/>
          <w:sz w:val="20"/>
          <w:szCs w:val="20"/>
        </w:rPr>
        <w:t xml:space="preserve">financiado a través del </w:t>
      </w:r>
      <w:r w:rsidR="00C97A9D" w:rsidRPr="00CC03BE">
        <w:rPr>
          <w:rFonts w:asciiTheme="majorHAnsi" w:hAnsiTheme="majorHAnsi" w:cs="Times New Roman"/>
          <w:sz w:val="20"/>
          <w:szCs w:val="20"/>
        </w:rPr>
        <w:t>b</w:t>
      </w:r>
      <w:r w:rsidR="003F0BEC" w:rsidRPr="00CC03BE">
        <w:rPr>
          <w:rFonts w:asciiTheme="majorHAnsi" w:hAnsiTheme="majorHAnsi" w:cs="Times New Roman"/>
          <w:sz w:val="20"/>
          <w:szCs w:val="20"/>
        </w:rPr>
        <w:t>alance del Programa estratégico de investigación</w:t>
      </w:r>
      <w:r w:rsidRPr="00CC03BE">
        <w:rPr>
          <w:rFonts w:asciiTheme="majorHAnsi" w:hAnsiTheme="majorHAnsi" w:cs="Times New Roman"/>
          <w:sz w:val="20"/>
          <w:szCs w:val="20"/>
        </w:rPr>
        <w:t xml:space="preserve">, de la financiación de la Unión Europea a través de un contrato firmado </w:t>
      </w:r>
      <w:r w:rsidR="00875919" w:rsidRPr="00CC03BE">
        <w:rPr>
          <w:rFonts w:asciiTheme="majorHAnsi" w:hAnsiTheme="majorHAnsi" w:cs="Times New Roman"/>
          <w:sz w:val="20"/>
          <w:szCs w:val="20"/>
        </w:rPr>
        <w:t>que cubrirá</w:t>
      </w:r>
      <w:r w:rsidRPr="00CC03BE">
        <w:rPr>
          <w:rFonts w:asciiTheme="majorHAnsi" w:hAnsiTheme="majorHAnsi" w:cs="Times New Roman"/>
          <w:sz w:val="20"/>
          <w:szCs w:val="20"/>
        </w:rPr>
        <w:t xml:space="preserve"> el 80</w:t>
      </w:r>
      <w:r w:rsidR="003F3A8F" w:rsidRPr="00CC03BE">
        <w:rPr>
          <w:rFonts w:asciiTheme="majorHAnsi" w:hAnsiTheme="majorHAnsi" w:cs="Times New Roman"/>
          <w:sz w:val="20"/>
          <w:szCs w:val="20"/>
        </w:rPr>
        <w:t xml:space="preserve"> </w:t>
      </w:r>
      <w:r w:rsidRPr="00CC03BE">
        <w:rPr>
          <w:rFonts w:asciiTheme="majorHAnsi" w:hAnsiTheme="majorHAnsi" w:cs="Times New Roman"/>
          <w:sz w:val="20"/>
          <w:szCs w:val="20"/>
        </w:rPr>
        <w:t>% de los costes estimados en</w:t>
      </w:r>
      <w:r w:rsidRPr="00CC03BE">
        <w:rPr>
          <w:rFonts w:asciiTheme="majorHAnsi" w:hAnsiTheme="majorHAnsi" w:cs="Times New Roman"/>
          <w:sz w:val="20"/>
          <w:szCs w:val="20"/>
          <w:lang w:val="es-ES_tradnl"/>
        </w:rPr>
        <w:t xml:space="preserve"> </w:t>
      </w:r>
      <w:r w:rsidR="008B3C83" w:rsidRPr="00CC03BE">
        <w:rPr>
          <w:rFonts w:asciiTheme="majorHAnsi" w:hAnsiTheme="majorHAnsi" w:cs="Times New Roman"/>
          <w:sz w:val="20"/>
          <w:szCs w:val="20"/>
          <w:lang w:val="es-ES_tradnl"/>
        </w:rPr>
        <w:t>1.000.000,00</w:t>
      </w:r>
      <w:r w:rsidRPr="00CC03BE">
        <w:rPr>
          <w:rFonts w:asciiTheme="majorHAnsi" w:hAnsiTheme="majorHAnsi" w:cs="Times New Roman"/>
          <w:sz w:val="20"/>
          <w:szCs w:val="20"/>
        </w:rPr>
        <w:t xml:space="preserve"> euros</w:t>
      </w:r>
      <w:r w:rsidR="003B7339" w:rsidRPr="00CC03BE">
        <w:rPr>
          <w:rFonts w:asciiTheme="majorHAnsi" w:hAnsiTheme="majorHAnsi" w:cs="Times New Roman"/>
          <w:sz w:val="20"/>
          <w:szCs w:val="20"/>
        </w:rPr>
        <w:t xml:space="preserve"> </w:t>
      </w:r>
      <w:r w:rsidR="008B3C83" w:rsidRPr="00CC03BE">
        <w:rPr>
          <w:rFonts w:asciiTheme="majorHAnsi" w:hAnsiTheme="majorHAnsi" w:cs="Times New Roman"/>
          <w:sz w:val="20"/>
          <w:szCs w:val="20"/>
        </w:rPr>
        <w:t>(</w:t>
      </w:r>
      <w:r w:rsidR="00814919" w:rsidRPr="00CC03BE">
        <w:rPr>
          <w:rFonts w:asciiTheme="majorHAnsi" w:hAnsiTheme="majorHAnsi" w:cs="Times New Roman"/>
          <w:sz w:val="20"/>
          <w:szCs w:val="20"/>
        </w:rPr>
        <w:t>para actividades de 2024 y 2025)</w:t>
      </w:r>
      <w:r w:rsidR="008B3C83" w:rsidRPr="00CC03BE">
        <w:rPr>
          <w:rFonts w:asciiTheme="majorHAnsi" w:hAnsiTheme="majorHAnsi" w:cs="Times New Roman"/>
          <w:sz w:val="20"/>
          <w:szCs w:val="20"/>
        </w:rPr>
        <w:t xml:space="preserve"> </w:t>
      </w:r>
      <w:r w:rsidR="003B7339" w:rsidRPr="00CC03BE">
        <w:rPr>
          <w:rFonts w:asciiTheme="majorHAnsi" w:hAnsiTheme="majorHAnsi" w:cs="Times New Roman"/>
          <w:sz w:val="20"/>
          <w:szCs w:val="20"/>
        </w:rPr>
        <w:t>y</w:t>
      </w:r>
      <w:r w:rsidR="003B7339" w:rsidRPr="00CC03BE">
        <w:rPr>
          <w:rFonts w:asciiTheme="majorHAnsi" w:hAnsiTheme="majorHAnsi" w:cs="Times New Roman"/>
          <w:sz w:val="20"/>
          <w:szCs w:val="20"/>
          <w:lang w:val="es-ES_tradnl"/>
        </w:rPr>
        <w:t xml:space="preserve"> </w:t>
      </w:r>
      <w:r w:rsidR="005E3442" w:rsidRPr="00CC03BE">
        <w:rPr>
          <w:rFonts w:asciiTheme="majorHAnsi" w:hAnsiTheme="majorHAnsi" w:cs="Times New Roman"/>
          <w:sz w:val="20"/>
          <w:szCs w:val="20"/>
          <w:lang w:val="es-ES_tradnl"/>
        </w:rPr>
        <w:t>a través</w:t>
      </w:r>
      <w:r w:rsidR="003B7339" w:rsidRPr="00CC03BE">
        <w:rPr>
          <w:rFonts w:asciiTheme="majorHAnsi" w:hAnsiTheme="majorHAnsi" w:cs="Times New Roman"/>
          <w:sz w:val="20"/>
          <w:szCs w:val="20"/>
        </w:rPr>
        <w:t xml:space="preserve"> de </w:t>
      </w:r>
      <w:r w:rsidR="000F5B09" w:rsidRPr="00CC03BE">
        <w:rPr>
          <w:rFonts w:asciiTheme="majorHAnsi" w:hAnsiTheme="majorHAnsi" w:cs="Times New Roman"/>
          <w:sz w:val="20"/>
          <w:szCs w:val="20"/>
        </w:rPr>
        <w:t xml:space="preserve">la financiación de </w:t>
      </w:r>
      <w:r w:rsidR="003B7339" w:rsidRPr="00CC03BE">
        <w:rPr>
          <w:rFonts w:asciiTheme="majorHAnsi" w:hAnsiTheme="majorHAnsi" w:cs="Times New Roman"/>
          <w:sz w:val="20"/>
          <w:szCs w:val="20"/>
        </w:rPr>
        <w:t xml:space="preserve">Estados Unidos </w:t>
      </w:r>
      <w:r w:rsidR="003F0BEC" w:rsidRPr="00CC03BE">
        <w:rPr>
          <w:rFonts w:asciiTheme="majorHAnsi" w:hAnsiTheme="majorHAnsi" w:cs="Times New Roman"/>
          <w:sz w:val="20"/>
          <w:szCs w:val="20"/>
        </w:rPr>
        <w:t xml:space="preserve">con cargo a su Fondo especial para datos (hasta 155.000,00 euros), del Fondo de Estados Unidos para </w:t>
      </w:r>
      <w:r w:rsidR="0082130F" w:rsidRPr="00CC03BE">
        <w:rPr>
          <w:rFonts w:asciiTheme="majorHAnsi" w:hAnsiTheme="majorHAnsi" w:cs="Times New Roman"/>
          <w:sz w:val="20"/>
          <w:szCs w:val="20"/>
        </w:rPr>
        <w:t xml:space="preserve">los túnidos </w:t>
      </w:r>
      <w:r w:rsidR="003F0BEC" w:rsidRPr="00CC03BE">
        <w:rPr>
          <w:rFonts w:asciiTheme="majorHAnsi" w:hAnsiTheme="majorHAnsi" w:cs="Times New Roman"/>
          <w:sz w:val="20"/>
          <w:szCs w:val="20"/>
        </w:rPr>
        <w:t>tropicales (hasta 73.750,00 euros) y el Fondo para la restauración del Caribe “</w:t>
      </w:r>
      <w:proofErr w:type="spellStart"/>
      <w:r w:rsidR="003F0BEC" w:rsidRPr="00CC03BE">
        <w:rPr>
          <w:rFonts w:asciiTheme="majorHAnsi" w:hAnsiTheme="majorHAnsi" w:cs="Times New Roman"/>
          <w:sz w:val="20"/>
          <w:szCs w:val="20"/>
        </w:rPr>
        <w:t>Deepwater</w:t>
      </w:r>
      <w:proofErr w:type="spellEnd"/>
      <w:r w:rsidR="003F0BEC" w:rsidRPr="00CC03BE">
        <w:rPr>
          <w:rFonts w:asciiTheme="majorHAnsi" w:hAnsiTheme="majorHAnsi" w:cs="Times New Roman"/>
          <w:sz w:val="20"/>
          <w:szCs w:val="20"/>
        </w:rPr>
        <w:t xml:space="preserve"> </w:t>
      </w:r>
      <w:proofErr w:type="spellStart"/>
      <w:r w:rsidR="003F0BEC" w:rsidRPr="00CC03BE">
        <w:rPr>
          <w:rFonts w:asciiTheme="majorHAnsi" w:hAnsiTheme="majorHAnsi" w:cs="Times New Roman"/>
          <w:sz w:val="20"/>
          <w:szCs w:val="20"/>
        </w:rPr>
        <w:t>Horizon</w:t>
      </w:r>
      <w:proofErr w:type="spellEnd"/>
      <w:r w:rsidR="003F0BEC" w:rsidRPr="00CC03BE">
        <w:rPr>
          <w:rFonts w:asciiTheme="majorHAnsi" w:hAnsiTheme="majorHAnsi" w:cs="Times New Roman"/>
          <w:sz w:val="20"/>
          <w:szCs w:val="20"/>
        </w:rPr>
        <w:t>” (hasta 121.000,00 euros)</w:t>
      </w:r>
      <w:r w:rsidRPr="00CC03BE">
        <w:rPr>
          <w:rFonts w:asciiTheme="majorHAnsi" w:hAnsiTheme="majorHAnsi" w:cs="Times New Roman"/>
          <w:sz w:val="20"/>
          <w:szCs w:val="20"/>
        </w:rPr>
        <w:t>.</w:t>
      </w:r>
      <w:r w:rsidR="00F2246E" w:rsidRPr="00CC03BE">
        <w:rPr>
          <w:rFonts w:asciiTheme="majorHAnsi" w:hAnsiTheme="majorHAnsi" w:cs="Times New Roman"/>
          <w:sz w:val="20"/>
          <w:szCs w:val="20"/>
        </w:rPr>
        <w:t xml:space="preserve"> Además, las actividades del Programa de investigación sobre atún rojo para todo el Atlántico (GBYP) son financiadas en su totalidad por contribuciones voluntarias, </w:t>
      </w:r>
      <w:r w:rsidR="003F3A8F" w:rsidRPr="00CC03BE">
        <w:rPr>
          <w:rFonts w:asciiTheme="majorHAnsi" w:hAnsiTheme="majorHAnsi" w:cs="Times New Roman"/>
          <w:sz w:val="20"/>
          <w:szCs w:val="20"/>
        </w:rPr>
        <w:t>financiando</w:t>
      </w:r>
      <w:r w:rsidR="00F2246E" w:rsidRPr="00CC03BE">
        <w:rPr>
          <w:rFonts w:asciiTheme="majorHAnsi" w:hAnsiTheme="majorHAnsi" w:cs="Times New Roman"/>
          <w:sz w:val="20"/>
          <w:szCs w:val="20"/>
        </w:rPr>
        <w:t xml:space="preserve"> la Unión Europea el 80</w:t>
      </w:r>
      <w:r w:rsidR="000F5B09" w:rsidRPr="00CC03BE">
        <w:rPr>
          <w:rFonts w:asciiTheme="majorHAnsi" w:hAnsiTheme="majorHAnsi" w:cs="Times New Roman"/>
          <w:sz w:val="20"/>
          <w:szCs w:val="20"/>
        </w:rPr>
        <w:t xml:space="preserve"> </w:t>
      </w:r>
      <w:r w:rsidR="00F2246E" w:rsidRPr="00CC03BE">
        <w:rPr>
          <w:rFonts w:asciiTheme="majorHAnsi" w:hAnsiTheme="majorHAnsi" w:cs="Times New Roman"/>
          <w:sz w:val="20"/>
          <w:szCs w:val="20"/>
        </w:rPr>
        <w:t>%</w:t>
      </w:r>
      <w:r w:rsidR="003F3A8F" w:rsidRPr="00CC03BE">
        <w:rPr>
          <w:rFonts w:asciiTheme="majorHAnsi" w:hAnsiTheme="majorHAnsi" w:cs="Times New Roman"/>
          <w:sz w:val="20"/>
          <w:szCs w:val="20"/>
        </w:rPr>
        <w:t>. El GBYP</w:t>
      </w:r>
      <w:r w:rsidR="00F2246E" w:rsidRPr="00CC03BE">
        <w:rPr>
          <w:rFonts w:asciiTheme="majorHAnsi" w:hAnsiTheme="majorHAnsi" w:cs="Times New Roman"/>
          <w:sz w:val="20"/>
          <w:szCs w:val="20"/>
        </w:rPr>
        <w:t xml:space="preserve"> cuenta con un presupuesto de</w:t>
      </w:r>
      <w:r w:rsidR="00F2246E" w:rsidRPr="00CC03BE">
        <w:rPr>
          <w:rFonts w:asciiTheme="majorHAnsi" w:hAnsiTheme="majorHAnsi" w:cs="Times New Roman"/>
          <w:sz w:val="20"/>
          <w:szCs w:val="20"/>
          <w:lang w:val="es-ES_tradnl"/>
        </w:rPr>
        <w:t xml:space="preserve"> </w:t>
      </w:r>
      <w:r w:rsidR="003F0BEC" w:rsidRPr="00CC03BE">
        <w:rPr>
          <w:rFonts w:asciiTheme="majorHAnsi" w:hAnsiTheme="majorHAnsi" w:cs="Times New Roman"/>
          <w:sz w:val="20"/>
          <w:szCs w:val="20"/>
          <w:lang w:val="es-ES_tradnl"/>
        </w:rPr>
        <w:t>815</w:t>
      </w:r>
      <w:r w:rsidR="00F2246E" w:rsidRPr="00CC03BE">
        <w:rPr>
          <w:rFonts w:asciiTheme="majorHAnsi" w:hAnsiTheme="majorHAnsi" w:cs="Times New Roman"/>
          <w:sz w:val="20"/>
          <w:szCs w:val="20"/>
          <w:lang w:val="es-ES_tradnl"/>
        </w:rPr>
        <w:t>.000,00 euro</w:t>
      </w:r>
      <w:r w:rsidR="00F2246E" w:rsidRPr="00CC03BE">
        <w:rPr>
          <w:rFonts w:asciiTheme="majorHAnsi" w:hAnsiTheme="majorHAnsi" w:cs="Times New Roman"/>
          <w:sz w:val="20"/>
          <w:szCs w:val="20"/>
        </w:rPr>
        <w:t>s.</w:t>
      </w:r>
    </w:p>
    <w:p w14:paraId="5708EC47" w14:textId="0C5D3AD6" w:rsidR="001E724E" w:rsidRPr="00CC03BE" w:rsidRDefault="001E724E" w:rsidP="006E7829">
      <w:pPr>
        <w:pStyle w:val="ListParagraph"/>
        <w:spacing w:after="0" w:line="240" w:lineRule="auto"/>
        <w:ind w:left="360"/>
        <w:jc w:val="both"/>
        <w:rPr>
          <w:rFonts w:asciiTheme="majorHAnsi" w:hAnsiTheme="majorHAnsi" w:cs="Times New Roman"/>
          <w:sz w:val="20"/>
          <w:szCs w:val="20"/>
        </w:rPr>
      </w:pPr>
    </w:p>
    <w:p w14:paraId="1BF470EB" w14:textId="5C2E2562" w:rsidR="00814919" w:rsidRPr="00CC03BE" w:rsidRDefault="001E724E" w:rsidP="00EC6366">
      <w:pPr>
        <w:pStyle w:val="ListParagraph"/>
        <w:spacing w:after="0" w:line="240" w:lineRule="auto"/>
        <w:ind w:left="360"/>
        <w:jc w:val="both"/>
        <w:rPr>
          <w:rFonts w:asciiTheme="majorHAnsi" w:hAnsiTheme="majorHAnsi" w:cs="Times New Roman"/>
          <w:sz w:val="20"/>
          <w:szCs w:val="20"/>
          <w:lang w:val="es-ES_tradnl"/>
        </w:rPr>
      </w:pPr>
      <w:r w:rsidRPr="00CC03BE">
        <w:rPr>
          <w:rFonts w:asciiTheme="majorHAnsi" w:hAnsiTheme="majorHAnsi" w:cs="Times New Roman"/>
          <w:sz w:val="20"/>
          <w:szCs w:val="20"/>
        </w:rPr>
        <w:t xml:space="preserve">Para </w:t>
      </w:r>
      <w:r w:rsidRPr="00CC03BE">
        <w:rPr>
          <w:rFonts w:asciiTheme="majorHAnsi" w:hAnsiTheme="majorHAnsi" w:cs="Times New Roman"/>
          <w:sz w:val="20"/>
          <w:szCs w:val="20"/>
          <w:lang w:val="es-ES_tradnl"/>
        </w:rPr>
        <w:t>20</w:t>
      </w:r>
      <w:r w:rsidR="006B45EE" w:rsidRPr="00CC03BE">
        <w:rPr>
          <w:rFonts w:asciiTheme="majorHAnsi" w:hAnsiTheme="majorHAnsi" w:cs="Times New Roman"/>
          <w:sz w:val="20"/>
          <w:szCs w:val="20"/>
          <w:lang w:val="es-ES_tradnl"/>
        </w:rPr>
        <w:t>2</w:t>
      </w:r>
      <w:r w:rsidR="003F0BEC" w:rsidRPr="00CC03BE">
        <w:rPr>
          <w:rFonts w:asciiTheme="majorHAnsi" w:hAnsiTheme="majorHAnsi" w:cs="Times New Roman"/>
          <w:sz w:val="20"/>
          <w:szCs w:val="20"/>
          <w:lang w:val="es-ES_tradnl"/>
        </w:rPr>
        <w:t>6</w:t>
      </w:r>
      <w:r w:rsidRPr="00CC03BE">
        <w:rPr>
          <w:rFonts w:asciiTheme="majorHAnsi" w:hAnsiTheme="majorHAnsi" w:cs="Times New Roman"/>
          <w:sz w:val="20"/>
          <w:szCs w:val="20"/>
          <w:lang w:val="es-ES_tradnl"/>
        </w:rPr>
        <w:t>, l</w:t>
      </w:r>
      <w:r w:rsidRPr="00CC03BE">
        <w:rPr>
          <w:rFonts w:asciiTheme="majorHAnsi" w:hAnsiTheme="majorHAnsi" w:cs="Times New Roman"/>
          <w:sz w:val="20"/>
          <w:szCs w:val="20"/>
        </w:rPr>
        <w:t xml:space="preserve">a Secretaría </w:t>
      </w:r>
      <w:r w:rsidR="00814919" w:rsidRPr="00CC03BE">
        <w:rPr>
          <w:rFonts w:asciiTheme="majorHAnsi" w:hAnsiTheme="majorHAnsi" w:cs="Times New Roman"/>
          <w:sz w:val="20"/>
          <w:szCs w:val="20"/>
        </w:rPr>
        <w:t xml:space="preserve">ha recibido una comunicación de Estados Unidos donde han informado que contribuirán con </w:t>
      </w:r>
      <w:r w:rsidR="00791FB1" w:rsidRPr="00CC03BE">
        <w:rPr>
          <w:rFonts w:asciiTheme="majorHAnsi" w:hAnsiTheme="majorHAnsi" w:cs="Times New Roman"/>
          <w:sz w:val="20"/>
          <w:szCs w:val="20"/>
        </w:rPr>
        <w:t>223.891,29</w:t>
      </w:r>
      <w:r w:rsidR="00814919" w:rsidRPr="00CC03BE">
        <w:rPr>
          <w:rFonts w:asciiTheme="majorHAnsi" w:hAnsiTheme="majorHAnsi" w:cs="Times New Roman"/>
          <w:sz w:val="20"/>
          <w:szCs w:val="20"/>
        </w:rPr>
        <w:t xml:space="preserve"> euros</w:t>
      </w:r>
      <w:r w:rsidR="003F0BEC" w:rsidRPr="00CC03BE">
        <w:rPr>
          <w:rFonts w:asciiTheme="majorHAnsi" w:hAnsiTheme="majorHAnsi" w:cs="Times New Roman"/>
          <w:sz w:val="20"/>
          <w:szCs w:val="20"/>
        </w:rPr>
        <w:t xml:space="preserve">, de China a través de su Fondo especial para datos con </w:t>
      </w:r>
      <w:r w:rsidR="00D25BA0" w:rsidRPr="00CC03BE">
        <w:rPr>
          <w:rFonts w:asciiTheme="majorHAnsi" w:hAnsiTheme="majorHAnsi" w:cs="Times New Roman"/>
          <w:sz w:val="20"/>
          <w:szCs w:val="20"/>
        </w:rPr>
        <w:t>40.000,00</w:t>
      </w:r>
      <w:r w:rsidR="00B804AE" w:rsidRPr="00CC03BE">
        <w:rPr>
          <w:rFonts w:asciiTheme="majorHAnsi" w:hAnsiTheme="majorHAnsi" w:cs="Times New Roman"/>
          <w:sz w:val="20"/>
          <w:szCs w:val="20"/>
        </w:rPr>
        <w:t> </w:t>
      </w:r>
      <w:r w:rsidR="00D25BA0" w:rsidRPr="00CC03BE">
        <w:rPr>
          <w:rFonts w:asciiTheme="majorHAnsi" w:hAnsiTheme="majorHAnsi" w:cs="Times New Roman"/>
          <w:sz w:val="20"/>
          <w:szCs w:val="20"/>
        </w:rPr>
        <w:t>euros</w:t>
      </w:r>
      <w:r w:rsidR="003F0BEC" w:rsidRPr="00CC03BE">
        <w:rPr>
          <w:rFonts w:asciiTheme="majorHAnsi" w:hAnsiTheme="majorHAnsi" w:cs="Times New Roman"/>
          <w:sz w:val="20"/>
          <w:szCs w:val="20"/>
        </w:rPr>
        <w:t xml:space="preserve"> y Canadá con</w:t>
      </w:r>
      <w:r w:rsidR="00D25BA0" w:rsidRPr="00CC03BE">
        <w:rPr>
          <w:rFonts w:asciiTheme="majorHAnsi" w:hAnsiTheme="majorHAnsi" w:cs="Times New Roman"/>
          <w:sz w:val="20"/>
          <w:szCs w:val="20"/>
        </w:rPr>
        <w:t xml:space="preserve"> 62.000,00 </w:t>
      </w:r>
      <w:r w:rsidR="00B804AE" w:rsidRPr="00CC03BE">
        <w:rPr>
          <w:rFonts w:asciiTheme="majorHAnsi" w:hAnsiTheme="majorHAnsi" w:cs="Times New Roman"/>
          <w:sz w:val="20"/>
          <w:szCs w:val="20"/>
        </w:rPr>
        <w:t>dólares canadienses</w:t>
      </w:r>
      <w:r w:rsidR="00D25BA0" w:rsidRPr="00CC03BE">
        <w:rPr>
          <w:rFonts w:asciiTheme="majorHAnsi" w:hAnsiTheme="majorHAnsi" w:cs="Times New Roman"/>
          <w:sz w:val="20"/>
          <w:szCs w:val="20"/>
        </w:rPr>
        <w:t xml:space="preserve"> (aproximadamente 38.225,24 euros)</w:t>
      </w:r>
      <w:r w:rsidR="006B0F05" w:rsidRPr="00CC03BE">
        <w:rPr>
          <w:rFonts w:asciiTheme="majorHAnsi" w:hAnsiTheme="majorHAnsi" w:cs="Times New Roman"/>
          <w:sz w:val="20"/>
          <w:szCs w:val="20"/>
        </w:rPr>
        <w:t xml:space="preserve"> y de la Unión Europea de </w:t>
      </w:r>
      <w:r w:rsidR="00D25BA0" w:rsidRPr="00CC03BE">
        <w:rPr>
          <w:rFonts w:asciiTheme="majorHAnsi" w:hAnsiTheme="majorHAnsi" w:cs="Times New Roman"/>
          <w:sz w:val="20"/>
          <w:szCs w:val="20"/>
        </w:rPr>
        <w:t>542.241,06 euros</w:t>
      </w:r>
      <w:r w:rsidR="00814919" w:rsidRPr="00CC03BE">
        <w:rPr>
          <w:rFonts w:asciiTheme="majorHAnsi" w:hAnsiTheme="majorHAnsi" w:cs="Times New Roman"/>
          <w:sz w:val="20"/>
          <w:szCs w:val="20"/>
        </w:rPr>
        <w:t>. Este importe</w:t>
      </w:r>
      <w:r w:rsidR="00665D29" w:rsidRPr="00CC03BE">
        <w:rPr>
          <w:rFonts w:asciiTheme="majorHAnsi" w:hAnsiTheme="majorHAnsi" w:cs="Times New Roman"/>
          <w:sz w:val="20"/>
          <w:szCs w:val="20"/>
        </w:rPr>
        <w:t>,</w:t>
      </w:r>
      <w:r w:rsidR="00814919" w:rsidRPr="00CC03BE">
        <w:rPr>
          <w:rFonts w:asciiTheme="majorHAnsi" w:hAnsiTheme="majorHAnsi" w:cs="Times New Roman"/>
          <w:sz w:val="20"/>
          <w:szCs w:val="20"/>
        </w:rPr>
        <w:t xml:space="preserve"> junto con </w:t>
      </w:r>
      <w:r w:rsidR="003F0BEC" w:rsidRPr="00CC03BE">
        <w:rPr>
          <w:rFonts w:asciiTheme="majorHAnsi" w:hAnsiTheme="majorHAnsi" w:cs="Times New Roman"/>
          <w:sz w:val="20"/>
          <w:szCs w:val="20"/>
        </w:rPr>
        <w:t xml:space="preserve">la dotación para la ciencia </w:t>
      </w:r>
      <w:r w:rsidR="00D25BA0" w:rsidRPr="00CC03BE">
        <w:rPr>
          <w:rFonts w:asciiTheme="majorHAnsi" w:hAnsiTheme="majorHAnsi" w:cs="Times New Roman"/>
          <w:sz w:val="20"/>
          <w:szCs w:val="20"/>
        </w:rPr>
        <w:t xml:space="preserve">solicitada </w:t>
      </w:r>
      <w:r w:rsidR="00CE3632" w:rsidRPr="00CC03BE">
        <w:rPr>
          <w:rFonts w:asciiTheme="majorHAnsi" w:hAnsiTheme="majorHAnsi" w:cs="Times New Roman"/>
          <w:sz w:val="20"/>
          <w:szCs w:val="20"/>
        </w:rPr>
        <w:t>de</w:t>
      </w:r>
      <w:r w:rsidR="00D25BA0" w:rsidRPr="00CC03BE">
        <w:rPr>
          <w:rFonts w:asciiTheme="majorHAnsi" w:hAnsiTheme="majorHAnsi" w:cs="Times New Roman"/>
          <w:sz w:val="20"/>
          <w:szCs w:val="20"/>
        </w:rPr>
        <w:t xml:space="preserve"> 2026 </w:t>
      </w:r>
      <w:r w:rsidR="00CE3632" w:rsidRPr="00CC03BE">
        <w:rPr>
          <w:rFonts w:asciiTheme="majorHAnsi" w:hAnsiTheme="majorHAnsi" w:cs="Times New Roman"/>
          <w:sz w:val="20"/>
          <w:szCs w:val="20"/>
        </w:rPr>
        <w:t>(</w:t>
      </w:r>
      <w:r w:rsidR="000D0329" w:rsidRPr="000D0329">
        <w:rPr>
          <w:rFonts w:asciiTheme="majorHAnsi" w:hAnsiTheme="majorHAnsi" w:cs="Times New Roman"/>
          <w:sz w:val="20"/>
          <w:szCs w:val="20"/>
          <w:u w:val="single"/>
        </w:rPr>
        <w:t>250</w:t>
      </w:r>
      <w:r w:rsidR="00791FB1" w:rsidRPr="000D0329">
        <w:rPr>
          <w:rFonts w:asciiTheme="majorHAnsi" w:hAnsiTheme="majorHAnsi" w:cs="Times New Roman"/>
          <w:sz w:val="20"/>
          <w:szCs w:val="20"/>
          <w:u w:val="single"/>
        </w:rPr>
        <w:t>.</w:t>
      </w:r>
      <w:r w:rsidR="000D0329" w:rsidRPr="000D0329">
        <w:rPr>
          <w:rFonts w:asciiTheme="majorHAnsi" w:hAnsiTheme="majorHAnsi" w:cs="Times New Roman"/>
          <w:sz w:val="20"/>
          <w:szCs w:val="20"/>
          <w:u w:val="single"/>
        </w:rPr>
        <w:t>000</w:t>
      </w:r>
      <w:r w:rsidR="00791FB1" w:rsidRPr="000D0329">
        <w:rPr>
          <w:rFonts w:asciiTheme="majorHAnsi" w:hAnsiTheme="majorHAnsi" w:cs="Times New Roman"/>
          <w:sz w:val="20"/>
          <w:szCs w:val="20"/>
          <w:u w:val="single"/>
        </w:rPr>
        <w:t>,</w:t>
      </w:r>
      <w:r w:rsidR="000D0329" w:rsidRPr="000D0329">
        <w:rPr>
          <w:rFonts w:asciiTheme="majorHAnsi" w:hAnsiTheme="majorHAnsi" w:cs="Times New Roman"/>
          <w:sz w:val="20"/>
          <w:szCs w:val="20"/>
          <w:u w:val="single"/>
        </w:rPr>
        <w:t>00</w:t>
      </w:r>
      <w:r w:rsidR="00D25BA0" w:rsidRPr="00CC03BE">
        <w:rPr>
          <w:rFonts w:asciiTheme="majorHAnsi" w:hAnsiTheme="majorHAnsi" w:cs="Times New Roman"/>
          <w:sz w:val="20"/>
          <w:szCs w:val="20"/>
        </w:rPr>
        <w:t xml:space="preserve"> euros</w:t>
      </w:r>
      <w:r w:rsidR="00CE3632" w:rsidRPr="00CC03BE">
        <w:rPr>
          <w:rFonts w:asciiTheme="majorHAnsi" w:hAnsiTheme="majorHAnsi" w:cs="Times New Roman"/>
          <w:sz w:val="20"/>
          <w:szCs w:val="20"/>
        </w:rPr>
        <w:t>)</w:t>
      </w:r>
      <w:r w:rsidR="003F0BEC" w:rsidRPr="00CC03BE">
        <w:rPr>
          <w:rFonts w:asciiTheme="majorHAnsi" w:hAnsiTheme="majorHAnsi" w:cs="Times New Roman"/>
          <w:sz w:val="20"/>
          <w:szCs w:val="20"/>
        </w:rPr>
        <w:t xml:space="preserve"> y </w:t>
      </w:r>
      <w:r w:rsidR="001D6C85" w:rsidRPr="00CC03BE">
        <w:rPr>
          <w:rFonts w:asciiTheme="majorHAnsi" w:hAnsiTheme="majorHAnsi" w:cs="Times New Roman"/>
          <w:sz w:val="20"/>
          <w:szCs w:val="20"/>
          <w:lang w:val="es-ES_tradnl"/>
        </w:rPr>
        <w:t>el balance del Programa estratégico de investigación</w:t>
      </w:r>
      <w:r w:rsidR="00B804AE" w:rsidRPr="00CC03BE">
        <w:rPr>
          <w:rFonts w:asciiTheme="majorHAnsi" w:hAnsiTheme="majorHAnsi" w:cs="Times New Roman"/>
          <w:sz w:val="20"/>
          <w:szCs w:val="20"/>
          <w:lang w:val="es-ES_tradnl"/>
        </w:rPr>
        <w:t>,</w:t>
      </w:r>
      <w:r w:rsidR="00814919" w:rsidRPr="00CC03BE">
        <w:rPr>
          <w:rFonts w:asciiTheme="majorHAnsi" w:hAnsiTheme="majorHAnsi" w:cs="Times New Roman"/>
          <w:sz w:val="20"/>
          <w:szCs w:val="20"/>
          <w:lang w:val="es-ES_tradnl"/>
        </w:rPr>
        <w:t xml:space="preserve"> </w:t>
      </w:r>
      <w:r w:rsidR="00D30B94" w:rsidRPr="00CC03BE">
        <w:rPr>
          <w:rFonts w:asciiTheme="majorHAnsi" w:hAnsiTheme="majorHAnsi" w:cs="Times New Roman"/>
          <w:sz w:val="20"/>
          <w:szCs w:val="20"/>
          <w:lang w:val="es-ES_tradnl"/>
        </w:rPr>
        <w:t>cubrirá</w:t>
      </w:r>
      <w:r w:rsidR="00814919" w:rsidRPr="00CC03BE">
        <w:rPr>
          <w:rFonts w:asciiTheme="majorHAnsi" w:hAnsiTheme="majorHAnsi" w:cs="Times New Roman"/>
          <w:sz w:val="20"/>
          <w:szCs w:val="20"/>
          <w:lang w:val="es-ES_tradnl"/>
        </w:rPr>
        <w:t xml:space="preserve"> </w:t>
      </w:r>
      <w:r w:rsidR="00D25BA0" w:rsidRPr="00CC03BE">
        <w:rPr>
          <w:rFonts w:asciiTheme="majorHAnsi" w:hAnsiTheme="majorHAnsi" w:cs="Times New Roman"/>
          <w:sz w:val="20"/>
          <w:szCs w:val="20"/>
          <w:lang w:val="es-ES_tradnl"/>
        </w:rPr>
        <w:t>la totalidad de</w:t>
      </w:r>
      <w:r w:rsidR="003F0BEC" w:rsidRPr="00CC03BE">
        <w:rPr>
          <w:rFonts w:asciiTheme="majorHAnsi" w:hAnsiTheme="majorHAnsi" w:cs="Times New Roman"/>
          <w:sz w:val="20"/>
          <w:szCs w:val="20"/>
          <w:lang w:val="es-ES_tradnl"/>
        </w:rPr>
        <w:t xml:space="preserve"> </w:t>
      </w:r>
      <w:r w:rsidR="001D6C85" w:rsidRPr="00CC03BE">
        <w:rPr>
          <w:rFonts w:asciiTheme="majorHAnsi" w:hAnsiTheme="majorHAnsi" w:cs="Times New Roman"/>
          <w:sz w:val="20"/>
          <w:szCs w:val="20"/>
          <w:lang w:val="es-ES_tradnl"/>
        </w:rPr>
        <w:t>las actividades solicitadas por el SCRS</w:t>
      </w:r>
      <w:r w:rsidR="00814919" w:rsidRPr="00CC03BE">
        <w:rPr>
          <w:rFonts w:asciiTheme="majorHAnsi" w:hAnsiTheme="majorHAnsi" w:cs="Times New Roman"/>
          <w:sz w:val="20"/>
          <w:szCs w:val="20"/>
          <w:lang w:val="es-ES_tradnl"/>
        </w:rPr>
        <w:t xml:space="preserve"> para 202</w:t>
      </w:r>
      <w:r w:rsidR="003F0BEC" w:rsidRPr="00CC03BE">
        <w:rPr>
          <w:rFonts w:asciiTheme="majorHAnsi" w:hAnsiTheme="majorHAnsi" w:cs="Times New Roman"/>
          <w:sz w:val="20"/>
          <w:szCs w:val="20"/>
          <w:lang w:val="es-ES_tradnl"/>
        </w:rPr>
        <w:t>6</w:t>
      </w:r>
      <w:r w:rsidR="00E278ED" w:rsidRPr="00CC03BE">
        <w:rPr>
          <w:rFonts w:asciiTheme="majorHAnsi" w:hAnsiTheme="majorHAnsi" w:cs="Times New Roman"/>
          <w:sz w:val="20"/>
          <w:szCs w:val="20"/>
          <w:lang w:val="es-ES_tradnl"/>
        </w:rPr>
        <w:t xml:space="preserve">. </w:t>
      </w:r>
      <w:r w:rsidR="00E278ED" w:rsidRPr="00CC03BE">
        <w:rPr>
          <w:rFonts w:asciiTheme="majorHAnsi" w:hAnsiTheme="majorHAnsi" w:cs="Times New Roman"/>
          <w:sz w:val="20"/>
          <w:szCs w:val="20"/>
        </w:rPr>
        <w:t>E</w:t>
      </w:r>
      <w:r w:rsidR="003976F3" w:rsidRPr="00CC03BE">
        <w:rPr>
          <w:rFonts w:asciiTheme="majorHAnsi" w:hAnsiTheme="majorHAnsi" w:cs="Times New Roman"/>
          <w:sz w:val="20"/>
          <w:szCs w:val="20"/>
        </w:rPr>
        <w:t xml:space="preserve">l </w:t>
      </w:r>
      <w:r w:rsidR="000F5B09" w:rsidRPr="00CC03BE">
        <w:rPr>
          <w:rFonts w:asciiTheme="majorHAnsi" w:hAnsiTheme="majorHAnsi" w:cs="Times New Roman"/>
          <w:sz w:val="20"/>
          <w:szCs w:val="20"/>
        </w:rPr>
        <w:t>GBYP</w:t>
      </w:r>
      <w:r w:rsidR="00E278ED" w:rsidRPr="00CC03BE">
        <w:rPr>
          <w:rFonts w:asciiTheme="majorHAnsi" w:hAnsiTheme="majorHAnsi" w:cs="Times New Roman"/>
          <w:sz w:val="20"/>
          <w:szCs w:val="20"/>
        </w:rPr>
        <w:t xml:space="preserve"> </w:t>
      </w:r>
      <w:r w:rsidR="00D25BA0" w:rsidRPr="00CC03BE">
        <w:rPr>
          <w:rFonts w:asciiTheme="majorHAnsi" w:hAnsiTheme="majorHAnsi" w:cs="Times New Roman"/>
          <w:sz w:val="20"/>
          <w:szCs w:val="20"/>
        </w:rPr>
        <w:t xml:space="preserve">se financiará con el remanente </w:t>
      </w:r>
      <w:r w:rsidR="00254C4F" w:rsidRPr="00CC03BE">
        <w:rPr>
          <w:rFonts w:asciiTheme="majorHAnsi" w:hAnsiTheme="majorHAnsi" w:cs="Times New Roman"/>
          <w:sz w:val="20"/>
          <w:szCs w:val="20"/>
        </w:rPr>
        <w:t xml:space="preserve">de años anteriores </w:t>
      </w:r>
      <w:r w:rsidR="00D25BA0" w:rsidRPr="00CC03BE">
        <w:rPr>
          <w:rFonts w:asciiTheme="majorHAnsi" w:hAnsiTheme="majorHAnsi" w:cs="Times New Roman"/>
          <w:sz w:val="20"/>
          <w:szCs w:val="20"/>
        </w:rPr>
        <w:t xml:space="preserve">y </w:t>
      </w:r>
      <w:r w:rsidR="00E278ED" w:rsidRPr="00CC03BE">
        <w:rPr>
          <w:rFonts w:asciiTheme="majorHAnsi" w:hAnsiTheme="majorHAnsi" w:cs="Times New Roman"/>
          <w:sz w:val="20"/>
          <w:szCs w:val="20"/>
        </w:rPr>
        <w:t>a través de contribuciones voluntarias</w:t>
      </w:r>
      <w:r w:rsidR="00875919" w:rsidRPr="00CC03BE">
        <w:rPr>
          <w:rFonts w:asciiTheme="majorHAnsi" w:hAnsiTheme="majorHAnsi" w:cs="Times New Roman"/>
          <w:sz w:val="20"/>
          <w:szCs w:val="20"/>
        </w:rPr>
        <w:t>.</w:t>
      </w:r>
      <w:r w:rsidR="00D7367B" w:rsidRPr="00CC03BE">
        <w:rPr>
          <w:rFonts w:asciiTheme="majorHAnsi" w:hAnsiTheme="majorHAnsi" w:cs="Times New Roman"/>
          <w:sz w:val="20"/>
          <w:szCs w:val="20"/>
          <w:lang w:val="es-ES_tradnl"/>
        </w:rPr>
        <w:t xml:space="preserve"> </w:t>
      </w:r>
    </w:p>
    <w:p w14:paraId="14A01C53" w14:textId="77777777" w:rsidR="00814919" w:rsidRPr="00CC03BE" w:rsidRDefault="00814919" w:rsidP="00EC6366">
      <w:pPr>
        <w:pStyle w:val="ListParagraph"/>
        <w:spacing w:after="0" w:line="240" w:lineRule="auto"/>
        <w:ind w:left="360"/>
        <w:jc w:val="both"/>
        <w:rPr>
          <w:rFonts w:asciiTheme="majorHAnsi" w:hAnsiTheme="majorHAnsi" w:cs="Times New Roman"/>
          <w:sz w:val="20"/>
          <w:szCs w:val="20"/>
          <w:lang w:val="es-ES_tradnl"/>
        </w:rPr>
      </w:pPr>
    </w:p>
    <w:p w14:paraId="6FA6CB74" w14:textId="7159A53C" w:rsidR="001E724E" w:rsidRPr="00CC03BE" w:rsidRDefault="00D7367B" w:rsidP="00EC6366">
      <w:pPr>
        <w:pStyle w:val="ListParagraph"/>
        <w:spacing w:after="0" w:line="240" w:lineRule="auto"/>
        <w:ind w:left="360"/>
        <w:jc w:val="both"/>
        <w:rPr>
          <w:rFonts w:asciiTheme="majorHAnsi" w:hAnsiTheme="majorHAnsi" w:cs="Times New Roman"/>
          <w:sz w:val="20"/>
          <w:szCs w:val="20"/>
        </w:rPr>
      </w:pPr>
      <w:r w:rsidRPr="00CC03BE">
        <w:rPr>
          <w:rFonts w:asciiTheme="majorHAnsi" w:hAnsiTheme="majorHAnsi" w:cs="Times New Roman"/>
          <w:sz w:val="20"/>
          <w:szCs w:val="20"/>
          <w:lang w:val="es-ES_tradnl"/>
        </w:rPr>
        <w:t>Dad</w:t>
      </w:r>
      <w:r w:rsidRPr="00CC03BE">
        <w:rPr>
          <w:rFonts w:asciiTheme="majorHAnsi" w:hAnsiTheme="majorHAnsi" w:cs="Times New Roman"/>
          <w:sz w:val="20"/>
          <w:szCs w:val="20"/>
        </w:rPr>
        <w:t xml:space="preserve">o </w:t>
      </w:r>
      <w:r w:rsidR="00875919" w:rsidRPr="00CC03BE">
        <w:rPr>
          <w:rFonts w:asciiTheme="majorHAnsi" w:hAnsiTheme="majorHAnsi" w:cs="Times New Roman"/>
          <w:sz w:val="20"/>
          <w:szCs w:val="20"/>
        </w:rPr>
        <w:t xml:space="preserve">que el presupuesto de la Comisión todavía no cubre los costes </w:t>
      </w:r>
      <w:r w:rsidR="00DF1DB4" w:rsidRPr="00CC03BE">
        <w:rPr>
          <w:rFonts w:asciiTheme="majorHAnsi" w:hAnsiTheme="majorHAnsi" w:cs="Times New Roman"/>
          <w:sz w:val="20"/>
          <w:szCs w:val="20"/>
        </w:rPr>
        <w:t xml:space="preserve">y actividades </w:t>
      </w:r>
      <w:r w:rsidR="00875919" w:rsidRPr="00CC03BE">
        <w:rPr>
          <w:rFonts w:asciiTheme="majorHAnsi" w:hAnsiTheme="majorHAnsi" w:cs="Times New Roman"/>
          <w:sz w:val="20"/>
          <w:szCs w:val="20"/>
        </w:rPr>
        <w:t>que requiere el SCRS</w:t>
      </w:r>
      <w:r w:rsidR="00EC6366" w:rsidRPr="00CC03BE">
        <w:rPr>
          <w:rFonts w:asciiTheme="majorHAnsi" w:hAnsiTheme="majorHAnsi" w:cs="Times New Roman"/>
          <w:sz w:val="20"/>
          <w:szCs w:val="20"/>
        </w:rPr>
        <w:t xml:space="preserve">, se </w:t>
      </w:r>
      <w:r w:rsidR="00221A9F" w:rsidRPr="00CC03BE">
        <w:rPr>
          <w:rFonts w:asciiTheme="majorHAnsi" w:hAnsiTheme="majorHAnsi" w:cs="Times New Roman"/>
          <w:sz w:val="20"/>
          <w:szCs w:val="20"/>
        </w:rPr>
        <w:t>insta</w:t>
      </w:r>
      <w:r w:rsidR="00EC6366" w:rsidRPr="00CC03BE">
        <w:rPr>
          <w:rFonts w:asciiTheme="majorHAnsi" w:hAnsiTheme="majorHAnsi" w:cs="Times New Roman"/>
          <w:sz w:val="20"/>
          <w:szCs w:val="20"/>
        </w:rPr>
        <w:t xml:space="preserve"> a la Comisión </w:t>
      </w:r>
      <w:r w:rsidR="003F3A8F" w:rsidRPr="00CC03BE">
        <w:rPr>
          <w:rFonts w:asciiTheme="majorHAnsi" w:hAnsiTheme="majorHAnsi" w:cs="Times New Roman"/>
          <w:sz w:val="20"/>
          <w:szCs w:val="20"/>
        </w:rPr>
        <w:t xml:space="preserve">a </w:t>
      </w:r>
      <w:r w:rsidR="00EC6366" w:rsidRPr="00CC03BE">
        <w:rPr>
          <w:rFonts w:asciiTheme="majorHAnsi" w:hAnsiTheme="majorHAnsi" w:cs="Times New Roman"/>
          <w:sz w:val="20"/>
          <w:szCs w:val="20"/>
        </w:rPr>
        <w:t xml:space="preserve">que en los próximos presupuestos se refuerce el </w:t>
      </w:r>
      <w:r w:rsidR="00CD20A6" w:rsidRPr="00CC03BE">
        <w:rPr>
          <w:rFonts w:asciiTheme="majorHAnsi" w:hAnsiTheme="majorHAnsi" w:cs="Times New Roman"/>
          <w:sz w:val="20"/>
          <w:szCs w:val="20"/>
        </w:rPr>
        <w:t xml:space="preserve">capítulo </w:t>
      </w:r>
      <w:r w:rsidR="003F0BEC" w:rsidRPr="00CC03BE">
        <w:rPr>
          <w:rFonts w:asciiTheme="majorHAnsi" w:hAnsiTheme="majorHAnsi" w:cs="Times New Roman"/>
          <w:sz w:val="20"/>
          <w:szCs w:val="20"/>
        </w:rPr>
        <w:t>7</w:t>
      </w:r>
      <w:r w:rsidR="00EC6366" w:rsidRPr="00CC03BE">
        <w:rPr>
          <w:rFonts w:asciiTheme="majorHAnsi" w:hAnsiTheme="majorHAnsi" w:cs="Times New Roman"/>
          <w:sz w:val="20"/>
          <w:szCs w:val="20"/>
        </w:rPr>
        <w:t xml:space="preserve"> para regularizar presupuestariamente la totalidad de las actividades</w:t>
      </w:r>
      <w:r w:rsidR="00221A9F" w:rsidRPr="00CC03BE">
        <w:rPr>
          <w:rFonts w:asciiTheme="majorHAnsi" w:hAnsiTheme="majorHAnsi" w:cs="Times New Roman"/>
          <w:sz w:val="20"/>
          <w:szCs w:val="20"/>
        </w:rPr>
        <w:t xml:space="preserve"> del SCRS</w:t>
      </w:r>
      <w:r w:rsidR="00875919" w:rsidRPr="00CC03BE">
        <w:rPr>
          <w:rFonts w:asciiTheme="majorHAnsi" w:hAnsiTheme="majorHAnsi" w:cs="Times New Roman"/>
          <w:sz w:val="20"/>
          <w:szCs w:val="20"/>
        </w:rPr>
        <w:t>.</w:t>
      </w:r>
    </w:p>
    <w:p w14:paraId="65ACBC47" w14:textId="77777777" w:rsidR="007C74FE" w:rsidRPr="00CC03BE" w:rsidRDefault="007C74FE" w:rsidP="002B4B7B">
      <w:pPr>
        <w:spacing w:after="0" w:line="240" w:lineRule="auto"/>
        <w:jc w:val="both"/>
        <w:rPr>
          <w:rFonts w:asciiTheme="majorHAnsi" w:hAnsiTheme="majorHAnsi" w:cs="Times New Roman"/>
          <w:sz w:val="20"/>
          <w:szCs w:val="20"/>
        </w:rPr>
      </w:pPr>
    </w:p>
    <w:p w14:paraId="2EBFE86E" w14:textId="0BAF7B94" w:rsidR="007C74FE" w:rsidRPr="00CC03BE" w:rsidRDefault="0095065E" w:rsidP="0085004C">
      <w:pPr>
        <w:spacing w:after="0" w:line="240" w:lineRule="auto"/>
        <w:jc w:val="both"/>
        <w:rPr>
          <w:rFonts w:asciiTheme="majorHAnsi" w:hAnsiTheme="majorHAnsi" w:cs="Times New Roman"/>
          <w:b/>
          <w:i/>
          <w:sz w:val="20"/>
          <w:szCs w:val="20"/>
        </w:rPr>
      </w:pPr>
      <w:r w:rsidRPr="00CC03BE">
        <w:rPr>
          <w:rFonts w:asciiTheme="majorHAnsi" w:hAnsiTheme="majorHAnsi" w:cs="Times New Roman"/>
          <w:b/>
          <w:i/>
          <w:sz w:val="20"/>
          <w:szCs w:val="20"/>
        </w:rPr>
        <w:t>U</w:t>
      </w:r>
      <w:r w:rsidR="00BB3836" w:rsidRPr="00CC03BE">
        <w:rPr>
          <w:rFonts w:asciiTheme="majorHAnsi" w:hAnsiTheme="majorHAnsi" w:cs="Times New Roman"/>
          <w:b/>
          <w:i/>
          <w:sz w:val="20"/>
          <w:szCs w:val="20"/>
        </w:rPr>
        <w:t>tilización del fondo de operaciones</w:t>
      </w:r>
    </w:p>
    <w:p w14:paraId="13448860" w14:textId="77777777" w:rsidR="00EE5E76" w:rsidRPr="00CC03BE" w:rsidRDefault="00EE5E76" w:rsidP="002B4B7B">
      <w:pPr>
        <w:spacing w:after="0" w:line="240" w:lineRule="auto"/>
        <w:jc w:val="both"/>
        <w:rPr>
          <w:rFonts w:asciiTheme="majorHAnsi" w:hAnsiTheme="majorHAnsi" w:cs="Times New Roman"/>
          <w:sz w:val="20"/>
          <w:szCs w:val="20"/>
        </w:rPr>
      </w:pPr>
    </w:p>
    <w:p w14:paraId="4E81DE9D" w14:textId="09F5ADDA" w:rsidR="008C7172" w:rsidRPr="00365348" w:rsidRDefault="000C41D4" w:rsidP="00883039">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P</w:t>
      </w:r>
      <w:r w:rsidR="00253E37" w:rsidRPr="00CC03BE">
        <w:rPr>
          <w:rFonts w:asciiTheme="majorHAnsi" w:hAnsiTheme="majorHAnsi" w:cs="Times New Roman"/>
          <w:sz w:val="20"/>
          <w:szCs w:val="20"/>
        </w:rPr>
        <w:t xml:space="preserve">ara </w:t>
      </w:r>
      <w:r w:rsidR="00253E37" w:rsidRPr="00CC03BE">
        <w:rPr>
          <w:rFonts w:asciiTheme="majorHAnsi" w:hAnsiTheme="majorHAnsi" w:cs="Times New Roman"/>
          <w:sz w:val="20"/>
          <w:szCs w:val="20"/>
          <w:lang w:val="es-ES_tradnl"/>
        </w:rPr>
        <w:t>202</w:t>
      </w:r>
      <w:r w:rsidR="007F7464" w:rsidRPr="00CC03BE">
        <w:rPr>
          <w:rFonts w:asciiTheme="majorHAnsi" w:hAnsiTheme="majorHAnsi" w:cs="Times New Roman"/>
          <w:sz w:val="20"/>
          <w:szCs w:val="20"/>
          <w:lang w:val="es-ES_tradnl"/>
        </w:rPr>
        <w:t>6</w:t>
      </w:r>
      <w:r w:rsidR="00253E37" w:rsidRPr="00CC03BE">
        <w:rPr>
          <w:rFonts w:asciiTheme="majorHAnsi" w:hAnsiTheme="majorHAnsi" w:cs="Times New Roman"/>
          <w:sz w:val="20"/>
          <w:szCs w:val="20"/>
          <w:lang w:val="es-ES_tradnl"/>
        </w:rPr>
        <w:t xml:space="preserve"> será </w:t>
      </w:r>
      <w:r w:rsidR="00253E37" w:rsidRPr="00CC03BE">
        <w:rPr>
          <w:rFonts w:asciiTheme="majorHAnsi" w:hAnsiTheme="majorHAnsi" w:cs="Times New Roman"/>
          <w:sz w:val="20"/>
          <w:szCs w:val="20"/>
        </w:rPr>
        <w:t>necesario seguir utilizando el fondo de operaciones para la celebración de las reuniones intersesiones</w:t>
      </w:r>
      <w:r w:rsidR="0068450D" w:rsidRPr="00CC03BE">
        <w:rPr>
          <w:rFonts w:asciiTheme="majorHAnsi" w:hAnsiTheme="majorHAnsi" w:cs="Times New Roman"/>
          <w:sz w:val="20"/>
          <w:szCs w:val="20"/>
        </w:rPr>
        <w:t xml:space="preserve"> de la Comisión,</w:t>
      </w:r>
      <w:r w:rsidR="00253E37" w:rsidRPr="00CC03BE">
        <w:rPr>
          <w:rFonts w:asciiTheme="majorHAnsi" w:hAnsiTheme="majorHAnsi" w:cs="Times New Roman"/>
          <w:sz w:val="20"/>
          <w:szCs w:val="20"/>
        </w:rPr>
        <w:t xml:space="preserve"> </w:t>
      </w:r>
      <w:r w:rsidR="004169B4" w:rsidRPr="00CC03BE">
        <w:rPr>
          <w:rFonts w:asciiTheme="majorHAnsi" w:hAnsiTheme="majorHAnsi" w:cs="Times New Roman"/>
          <w:sz w:val="20"/>
          <w:szCs w:val="20"/>
        </w:rPr>
        <w:t xml:space="preserve">tanto presenciales como en línea. En </w:t>
      </w:r>
      <w:r w:rsidR="004169B4" w:rsidRPr="00CC03BE">
        <w:rPr>
          <w:rFonts w:asciiTheme="majorHAnsi" w:hAnsiTheme="majorHAnsi" w:cs="Times New Roman"/>
          <w:sz w:val="20"/>
          <w:szCs w:val="20"/>
          <w:lang w:val="es-ES_tradnl"/>
        </w:rPr>
        <w:t>202</w:t>
      </w:r>
      <w:r w:rsidR="007F7464" w:rsidRPr="00CC03BE">
        <w:rPr>
          <w:rFonts w:asciiTheme="majorHAnsi" w:hAnsiTheme="majorHAnsi" w:cs="Times New Roman"/>
          <w:sz w:val="20"/>
          <w:szCs w:val="20"/>
          <w:lang w:val="es-ES_tradnl"/>
        </w:rPr>
        <w:t>5</w:t>
      </w:r>
      <w:r w:rsidR="004169B4" w:rsidRPr="00CC03BE">
        <w:rPr>
          <w:rFonts w:asciiTheme="majorHAnsi" w:hAnsiTheme="majorHAnsi" w:cs="Times New Roman"/>
          <w:sz w:val="20"/>
          <w:szCs w:val="20"/>
          <w:lang w:val="es-ES_tradnl"/>
        </w:rPr>
        <w:t xml:space="preserve"> </w:t>
      </w:r>
      <w:r w:rsidR="00073DC3" w:rsidRPr="00CC03BE">
        <w:rPr>
          <w:rFonts w:asciiTheme="majorHAnsi" w:hAnsiTheme="majorHAnsi" w:cs="Times New Roman"/>
          <w:sz w:val="20"/>
          <w:szCs w:val="20"/>
          <w:lang w:val="es-ES_tradnl"/>
        </w:rPr>
        <w:t xml:space="preserve">se </w:t>
      </w:r>
      <w:r w:rsidR="001B3772" w:rsidRPr="00CC03BE">
        <w:rPr>
          <w:rFonts w:asciiTheme="majorHAnsi" w:hAnsiTheme="majorHAnsi" w:cs="Times New Roman"/>
          <w:sz w:val="20"/>
          <w:szCs w:val="20"/>
        </w:rPr>
        <w:t>han</w:t>
      </w:r>
      <w:r w:rsidR="00073DC3" w:rsidRPr="00CC03BE">
        <w:rPr>
          <w:rFonts w:asciiTheme="majorHAnsi" w:hAnsiTheme="majorHAnsi" w:cs="Times New Roman"/>
          <w:sz w:val="20"/>
          <w:szCs w:val="20"/>
        </w:rPr>
        <w:t xml:space="preserve"> celebrado </w:t>
      </w:r>
      <w:r w:rsidR="00C026CC" w:rsidRPr="00CC03BE">
        <w:rPr>
          <w:rFonts w:asciiTheme="majorHAnsi" w:hAnsiTheme="majorHAnsi" w:cs="Times New Roman"/>
          <w:sz w:val="20"/>
          <w:szCs w:val="20"/>
        </w:rPr>
        <w:t>1</w:t>
      </w:r>
      <w:r w:rsidR="00C97A9D" w:rsidRPr="00CC03BE">
        <w:rPr>
          <w:rFonts w:asciiTheme="majorHAnsi" w:hAnsiTheme="majorHAnsi" w:cs="Times New Roman"/>
          <w:sz w:val="20"/>
          <w:szCs w:val="20"/>
        </w:rPr>
        <w:t>0</w:t>
      </w:r>
      <w:r w:rsidR="00073DC3" w:rsidRPr="00CC03BE">
        <w:rPr>
          <w:rFonts w:asciiTheme="majorHAnsi" w:hAnsiTheme="majorHAnsi" w:cs="Times New Roman"/>
          <w:sz w:val="20"/>
          <w:szCs w:val="20"/>
          <w:lang w:val="es-ES_tradnl"/>
        </w:rPr>
        <w:t xml:space="preserve"> re</w:t>
      </w:r>
      <w:r w:rsidR="00073DC3" w:rsidRPr="00CC03BE">
        <w:rPr>
          <w:rFonts w:asciiTheme="majorHAnsi" w:hAnsiTheme="majorHAnsi" w:cs="Times New Roman"/>
          <w:sz w:val="20"/>
          <w:szCs w:val="20"/>
        </w:rPr>
        <w:t xml:space="preserve">uniones </w:t>
      </w:r>
      <w:r w:rsidR="00073DC3" w:rsidRPr="00365348">
        <w:rPr>
          <w:rFonts w:asciiTheme="majorHAnsi" w:hAnsiTheme="majorHAnsi" w:cs="Times New Roman"/>
          <w:sz w:val="20"/>
          <w:szCs w:val="20"/>
        </w:rPr>
        <w:t>intersesiones, que han requerido financiación</w:t>
      </w:r>
      <w:r w:rsidR="001B3772" w:rsidRPr="00365348">
        <w:rPr>
          <w:rFonts w:asciiTheme="majorHAnsi" w:hAnsiTheme="majorHAnsi" w:cs="Times New Roman"/>
          <w:sz w:val="20"/>
          <w:szCs w:val="20"/>
        </w:rPr>
        <w:t xml:space="preserve"> con cargo al fondo de operaciones</w:t>
      </w:r>
      <w:r w:rsidR="00073DC3" w:rsidRPr="00365348">
        <w:rPr>
          <w:rFonts w:asciiTheme="majorHAnsi" w:hAnsiTheme="majorHAnsi" w:cs="Times New Roman"/>
          <w:sz w:val="20"/>
          <w:szCs w:val="20"/>
        </w:rPr>
        <w:t xml:space="preserve">. </w:t>
      </w:r>
      <w:r w:rsidR="001B3772" w:rsidRPr="00365348">
        <w:rPr>
          <w:rFonts w:asciiTheme="majorHAnsi" w:hAnsiTheme="majorHAnsi" w:cs="Times New Roman"/>
          <w:sz w:val="20"/>
          <w:szCs w:val="20"/>
          <w:u w:val="single"/>
        </w:rPr>
        <w:t>C</w:t>
      </w:r>
      <w:r w:rsidR="00D53AE8" w:rsidRPr="00365348">
        <w:rPr>
          <w:rFonts w:asciiTheme="majorHAnsi" w:hAnsiTheme="majorHAnsi" w:cs="Times New Roman"/>
          <w:sz w:val="20"/>
          <w:szCs w:val="20"/>
          <w:u w:val="single"/>
        </w:rPr>
        <w:t>inco</w:t>
      </w:r>
      <w:r w:rsidR="001B3772" w:rsidRPr="00365348">
        <w:rPr>
          <w:rFonts w:asciiTheme="majorHAnsi" w:hAnsiTheme="majorHAnsi" w:cs="Times New Roman"/>
          <w:sz w:val="20"/>
          <w:szCs w:val="20"/>
        </w:rPr>
        <w:t xml:space="preserve"> </w:t>
      </w:r>
      <w:r w:rsidR="00073DC3" w:rsidRPr="00365348">
        <w:rPr>
          <w:rFonts w:asciiTheme="majorHAnsi" w:hAnsiTheme="majorHAnsi" w:cs="Times New Roman"/>
          <w:sz w:val="20"/>
          <w:szCs w:val="20"/>
        </w:rPr>
        <w:t xml:space="preserve">de estas reuniones han contado con la </w:t>
      </w:r>
      <w:r w:rsidR="00EE16C6" w:rsidRPr="00365348">
        <w:rPr>
          <w:rFonts w:asciiTheme="majorHAnsi" w:hAnsiTheme="majorHAnsi" w:cs="Times New Roman"/>
          <w:sz w:val="20"/>
          <w:szCs w:val="20"/>
          <w:lang w:val="es-ES_tradnl"/>
        </w:rPr>
        <w:t>co</w:t>
      </w:r>
      <w:r w:rsidR="00073DC3" w:rsidRPr="00365348">
        <w:rPr>
          <w:rFonts w:asciiTheme="majorHAnsi" w:hAnsiTheme="majorHAnsi" w:cs="Times New Roman"/>
          <w:sz w:val="20"/>
          <w:szCs w:val="20"/>
          <w:lang w:val="es-ES_tradnl"/>
        </w:rPr>
        <w:t>financiación</w:t>
      </w:r>
      <w:r w:rsidR="00073DC3" w:rsidRPr="00365348">
        <w:rPr>
          <w:rFonts w:asciiTheme="majorHAnsi" w:hAnsiTheme="majorHAnsi" w:cs="Times New Roman"/>
          <w:sz w:val="20"/>
          <w:szCs w:val="20"/>
        </w:rPr>
        <w:t xml:space="preserve"> de la Unión Europ</w:t>
      </w:r>
      <w:r w:rsidR="00665D29" w:rsidRPr="00365348">
        <w:rPr>
          <w:rFonts w:asciiTheme="majorHAnsi" w:hAnsiTheme="majorHAnsi" w:cs="Times New Roman"/>
          <w:sz w:val="20"/>
          <w:szCs w:val="20"/>
        </w:rPr>
        <w:t>e</w:t>
      </w:r>
      <w:r w:rsidR="00073DC3" w:rsidRPr="00365348">
        <w:rPr>
          <w:rFonts w:asciiTheme="majorHAnsi" w:hAnsiTheme="majorHAnsi" w:cs="Times New Roman"/>
          <w:sz w:val="20"/>
          <w:szCs w:val="20"/>
        </w:rPr>
        <w:t>a.</w:t>
      </w:r>
      <w:r w:rsidR="00D73762" w:rsidRPr="00365348">
        <w:rPr>
          <w:rFonts w:asciiTheme="majorHAnsi" w:hAnsiTheme="majorHAnsi" w:cs="Times New Roman"/>
          <w:sz w:val="20"/>
          <w:szCs w:val="20"/>
        </w:rPr>
        <w:t xml:space="preserve"> Se estima que el gasto previsto necesario sea de </w:t>
      </w:r>
      <w:r w:rsidR="00D53AE8" w:rsidRPr="00365348">
        <w:rPr>
          <w:rFonts w:asciiTheme="majorHAnsi" w:hAnsiTheme="majorHAnsi" w:cs="Times New Roman"/>
          <w:sz w:val="20"/>
          <w:szCs w:val="20"/>
          <w:u w:val="single"/>
        </w:rPr>
        <w:t>84</w:t>
      </w:r>
      <w:r w:rsidR="00D73762" w:rsidRPr="00365348">
        <w:rPr>
          <w:rFonts w:asciiTheme="majorHAnsi" w:hAnsiTheme="majorHAnsi" w:cs="Times New Roman"/>
          <w:sz w:val="20"/>
          <w:szCs w:val="20"/>
          <w:u w:val="single"/>
        </w:rPr>
        <w:t>.4</w:t>
      </w:r>
      <w:r w:rsidR="00D53AE8" w:rsidRPr="00365348">
        <w:rPr>
          <w:rFonts w:asciiTheme="majorHAnsi" w:hAnsiTheme="majorHAnsi" w:cs="Times New Roman"/>
          <w:sz w:val="20"/>
          <w:szCs w:val="20"/>
          <w:u w:val="single"/>
        </w:rPr>
        <w:t>72</w:t>
      </w:r>
      <w:r w:rsidR="00D73762" w:rsidRPr="00365348">
        <w:rPr>
          <w:rFonts w:asciiTheme="majorHAnsi" w:hAnsiTheme="majorHAnsi" w:cs="Times New Roman"/>
          <w:sz w:val="20"/>
          <w:szCs w:val="20"/>
          <w:u w:val="single"/>
        </w:rPr>
        <w:t>,</w:t>
      </w:r>
      <w:r w:rsidR="00D53AE8" w:rsidRPr="00365348">
        <w:rPr>
          <w:rFonts w:asciiTheme="majorHAnsi" w:hAnsiTheme="majorHAnsi" w:cs="Times New Roman"/>
          <w:sz w:val="20"/>
          <w:szCs w:val="20"/>
          <w:u w:val="single"/>
        </w:rPr>
        <w:t>41</w:t>
      </w:r>
      <w:r w:rsidR="00D73762" w:rsidRPr="00365348">
        <w:rPr>
          <w:rFonts w:asciiTheme="majorHAnsi" w:hAnsiTheme="majorHAnsi" w:cs="Times New Roman"/>
          <w:sz w:val="20"/>
          <w:szCs w:val="20"/>
          <w:u w:val="single"/>
        </w:rPr>
        <w:t xml:space="preserve"> </w:t>
      </w:r>
      <w:r w:rsidR="00D73762" w:rsidRPr="00365348">
        <w:rPr>
          <w:rFonts w:asciiTheme="majorHAnsi" w:hAnsiTheme="majorHAnsi" w:cs="Times New Roman"/>
          <w:sz w:val="20"/>
          <w:szCs w:val="20"/>
        </w:rPr>
        <w:t>euros.</w:t>
      </w:r>
    </w:p>
    <w:p w14:paraId="475DB5BE" w14:textId="77777777" w:rsidR="001B3772" w:rsidRPr="00365348" w:rsidRDefault="001B3772" w:rsidP="00883039">
      <w:pPr>
        <w:spacing w:after="0" w:line="240" w:lineRule="auto"/>
        <w:jc w:val="both"/>
        <w:rPr>
          <w:rFonts w:asciiTheme="majorHAnsi" w:hAnsiTheme="majorHAnsi" w:cs="Times New Roman"/>
          <w:sz w:val="20"/>
          <w:szCs w:val="20"/>
        </w:rPr>
      </w:pPr>
    </w:p>
    <w:p w14:paraId="66B3DDF0" w14:textId="111BF58D" w:rsidR="001B3772" w:rsidRPr="00CC03BE" w:rsidRDefault="001B3772" w:rsidP="00883039">
      <w:pPr>
        <w:spacing w:after="0" w:line="240" w:lineRule="auto"/>
        <w:jc w:val="both"/>
        <w:rPr>
          <w:rFonts w:asciiTheme="majorHAnsi" w:hAnsiTheme="majorHAnsi" w:cs="Times New Roman"/>
          <w:sz w:val="20"/>
          <w:szCs w:val="20"/>
        </w:rPr>
      </w:pPr>
      <w:r w:rsidRPr="00365348">
        <w:rPr>
          <w:rFonts w:asciiTheme="majorHAnsi" w:hAnsiTheme="majorHAnsi" w:cs="Times New Roman"/>
          <w:sz w:val="20"/>
          <w:szCs w:val="20"/>
        </w:rPr>
        <w:t xml:space="preserve">Si la Comisión no recibe ninguna invitación para la celebración de la reunión anual de 2026, será necesario recurrir al fondo de operaciones para cubrir los gastos que excedan del </w:t>
      </w:r>
      <w:r w:rsidR="0068450D" w:rsidRPr="00365348">
        <w:rPr>
          <w:rFonts w:asciiTheme="majorHAnsi" w:hAnsiTheme="majorHAnsi" w:cs="Times New Roman"/>
          <w:sz w:val="20"/>
          <w:szCs w:val="20"/>
        </w:rPr>
        <w:t xml:space="preserve">importe solicitado en el </w:t>
      </w:r>
      <w:r w:rsidRPr="00365348">
        <w:rPr>
          <w:rFonts w:asciiTheme="majorHAnsi" w:hAnsiTheme="majorHAnsi" w:cs="Times New Roman"/>
          <w:sz w:val="20"/>
          <w:szCs w:val="20"/>
        </w:rPr>
        <w:t xml:space="preserve">capítulo 3.a Reunión anual de la Comisión </w:t>
      </w:r>
      <w:r w:rsidR="00D73762" w:rsidRPr="00365348">
        <w:rPr>
          <w:rFonts w:asciiTheme="majorHAnsi" w:hAnsiTheme="majorHAnsi" w:cs="Times New Roman"/>
          <w:sz w:val="20"/>
          <w:szCs w:val="20"/>
        </w:rPr>
        <w:t>(</w:t>
      </w:r>
      <w:r w:rsidRPr="00365348">
        <w:rPr>
          <w:rFonts w:asciiTheme="majorHAnsi" w:hAnsiTheme="majorHAnsi" w:cs="Times New Roman"/>
          <w:sz w:val="20"/>
          <w:szCs w:val="20"/>
        </w:rPr>
        <w:t>210.000,00 euros</w:t>
      </w:r>
      <w:r w:rsidR="00D73762" w:rsidRPr="00365348">
        <w:rPr>
          <w:rFonts w:asciiTheme="majorHAnsi" w:hAnsiTheme="majorHAnsi" w:cs="Times New Roman"/>
          <w:sz w:val="20"/>
          <w:szCs w:val="20"/>
        </w:rPr>
        <w:t>)</w:t>
      </w:r>
      <w:r w:rsidRPr="00365348">
        <w:rPr>
          <w:rFonts w:asciiTheme="majorHAnsi" w:hAnsiTheme="majorHAnsi" w:cs="Times New Roman"/>
          <w:sz w:val="20"/>
          <w:szCs w:val="20"/>
        </w:rPr>
        <w:t>.</w:t>
      </w:r>
      <w:r w:rsidR="00D73762" w:rsidRPr="00365348">
        <w:rPr>
          <w:rFonts w:asciiTheme="majorHAnsi" w:hAnsiTheme="majorHAnsi" w:cs="Times New Roman"/>
          <w:sz w:val="20"/>
          <w:szCs w:val="20"/>
        </w:rPr>
        <w:t xml:space="preserve"> Se estima que se necesitarán </w:t>
      </w:r>
      <w:r w:rsidR="00D73762" w:rsidRPr="00365348">
        <w:rPr>
          <w:rFonts w:asciiTheme="majorHAnsi" w:hAnsiTheme="majorHAnsi" w:cs="Times New Roman"/>
          <w:sz w:val="20"/>
          <w:szCs w:val="20"/>
          <w:u w:val="single"/>
        </w:rPr>
        <w:t>32</w:t>
      </w:r>
      <w:r w:rsidR="00D53AE8" w:rsidRPr="00365348">
        <w:rPr>
          <w:rFonts w:asciiTheme="majorHAnsi" w:hAnsiTheme="majorHAnsi" w:cs="Times New Roman"/>
          <w:sz w:val="20"/>
          <w:szCs w:val="20"/>
          <w:u w:val="single"/>
        </w:rPr>
        <w:t>6</w:t>
      </w:r>
      <w:r w:rsidR="00D73762" w:rsidRPr="00365348">
        <w:rPr>
          <w:rFonts w:asciiTheme="majorHAnsi" w:hAnsiTheme="majorHAnsi" w:cs="Times New Roman"/>
          <w:sz w:val="20"/>
          <w:szCs w:val="20"/>
          <w:u w:val="single"/>
        </w:rPr>
        <w:t>.0</w:t>
      </w:r>
      <w:r w:rsidR="00D53AE8" w:rsidRPr="00365348">
        <w:rPr>
          <w:rFonts w:asciiTheme="majorHAnsi" w:hAnsiTheme="majorHAnsi" w:cs="Times New Roman"/>
          <w:sz w:val="20"/>
          <w:szCs w:val="20"/>
          <w:u w:val="single"/>
        </w:rPr>
        <w:t>93</w:t>
      </w:r>
      <w:r w:rsidR="00D73762" w:rsidRPr="00365348">
        <w:rPr>
          <w:rFonts w:asciiTheme="majorHAnsi" w:hAnsiTheme="majorHAnsi" w:cs="Times New Roman"/>
          <w:sz w:val="20"/>
          <w:szCs w:val="20"/>
          <w:u w:val="single"/>
        </w:rPr>
        <w:t>,8</w:t>
      </w:r>
      <w:r w:rsidR="00D53AE8" w:rsidRPr="00365348">
        <w:rPr>
          <w:rFonts w:asciiTheme="majorHAnsi" w:hAnsiTheme="majorHAnsi" w:cs="Times New Roman"/>
          <w:sz w:val="20"/>
          <w:szCs w:val="20"/>
          <w:u w:val="single"/>
        </w:rPr>
        <w:t>8</w:t>
      </w:r>
      <w:r w:rsidR="00D73762" w:rsidRPr="00365348">
        <w:rPr>
          <w:rFonts w:asciiTheme="majorHAnsi" w:hAnsiTheme="majorHAnsi" w:cs="Times New Roman"/>
          <w:sz w:val="20"/>
          <w:szCs w:val="20"/>
          <w:u w:val="single"/>
        </w:rPr>
        <w:t xml:space="preserve"> </w:t>
      </w:r>
      <w:r w:rsidR="00D73762" w:rsidRPr="00365348">
        <w:rPr>
          <w:rFonts w:asciiTheme="majorHAnsi" w:hAnsiTheme="majorHAnsi" w:cs="Times New Roman"/>
          <w:sz w:val="20"/>
          <w:szCs w:val="20"/>
        </w:rPr>
        <w:t>euros.</w:t>
      </w:r>
    </w:p>
    <w:p w14:paraId="2FBD79F6" w14:textId="7049F702" w:rsidR="000C41D4" w:rsidRPr="00CC03BE" w:rsidRDefault="000C41D4" w:rsidP="00883039">
      <w:pPr>
        <w:spacing w:after="0" w:line="240" w:lineRule="auto"/>
        <w:jc w:val="both"/>
        <w:rPr>
          <w:rFonts w:asciiTheme="majorHAnsi" w:hAnsiTheme="majorHAnsi" w:cs="Times New Roman"/>
          <w:sz w:val="20"/>
          <w:szCs w:val="20"/>
        </w:rPr>
      </w:pPr>
    </w:p>
    <w:p w14:paraId="4E74A0BD" w14:textId="3B655D32" w:rsidR="0068450D" w:rsidRPr="00365348" w:rsidRDefault="000C41D4" w:rsidP="008C067C">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También </w:t>
      </w:r>
      <w:r w:rsidR="00DB1397" w:rsidRPr="00CC03BE">
        <w:rPr>
          <w:rFonts w:asciiTheme="majorHAnsi" w:hAnsiTheme="majorHAnsi" w:cs="Times New Roman"/>
          <w:sz w:val="20"/>
          <w:szCs w:val="20"/>
        </w:rPr>
        <w:t xml:space="preserve">será necesario utilizar el fondo de operaciones para incrementar el balance del Fondo para </w:t>
      </w:r>
      <w:r w:rsidR="00C94DE0" w:rsidRPr="00CC03BE">
        <w:rPr>
          <w:rFonts w:asciiTheme="majorHAnsi" w:hAnsiTheme="majorHAnsi" w:cs="Times New Roman"/>
          <w:sz w:val="20"/>
          <w:szCs w:val="20"/>
        </w:rPr>
        <w:t xml:space="preserve">la </w:t>
      </w:r>
      <w:r w:rsidR="00DB1397" w:rsidRPr="00CC03BE">
        <w:rPr>
          <w:rFonts w:asciiTheme="majorHAnsi" w:hAnsiTheme="majorHAnsi" w:cs="Times New Roman"/>
          <w:sz w:val="20"/>
          <w:szCs w:val="20"/>
        </w:rPr>
        <w:t>participación en reuniones,</w:t>
      </w:r>
      <w:r w:rsidR="00020093" w:rsidRPr="00CC03BE">
        <w:rPr>
          <w:rFonts w:asciiTheme="majorHAnsi" w:hAnsiTheme="majorHAnsi" w:cs="Times New Roman"/>
          <w:sz w:val="20"/>
          <w:szCs w:val="20"/>
        </w:rPr>
        <w:t xml:space="preserve"> y cubrir las solicitudes que se </w:t>
      </w:r>
      <w:r w:rsidR="00020093" w:rsidRPr="00365348">
        <w:rPr>
          <w:rFonts w:asciiTheme="majorHAnsi" w:hAnsiTheme="majorHAnsi" w:cs="Times New Roman"/>
          <w:sz w:val="20"/>
          <w:szCs w:val="20"/>
        </w:rPr>
        <w:t>prevén para 2026</w:t>
      </w:r>
      <w:r w:rsidR="0068450D" w:rsidRPr="00365348">
        <w:rPr>
          <w:rFonts w:asciiTheme="majorHAnsi" w:hAnsiTheme="majorHAnsi" w:cs="Times New Roman"/>
          <w:sz w:val="20"/>
          <w:szCs w:val="20"/>
        </w:rPr>
        <w:t xml:space="preserve"> (</w:t>
      </w:r>
      <w:r w:rsidR="0068450D" w:rsidRPr="00365348">
        <w:rPr>
          <w:rFonts w:asciiTheme="majorHAnsi" w:hAnsiTheme="majorHAnsi" w:cs="Times New Roman"/>
          <w:sz w:val="20"/>
          <w:szCs w:val="20"/>
          <w:u w:val="single"/>
        </w:rPr>
        <w:t>1</w:t>
      </w:r>
      <w:r w:rsidR="00D53AE8" w:rsidRPr="00365348">
        <w:rPr>
          <w:rFonts w:asciiTheme="majorHAnsi" w:hAnsiTheme="majorHAnsi" w:cs="Times New Roman"/>
          <w:sz w:val="20"/>
          <w:szCs w:val="20"/>
          <w:u w:val="single"/>
        </w:rPr>
        <w:t>85</w:t>
      </w:r>
      <w:r w:rsidR="0068450D" w:rsidRPr="00365348">
        <w:rPr>
          <w:rFonts w:asciiTheme="majorHAnsi" w:hAnsiTheme="majorHAnsi" w:cs="Times New Roman"/>
          <w:sz w:val="20"/>
          <w:szCs w:val="20"/>
          <w:u w:val="single"/>
        </w:rPr>
        <w:t>.000,00</w:t>
      </w:r>
      <w:r w:rsidR="0068450D" w:rsidRPr="00365348">
        <w:rPr>
          <w:rFonts w:asciiTheme="majorHAnsi" w:hAnsiTheme="majorHAnsi" w:cs="Times New Roman"/>
          <w:sz w:val="20"/>
          <w:szCs w:val="20"/>
        </w:rPr>
        <w:t xml:space="preserve"> euros)</w:t>
      </w:r>
      <w:r w:rsidR="00DB1397" w:rsidRPr="00365348">
        <w:rPr>
          <w:rFonts w:asciiTheme="majorHAnsi" w:hAnsiTheme="majorHAnsi" w:cs="Times New Roman"/>
          <w:sz w:val="20"/>
          <w:szCs w:val="20"/>
        </w:rPr>
        <w:t xml:space="preserve">. </w:t>
      </w:r>
      <w:r w:rsidR="00726B93" w:rsidRPr="00365348">
        <w:rPr>
          <w:rFonts w:asciiTheme="majorHAnsi" w:hAnsiTheme="majorHAnsi" w:cs="Times New Roman"/>
          <w:sz w:val="20"/>
          <w:szCs w:val="20"/>
        </w:rPr>
        <w:t xml:space="preserve"> </w:t>
      </w:r>
    </w:p>
    <w:p w14:paraId="76F49E24" w14:textId="77777777" w:rsidR="008C067C" w:rsidRPr="00365348" w:rsidRDefault="008C067C" w:rsidP="008C067C">
      <w:pPr>
        <w:spacing w:after="0" w:line="240" w:lineRule="auto"/>
        <w:jc w:val="both"/>
        <w:rPr>
          <w:rFonts w:asciiTheme="majorHAnsi" w:hAnsiTheme="majorHAnsi" w:cs="Times New Roman"/>
          <w:sz w:val="20"/>
          <w:szCs w:val="20"/>
        </w:rPr>
      </w:pPr>
    </w:p>
    <w:p w14:paraId="3DA3B490" w14:textId="653C015F" w:rsidR="00D73762" w:rsidRPr="00CC03BE" w:rsidRDefault="008C067C" w:rsidP="008C067C">
      <w:pPr>
        <w:spacing w:after="0" w:line="240" w:lineRule="auto"/>
        <w:jc w:val="both"/>
        <w:rPr>
          <w:rFonts w:asciiTheme="majorHAnsi" w:hAnsiTheme="majorHAnsi" w:cs="Times New Roman"/>
          <w:sz w:val="20"/>
          <w:szCs w:val="20"/>
        </w:rPr>
      </w:pPr>
      <w:r w:rsidRPr="00365348">
        <w:rPr>
          <w:rFonts w:asciiTheme="majorHAnsi" w:hAnsiTheme="majorHAnsi" w:cs="Times New Roman"/>
          <w:sz w:val="20"/>
          <w:szCs w:val="20"/>
        </w:rPr>
        <w:t>Por último</w:t>
      </w:r>
      <w:r w:rsidR="00D73762" w:rsidRPr="00365348">
        <w:rPr>
          <w:rFonts w:asciiTheme="majorHAnsi" w:hAnsiTheme="majorHAnsi" w:cs="Times New Roman"/>
          <w:sz w:val="20"/>
          <w:szCs w:val="20"/>
        </w:rPr>
        <w:t>, si se aprueba la propuesta de modificación</w:t>
      </w:r>
      <w:r w:rsidR="00C94DE0" w:rsidRPr="00365348">
        <w:rPr>
          <w:rFonts w:asciiTheme="majorHAnsi" w:hAnsiTheme="majorHAnsi" w:cs="Times New Roman"/>
          <w:sz w:val="20"/>
          <w:szCs w:val="20"/>
        </w:rPr>
        <w:t xml:space="preserve"> </w:t>
      </w:r>
      <w:r w:rsidR="00D73762" w:rsidRPr="00365348">
        <w:rPr>
          <w:rFonts w:asciiTheme="majorHAnsi" w:hAnsiTheme="majorHAnsi" w:cs="Times New Roman"/>
          <w:sz w:val="20"/>
          <w:szCs w:val="20"/>
        </w:rPr>
        <w:t>del Artículo 7 del Reglamento financiero</w:t>
      </w:r>
      <w:r w:rsidR="00546475" w:rsidRPr="00365348">
        <w:rPr>
          <w:rFonts w:asciiTheme="majorHAnsi" w:hAnsiTheme="majorHAnsi" w:cs="Times New Roman"/>
          <w:sz w:val="20"/>
          <w:szCs w:val="20"/>
        </w:rPr>
        <w:t xml:space="preserve"> de la presidenta del STACFAD</w:t>
      </w:r>
      <w:r w:rsidR="00D73762" w:rsidRPr="00365348">
        <w:rPr>
          <w:rFonts w:asciiTheme="majorHAnsi" w:hAnsiTheme="majorHAnsi" w:cs="Times New Roman"/>
          <w:sz w:val="20"/>
          <w:szCs w:val="20"/>
        </w:rPr>
        <w:t>, se destinarán</w:t>
      </w:r>
      <w:r w:rsidR="00D73762" w:rsidRPr="00365348">
        <w:rPr>
          <w:rFonts w:asciiTheme="majorHAnsi" w:hAnsiTheme="majorHAnsi" w:cs="Times New Roman"/>
          <w:sz w:val="20"/>
          <w:szCs w:val="20"/>
          <w:u w:val="single"/>
        </w:rPr>
        <w:t xml:space="preserve"> </w:t>
      </w:r>
      <w:r w:rsidR="00CE3632" w:rsidRPr="00365348">
        <w:rPr>
          <w:rFonts w:asciiTheme="majorHAnsi" w:hAnsiTheme="majorHAnsi" w:cs="Times New Roman"/>
          <w:sz w:val="20"/>
          <w:szCs w:val="20"/>
          <w:u w:val="single"/>
        </w:rPr>
        <w:t>6</w:t>
      </w:r>
      <w:r w:rsidR="00823476" w:rsidRPr="00365348">
        <w:rPr>
          <w:rFonts w:asciiTheme="majorHAnsi" w:hAnsiTheme="majorHAnsi" w:cs="Times New Roman"/>
          <w:sz w:val="20"/>
          <w:szCs w:val="20"/>
          <w:u w:val="single"/>
        </w:rPr>
        <w:t>91</w:t>
      </w:r>
      <w:r w:rsidR="00CE3632" w:rsidRPr="00365348">
        <w:rPr>
          <w:rFonts w:asciiTheme="majorHAnsi" w:hAnsiTheme="majorHAnsi" w:cs="Times New Roman"/>
          <w:sz w:val="20"/>
          <w:szCs w:val="20"/>
          <w:u w:val="single"/>
        </w:rPr>
        <w:t>.</w:t>
      </w:r>
      <w:r w:rsidR="00823476" w:rsidRPr="00365348">
        <w:rPr>
          <w:rFonts w:asciiTheme="majorHAnsi" w:hAnsiTheme="majorHAnsi" w:cs="Times New Roman"/>
          <w:sz w:val="20"/>
          <w:szCs w:val="20"/>
          <w:u w:val="single"/>
        </w:rPr>
        <w:t>614</w:t>
      </w:r>
      <w:r w:rsidR="00CE3632" w:rsidRPr="00365348">
        <w:rPr>
          <w:rFonts w:asciiTheme="majorHAnsi" w:hAnsiTheme="majorHAnsi" w:cs="Times New Roman"/>
          <w:sz w:val="20"/>
          <w:szCs w:val="20"/>
          <w:u w:val="single"/>
        </w:rPr>
        <w:t>,58</w:t>
      </w:r>
      <w:r w:rsidR="006D7CF2" w:rsidRPr="00365348">
        <w:rPr>
          <w:rFonts w:asciiTheme="majorHAnsi" w:hAnsiTheme="majorHAnsi" w:cs="Times New Roman"/>
          <w:sz w:val="20"/>
          <w:szCs w:val="20"/>
        </w:rPr>
        <w:t xml:space="preserve"> </w:t>
      </w:r>
      <w:r w:rsidR="00D73762" w:rsidRPr="00365348">
        <w:rPr>
          <w:rFonts w:asciiTheme="majorHAnsi" w:hAnsiTheme="majorHAnsi" w:cs="Times New Roman"/>
          <w:sz w:val="20"/>
          <w:szCs w:val="20"/>
        </w:rPr>
        <w:t xml:space="preserve">euros para disminuir las contribuciones de las </w:t>
      </w:r>
      <w:r w:rsidR="006D7CF2" w:rsidRPr="00365348">
        <w:rPr>
          <w:rFonts w:asciiTheme="majorHAnsi" w:hAnsiTheme="majorHAnsi" w:cs="Times New Roman"/>
          <w:sz w:val="20"/>
          <w:szCs w:val="20"/>
        </w:rPr>
        <w:t>P</w:t>
      </w:r>
      <w:r w:rsidR="00D73762" w:rsidRPr="00365348">
        <w:rPr>
          <w:rFonts w:asciiTheme="majorHAnsi" w:hAnsiTheme="majorHAnsi" w:cs="Times New Roman"/>
          <w:sz w:val="20"/>
          <w:szCs w:val="20"/>
        </w:rPr>
        <w:t>artes contratantes para el año 2026.</w:t>
      </w:r>
      <w:r w:rsidR="004F735D" w:rsidRPr="00365348">
        <w:rPr>
          <w:rFonts w:asciiTheme="majorHAnsi" w:hAnsiTheme="majorHAnsi" w:cs="Times New Roman"/>
          <w:sz w:val="20"/>
          <w:szCs w:val="20"/>
        </w:rPr>
        <w:t xml:space="preserve"> Este importe será descontado de la versión que se apruebe del presupuesto. Para 2027</w:t>
      </w:r>
      <w:r w:rsidR="00C94DE0" w:rsidRPr="00365348">
        <w:rPr>
          <w:rFonts w:asciiTheme="majorHAnsi" w:hAnsiTheme="majorHAnsi" w:cs="Times New Roman"/>
          <w:sz w:val="20"/>
          <w:szCs w:val="20"/>
        </w:rPr>
        <w:t>,</w:t>
      </w:r>
      <w:r w:rsidR="004F735D" w:rsidRPr="00365348">
        <w:rPr>
          <w:rFonts w:asciiTheme="majorHAnsi" w:hAnsiTheme="majorHAnsi" w:cs="Times New Roman"/>
          <w:sz w:val="20"/>
          <w:szCs w:val="20"/>
        </w:rPr>
        <w:t xml:space="preserve"> se repetirá el mismo proceso, calcular el excedente</w:t>
      </w:r>
      <w:r w:rsidR="004F735D" w:rsidRPr="00CC03BE">
        <w:rPr>
          <w:rFonts w:asciiTheme="majorHAnsi" w:hAnsiTheme="majorHAnsi" w:cs="Times New Roman"/>
          <w:sz w:val="20"/>
          <w:szCs w:val="20"/>
        </w:rPr>
        <w:t xml:space="preserve"> del </w:t>
      </w:r>
      <w:r w:rsidR="00C94DE0" w:rsidRPr="00CC03BE">
        <w:rPr>
          <w:rFonts w:asciiTheme="majorHAnsi" w:hAnsiTheme="majorHAnsi" w:cs="Times New Roman"/>
          <w:sz w:val="20"/>
          <w:szCs w:val="20"/>
        </w:rPr>
        <w:t>f</w:t>
      </w:r>
      <w:r w:rsidR="004F735D" w:rsidRPr="00CC03BE">
        <w:rPr>
          <w:rFonts w:asciiTheme="majorHAnsi" w:hAnsiTheme="majorHAnsi" w:cs="Times New Roman"/>
          <w:sz w:val="20"/>
          <w:szCs w:val="20"/>
        </w:rPr>
        <w:t>ondo de operaciones y se descontará cuando se presente el proyecto de presupuesto revisado para 2027.</w:t>
      </w:r>
      <w:r w:rsidR="006D7CF2" w:rsidRPr="00CC03BE">
        <w:rPr>
          <w:rFonts w:asciiTheme="majorHAnsi" w:hAnsiTheme="majorHAnsi" w:cs="Times New Roman"/>
          <w:sz w:val="20"/>
          <w:szCs w:val="20"/>
        </w:rPr>
        <w:t xml:space="preserve"> </w:t>
      </w:r>
    </w:p>
    <w:p w14:paraId="0F0D09CB" w14:textId="77777777" w:rsidR="006D7CF2" w:rsidRPr="00CC03BE" w:rsidRDefault="00D73762" w:rsidP="008C067C">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 </w:t>
      </w:r>
    </w:p>
    <w:tbl>
      <w:tblPr>
        <w:tblW w:w="8220" w:type="dxa"/>
        <w:jc w:val="center"/>
        <w:tblCellMar>
          <w:left w:w="70" w:type="dxa"/>
          <w:right w:w="70" w:type="dxa"/>
        </w:tblCellMar>
        <w:tblLook w:val="04A0" w:firstRow="1" w:lastRow="0" w:firstColumn="1" w:lastColumn="0" w:noHBand="0" w:noVBand="1"/>
      </w:tblPr>
      <w:tblGrid>
        <w:gridCol w:w="6600"/>
        <w:gridCol w:w="1620"/>
      </w:tblGrid>
      <w:tr w:rsidR="006D7CF2" w:rsidRPr="00CC03BE" w14:paraId="77B52B0A"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Fondos necesarios para cubrir los gastos presupuestarios (enero-febrero)</w:t>
            </w:r>
          </w:p>
        </w:tc>
        <w:tc>
          <w:tcPr>
            <w:tcW w:w="1620" w:type="dxa"/>
            <w:tcBorders>
              <w:top w:val="single" w:sz="4" w:space="0" w:color="auto"/>
              <w:left w:val="nil"/>
              <w:bottom w:val="nil"/>
              <w:right w:val="single" w:sz="4" w:space="0" w:color="auto"/>
            </w:tcBorders>
            <w:noWrap/>
            <w:vAlign w:val="bottom"/>
            <w:hideMark/>
          </w:tcPr>
          <w:p w14:paraId="096B62AD" w14:textId="77777777" w:rsidR="006D7CF2" w:rsidRPr="00CC03BE" w:rsidRDefault="006D7CF2" w:rsidP="006D7CF2">
            <w:pPr>
              <w:spacing w:after="0" w:line="240" w:lineRule="auto"/>
              <w:jc w:val="right"/>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1.183.000,00 €</w:t>
            </w:r>
          </w:p>
        </w:tc>
      </w:tr>
      <w:tr w:rsidR="006D7CF2" w:rsidRPr="00CC03BE" w14:paraId="488B490C" w14:textId="77777777" w:rsidTr="00C94DE0">
        <w:trPr>
          <w:trHeight w:val="250"/>
          <w:jc w:val="center"/>
        </w:trPr>
        <w:tc>
          <w:tcPr>
            <w:tcW w:w="6600" w:type="dxa"/>
            <w:tcBorders>
              <w:top w:val="nil"/>
              <w:left w:val="single" w:sz="4" w:space="0" w:color="auto"/>
              <w:bottom w:val="nil"/>
              <w:right w:val="nil"/>
            </w:tcBorders>
            <w:noWrap/>
            <w:vAlign w:val="bottom"/>
            <w:hideMark/>
          </w:tcPr>
          <w:p w14:paraId="7C410532" w14:textId="29C8FEC5"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 xml:space="preserve">Fondos necesarios para cubrir </w:t>
            </w:r>
            <w:r w:rsidR="00C94DE0" w:rsidRPr="00CC03BE">
              <w:rPr>
                <w:rFonts w:ascii="Cambria" w:eastAsia="Times New Roman" w:hAnsi="Cambria" w:cs="Times New Roman"/>
                <w:color w:val="000000"/>
                <w:sz w:val="20"/>
                <w:szCs w:val="20"/>
              </w:rPr>
              <w:t xml:space="preserve">tres </w:t>
            </w:r>
            <w:r w:rsidRPr="00CC03BE">
              <w:rPr>
                <w:rFonts w:ascii="Cambria" w:eastAsia="Times New Roman" w:hAnsi="Cambria" w:cs="Times New Roman"/>
                <w:color w:val="000000"/>
                <w:sz w:val="20"/>
                <w:szCs w:val="20"/>
              </w:rPr>
              <w:t>meses de gastos extrapresupuestarios</w:t>
            </w:r>
          </w:p>
        </w:tc>
        <w:tc>
          <w:tcPr>
            <w:tcW w:w="1620" w:type="dxa"/>
            <w:tcBorders>
              <w:top w:val="nil"/>
              <w:left w:val="nil"/>
              <w:bottom w:val="nil"/>
              <w:right w:val="single" w:sz="4" w:space="0" w:color="auto"/>
            </w:tcBorders>
            <w:noWrap/>
            <w:vAlign w:val="bottom"/>
            <w:hideMark/>
          </w:tcPr>
          <w:p w14:paraId="657159B4" w14:textId="77777777" w:rsidR="006D7CF2" w:rsidRPr="00365348" w:rsidRDefault="006D7CF2" w:rsidP="006D7CF2">
            <w:pPr>
              <w:spacing w:after="0" w:line="240" w:lineRule="auto"/>
              <w:jc w:val="right"/>
              <w:rPr>
                <w:rFonts w:ascii="Cambria" w:eastAsia="Times New Roman" w:hAnsi="Cambria" w:cs="Times New Roman"/>
                <w:color w:val="000000"/>
                <w:sz w:val="20"/>
                <w:szCs w:val="20"/>
              </w:rPr>
            </w:pPr>
            <w:r w:rsidRPr="00365348">
              <w:rPr>
                <w:rFonts w:ascii="Cambria" w:eastAsia="Times New Roman" w:hAnsi="Cambria" w:cs="Times New Roman"/>
                <w:color w:val="000000"/>
                <w:sz w:val="20"/>
                <w:szCs w:val="20"/>
              </w:rPr>
              <w:t>350.000,00 €</w:t>
            </w:r>
          </w:p>
        </w:tc>
      </w:tr>
      <w:tr w:rsidR="006D7CF2" w:rsidRPr="00CC03BE" w14:paraId="09855591" w14:textId="77777777" w:rsidTr="00C94DE0">
        <w:trPr>
          <w:trHeight w:val="250"/>
          <w:jc w:val="center"/>
        </w:trPr>
        <w:tc>
          <w:tcPr>
            <w:tcW w:w="6600" w:type="dxa"/>
            <w:tcBorders>
              <w:top w:val="nil"/>
              <w:left w:val="single" w:sz="4" w:space="0" w:color="auto"/>
              <w:bottom w:val="nil"/>
              <w:right w:val="nil"/>
            </w:tcBorders>
            <w:noWrap/>
            <w:vAlign w:val="bottom"/>
            <w:hideMark/>
          </w:tcPr>
          <w:p w14:paraId="227E3876" w14:textId="54D2ADAE"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Fondo de contingencia (5</w:t>
            </w:r>
            <w:r w:rsidR="00C94DE0" w:rsidRPr="00CC03BE">
              <w:rPr>
                <w:rFonts w:ascii="Cambria" w:eastAsia="Times New Roman" w:hAnsi="Cambria" w:cs="Times New Roman"/>
                <w:color w:val="000000"/>
                <w:sz w:val="20"/>
                <w:szCs w:val="20"/>
              </w:rPr>
              <w:t> </w:t>
            </w:r>
            <w:r w:rsidRPr="00CC03BE">
              <w:rPr>
                <w:rFonts w:ascii="Cambria" w:eastAsia="Times New Roman" w:hAnsi="Cambria" w:cs="Times New Roman"/>
                <w:color w:val="000000"/>
                <w:sz w:val="20"/>
                <w:szCs w:val="20"/>
              </w:rPr>
              <w:t xml:space="preserve">% </w:t>
            </w:r>
            <w:r w:rsidR="00C94DE0" w:rsidRPr="00CC03BE">
              <w:rPr>
                <w:rFonts w:ascii="Cambria" w:eastAsia="Times New Roman" w:hAnsi="Cambria" w:cs="Times New Roman"/>
                <w:color w:val="000000"/>
                <w:sz w:val="20"/>
                <w:szCs w:val="20"/>
              </w:rPr>
              <w:t xml:space="preserve">del </w:t>
            </w:r>
            <w:r w:rsidRPr="00CC03BE">
              <w:rPr>
                <w:rFonts w:ascii="Cambria" w:eastAsia="Times New Roman" w:hAnsi="Cambria" w:cs="Times New Roman"/>
                <w:color w:val="000000"/>
                <w:sz w:val="20"/>
                <w:szCs w:val="20"/>
              </w:rPr>
              <w:t>presupuesto de 2026)</w:t>
            </w:r>
          </w:p>
        </w:tc>
        <w:tc>
          <w:tcPr>
            <w:tcW w:w="1620" w:type="dxa"/>
            <w:tcBorders>
              <w:top w:val="nil"/>
              <w:left w:val="nil"/>
              <w:bottom w:val="nil"/>
              <w:right w:val="single" w:sz="4" w:space="0" w:color="auto"/>
            </w:tcBorders>
            <w:noWrap/>
            <w:vAlign w:val="bottom"/>
            <w:hideMark/>
          </w:tcPr>
          <w:p w14:paraId="5F48DE4F" w14:textId="2275C059" w:rsidR="006D7CF2" w:rsidRPr="00365348" w:rsidRDefault="006D7CF2" w:rsidP="006D7CF2">
            <w:pPr>
              <w:spacing w:after="0" w:line="240" w:lineRule="auto"/>
              <w:jc w:val="right"/>
              <w:rPr>
                <w:rFonts w:ascii="Cambria" w:eastAsia="Times New Roman" w:hAnsi="Cambria" w:cs="Times New Roman"/>
                <w:color w:val="000000"/>
                <w:sz w:val="20"/>
                <w:szCs w:val="20"/>
                <w:u w:val="single"/>
              </w:rPr>
            </w:pPr>
            <w:r w:rsidRPr="00365348">
              <w:rPr>
                <w:rFonts w:ascii="Cambria" w:eastAsia="Times New Roman" w:hAnsi="Cambria" w:cs="Times New Roman"/>
                <w:color w:val="000000"/>
                <w:sz w:val="20"/>
                <w:szCs w:val="20"/>
                <w:u w:val="single"/>
              </w:rPr>
              <w:t>3</w:t>
            </w:r>
            <w:r w:rsidR="002579C4" w:rsidRPr="00365348">
              <w:rPr>
                <w:rFonts w:ascii="Cambria" w:eastAsia="Times New Roman" w:hAnsi="Cambria" w:cs="Times New Roman"/>
                <w:color w:val="000000"/>
                <w:sz w:val="20"/>
                <w:szCs w:val="20"/>
                <w:u w:val="single"/>
              </w:rPr>
              <w:t>20</w:t>
            </w:r>
            <w:r w:rsidR="00CE3632" w:rsidRPr="00365348">
              <w:rPr>
                <w:rFonts w:ascii="Cambria" w:eastAsia="Times New Roman" w:hAnsi="Cambria" w:cs="Times New Roman"/>
                <w:color w:val="000000"/>
                <w:sz w:val="20"/>
                <w:szCs w:val="20"/>
                <w:u w:val="single"/>
              </w:rPr>
              <w:t>.</w:t>
            </w:r>
            <w:r w:rsidR="002579C4" w:rsidRPr="00365348">
              <w:rPr>
                <w:rFonts w:ascii="Cambria" w:eastAsia="Times New Roman" w:hAnsi="Cambria" w:cs="Times New Roman"/>
                <w:color w:val="000000"/>
                <w:sz w:val="20"/>
                <w:szCs w:val="20"/>
                <w:u w:val="single"/>
              </w:rPr>
              <w:t>428</w:t>
            </w:r>
            <w:r w:rsidR="00CE3632" w:rsidRPr="00365348">
              <w:rPr>
                <w:rFonts w:ascii="Cambria" w:eastAsia="Times New Roman" w:hAnsi="Cambria" w:cs="Times New Roman"/>
                <w:color w:val="000000"/>
                <w:sz w:val="20"/>
                <w:szCs w:val="20"/>
                <w:u w:val="single"/>
              </w:rPr>
              <w:t>,</w:t>
            </w:r>
            <w:r w:rsidR="002579C4" w:rsidRPr="00365348">
              <w:rPr>
                <w:rFonts w:ascii="Cambria" w:eastAsia="Times New Roman" w:hAnsi="Cambria" w:cs="Times New Roman"/>
                <w:color w:val="000000"/>
                <w:sz w:val="20"/>
                <w:szCs w:val="20"/>
                <w:u w:val="single"/>
              </w:rPr>
              <w:t>0</w:t>
            </w:r>
            <w:r w:rsidR="00CE3632" w:rsidRPr="00365348">
              <w:rPr>
                <w:rFonts w:ascii="Cambria" w:eastAsia="Times New Roman" w:hAnsi="Cambria" w:cs="Times New Roman"/>
                <w:color w:val="000000"/>
                <w:sz w:val="20"/>
                <w:szCs w:val="20"/>
                <w:u w:val="single"/>
              </w:rPr>
              <w:t>0</w:t>
            </w:r>
            <w:r w:rsidRPr="00365348">
              <w:rPr>
                <w:rFonts w:ascii="Cambria" w:eastAsia="Times New Roman" w:hAnsi="Cambria" w:cs="Times New Roman"/>
                <w:color w:val="000000"/>
                <w:sz w:val="20"/>
                <w:szCs w:val="20"/>
                <w:u w:val="single"/>
              </w:rPr>
              <w:t xml:space="preserve"> €</w:t>
            </w:r>
          </w:p>
        </w:tc>
      </w:tr>
      <w:tr w:rsidR="006D7CF2" w:rsidRPr="00CC03BE" w14:paraId="5241A9A9"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6D7CF2" w:rsidRPr="00CC03BE" w:rsidRDefault="006D7CF2" w:rsidP="006D7CF2">
            <w:pPr>
              <w:spacing w:after="0" w:line="240" w:lineRule="auto"/>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Saldo total del Fondo de operaciones para transferir a 2026</w:t>
            </w:r>
          </w:p>
        </w:tc>
        <w:tc>
          <w:tcPr>
            <w:tcW w:w="1620" w:type="dxa"/>
            <w:tcBorders>
              <w:top w:val="single" w:sz="4" w:space="0" w:color="auto"/>
              <w:left w:val="nil"/>
              <w:bottom w:val="single" w:sz="4" w:space="0" w:color="auto"/>
              <w:right w:val="single" w:sz="4" w:space="0" w:color="auto"/>
            </w:tcBorders>
            <w:noWrap/>
            <w:vAlign w:val="bottom"/>
            <w:hideMark/>
          </w:tcPr>
          <w:p w14:paraId="69CC00A5" w14:textId="5C4E615E" w:rsidR="006D7CF2" w:rsidRPr="00365348" w:rsidRDefault="006D7CF2" w:rsidP="006D7CF2">
            <w:pPr>
              <w:spacing w:after="0" w:line="240" w:lineRule="auto"/>
              <w:jc w:val="right"/>
              <w:rPr>
                <w:rFonts w:ascii="Cambria" w:eastAsia="Times New Roman" w:hAnsi="Cambria" w:cs="Times New Roman"/>
                <w:b/>
                <w:bCs/>
                <w:color w:val="000000"/>
                <w:sz w:val="20"/>
                <w:szCs w:val="20"/>
                <w:u w:val="single"/>
              </w:rPr>
            </w:pPr>
            <w:r w:rsidRPr="00365348">
              <w:rPr>
                <w:rFonts w:ascii="Cambria" w:eastAsia="Times New Roman" w:hAnsi="Cambria" w:cs="Times New Roman"/>
                <w:b/>
                <w:bCs/>
                <w:color w:val="000000"/>
                <w:sz w:val="20"/>
                <w:szCs w:val="20"/>
                <w:u w:val="single"/>
              </w:rPr>
              <w:t>1.8</w:t>
            </w:r>
            <w:r w:rsidR="002579C4" w:rsidRPr="00365348">
              <w:rPr>
                <w:rFonts w:ascii="Cambria" w:eastAsia="Times New Roman" w:hAnsi="Cambria" w:cs="Times New Roman"/>
                <w:b/>
                <w:bCs/>
                <w:color w:val="000000"/>
                <w:sz w:val="20"/>
                <w:szCs w:val="20"/>
                <w:u w:val="single"/>
              </w:rPr>
              <w:t>53</w:t>
            </w:r>
            <w:r w:rsidRPr="00365348">
              <w:rPr>
                <w:rFonts w:ascii="Cambria" w:eastAsia="Times New Roman" w:hAnsi="Cambria" w:cs="Times New Roman"/>
                <w:b/>
                <w:bCs/>
                <w:color w:val="000000"/>
                <w:sz w:val="20"/>
                <w:szCs w:val="20"/>
                <w:u w:val="single"/>
              </w:rPr>
              <w:t>.</w:t>
            </w:r>
            <w:r w:rsidR="00CE3632" w:rsidRPr="00365348">
              <w:rPr>
                <w:rFonts w:ascii="Cambria" w:eastAsia="Times New Roman" w:hAnsi="Cambria" w:cs="Times New Roman"/>
                <w:b/>
                <w:bCs/>
                <w:color w:val="000000"/>
                <w:sz w:val="20"/>
                <w:szCs w:val="20"/>
                <w:u w:val="single"/>
              </w:rPr>
              <w:t>4</w:t>
            </w:r>
            <w:r w:rsidR="002579C4" w:rsidRPr="00365348">
              <w:rPr>
                <w:rFonts w:ascii="Cambria" w:eastAsia="Times New Roman" w:hAnsi="Cambria" w:cs="Times New Roman"/>
                <w:b/>
                <w:bCs/>
                <w:color w:val="000000"/>
                <w:sz w:val="20"/>
                <w:szCs w:val="20"/>
                <w:u w:val="single"/>
              </w:rPr>
              <w:t>28</w:t>
            </w:r>
            <w:r w:rsidR="00283D31" w:rsidRPr="00365348">
              <w:rPr>
                <w:rFonts w:ascii="Cambria" w:eastAsia="Times New Roman" w:hAnsi="Cambria" w:cs="Times New Roman"/>
                <w:b/>
                <w:bCs/>
                <w:color w:val="000000"/>
                <w:sz w:val="20"/>
                <w:szCs w:val="20"/>
                <w:u w:val="single"/>
              </w:rPr>
              <w:t>,</w:t>
            </w:r>
            <w:r w:rsidR="002579C4" w:rsidRPr="00365348">
              <w:rPr>
                <w:rFonts w:ascii="Cambria" w:eastAsia="Times New Roman" w:hAnsi="Cambria" w:cs="Times New Roman"/>
                <w:b/>
                <w:bCs/>
                <w:color w:val="000000"/>
                <w:sz w:val="20"/>
                <w:szCs w:val="20"/>
                <w:u w:val="single"/>
              </w:rPr>
              <w:t>0</w:t>
            </w:r>
            <w:r w:rsidR="00CE3632" w:rsidRPr="00365348">
              <w:rPr>
                <w:rFonts w:ascii="Cambria" w:eastAsia="Times New Roman" w:hAnsi="Cambria" w:cs="Times New Roman"/>
                <w:b/>
                <w:bCs/>
                <w:color w:val="000000"/>
                <w:sz w:val="20"/>
                <w:szCs w:val="20"/>
                <w:u w:val="single"/>
              </w:rPr>
              <w:t>0</w:t>
            </w:r>
            <w:r w:rsidRPr="00365348">
              <w:rPr>
                <w:rFonts w:ascii="Cambria" w:eastAsia="Times New Roman" w:hAnsi="Cambria" w:cs="Times New Roman"/>
                <w:b/>
                <w:bCs/>
                <w:color w:val="000000"/>
                <w:sz w:val="20"/>
                <w:szCs w:val="20"/>
                <w:u w:val="single"/>
              </w:rPr>
              <w:t xml:space="preserve"> €</w:t>
            </w:r>
          </w:p>
        </w:tc>
      </w:tr>
      <w:tr w:rsidR="006D7CF2" w:rsidRPr="00CC03BE" w14:paraId="1DCCD9B7" w14:textId="77777777" w:rsidTr="00C94DE0">
        <w:trPr>
          <w:trHeight w:val="250"/>
          <w:jc w:val="center"/>
        </w:trPr>
        <w:tc>
          <w:tcPr>
            <w:tcW w:w="6600" w:type="dxa"/>
            <w:tcBorders>
              <w:top w:val="nil"/>
              <w:left w:val="nil"/>
              <w:bottom w:val="nil"/>
              <w:right w:val="nil"/>
            </w:tcBorders>
            <w:noWrap/>
            <w:vAlign w:val="bottom"/>
            <w:hideMark/>
          </w:tcPr>
          <w:p w14:paraId="3C168B91" w14:textId="77777777" w:rsidR="006D7CF2" w:rsidRPr="00CC03BE" w:rsidRDefault="006D7CF2" w:rsidP="006D7CF2">
            <w:pPr>
              <w:spacing w:after="0" w:line="240" w:lineRule="auto"/>
              <w:jc w:val="right"/>
              <w:rPr>
                <w:rFonts w:ascii="Cambria" w:eastAsia="Times New Roman" w:hAnsi="Cambria" w:cs="Times New Roman"/>
                <w:b/>
                <w:bCs/>
                <w:color w:val="000000"/>
                <w:sz w:val="20"/>
                <w:szCs w:val="20"/>
              </w:rPr>
            </w:pPr>
          </w:p>
        </w:tc>
        <w:tc>
          <w:tcPr>
            <w:tcW w:w="1620" w:type="dxa"/>
            <w:tcBorders>
              <w:top w:val="nil"/>
              <w:left w:val="nil"/>
              <w:bottom w:val="nil"/>
              <w:right w:val="nil"/>
            </w:tcBorders>
            <w:noWrap/>
            <w:vAlign w:val="bottom"/>
            <w:hideMark/>
          </w:tcPr>
          <w:p w14:paraId="47F504FB" w14:textId="77777777" w:rsidR="006D7CF2" w:rsidRPr="00365348" w:rsidRDefault="006D7CF2" w:rsidP="006D7CF2">
            <w:pPr>
              <w:spacing w:after="0" w:line="240" w:lineRule="auto"/>
              <w:rPr>
                <w:rFonts w:ascii="Times New Roman" w:eastAsia="Times New Roman" w:hAnsi="Times New Roman" w:cs="Times New Roman"/>
                <w:sz w:val="20"/>
                <w:szCs w:val="20"/>
              </w:rPr>
            </w:pPr>
          </w:p>
        </w:tc>
      </w:tr>
      <w:tr w:rsidR="006D7CF2" w:rsidRPr="00CC03BE" w14:paraId="06E023E2" w14:textId="77777777" w:rsidTr="00C94DE0">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Presupuesto ordinario propuesto para 2026</w:t>
            </w:r>
          </w:p>
        </w:tc>
        <w:tc>
          <w:tcPr>
            <w:tcW w:w="1620" w:type="dxa"/>
            <w:tcBorders>
              <w:top w:val="single" w:sz="4" w:space="0" w:color="auto"/>
              <w:left w:val="nil"/>
              <w:bottom w:val="nil"/>
              <w:right w:val="single" w:sz="4" w:space="0" w:color="auto"/>
            </w:tcBorders>
            <w:noWrap/>
            <w:vAlign w:val="bottom"/>
            <w:hideMark/>
          </w:tcPr>
          <w:p w14:paraId="7B2CF5D7" w14:textId="7FAC1952" w:rsidR="006D7CF2" w:rsidRPr="00365348" w:rsidRDefault="00EF2F7C" w:rsidP="006D7CF2">
            <w:pPr>
              <w:spacing w:after="0" w:line="240" w:lineRule="auto"/>
              <w:jc w:val="right"/>
              <w:rPr>
                <w:rFonts w:ascii="Cambria" w:eastAsia="Times New Roman" w:hAnsi="Cambria" w:cs="Times New Roman"/>
                <w:color w:val="000000"/>
                <w:sz w:val="20"/>
                <w:szCs w:val="20"/>
                <w:u w:val="single"/>
              </w:rPr>
            </w:pPr>
            <w:r w:rsidRPr="00365348">
              <w:rPr>
                <w:rFonts w:ascii="Cambria" w:eastAsia="Times New Roman" w:hAnsi="Cambria" w:cs="Times New Roman"/>
                <w:color w:val="000000"/>
                <w:sz w:val="20"/>
                <w:szCs w:val="20"/>
                <w:u w:val="single"/>
              </w:rPr>
              <w:t>6.</w:t>
            </w:r>
            <w:r w:rsidR="0096439F" w:rsidRPr="00365348">
              <w:rPr>
                <w:rFonts w:ascii="Cambria" w:eastAsia="Times New Roman" w:hAnsi="Cambria" w:cs="Times New Roman"/>
                <w:color w:val="000000"/>
                <w:sz w:val="20"/>
                <w:szCs w:val="20"/>
                <w:u w:val="single"/>
              </w:rPr>
              <w:t>408</w:t>
            </w:r>
            <w:r w:rsidRPr="00365348">
              <w:rPr>
                <w:rFonts w:ascii="Cambria" w:eastAsia="Times New Roman" w:hAnsi="Cambria" w:cs="Times New Roman"/>
                <w:color w:val="000000"/>
                <w:sz w:val="20"/>
                <w:szCs w:val="20"/>
                <w:u w:val="single"/>
              </w:rPr>
              <w:t>.</w:t>
            </w:r>
            <w:r w:rsidR="0096439F" w:rsidRPr="00365348">
              <w:rPr>
                <w:rFonts w:ascii="Cambria" w:eastAsia="Times New Roman" w:hAnsi="Cambria" w:cs="Times New Roman"/>
                <w:color w:val="000000"/>
                <w:sz w:val="20"/>
                <w:szCs w:val="20"/>
                <w:u w:val="single"/>
              </w:rPr>
              <w:t>555</w:t>
            </w:r>
            <w:r w:rsidRPr="00365348">
              <w:rPr>
                <w:rFonts w:ascii="Cambria" w:eastAsia="Times New Roman" w:hAnsi="Cambria" w:cs="Times New Roman"/>
                <w:color w:val="000000"/>
                <w:sz w:val="20"/>
                <w:szCs w:val="20"/>
                <w:u w:val="single"/>
              </w:rPr>
              <w:t>,9</w:t>
            </w:r>
            <w:r w:rsidR="0096439F" w:rsidRPr="00365348">
              <w:rPr>
                <w:rFonts w:ascii="Cambria" w:eastAsia="Times New Roman" w:hAnsi="Cambria" w:cs="Times New Roman"/>
                <w:color w:val="000000"/>
                <w:sz w:val="20"/>
                <w:szCs w:val="20"/>
                <w:u w:val="single"/>
              </w:rPr>
              <w:t>0</w:t>
            </w:r>
            <w:r w:rsidR="006D7CF2" w:rsidRPr="00365348">
              <w:rPr>
                <w:rFonts w:ascii="Cambria" w:eastAsia="Times New Roman" w:hAnsi="Cambria" w:cs="Times New Roman"/>
                <w:color w:val="000000"/>
                <w:sz w:val="20"/>
                <w:szCs w:val="20"/>
                <w:u w:val="single"/>
              </w:rPr>
              <w:t xml:space="preserve"> €</w:t>
            </w:r>
          </w:p>
        </w:tc>
      </w:tr>
      <w:tr w:rsidR="006D7CF2" w:rsidRPr="00CC03BE" w14:paraId="5475E20B" w14:textId="77777777" w:rsidTr="00C94DE0">
        <w:trPr>
          <w:trHeight w:val="250"/>
          <w:jc w:val="center"/>
        </w:trPr>
        <w:tc>
          <w:tcPr>
            <w:tcW w:w="6600" w:type="dxa"/>
            <w:tcBorders>
              <w:top w:val="nil"/>
              <w:left w:val="single" w:sz="4" w:space="0" w:color="auto"/>
              <w:bottom w:val="nil"/>
              <w:right w:val="nil"/>
            </w:tcBorders>
            <w:noWrap/>
            <w:vAlign w:val="bottom"/>
            <w:hideMark/>
          </w:tcPr>
          <w:p w14:paraId="5FCD426E" w14:textId="5DB5F2C5" w:rsidR="006D7CF2" w:rsidRPr="00CC03BE" w:rsidRDefault="006D7CF2" w:rsidP="006D7CF2">
            <w:pPr>
              <w:spacing w:after="0" w:line="240" w:lineRule="auto"/>
              <w:rPr>
                <w:rFonts w:ascii="Cambria" w:eastAsia="Times New Roman" w:hAnsi="Cambria" w:cs="Times New Roman"/>
                <w:color w:val="000000"/>
                <w:sz w:val="20"/>
                <w:szCs w:val="20"/>
              </w:rPr>
            </w:pPr>
            <w:r w:rsidRPr="00CC03BE">
              <w:rPr>
                <w:rFonts w:ascii="Cambria" w:eastAsia="Times New Roman" w:hAnsi="Cambria" w:cs="Times New Roman"/>
                <w:color w:val="000000"/>
                <w:sz w:val="20"/>
                <w:szCs w:val="20"/>
              </w:rPr>
              <w:t>Excedente del Fondo de operaciones (estimado en 2.545.042,88</w:t>
            </w:r>
            <w:r w:rsidR="00C94DE0" w:rsidRPr="00CC03BE">
              <w:rPr>
                <w:rFonts w:ascii="Cambria" w:eastAsia="Times New Roman" w:hAnsi="Cambria" w:cs="Times New Roman"/>
                <w:color w:val="000000"/>
                <w:sz w:val="20"/>
                <w:szCs w:val="20"/>
              </w:rPr>
              <w:t> euros</w:t>
            </w:r>
            <w:r w:rsidRPr="00CC03BE">
              <w:rPr>
                <w:rFonts w:ascii="Cambria" w:eastAsia="Times New Roman" w:hAnsi="Cambria" w:cs="Times New Roman"/>
                <w:color w:val="000000"/>
                <w:sz w:val="20"/>
                <w:szCs w:val="20"/>
              </w:rPr>
              <w:t>)</w:t>
            </w:r>
          </w:p>
        </w:tc>
        <w:tc>
          <w:tcPr>
            <w:tcW w:w="1620" w:type="dxa"/>
            <w:tcBorders>
              <w:top w:val="nil"/>
              <w:left w:val="nil"/>
              <w:bottom w:val="nil"/>
              <w:right w:val="single" w:sz="4" w:space="0" w:color="auto"/>
            </w:tcBorders>
            <w:noWrap/>
            <w:vAlign w:val="bottom"/>
            <w:hideMark/>
          </w:tcPr>
          <w:p w14:paraId="607A720A" w14:textId="32A20F1E" w:rsidR="006D7CF2" w:rsidRPr="00365348" w:rsidRDefault="00C4595F" w:rsidP="006D7CF2">
            <w:pPr>
              <w:spacing w:after="0" w:line="240" w:lineRule="auto"/>
              <w:jc w:val="right"/>
              <w:rPr>
                <w:rFonts w:ascii="Cambria" w:eastAsia="Times New Roman" w:hAnsi="Cambria" w:cs="Times New Roman"/>
                <w:color w:val="000000"/>
                <w:sz w:val="20"/>
                <w:szCs w:val="20"/>
                <w:u w:val="single"/>
              </w:rPr>
            </w:pPr>
            <w:r w:rsidRPr="00365348">
              <w:rPr>
                <w:rFonts w:ascii="Cambria" w:eastAsia="Times New Roman" w:hAnsi="Cambria" w:cs="Times New Roman"/>
                <w:color w:val="000000"/>
                <w:sz w:val="20"/>
                <w:szCs w:val="20"/>
                <w:u w:val="single"/>
              </w:rPr>
              <w:t>(</w:t>
            </w:r>
            <w:r w:rsidR="00CE3632" w:rsidRPr="00365348">
              <w:rPr>
                <w:rFonts w:ascii="Cambria" w:eastAsia="Times New Roman" w:hAnsi="Cambria" w:cs="Times New Roman"/>
                <w:color w:val="000000"/>
                <w:sz w:val="20"/>
                <w:szCs w:val="20"/>
                <w:u w:val="single"/>
              </w:rPr>
              <w:t>6</w:t>
            </w:r>
            <w:r w:rsidR="0096439F" w:rsidRPr="00365348">
              <w:rPr>
                <w:rFonts w:ascii="Cambria" w:eastAsia="Times New Roman" w:hAnsi="Cambria" w:cs="Times New Roman"/>
                <w:color w:val="000000"/>
                <w:sz w:val="20"/>
                <w:szCs w:val="20"/>
                <w:u w:val="single"/>
              </w:rPr>
              <w:t>91</w:t>
            </w:r>
            <w:r w:rsidR="00CE3632" w:rsidRPr="00365348">
              <w:rPr>
                <w:rFonts w:ascii="Cambria" w:eastAsia="Times New Roman" w:hAnsi="Cambria" w:cs="Times New Roman"/>
                <w:color w:val="000000"/>
                <w:sz w:val="20"/>
                <w:szCs w:val="20"/>
                <w:u w:val="single"/>
              </w:rPr>
              <w:t>.</w:t>
            </w:r>
            <w:r w:rsidR="0096439F" w:rsidRPr="00365348">
              <w:rPr>
                <w:rFonts w:ascii="Cambria" w:eastAsia="Times New Roman" w:hAnsi="Cambria" w:cs="Times New Roman"/>
                <w:color w:val="000000"/>
                <w:sz w:val="20"/>
                <w:szCs w:val="20"/>
                <w:u w:val="single"/>
              </w:rPr>
              <w:t>614</w:t>
            </w:r>
            <w:r w:rsidR="00CE3632" w:rsidRPr="00365348">
              <w:rPr>
                <w:rFonts w:ascii="Cambria" w:eastAsia="Times New Roman" w:hAnsi="Cambria" w:cs="Times New Roman"/>
                <w:color w:val="000000"/>
                <w:sz w:val="20"/>
                <w:szCs w:val="20"/>
                <w:u w:val="single"/>
              </w:rPr>
              <w:t>,</w:t>
            </w:r>
            <w:r w:rsidR="0096439F" w:rsidRPr="00365348">
              <w:rPr>
                <w:rFonts w:ascii="Cambria" w:eastAsia="Times New Roman" w:hAnsi="Cambria" w:cs="Times New Roman"/>
                <w:color w:val="000000"/>
                <w:sz w:val="20"/>
                <w:szCs w:val="20"/>
                <w:u w:val="single"/>
              </w:rPr>
              <w:t>00</w:t>
            </w:r>
            <w:r w:rsidR="006D7CF2" w:rsidRPr="00365348">
              <w:rPr>
                <w:rFonts w:ascii="Cambria" w:eastAsia="Times New Roman" w:hAnsi="Cambria" w:cs="Times New Roman"/>
                <w:color w:val="000000"/>
                <w:sz w:val="20"/>
                <w:szCs w:val="20"/>
                <w:u w:val="single"/>
              </w:rPr>
              <w:t xml:space="preserve"> €</w:t>
            </w:r>
            <w:r w:rsidRPr="00365348">
              <w:rPr>
                <w:rFonts w:ascii="Cambria" w:eastAsia="Times New Roman" w:hAnsi="Cambria" w:cs="Times New Roman"/>
                <w:color w:val="000000"/>
                <w:sz w:val="20"/>
                <w:szCs w:val="20"/>
                <w:u w:val="single"/>
              </w:rPr>
              <w:t>)</w:t>
            </w:r>
          </w:p>
        </w:tc>
      </w:tr>
      <w:tr w:rsidR="006D7CF2" w:rsidRPr="00CC03BE" w14:paraId="078B67B2" w14:textId="77777777" w:rsidTr="00C94DE0">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6D7CF2" w:rsidRPr="00CC03BE" w:rsidRDefault="006D7CF2" w:rsidP="006D7CF2">
            <w:pPr>
              <w:spacing w:after="0" w:line="240" w:lineRule="auto"/>
              <w:rPr>
                <w:rFonts w:ascii="Cambria" w:eastAsia="Times New Roman" w:hAnsi="Cambria" w:cs="Times New Roman"/>
                <w:b/>
                <w:bCs/>
                <w:color w:val="000000"/>
                <w:sz w:val="20"/>
                <w:szCs w:val="20"/>
              </w:rPr>
            </w:pPr>
            <w:r w:rsidRPr="00CC03BE">
              <w:rPr>
                <w:rFonts w:ascii="Cambria" w:eastAsia="Times New Roman" w:hAnsi="Cambria" w:cs="Times New Roman"/>
                <w:b/>
                <w:bCs/>
                <w:color w:val="000000"/>
                <w:sz w:val="20"/>
                <w:szCs w:val="20"/>
              </w:rPr>
              <w:t>Presupuesto ordinario neto que financiarán las Partes contratantes</w:t>
            </w:r>
          </w:p>
        </w:tc>
        <w:tc>
          <w:tcPr>
            <w:tcW w:w="1620" w:type="dxa"/>
            <w:tcBorders>
              <w:top w:val="single" w:sz="4" w:space="0" w:color="auto"/>
              <w:left w:val="nil"/>
              <w:bottom w:val="single" w:sz="4" w:space="0" w:color="auto"/>
              <w:right w:val="single" w:sz="4" w:space="0" w:color="auto"/>
            </w:tcBorders>
            <w:noWrap/>
            <w:vAlign w:val="bottom"/>
            <w:hideMark/>
          </w:tcPr>
          <w:p w14:paraId="0C1B1F46" w14:textId="3CA50412" w:rsidR="006D7CF2" w:rsidRPr="00365348" w:rsidRDefault="0087200E" w:rsidP="006D7CF2">
            <w:pPr>
              <w:spacing w:after="0" w:line="240" w:lineRule="auto"/>
              <w:jc w:val="right"/>
              <w:rPr>
                <w:rFonts w:ascii="Cambria" w:eastAsia="Times New Roman" w:hAnsi="Cambria" w:cs="Times New Roman"/>
                <w:b/>
                <w:bCs/>
                <w:color w:val="000000"/>
                <w:sz w:val="20"/>
                <w:szCs w:val="20"/>
                <w:u w:val="single"/>
              </w:rPr>
            </w:pPr>
            <w:r w:rsidRPr="00365348">
              <w:rPr>
                <w:rFonts w:ascii="Cambria" w:eastAsia="Times New Roman" w:hAnsi="Cambria" w:cs="Times New Roman"/>
                <w:b/>
                <w:bCs/>
                <w:color w:val="000000"/>
                <w:sz w:val="20"/>
                <w:szCs w:val="20"/>
                <w:u w:val="single"/>
              </w:rPr>
              <w:t>5</w:t>
            </w:r>
            <w:r w:rsidR="00365348" w:rsidRPr="00365348">
              <w:rPr>
                <w:rFonts w:ascii="Cambria" w:eastAsia="Times New Roman" w:hAnsi="Cambria" w:cs="Times New Roman"/>
                <w:b/>
                <w:bCs/>
                <w:color w:val="000000"/>
                <w:sz w:val="20"/>
                <w:szCs w:val="20"/>
                <w:u w:val="single"/>
              </w:rPr>
              <w:t>.</w:t>
            </w:r>
            <w:r w:rsidRPr="00365348">
              <w:rPr>
                <w:rFonts w:ascii="Cambria" w:eastAsia="Times New Roman" w:hAnsi="Cambria" w:cs="Times New Roman"/>
                <w:b/>
                <w:bCs/>
                <w:color w:val="000000"/>
                <w:sz w:val="20"/>
                <w:szCs w:val="20"/>
                <w:u w:val="single"/>
              </w:rPr>
              <w:t>716</w:t>
            </w:r>
            <w:r w:rsidR="00EF2F7C" w:rsidRPr="00365348">
              <w:rPr>
                <w:rFonts w:ascii="Cambria" w:eastAsia="Times New Roman" w:hAnsi="Cambria" w:cs="Times New Roman"/>
                <w:b/>
                <w:bCs/>
                <w:color w:val="000000"/>
                <w:sz w:val="20"/>
                <w:szCs w:val="20"/>
                <w:u w:val="single"/>
              </w:rPr>
              <w:t>.</w:t>
            </w:r>
            <w:r w:rsidRPr="00365348">
              <w:rPr>
                <w:rFonts w:ascii="Cambria" w:eastAsia="Times New Roman" w:hAnsi="Cambria" w:cs="Times New Roman"/>
                <w:b/>
                <w:bCs/>
                <w:color w:val="000000"/>
                <w:sz w:val="20"/>
                <w:szCs w:val="20"/>
                <w:u w:val="single"/>
              </w:rPr>
              <w:t>941</w:t>
            </w:r>
            <w:r w:rsidR="00EF2F7C" w:rsidRPr="00365348">
              <w:rPr>
                <w:rFonts w:ascii="Cambria" w:eastAsia="Times New Roman" w:hAnsi="Cambria" w:cs="Times New Roman"/>
                <w:b/>
                <w:bCs/>
                <w:color w:val="000000"/>
                <w:sz w:val="20"/>
                <w:szCs w:val="20"/>
                <w:u w:val="single"/>
              </w:rPr>
              <w:t>,</w:t>
            </w:r>
            <w:r w:rsidRPr="00365348">
              <w:rPr>
                <w:rFonts w:ascii="Cambria" w:eastAsia="Times New Roman" w:hAnsi="Cambria" w:cs="Times New Roman"/>
                <w:b/>
                <w:bCs/>
                <w:color w:val="000000"/>
                <w:sz w:val="20"/>
                <w:szCs w:val="20"/>
                <w:u w:val="single"/>
              </w:rPr>
              <w:t>90</w:t>
            </w:r>
            <w:r w:rsidR="006D7CF2" w:rsidRPr="00365348">
              <w:rPr>
                <w:rFonts w:ascii="Cambria" w:eastAsia="Times New Roman" w:hAnsi="Cambria" w:cs="Times New Roman"/>
                <w:b/>
                <w:bCs/>
                <w:color w:val="000000"/>
                <w:sz w:val="20"/>
                <w:szCs w:val="20"/>
                <w:u w:val="single"/>
              </w:rPr>
              <w:t xml:space="preserve"> €</w:t>
            </w:r>
          </w:p>
        </w:tc>
      </w:tr>
    </w:tbl>
    <w:p w14:paraId="67460287" w14:textId="4734F86C" w:rsidR="00A143E4" w:rsidRPr="00CC03BE" w:rsidRDefault="00680E25" w:rsidP="000B162D">
      <w:pPr>
        <w:pStyle w:val="ListParagraph"/>
        <w:numPr>
          <w:ilvl w:val="0"/>
          <w:numId w:val="13"/>
        </w:numPr>
        <w:spacing w:after="0"/>
        <w:ind w:left="426" w:hanging="426"/>
        <w:jc w:val="both"/>
        <w:rPr>
          <w:rFonts w:asciiTheme="majorHAnsi" w:hAnsiTheme="majorHAnsi" w:cs="Times New Roman"/>
          <w:b/>
          <w:sz w:val="20"/>
          <w:szCs w:val="20"/>
        </w:rPr>
      </w:pPr>
      <w:r w:rsidRPr="00CC03BE">
        <w:rPr>
          <w:rFonts w:asciiTheme="majorHAnsi" w:hAnsiTheme="majorHAnsi" w:cs="Times New Roman"/>
          <w:b/>
          <w:sz w:val="20"/>
          <w:szCs w:val="20"/>
        </w:rPr>
        <w:lastRenderedPageBreak/>
        <w:t>Fo</w:t>
      </w:r>
      <w:r w:rsidR="00A143E4" w:rsidRPr="00CC03BE">
        <w:rPr>
          <w:rFonts w:asciiTheme="majorHAnsi" w:hAnsiTheme="majorHAnsi" w:cs="Times New Roman"/>
          <w:b/>
          <w:sz w:val="20"/>
          <w:szCs w:val="20"/>
        </w:rPr>
        <w:t>ndos fiduciarios</w:t>
      </w:r>
    </w:p>
    <w:p w14:paraId="03DBD88D" w14:textId="77777777" w:rsidR="002B4B7B" w:rsidRPr="00CC03BE" w:rsidRDefault="002B4B7B">
      <w:pPr>
        <w:spacing w:after="0" w:line="240" w:lineRule="auto"/>
        <w:jc w:val="both"/>
        <w:rPr>
          <w:rFonts w:asciiTheme="majorHAnsi" w:hAnsiTheme="majorHAnsi" w:cs="Times New Roman"/>
          <w:sz w:val="20"/>
          <w:szCs w:val="20"/>
        </w:rPr>
      </w:pPr>
    </w:p>
    <w:p w14:paraId="240F5518" w14:textId="04EDE065" w:rsidR="00A143E4" w:rsidRPr="00CC03BE" w:rsidRDefault="00A143E4">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 xml:space="preserve">El resto de </w:t>
      </w:r>
      <w:r w:rsidR="00315DF1" w:rsidRPr="00CC03BE">
        <w:rPr>
          <w:rFonts w:asciiTheme="majorHAnsi" w:hAnsiTheme="majorHAnsi" w:cs="Times New Roman"/>
          <w:sz w:val="20"/>
          <w:szCs w:val="20"/>
        </w:rPr>
        <w:t>las actividades</w:t>
      </w:r>
      <w:r w:rsidRPr="00CC03BE">
        <w:rPr>
          <w:rFonts w:asciiTheme="majorHAnsi" w:hAnsiTheme="majorHAnsi" w:cs="Times New Roman"/>
          <w:sz w:val="20"/>
          <w:szCs w:val="20"/>
        </w:rPr>
        <w:t xml:space="preserve"> no cubiertas por el </w:t>
      </w:r>
      <w:r w:rsidR="00BB3836" w:rsidRPr="00CC03BE">
        <w:rPr>
          <w:rFonts w:asciiTheme="majorHAnsi" w:hAnsiTheme="majorHAnsi" w:cs="Times New Roman"/>
          <w:sz w:val="20"/>
          <w:szCs w:val="20"/>
        </w:rPr>
        <w:t>f</w:t>
      </w:r>
      <w:r w:rsidRPr="00CC03BE">
        <w:rPr>
          <w:rFonts w:asciiTheme="majorHAnsi" w:hAnsiTheme="majorHAnsi" w:cs="Times New Roman"/>
          <w:sz w:val="20"/>
          <w:szCs w:val="20"/>
        </w:rPr>
        <w:t xml:space="preserve">ondo de operaciones </w:t>
      </w:r>
      <w:r w:rsidR="00A92AF8" w:rsidRPr="00CC03BE">
        <w:rPr>
          <w:rFonts w:asciiTheme="majorHAnsi" w:hAnsiTheme="majorHAnsi" w:cs="Times New Roman"/>
          <w:sz w:val="20"/>
          <w:szCs w:val="20"/>
        </w:rPr>
        <w:t>quedan</w:t>
      </w:r>
      <w:r w:rsidRPr="00CC03BE">
        <w:rPr>
          <w:rFonts w:asciiTheme="majorHAnsi" w:hAnsiTheme="majorHAnsi" w:cs="Times New Roman"/>
          <w:sz w:val="20"/>
          <w:szCs w:val="20"/>
        </w:rPr>
        <w:t xml:space="preserve"> cubiertas por los fondos fiduciarios.</w:t>
      </w:r>
    </w:p>
    <w:p w14:paraId="7B403236" w14:textId="77777777" w:rsidR="002B4B7B" w:rsidRPr="00CC03BE" w:rsidRDefault="002B4B7B">
      <w:pPr>
        <w:spacing w:after="0" w:line="240" w:lineRule="auto"/>
        <w:jc w:val="both"/>
        <w:rPr>
          <w:rFonts w:asciiTheme="majorHAnsi" w:hAnsiTheme="majorHAnsi" w:cs="Times New Roman"/>
          <w:sz w:val="20"/>
          <w:szCs w:val="20"/>
        </w:rPr>
      </w:pPr>
    </w:p>
    <w:p w14:paraId="68D3402B" w14:textId="525EBE5F" w:rsidR="00A143E4" w:rsidRPr="00CC03BE" w:rsidRDefault="00A143E4">
      <w:pPr>
        <w:spacing w:after="0" w:line="240" w:lineRule="auto"/>
        <w:jc w:val="both"/>
        <w:rPr>
          <w:rFonts w:asciiTheme="majorHAnsi" w:hAnsiTheme="majorHAnsi" w:cs="Times New Roman"/>
          <w:sz w:val="20"/>
          <w:szCs w:val="20"/>
        </w:rPr>
      </w:pPr>
      <w:r w:rsidRPr="00CC03BE">
        <w:rPr>
          <w:rFonts w:asciiTheme="majorHAnsi" w:hAnsiTheme="majorHAnsi" w:cs="Times New Roman"/>
          <w:sz w:val="20"/>
          <w:szCs w:val="20"/>
        </w:rPr>
        <w:t>El Artículo 8 del Reglamento financiero estable</w:t>
      </w:r>
      <w:r w:rsidR="00A92AF8" w:rsidRPr="00CC03BE">
        <w:rPr>
          <w:rFonts w:asciiTheme="majorHAnsi" w:hAnsiTheme="majorHAnsi" w:cs="Times New Roman"/>
          <w:sz w:val="20"/>
          <w:szCs w:val="20"/>
        </w:rPr>
        <w:t>ce</w:t>
      </w:r>
      <w:r w:rsidRPr="00CC03BE">
        <w:rPr>
          <w:rFonts w:asciiTheme="majorHAnsi" w:hAnsiTheme="majorHAnsi" w:cs="Times New Roman"/>
          <w:sz w:val="20"/>
          <w:szCs w:val="20"/>
        </w:rPr>
        <w:t xml:space="preserve"> que el </w:t>
      </w:r>
      <w:r w:rsidR="006635D2" w:rsidRPr="00CC03BE">
        <w:rPr>
          <w:rFonts w:asciiTheme="majorHAnsi" w:hAnsiTheme="majorHAnsi" w:cs="Times New Roman"/>
          <w:sz w:val="20"/>
          <w:szCs w:val="20"/>
        </w:rPr>
        <w:t>s</w:t>
      </w:r>
      <w:r w:rsidRPr="00CC03BE">
        <w:rPr>
          <w:rFonts w:asciiTheme="majorHAnsi" w:hAnsiTheme="majorHAnsi" w:cs="Times New Roman"/>
          <w:sz w:val="20"/>
          <w:szCs w:val="20"/>
        </w:rPr>
        <w:t xml:space="preserve">ecretario </w:t>
      </w:r>
      <w:r w:rsidR="006635D2" w:rsidRPr="00CC03BE">
        <w:rPr>
          <w:rFonts w:asciiTheme="majorHAnsi" w:hAnsiTheme="majorHAnsi" w:cs="Times New Roman"/>
          <w:sz w:val="20"/>
          <w:szCs w:val="20"/>
        </w:rPr>
        <w:t>e</w:t>
      </w:r>
      <w:r w:rsidRPr="00CC03BE">
        <w:rPr>
          <w:rFonts w:asciiTheme="majorHAnsi" w:hAnsiTheme="majorHAnsi" w:cs="Times New Roman"/>
          <w:sz w:val="20"/>
          <w:szCs w:val="20"/>
        </w:rPr>
        <w:t xml:space="preserve">jecutivo puede aceptar </w:t>
      </w:r>
      <w:r w:rsidR="00A92AF8" w:rsidRPr="00CC03BE">
        <w:rPr>
          <w:rFonts w:asciiTheme="majorHAnsi" w:hAnsiTheme="majorHAnsi" w:cs="Times New Roman"/>
          <w:sz w:val="20"/>
          <w:szCs w:val="20"/>
        </w:rPr>
        <w:t xml:space="preserve">contribuciones voluntarias </w:t>
      </w:r>
      <w:r w:rsidRPr="00CC03BE">
        <w:rPr>
          <w:rFonts w:asciiTheme="majorHAnsi" w:hAnsiTheme="majorHAnsi" w:cs="Times New Roman"/>
          <w:sz w:val="20"/>
          <w:szCs w:val="20"/>
        </w:rPr>
        <w:t>en nombre de la Comisión, en efectivo o en otra forma</w:t>
      </w:r>
      <w:r w:rsidR="00A92AF8" w:rsidRPr="00CC03BE">
        <w:rPr>
          <w:rFonts w:asciiTheme="majorHAnsi" w:hAnsiTheme="majorHAnsi" w:cs="Times New Roman"/>
          <w:sz w:val="20"/>
          <w:szCs w:val="20"/>
        </w:rPr>
        <w:t>,</w:t>
      </w:r>
      <w:r w:rsidRPr="00CC03BE">
        <w:rPr>
          <w:rFonts w:asciiTheme="majorHAnsi" w:hAnsiTheme="majorHAnsi" w:cs="Times New Roman"/>
          <w:sz w:val="20"/>
          <w:szCs w:val="20"/>
        </w:rPr>
        <w:t xml:space="preserve"> </w:t>
      </w:r>
      <w:r w:rsidR="00A92AF8" w:rsidRPr="00CC03BE">
        <w:rPr>
          <w:rFonts w:asciiTheme="majorHAnsi" w:hAnsiTheme="majorHAnsi" w:cs="Times New Roman"/>
          <w:sz w:val="20"/>
          <w:szCs w:val="20"/>
        </w:rPr>
        <w:t>de</w:t>
      </w:r>
      <w:r w:rsidRPr="00CC03BE">
        <w:rPr>
          <w:rFonts w:asciiTheme="majorHAnsi" w:hAnsiTheme="majorHAnsi" w:cs="Times New Roman"/>
          <w:sz w:val="20"/>
          <w:szCs w:val="20"/>
        </w:rPr>
        <w:t xml:space="preserve"> las </w:t>
      </w:r>
      <w:r w:rsidR="00A61433" w:rsidRPr="00CC03BE">
        <w:rPr>
          <w:rFonts w:asciiTheme="majorHAnsi" w:hAnsiTheme="majorHAnsi" w:cs="Times New Roman"/>
          <w:sz w:val="20"/>
          <w:szCs w:val="20"/>
        </w:rPr>
        <w:t>Parte</w:t>
      </w:r>
      <w:r w:rsidR="004A0B78" w:rsidRPr="00CC03BE">
        <w:rPr>
          <w:rFonts w:asciiTheme="majorHAnsi" w:hAnsiTheme="majorHAnsi" w:cs="Times New Roman"/>
          <w:sz w:val="20"/>
          <w:szCs w:val="20"/>
        </w:rPr>
        <w:t>s</w:t>
      </w:r>
      <w:r w:rsidR="00A61433" w:rsidRPr="00CC03BE">
        <w:rPr>
          <w:rFonts w:asciiTheme="majorHAnsi" w:hAnsiTheme="majorHAnsi" w:cs="Times New Roman"/>
          <w:sz w:val="20"/>
          <w:szCs w:val="20"/>
        </w:rPr>
        <w:t xml:space="preserve"> contratante</w:t>
      </w:r>
      <w:r w:rsidR="004A0B78" w:rsidRPr="00CC03BE">
        <w:rPr>
          <w:rFonts w:asciiTheme="majorHAnsi" w:hAnsiTheme="majorHAnsi" w:cs="Times New Roman"/>
          <w:sz w:val="20"/>
          <w:szCs w:val="20"/>
        </w:rPr>
        <w:t>s</w:t>
      </w:r>
      <w:r w:rsidRPr="00CC03BE">
        <w:rPr>
          <w:rFonts w:asciiTheme="majorHAnsi" w:hAnsiTheme="majorHAnsi" w:cs="Times New Roman"/>
          <w:sz w:val="20"/>
          <w:szCs w:val="20"/>
        </w:rPr>
        <w:t xml:space="preserve"> u otras fuentes, siempre que las finalidades asignadas a tales contribuciones estén en consonancia con las normas, propósitos y actividades de la Comisión. </w:t>
      </w:r>
      <w:r w:rsidR="00A92AF8" w:rsidRPr="00CC03BE">
        <w:rPr>
          <w:rFonts w:asciiTheme="majorHAnsi" w:hAnsiTheme="majorHAnsi" w:cs="Times New Roman"/>
          <w:sz w:val="20"/>
          <w:szCs w:val="20"/>
        </w:rPr>
        <w:t>Se</w:t>
      </w:r>
      <w:r w:rsidRPr="00CC03BE">
        <w:rPr>
          <w:rFonts w:asciiTheme="majorHAnsi" w:hAnsiTheme="majorHAnsi" w:cs="Times New Roman"/>
          <w:sz w:val="20"/>
          <w:szCs w:val="20"/>
        </w:rPr>
        <w:t xml:space="preserve"> informará a la Comisión</w:t>
      </w:r>
      <w:r w:rsidR="00A92AF8" w:rsidRPr="00CC03BE">
        <w:rPr>
          <w:rFonts w:asciiTheme="majorHAnsi" w:hAnsiTheme="majorHAnsi" w:cs="Times New Roman"/>
          <w:sz w:val="20"/>
          <w:szCs w:val="20"/>
        </w:rPr>
        <w:t xml:space="preserve"> de los fondos establecidos</w:t>
      </w:r>
      <w:r w:rsidRPr="00CC03BE">
        <w:rPr>
          <w:rFonts w:asciiTheme="majorHAnsi" w:hAnsiTheme="majorHAnsi" w:cs="Times New Roman"/>
          <w:sz w:val="20"/>
          <w:szCs w:val="20"/>
        </w:rPr>
        <w:t>.</w:t>
      </w:r>
    </w:p>
    <w:p w14:paraId="0B51A9E2" w14:textId="77777777" w:rsidR="002B4B7B" w:rsidRPr="00CC03BE" w:rsidRDefault="002B4B7B">
      <w:pPr>
        <w:spacing w:after="0" w:line="240" w:lineRule="auto"/>
        <w:jc w:val="both"/>
        <w:rPr>
          <w:rFonts w:asciiTheme="majorHAnsi" w:hAnsiTheme="majorHAnsi" w:cs="Times New Roman"/>
          <w:sz w:val="20"/>
          <w:szCs w:val="20"/>
        </w:rPr>
      </w:pPr>
    </w:p>
    <w:p w14:paraId="7875C4D6" w14:textId="590D4FFC" w:rsidR="00106889" w:rsidRPr="00CC03BE" w:rsidRDefault="00A143E4" w:rsidP="00106889">
      <w:pPr>
        <w:spacing w:after="0" w:line="240" w:lineRule="auto"/>
        <w:jc w:val="both"/>
        <w:rPr>
          <w:rFonts w:asciiTheme="majorHAnsi" w:hAnsiTheme="majorHAnsi" w:cs="Times New Roman"/>
          <w:b/>
          <w:bCs/>
          <w:sz w:val="20"/>
          <w:szCs w:val="20"/>
        </w:rPr>
      </w:pPr>
      <w:r w:rsidRPr="00CC03BE">
        <w:rPr>
          <w:rFonts w:asciiTheme="majorHAnsi" w:hAnsiTheme="majorHAnsi" w:cs="Times New Roman"/>
          <w:sz w:val="20"/>
          <w:szCs w:val="20"/>
        </w:rPr>
        <w:t>Los ingresos y gastos de los fondos fiduciarios se mantienen en cuentas separadas en consonancia con el Artículo 9 del Reglamento Financiero.</w:t>
      </w:r>
      <w:r w:rsidR="00260776" w:rsidRPr="00CC03BE" w:rsidDel="00260776">
        <w:rPr>
          <w:rFonts w:asciiTheme="majorHAnsi" w:hAnsiTheme="majorHAnsi" w:cs="Times New Roman"/>
          <w:sz w:val="20"/>
          <w:szCs w:val="20"/>
        </w:rPr>
        <w:t xml:space="preserve"> </w:t>
      </w:r>
      <w:bookmarkStart w:id="3" w:name="OLE_LINK1"/>
      <w:r w:rsidR="00260776" w:rsidRPr="00CC03BE" w:rsidDel="00F876D7">
        <w:rPr>
          <w:rFonts w:asciiTheme="majorHAnsi" w:eastAsia="Times New Roman" w:hAnsiTheme="majorHAnsi" w:cs="Times New Roman"/>
          <w:i/>
          <w:iCs/>
          <w:sz w:val="20"/>
          <w:szCs w:val="20"/>
        </w:rPr>
        <w:t xml:space="preserve"> </w:t>
      </w:r>
      <w:bookmarkEnd w:id="3"/>
      <w:r w:rsidR="00106889" w:rsidRPr="00CC03BE">
        <w:rPr>
          <w:rFonts w:asciiTheme="majorHAnsi" w:hAnsiTheme="majorHAnsi" w:cs="Times New Roman"/>
          <w:b/>
          <w:bCs/>
          <w:sz w:val="20"/>
          <w:szCs w:val="20"/>
        </w:rPr>
        <w:br w:type="page"/>
      </w:r>
    </w:p>
    <w:p w14:paraId="61869DAD" w14:textId="641799D7" w:rsidR="00D15C92" w:rsidRPr="00CC03BE" w:rsidRDefault="00D15C92" w:rsidP="00883039">
      <w:pPr>
        <w:spacing w:after="0" w:line="240" w:lineRule="auto"/>
        <w:jc w:val="right"/>
        <w:rPr>
          <w:rFonts w:asciiTheme="majorHAnsi" w:hAnsiTheme="majorHAnsi" w:cs="Times New Roman"/>
          <w:b/>
          <w:bCs/>
          <w:sz w:val="20"/>
          <w:szCs w:val="20"/>
        </w:rPr>
      </w:pPr>
      <w:r w:rsidRPr="00CC03BE">
        <w:rPr>
          <w:rFonts w:asciiTheme="majorHAnsi" w:hAnsiTheme="majorHAnsi" w:cs="Times New Roman"/>
          <w:b/>
          <w:bCs/>
          <w:sz w:val="20"/>
          <w:szCs w:val="20"/>
        </w:rPr>
        <w:lastRenderedPageBreak/>
        <w:t>Anexo</w:t>
      </w:r>
    </w:p>
    <w:p w14:paraId="045BEBA4" w14:textId="77777777" w:rsidR="00413C7D" w:rsidRPr="00CC03BE" w:rsidRDefault="00413C7D" w:rsidP="00883039">
      <w:pPr>
        <w:spacing w:after="0" w:line="240" w:lineRule="auto"/>
        <w:jc w:val="right"/>
        <w:rPr>
          <w:rFonts w:asciiTheme="majorHAnsi" w:hAnsiTheme="majorHAnsi"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CC03BE"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1A19BFA" w:rsidR="00413C7D" w:rsidRPr="00CC03BE" w:rsidRDefault="00413C7D" w:rsidP="00413C7D">
            <w:pPr>
              <w:spacing w:after="0" w:line="240" w:lineRule="auto"/>
              <w:rPr>
                <w:rFonts w:asciiTheme="majorHAnsi" w:eastAsia="Times New Roman" w:hAnsiTheme="majorHAnsi" w:cs="Arial"/>
                <w:i/>
                <w:sz w:val="20"/>
                <w:szCs w:val="20"/>
              </w:rPr>
            </w:pPr>
            <w:r w:rsidRPr="00CC03BE">
              <w:rPr>
                <w:rFonts w:asciiTheme="majorHAnsi" w:eastAsia="Times New Roman" w:hAnsiTheme="majorHAnsi" w:cs="Arial"/>
                <w:i/>
                <w:sz w:val="20"/>
                <w:szCs w:val="20"/>
              </w:rPr>
              <w:t>Composición y saldo del fondo de operaciones (Euros) (a</w:t>
            </w:r>
            <w:r w:rsidRPr="00CC03BE">
              <w:rPr>
                <w:rFonts w:asciiTheme="majorHAnsi" w:hAnsiTheme="majorHAnsi" w:cs="Times New Roman"/>
                <w:i/>
                <w:sz w:val="20"/>
                <w:szCs w:val="20"/>
                <w:lang w:val="es-ES_tradnl"/>
              </w:rPr>
              <w:t xml:space="preserve"> </w:t>
            </w:r>
            <w:r w:rsidR="007F7464" w:rsidRPr="00CC03BE">
              <w:rPr>
                <w:rFonts w:asciiTheme="majorHAnsi" w:hAnsiTheme="majorHAnsi" w:cs="Times New Roman"/>
                <w:i/>
                <w:sz w:val="20"/>
                <w:szCs w:val="20"/>
                <w:lang w:val="es-ES_tradnl"/>
              </w:rPr>
              <w:t>8</w:t>
            </w:r>
            <w:r w:rsidR="00A0129D" w:rsidRPr="00CC03BE">
              <w:rPr>
                <w:rFonts w:asciiTheme="majorHAnsi" w:hAnsiTheme="majorHAnsi" w:cs="Times New Roman"/>
                <w:i/>
                <w:sz w:val="20"/>
                <w:szCs w:val="20"/>
                <w:lang w:val="es-ES_tradnl"/>
              </w:rPr>
              <w:t xml:space="preserve"> de octubre de 202</w:t>
            </w:r>
            <w:r w:rsidR="007F7464" w:rsidRPr="00CC03BE">
              <w:rPr>
                <w:rFonts w:asciiTheme="majorHAnsi" w:hAnsiTheme="majorHAnsi" w:cs="Times New Roman"/>
                <w:i/>
                <w:sz w:val="20"/>
                <w:szCs w:val="20"/>
                <w:lang w:val="es-ES_tradnl"/>
              </w:rPr>
              <w:t>5</w:t>
            </w:r>
            <w:r w:rsidRPr="00CC03BE">
              <w:rPr>
                <w:rFonts w:asciiTheme="majorHAnsi" w:hAnsiTheme="majorHAnsi" w:cs="Times New Roman"/>
                <w:i/>
                <w:sz w:val="20"/>
                <w:szCs w:val="20"/>
                <w:lang w:val="es-ES_tradnl"/>
              </w:rPr>
              <w:t>)</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18286BD7" w:rsidR="00413C7D" w:rsidRPr="00CC03BE" w:rsidRDefault="00413C7D" w:rsidP="00FB0DE0">
            <w:pPr>
              <w:spacing w:after="0" w:line="240" w:lineRule="auto"/>
              <w:jc w:val="center"/>
              <w:rPr>
                <w:rFonts w:asciiTheme="majorHAnsi" w:hAnsiTheme="majorHAnsi" w:cs="Times New Roman"/>
                <w:i/>
                <w:iCs/>
                <w:sz w:val="20"/>
                <w:szCs w:val="20"/>
                <w:lang w:val="es-ES_tradnl"/>
              </w:rPr>
            </w:pPr>
            <w:r w:rsidRPr="00CC03BE">
              <w:rPr>
                <w:rFonts w:asciiTheme="majorHAnsi" w:hAnsiTheme="majorHAnsi" w:cs="Times New Roman"/>
                <w:i/>
                <w:iCs/>
                <w:sz w:val="20"/>
                <w:szCs w:val="20"/>
                <w:lang w:val="es-ES_tradnl"/>
              </w:rPr>
              <w:t>Ejercicio 20</w:t>
            </w:r>
            <w:r w:rsidR="00124797" w:rsidRPr="00CC03BE">
              <w:rPr>
                <w:rFonts w:asciiTheme="majorHAnsi" w:hAnsiTheme="majorHAnsi" w:cs="Times New Roman"/>
                <w:i/>
                <w:iCs/>
                <w:sz w:val="20"/>
                <w:szCs w:val="20"/>
                <w:lang w:val="es-ES_tradnl"/>
              </w:rPr>
              <w:t>2</w:t>
            </w:r>
            <w:r w:rsidR="007F7464" w:rsidRPr="00CC03BE">
              <w:rPr>
                <w:rFonts w:asciiTheme="majorHAnsi" w:hAnsiTheme="majorHAnsi" w:cs="Times New Roman"/>
                <w:i/>
                <w:iCs/>
                <w:sz w:val="20"/>
                <w:szCs w:val="20"/>
                <w:lang w:val="es-ES_tradnl"/>
              </w:rPr>
              <w:t>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8B3CF12" w:rsidR="00413C7D" w:rsidRPr="00CC03BE" w:rsidRDefault="00413C7D" w:rsidP="006E7829">
            <w:pPr>
              <w:spacing w:after="0" w:line="240" w:lineRule="auto"/>
              <w:jc w:val="center"/>
              <w:rPr>
                <w:rFonts w:asciiTheme="majorHAnsi" w:eastAsia="Times New Roman" w:hAnsiTheme="majorHAnsi" w:cs="Arial"/>
                <w:i/>
                <w:sz w:val="20"/>
                <w:szCs w:val="20"/>
              </w:rPr>
            </w:pPr>
            <w:r w:rsidRPr="00CC03BE">
              <w:rPr>
                <w:rFonts w:asciiTheme="majorHAnsi" w:eastAsia="Times New Roman" w:hAnsiTheme="majorHAnsi" w:cs="Arial"/>
                <w:i/>
                <w:sz w:val="20"/>
                <w:szCs w:val="20"/>
              </w:rPr>
              <w:t xml:space="preserve">Porcentaje respecto al </w:t>
            </w:r>
            <w:r w:rsidR="000F5B09" w:rsidRPr="00CC03BE">
              <w:rPr>
                <w:rFonts w:asciiTheme="majorHAnsi" w:eastAsia="Times New Roman" w:hAnsiTheme="majorHAnsi" w:cs="Arial"/>
                <w:i/>
                <w:sz w:val="20"/>
                <w:szCs w:val="20"/>
              </w:rPr>
              <w:t>presupuesto</w:t>
            </w:r>
            <w:r w:rsidRPr="00CC03BE">
              <w:rPr>
                <w:rFonts w:asciiTheme="majorHAnsi" w:hAnsiTheme="majorHAnsi" w:cs="Times New Roman"/>
                <w:i/>
                <w:iCs/>
                <w:sz w:val="20"/>
                <w:szCs w:val="20"/>
                <w:lang w:val="es-ES_tradnl"/>
              </w:rPr>
              <w:t xml:space="preserve"> de 20</w:t>
            </w:r>
            <w:r w:rsidR="00124797" w:rsidRPr="00CC03BE">
              <w:rPr>
                <w:rFonts w:asciiTheme="majorHAnsi" w:hAnsiTheme="majorHAnsi" w:cs="Times New Roman"/>
                <w:i/>
                <w:iCs/>
                <w:sz w:val="20"/>
                <w:szCs w:val="20"/>
                <w:lang w:val="es-ES_tradnl"/>
              </w:rPr>
              <w:t>2</w:t>
            </w:r>
            <w:r w:rsidR="007F7464" w:rsidRPr="00CC03BE">
              <w:rPr>
                <w:rFonts w:asciiTheme="majorHAnsi" w:hAnsiTheme="majorHAnsi" w:cs="Times New Roman"/>
                <w:i/>
                <w:iCs/>
                <w:sz w:val="20"/>
                <w:szCs w:val="20"/>
                <w:lang w:val="es-ES_tradnl"/>
              </w:rPr>
              <w:t>5</w:t>
            </w:r>
            <w:r w:rsidRPr="00CC03BE">
              <w:rPr>
                <w:rFonts w:asciiTheme="majorHAnsi" w:hAnsiTheme="majorHAnsi" w:cs="Times New Roman"/>
                <w:i/>
                <w:iCs/>
                <w:sz w:val="20"/>
                <w:szCs w:val="20"/>
                <w:lang w:val="es-ES_tradnl"/>
              </w:rPr>
              <w:t xml:space="preserve"> (</w:t>
            </w:r>
            <w:r w:rsidR="007F7464" w:rsidRPr="00CC03BE">
              <w:rPr>
                <w:rFonts w:asciiTheme="majorHAnsi" w:hAnsiTheme="majorHAnsi" w:cs="Times New Roman"/>
                <w:i/>
                <w:iCs/>
                <w:sz w:val="20"/>
                <w:szCs w:val="20"/>
                <w:lang w:val="es-ES_tradnl"/>
              </w:rPr>
              <w:t>5.992.471,50</w:t>
            </w:r>
            <w:r w:rsidR="00665D29" w:rsidRPr="00CC03BE">
              <w:rPr>
                <w:rFonts w:asciiTheme="majorHAnsi" w:hAnsiTheme="majorHAnsi" w:cs="Times New Roman"/>
                <w:i/>
                <w:iCs/>
                <w:sz w:val="20"/>
                <w:szCs w:val="20"/>
                <w:lang w:val="es-ES_tradnl"/>
              </w:rPr>
              <w:t> </w:t>
            </w:r>
            <w:r w:rsidRPr="00CC03BE">
              <w:rPr>
                <w:rFonts w:asciiTheme="majorHAnsi" w:hAnsiTheme="majorHAnsi" w:cs="Times New Roman"/>
                <w:i/>
                <w:iCs/>
                <w:sz w:val="20"/>
                <w:szCs w:val="20"/>
                <w:lang w:val="es-ES_tradnl"/>
              </w:rPr>
              <w:t>€)</w:t>
            </w:r>
          </w:p>
        </w:tc>
      </w:tr>
      <w:tr w:rsidR="007F7464" w:rsidRPr="00CC03BE"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disponible a la apertura del ejercicio</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1B3704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1BE84D5C" w:rsidR="007F7464" w:rsidRPr="00CC03BE" w:rsidRDefault="007F7464" w:rsidP="00C94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48,40 %</w:t>
            </w:r>
          </w:p>
        </w:tc>
      </w:tr>
      <w:tr w:rsidR="007F7464" w:rsidRPr="00CC03BE"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Resultado del ejercicio: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39EC80EA"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411A5737" w:rsidR="007F7464" w:rsidRPr="00CC03BE" w:rsidRDefault="007F7464" w:rsidP="00C94DE0">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23,66 %</w:t>
            </w:r>
          </w:p>
        </w:tc>
      </w:tr>
      <w:tr w:rsidR="007F7464" w:rsidRPr="00CC03BE"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 xml:space="preserve">a) Resultado presupuestario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90BA64" w:rsidR="007F7464" w:rsidRPr="00CC03BE" w:rsidRDefault="007F7464" w:rsidP="007F7464">
            <w:pPr>
              <w:spacing w:after="0" w:line="240" w:lineRule="auto"/>
              <w:jc w:val="center"/>
              <w:rPr>
                <w:rFonts w:asciiTheme="majorHAnsi" w:hAnsiTheme="majorHAnsi" w:cs="Times New Roman"/>
                <w:b/>
                <w:bCs/>
                <w:sz w:val="20"/>
                <w:szCs w:val="20"/>
                <w:lang w:val="es-ES_tradnl"/>
              </w:rPr>
            </w:pPr>
            <w:r w:rsidRPr="00CC03BE">
              <w:rPr>
                <w:rFonts w:asciiTheme="majorHAnsi" w:hAnsiTheme="majorHAnsi" w:cs="Times New Roman"/>
                <w:b/>
                <w:bCs/>
                <w:sz w:val="20"/>
                <w:szCs w:val="20"/>
                <w:lang w:val="es-ES_tradnl"/>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Ingresos 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0D4B46E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presupuestarios (Capítulos 1 a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1BEBC4B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b) Resultado extrapresupuestario</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EE66E2E" w:rsidR="007F7464" w:rsidRPr="00CC03BE" w:rsidRDefault="007F7464" w:rsidP="007F7464">
            <w:pPr>
              <w:spacing w:after="0" w:line="240" w:lineRule="auto"/>
              <w:jc w:val="center"/>
              <w:rPr>
                <w:rFonts w:asciiTheme="majorHAnsi" w:hAnsiTheme="majorHAnsi" w:cs="Times New Roman"/>
                <w:b/>
                <w:bCs/>
                <w:sz w:val="20"/>
                <w:szCs w:val="20"/>
                <w:lang w:val="es-ES_tradnl"/>
              </w:rPr>
            </w:pPr>
            <w:r w:rsidRPr="00CC03BE">
              <w:rPr>
                <w:rFonts w:asciiTheme="majorHAnsi" w:hAnsiTheme="majorHAnsi" w:cs="Times New Roman"/>
                <w:b/>
                <w:bCs/>
                <w:sz w:val="20"/>
                <w:szCs w:val="20"/>
                <w:lang w:val="es-ES_tradnl"/>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7F7464" w:rsidRPr="00CC03BE"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CC03BE" w:rsidRDefault="007F7464" w:rsidP="007F7464">
            <w:pPr>
              <w:spacing w:after="0" w:line="240" w:lineRule="auto"/>
              <w:rPr>
                <w:rFonts w:asciiTheme="majorHAnsi" w:eastAsia="Times New Roman" w:hAnsiTheme="majorHAnsi" w:cs="Arial"/>
                <w:b/>
                <w:i/>
                <w:sz w:val="20"/>
                <w:szCs w:val="20"/>
              </w:rPr>
            </w:pPr>
            <w:r w:rsidRPr="00CC03BE">
              <w:rPr>
                <w:rFonts w:asciiTheme="majorHAnsi" w:eastAsia="Times New Roman" w:hAnsiTheme="majorHAnsi" w:cs="Arial"/>
                <w:b/>
                <w:i/>
                <w:sz w:val="20"/>
                <w:szCs w:val="20"/>
              </w:rPr>
              <w:t>Ingresos extrapresupuestarios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291DC26A"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CC03BE" w:rsidRDefault="007F7464" w:rsidP="007F7464">
            <w:pPr>
              <w:spacing w:after="0" w:line="240" w:lineRule="auto"/>
              <w:jc w:val="center"/>
              <w:rPr>
                <w:rFonts w:asciiTheme="majorHAnsi" w:eastAsia="Times New Roman" w:hAnsiTheme="majorHAnsi" w:cs="Arial"/>
                <w:b/>
                <w:i/>
                <w:sz w:val="20"/>
                <w:szCs w:val="20"/>
              </w:rPr>
            </w:pPr>
          </w:p>
        </w:tc>
      </w:tr>
      <w:tr w:rsidR="007F7464" w:rsidRPr="00CC03BE"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voluntarias:</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CC03BE"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Cuotas de observadores en las reuniones de ICCAT</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75B81EF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3388EE5B"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Programa regional de observadores de ICCAT para transbordos en el mar</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272CE004"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Programa regional de observadores de ICCAT para el atún rojo del Atlántico este y Mediterráneo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71BCD503"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 Proyecto ICCAT/Japón de ayuda a la creación de capacidad (Fase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7444B71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CC03BE" w:rsidRDefault="007F7464" w:rsidP="007F7464">
            <w:pPr>
              <w:spacing w:after="0" w:line="240" w:lineRule="auto"/>
              <w:ind w:left="284"/>
              <w:rPr>
                <w:rFonts w:asciiTheme="majorHAnsi" w:eastAsia="Times New Roman" w:hAnsiTheme="majorHAnsi" w:cs="Arial"/>
                <w:sz w:val="20"/>
                <w:szCs w:val="20"/>
                <w:lang w:val="it-IT"/>
              </w:rPr>
            </w:pPr>
            <w:bookmarkStart w:id="4" w:name="_Hlk180665839"/>
            <w:r w:rsidRPr="00CC03BE">
              <w:rPr>
                <w:rFonts w:asciiTheme="majorHAnsi" w:eastAsia="Times New Roman" w:hAnsiTheme="majorHAnsi" w:cs="Arial"/>
                <w:sz w:val="20"/>
                <w:szCs w:val="20"/>
                <w:lang w:val="it-IT"/>
              </w:rPr>
              <w:t xml:space="preserve">Contribución voluntaria de Taipei Chino a 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0B30056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Contribución voluntaria de Surinam a ICCAT</w:t>
            </w:r>
            <w:r w:rsidRPr="00CC03BE">
              <w:rPr>
                <w:rFonts w:asciiTheme="majorHAnsi" w:eastAsia="Times New Roman" w:hAnsiTheme="majorHAnsi" w:cs="Arial"/>
                <w:sz w:val="20"/>
                <w:szCs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4C4D2959" w:rsidR="007F7464" w:rsidRPr="00CC03BE" w:rsidRDefault="007F7464" w:rsidP="007F7464">
            <w:pPr>
              <w:spacing w:after="0" w:line="240" w:lineRule="auto"/>
              <w:jc w:val="center"/>
              <w:rPr>
                <w:rFonts w:asciiTheme="majorHAnsi" w:hAnsiTheme="majorHAnsi" w:cs="Times New Roman"/>
                <w:sz w:val="20"/>
                <w:szCs w:val="20"/>
                <w:lang w:val="it-IT"/>
              </w:rPr>
            </w:pPr>
            <w:r w:rsidRPr="00CC03BE">
              <w:rPr>
                <w:rFonts w:asciiTheme="majorHAnsi" w:hAnsiTheme="majorHAnsi" w:cs="Times New Roman"/>
                <w:sz w:val="20"/>
                <w:szCs w:val="20"/>
                <w:lang w:val="it-IT"/>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bookmarkEnd w:id="4"/>
      <w:tr w:rsidR="007F7464" w:rsidRPr="00CC03BE"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xml:space="preserve">Ingresos financieros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0FE8A87B"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Reembolso del IVA</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6B9426E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Ingresos varios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2DA69E2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F255D8" w:rsidRPr="00CC03BE"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xml:space="preserve">Ingresos reuniones de la Comisión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CC03BE" w:rsidRDefault="00413C7D" w:rsidP="00FB0DE0">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CC03BE" w:rsidRDefault="007F7464" w:rsidP="00C94DE0">
            <w:pPr>
              <w:spacing w:after="0" w:line="240" w:lineRule="auto"/>
              <w:ind w:left="288"/>
              <w:rPr>
                <w:rFonts w:asciiTheme="majorHAnsi" w:eastAsia="Times New Roman" w:hAnsiTheme="majorHAnsi" w:cs="Arial"/>
                <w:sz w:val="20"/>
                <w:szCs w:val="20"/>
              </w:rPr>
            </w:pPr>
            <w:r w:rsidRPr="00CC03BE">
              <w:rPr>
                <w:rFonts w:asciiTheme="majorHAnsi" w:eastAsia="Times New Roman" w:hAnsiTheme="majorHAnsi" w:cs="Arial"/>
                <w:sz w:val="20"/>
                <w:szCs w:val="20"/>
              </w:rPr>
              <w:t>Reuniones intersesiones de ICCAT y otros grupos de trabajo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Tercera reunión intersesiones de la Subcomisión 1 y 24ª Reunión extraordinaria de la Comisión de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C0D22D7"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CC03BE" w:rsidRDefault="007F7464" w:rsidP="007F7464">
            <w:pPr>
              <w:spacing w:after="0" w:line="240" w:lineRule="auto"/>
              <w:ind w:left="284"/>
              <w:rPr>
                <w:rFonts w:asciiTheme="majorHAnsi" w:eastAsia="Times New Roman" w:hAnsiTheme="majorHAnsi" w:cs="Arial"/>
                <w:sz w:val="20"/>
                <w:szCs w:val="20"/>
              </w:rPr>
            </w:pPr>
            <w:r w:rsidRPr="00CC03BE">
              <w:rPr>
                <w:rFonts w:asciiTheme="majorHAnsi" w:eastAsia="Times New Roman" w:hAnsiTheme="majorHAnsi" w:cs="Arial"/>
                <w:sz w:val="20"/>
                <w:szCs w:val="20"/>
              </w:rPr>
              <w:t>Reuniones intersesiones de ICCAT y otros grupos de trabajo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CC03BE" w:rsidRDefault="007F7464" w:rsidP="007F7464">
            <w:pPr>
              <w:spacing w:after="0" w:line="240" w:lineRule="auto"/>
              <w:rPr>
                <w:rFonts w:asciiTheme="majorHAnsi" w:eastAsia="Times New Roman" w:hAnsiTheme="majorHAnsi" w:cs="Arial"/>
                <w:b/>
                <w:i/>
                <w:sz w:val="20"/>
                <w:szCs w:val="20"/>
              </w:rPr>
            </w:pPr>
            <w:r w:rsidRPr="00CC03BE">
              <w:rPr>
                <w:rFonts w:asciiTheme="majorHAnsi" w:eastAsia="Times New Roman" w:hAnsiTheme="majorHAnsi" w:cs="Arial"/>
                <w:b/>
                <w:i/>
                <w:sz w:val="20"/>
                <w:szCs w:val="20"/>
              </w:rPr>
              <w:t>Gastos extrapresupuestarios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4EFE7D8D"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CC03BE" w:rsidRDefault="007F7464" w:rsidP="007F7464">
            <w:pPr>
              <w:spacing w:after="0" w:line="240" w:lineRule="auto"/>
              <w:jc w:val="center"/>
              <w:rPr>
                <w:rFonts w:asciiTheme="majorHAnsi" w:eastAsia="Times New Roman" w:hAnsiTheme="majorHAnsi" w:cs="Arial"/>
                <w:b/>
                <w:i/>
                <w:sz w:val="20"/>
                <w:szCs w:val="20"/>
              </w:rPr>
            </w:pPr>
          </w:p>
        </w:tc>
      </w:tr>
      <w:tr w:rsidR="007F7464" w:rsidRPr="00CC03BE"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CC03BE" w:rsidRDefault="007F7464" w:rsidP="007F7464">
            <w:pPr>
              <w:spacing w:after="0" w:line="240" w:lineRule="auto"/>
              <w:jc w:val="both"/>
              <w:rPr>
                <w:rFonts w:asciiTheme="majorHAnsi" w:eastAsia="Times New Roman" w:hAnsiTheme="majorHAnsi" w:cs="Arial"/>
                <w:sz w:val="20"/>
                <w:szCs w:val="20"/>
              </w:rPr>
            </w:pPr>
            <w:r w:rsidRPr="00CC03BE">
              <w:rPr>
                <w:rFonts w:asciiTheme="majorHAnsi" w:hAnsiTheme="majorHAnsi" w:cs="Times New Roman"/>
                <w:sz w:val="20"/>
                <w:szCs w:val="20"/>
                <w:lang w:val="es-ES_tradnl"/>
              </w:rPr>
              <w:t>Diferencias de cambio negativas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4237659"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de interpretación simultánea árabe</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2F7FEBEE"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hAnsiTheme="majorHAnsi" w:cs="Times New Roman"/>
                <w:sz w:val="20"/>
                <w:szCs w:val="20"/>
                <w:lang w:val="es-ES_tradnl"/>
              </w:rPr>
              <w:t>Reuniones intersesiones de 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598ADAC2" w:rsidR="007F7464" w:rsidRPr="00CC03BE" w:rsidRDefault="007F7464" w:rsidP="007F7464">
            <w:pPr>
              <w:spacing w:after="0" w:line="240" w:lineRule="auto"/>
              <w:jc w:val="center"/>
              <w:rPr>
                <w:rFonts w:asciiTheme="majorHAnsi" w:hAnsiTheme="majorHAnsi" w:cs="Times New Roman"/>
                <w:sz w:val="20"/>
                <w:szCs w:val="20"/>
                <w:lang w:val="es-ES_tradnl"/>
              </w:rPr>
            </w:pPr>
            <w:r w:rsidRPr="00CC03BE">
              <w:rPr>
                <w:rFonts w:asciiTheme="majorHAnsi" w:hAnsiTheme="majorHAnsi" w:cs="Times New Roman"/>
                <w:sz w:val="20"/>
                <w:szCs w:val="20"/>
                <w:lang w:val="es-ES_tradnl"/>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c) Contribuciones pagadas en el ejercicio a presupuestos anteriores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3EF72163"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CC03BE" w:rsidRDefault="007F7464" w:rsidP="007F7464">
            <w:pPr>
              <w:spacing w:after="0" w:line="240" w:lineRule="auto"/>
              <w:jc w:val="center"/>
              <w:rPr>
                <w:rFonts w:asciiTheme="majorHAnsi" w:eastAsia="Times New Roman" w:hAnsiTheme="majorHAnsi" w:cs="Arial"/>
                <w:b/>
                <w:sz w:val="20"/>
                <w:szCs w:val="20"/>
              </w:rPr>
            </w:pPr>
          </w:p>
        </w:tc>
      </w:tr>
      <w:tr w:rsidR="00F255D8" w:rsidRPr="00CC03BE"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a presupuestos ordinarios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29C8B5CC" w:rsidR="007F7464" w:rsidRPr="00CC03BE" w:rsidRDefault="007F7464" w:rsidP="007F7464">
            <w:pPr>
              <w:spacing w:after="0" w:line="240" w:lineRule="auto"/>
              <w:jc w:val="center"/>
              <w:rPr>
                <w:rFonts w:asciiTheme="majorHAnsi" w:eastAsia="Times New Roman" w:hAnsiTheme="majorHAnsi" w:cs="Arial"/>
                <w:sz w:val="20"/>
                <w:szCs w:val="20"/>
              </w:rPr>
            </w:pPr>
            <w:r w:rsidRPr="00CC03BE">
              <w:rPr>
                <w:rFonts w:asciiTheme="majorHAnsi" w:eastAsia="Times New Roman" w:hAnsiTheme="majorHAnsi" w:cs="Arial"/>
                <w:sz w:val="20"/>
                <w:szCs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13F31CFE"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Contribuciones recibidas de nuevas Partes contratantes al ejercicio actual</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70ABF37E" w:rsidR="007F7464" w:rsidRPr="00CC03BE" w:rsidRDefault="007F7464" w:rsidP="007F7464">
            <w:pPr>
              <w:spacing w:after="0" w:line="240" w:lineRule="auto"/>
              <w:jc w:val="center"/>
              <w:rPr>
                <w:rFonts w:asciiTheme="majorHAnsi" w:eastAsia="Times New Roman" w:hAnsiTheme="majorHAnsi" w:cs="Arial"/>
                <w:sz w:val="20"/>
                <w:szCs w:val="20"/>
              </w:rPr>
            </w:pPr>
            <w:r w:rsidRPr="00CC03BE">
              <w:rPr>
                <w:rFonts w:asciiTheme="majorHAnsi" w:eastAsia="Times New Roman" w:hAnsiTheme="majorHAnsi" w:cs="Arial"/>
                <w:sz w:val="20"/>
                <w:szCs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F255D8" w:rsidRPr="00CC03BE"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CC03BE" w:rsidRDefault="00413C7D" w:rsidP="00413C7D">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CC03BE" w:rsidRDefault="00413C7D" w:rsidP="006E7829">
            <w:pPr>
              <w:spacing w:after="0" w:line="240" w:lineRule="auto"/>
              <w:jc w:val="center"/>
              <w:rPr>
                <w:rFonts w:asciiTheme="majorHAnsi" w:eastAsia="Times New Roman" w:hAnsiTheme="majorHAnsi" w:cs="Arial"/>
                <w:sz w:val="20"/>
                <w:szCs w:val="20"/>
              </w:rPr>
            </w:pPr>
          </w:p>
        </w:tc>
      </w:tr>
      <w:tr w:rsidR="007F7464" w:rsidRPr="00CC03BE"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66D53928"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disponible a 8 de octubre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1CFE947E"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6D935AE5"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72,06 %</w:t>
            </w:r>
          </w:p>
        </w:tc>
      </w:tr>
      <w:tr w:rsidR="007F7464" w:rsidRPr="00CC03BE"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4912FB14"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Gastos estimados (hasta el 31 de diciembre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7836F9B7" w:rsidR="007F7464" w:rsidRPr="00CC03BE" w:rsidRDefault="007F7464" w:rsidP="007F7464">
            <w:pPr>
              <w:spacing w:after="0" w:line="240" w:lineRule="auto"/>
              <w:jc w:val="center"/>
              <w:rPr>
                <w:rFonts w:asciiTheme="majorHAnsi" w:eastAsia="Times New Roman" w:hAnsiTheme="majorHAnsi" w:cs="Arial"/>
                <w:color w:val="FF0000"/>
                <w:sz w:val="20"/>
                <w:szCs w:val="20"/>
              </w:rPr>
            </w:pPr>
            <w:r w:rsidRPr="00CC03BE">
              <w:rPr>
                <w:rFonts w:asciiTheme="majorHAnsi" w:eastAsia="Times New Roman" w:hAnsiTheme="majorHAnsi" w:cs="Arial"/>
                <w:sz w:val="20"/>
                <w:szCs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CC03BE"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CC03BE" w:rsidRDefault="007F7464" w:rsidP="007F7464">
            <w:pPr>
              <w:spacing w:after="0" w:line="240" w:lineRule="auto"/>
              <w:rPr>
                <w:rFonts w:asciiTheme="majorHAnsi" w:eastAsia="Times New Roman" w:hAnsiTheme="majorHAnsi" w:cs="Arial"/>
                <w:sz w:val="20"/>
                <w:szCs w:val="20"/>
              </w:rPr>
            </w:pPr>
            <w:r w:rsidRPr="00CC03B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CC03BE" w:rsidRDefault="007F7464" w:rsidP="007F7464">
            <w:pPr>
              <w:spacing w:after="0" w:line="240" w:lineRule="auto"/>
              <w:jc w:val="center"/>
              <w:rPr>
                <w:rFonts w:asciiTheme="majorHAnsi" w:eastAsia="Times New Roman" w:hAnsiTheme="majorHAnsi" w:cs="Arial"/>
                <w:sz w:val="20"/>
                <w:szCs w:val="20"/>
              </w:rPr>
            </w:pPr>
          </w:p>
        </w:tc>
      </w:tr>
      <w:tr w:rsidR="007F7464" w:rsidRPr="00173E45"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016DE4F" w:rsidR="007F7464" w:rsidRPr="00CC03BE" w:rsidRDefault="007F7464" w:rsidP="007F7464">
            <w:pPr>
              <w:spacing w:after="0" w:line="240" w:lineRule="auto"/>
              <w:rPr>
                <w:rFonts w:asciiTheme="majorHAnsi" w:eastAsia="Times New Roman" w:hAnsiTheme="majorHAnsi" w:cs="Arial"/>
                <w:b/>
                <w:sz w:val="20"/>
                <w:szCs w:val="20"/>
              </w:rPr>
            </w:pPr>
            <w:r w:rsidRPr="00CC03BE">
              <w:rPr>
                <w:rFonts w:asciiTheme="majorHAnsi" w:eastAsia="Times New Roman" w:hAnsiTheme="majorHAnsi" w:cs="Arial"/>
                <w:b/>
                <w:sz w:val="20"/>
                <w:szCs w:val="20"/>
              </w:rPr>
              <w:t>Saldo estimado a 31 de diciembre de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385B6E37"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26A01504" w:rsidR="007F7464" w:rsidRPr="00CC03BE" w:rsidRDefault="007F7464" w:rsidP="007F7464">
            <w:pPr>
              <w:spacing w:after="0" w:line="240" w:lineRule="auto"/>
              <w:jc w:val="center"/>
              <w:rPr>
                <w:rFonts w:asciiTheme="majorHAnsi" w:eastAsia="Times New Roman" w:hAnsiTheme="majorHAnsi" w:cs="Arial"/>
                <w:b/>
                <w:sz w:val="20"/>
                <w:szCs w:val="20"/>
              </w:rPr>
            </w:pPr>
            <w:r w:rsidRPr="00CC03BE">
              <w:rPr>
                <w:rFonts w:asciiTheme="majorHAnsi" w:eastAsia="Times New Roman" w:hAnsiTheme="majorHAnsi" w:cs="Arial"/>
                <w:b/>
                <w:sz w:val="20"/>
                <w:szCs w:val="20"/>
              </w:rPr>
              <w:t>42,47 %</w:t>
            </w:r>
          </w:p>
        </w:tc>
      </w:tr>
      <w:tr w:rsidR="00F255D8" w:rsidRPr="00173E45"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3303CE" w:rsidRDefault="00413C7D" w:rsidP="00413C7D">
            <w:pPr>
              <w:spacing w:after="0" w:line="240" w:lineRule="auto"/>
              <w:rPr>
                <w:rFonts w:asciiTheme="majorHAnsi" w:eastAsia="Times New Roman" w:hAnsiTheme="majorHAnsi" w:cs="Arial"/>
                <w:sz w:val="20"/>
                <w:szCs w:val="20"/>
              </w:rPr>
            </w:pPr>
            <w:r w:rsidRPr="003303CE">
              <w:rPr>
                <w:rFonts w:asciiTheme="majorHAnsi" w:eastAsia="Times New Roman" w:hAnsiTheme="majorHAnsi" w:cs="Arial"/>
                <w:sz w:val="20"/>
                <w:szCs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r>
    </w:tbl>
    <w:p w14:paraId="587E6591" w14:textId="77777777" w:rsidR="00260776" w:rsidRPr="003303CE" w:rsidRDefault="00260776" w:rsidP="00883039">
      <w:pPr>
        <w:spacing w:after="0" w:line="240" w:lineRule="auto"/>
        <w:jc w:val="both"/>
        <w:rPr>
          <w:rFonts w:asciiTheme="majorHAnsi" w:hAnsiTheme="majorHAnsi" w:cs="Times New Roman"/>
          <w:b/>
          <w:bCs/>
          <w:sz w:val="20"/>
          <w:szCs w:val="20"/>
        </w:rPr>
      </w:pPr>
    </w:p>
    <w:sectPr w:rsidR="00260776" w:rsidRPr="003303CE"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72BD" w14:textId="77777777" w:rsidR="004E3FB2" w:rsidRDefault="004E3FB2" w:rsidP="007C09E8">
      <w:pPr>
        <w:spacing w:after="0" w:line="240" w:lineRule="auto"/>
      </w:pPr>
      <w:r>
        <w:separator/>
      </w:r>
    </w:p>
  </w:endnote>
  <w:endnote w:type="continuationSeparator" w:id="0">
    <w:p w14:paraId="08B80C25" w14:textId="77777777" w:rsidR="004E3FB2" w:rsidRDefault="004E3FB2"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407A" w14:textId="77777777" w:rsidR="003F3A8F" w:rsidRPr="003F3A8F" w:rsidRDefault="003F3A8F" w:rsidP="003F3A8F">
    <w:pPr>
      <w:tabs>
        <w:tab w:val="center" w:pos="4513"/>
        <w:tab w:val="right" w:pos="9026"/>
      </w:tabs>
      <w:spacing w:after="0" w:line="240" w:lineRule="auto"/>
      <w:jc w:val="center"/>
      <w:rPr>
        <w:rFonts w:ascii="Cambria" w:eastAsia="Times New Roman" w:hAnsi="Cambria" w:cs="Times New Roman"/>
        <w:sz w:val="20"/>
        <w:szCs w:val="20"/>
        <w:lang w:eastAsia="en-US"/>
      </w:rPr>
    </w:pPr>
    <w:r w:rsidRPr="003F3A8F">
      <w:rPr>
        <w:rFonts w:ascii="Cambria" w:eastAsia="Times New Roman" w:hAnsi="Cambria" w:cs="Times New Roman"/>
        <w:sz w:val="20"/>
        <w:szCs w:val="20"/>
        <w:lang w:val="es-ES_tradnl" w:eastAsia="en-US"/>
      </w:rPr>
      <w:fldChar w:fldCharType="begin"/>
    </w:r>
    <w:r w:rsidRPr="003F3A8F">
      <w:rPr>
        <w:rFonts w:ascii="Cambria" w:eastAsia="Times New Roman" w:hAnsi="Cambria" w:cs="Times New Roman"/>
        <w:sz w:val="20"/>
        <w:szCs w:val="20"/>
        <w:lang w:val="es-ES_tradnl" w:eastAsia="en-US"/>
      </w:rPr>
      <w:instrText xml:space="preserve"> PAGE </w:instrText>
    </w:r>
    <w:r w:rsidRPr="003F3A8F">
      <w:rPr>
        <w:rFonts w:ascii="Cambria" w:eastAsia="Times New Roman" w:hAnsi="Cambria" w:cs="Times New Roman"/>
        <w:sz w:val="20"/>
        <w:szCs w:val="20"/>
        <w:lang w:val="es-ES_tradnl" w:eastAsia="en-US"/>
      </w:rPr>
      <w:fldChar w:fldCharType="separate"/>
    </w:r>
    <w:r w:rsidRPr="003F3A8F">
      <w:rPr>
        <w:rFonts w:ascii="Cambria" w:eastAsia="Times New Roman" w:hAnsi="Cambria" w:cs="Times New Roman"/>
        <w:sz w:val="20"/>
        <w:szCs w:val="20"/>
        <w:lang w:eastAsia="en-US"/>
      </w:rPr>
      <w:t>1</w:t>
    </w:r>
    <w:r w:rsidRPr="003F3A8F">
      <w:rPr>
        <w:rFonts w:ascii="Cambria" w:eastAsia="Times New Roman" w:hAnsi="Cambria" w:cs="Times New Roman"/>
        <w:sz w:val="20"/>
        <w:szCs w:val="20"/>
        <w:lang w:val="es-ES_tradnl" w:eastAsia="en-US"/>
      </w:rPr>
      <w:fldChar w:fldCharType="end"/>
    </w:r>
    <w:r w:rsidRPr="003F3A8F">
      <w:rPr>
        <w:rFonts w:ascii="Cambria" w:eastAsia="Times New Roman" w:hAnsi="Cambria" w:cs="Times New Roman"/>
        <w:sz w:val="20"/>
        <w:szCs w:val="20"/>
        <w:lang w:val="es-ES_tradnl" w:eastAsia="en-US"/>
      </w:rPr>
      <w:t xml:space="preserve"> / </w:t>
    </w:r>
    <w:r w:rsidRPr="003F3A8F">
      <w:rPr>
        <w:rFonts w:ascii="Cambria" w:eastAsia="Times New Roman" w:hAnsi="Cambria" w:cs="Times New Roman"/>
        <w:sz w:val="20"/>
        <w:szCs w:val="20"/>
        <w:lang w:val="es-ES_tradnl" w:eastAsia="en-US"/>
      </w:rPr>
      <w:fldChar w:fldCharType="begin"/>
    </w:r>
    <w:r w:rsidRPr="003F3A8F">
      <w:rPr>
        <w:rFonts w:ascii="Cambria" w:eastAsia="Times New Roman" w:hAnsi="Cambria" w:cs="Times New Roman"/>
        <w:sz w:val="20"/>
        <w:szCs w:val="20"/>
        <w:lang w:val="es-ES_tradnl" w:eastAsia="en-US"/>
      </w:rPr>
      <w:instrText xml:space="preserve"> NUMPAGES </w:instrText>
    </w:r>
    <w:r w:rsidRPr="003F3A8F">
      <w:rPr>
        <w:rFonts w:ascii="Cambria" w:eastAsia="Times New Roman" w:hAnsi="Cambria" w:cs="Times New Roman"/>
        <w:sz w:val="20"/>
        <w:szCs w:val="20"/>
        <w:lang w:val="es-ES_tradnl" w:eastAsia="en-US"/>
      </w:rPr>
      <w:fldChar w:fldCharType="separate"/>
    </w:r>
    <w:r w:rsidRPr="003F3A8F">
      <w:rPr>
        <w:rFonts w:ascii="Cambria" w:eastAsia="Times New Roman" w:hAnsi="Cambria" w:cs="Times New Roman"/>
        <w:sz w:val="20"/>
        <w:szCs w:val="20"/>
        <w:lang w:eastAsia="en-US"/>
      </w:rPr>
      <w:t>1</w:t>
    </w:r>
    <w:r w:rsidRPr="003F3A8F">
      <w:rPr>
        <w:rFonts w:ascii="Cambria" w:eastAsia="Times New Roman" w:hAnsi="Cambria" w:cs="Times New Roman"/>
        <w:sz w:val="20"/>
        <w:szCs w:val="20"/>
        <w:lang w:val="es-ES_tradnl" w:eastAsia="en-US"/>
      </w:rPr>
      <w:fldChar w:fldCharType="end"/>
    </w:r>
  </w:p>
  <w:p w14:paraId="1347283C" w14:textId="2FC0C632" w:rsidR="001F13FF" w:rsidRPr="008B3054" w:rsidRDefault="001F13FF" w:rsidP="00FF107D">
    <w:pPr>
      <w:tabs>
        <w:tab w:val="center" w:pos="4320"/>
        <w:tab w:val="right" w:pos="8640"/>
      </w:tabs>
      <w:spacing w:after="0" w:line="240" w:lineRule="auto"/>
      <w:jc w:val="center"/>
      <w:rPr>
        <w:rFonts w:asciiTheme="majorHAnsi" w:eastAsia="MS Mincho" w:hAnsiTheme="majorHAnsi" w:cs="Times New Roman"/>
        <w:sz w:val="20"/>
        <w:szCs w:val="20"/>
        <w:lang w:val="es-ES_tradnl"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229" w14:textId="77777777" w:rsidR="004E3FB2" w:rsidRDefault="004E3FB2" w:rsidP="007C09E8">
      <w:pPr>
        <w:spacing w:after="0" w:line="240" w:lineRule="auto"/>
      </w:pPr>
      <w:r>
        <w:separator/>
      </w:r>
    </w:p>
  </w:footnote>
  <w:footnote w:type="continuationSeparator" w:id="0">
    <w:p w14:paraId="1ACE5A2B" w14:textId="77777777" w:rsidR="004E3FB2" w:rsidRDefault="004E3FB2"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5815ECE7"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eastAsia="en-US"/>
      </w:rPr>
    </w:pPr>
    <w:r w:rsidRPr="003764FB">
      <w:rPr>
        <w:rFonts w:ascii="Cambria" w:eastAsia="Times New Roman" w:hAnsi="Cambria" w:cs="Times New Roman"/>
        <w:b/>
        <w:bCs/>
        <w:sz w:val="20"/>
        <w:szCs w:val="20"/>
        <w:lang w:val="en-US" w:eastAsia="en-US"/>
      </w:rPr>
      <w:t>STF_20</w:t>
    </w:r>
    <w:r>
      <w:rPr>
        <w:rFonts w:ascii="Cambria" w:eastAsia="Times New Roman" w:hAnsi="Cambria" w:cs="Times New Roman"/>
        <w:b/>
        <w:bCs/>
        <w:sz w:val="20"/>
        <w:szCs w:val="20"/>
        <w:lang w:val="en-US" w:eastAsia="en-US"/>
      </w:rPr>
      <w:t>7</w:t>
    </w:r>
    <w:r w:rsidR="00F2051B">
      <w:rPr>
        <w:rFonts w:ascii="Cambria" w:eastAsia="Times New Roman" w:hAnsi="Cambria" w:cs="Times New Roman"/>
        <w:b/>
        <w:bCs/>
        <w:sz w:val="20"/>
        <w:szCs w:val="20"/>
        <w:lang w:val="en-US" w:eastAsia="en-US"/>
      </w:rPr>
      <w:t>A</w:t>
    </w:r>
    <w:r w:rsidRPr="003764FB">
      <w:rPr>
        <w:rFonts w:ascii="Cambria" w:eastAsia="Times New Roman" w:hAnsi="Cambria" w:cs="Times New Roman"/>
        <w:b/>
        <w:bCs/>
        <w:sz w:val="20"/>
        <w:szCs w:val="20"/>
        <w:lang w:val="en-US" w:eastAsia="en-US"/>
      </w:rPr>
      <w:t>/202</w:t>
    </w:r>
    <w:r w:rsidR="004B258A">
      <w:rPr>
        <w:rFonts w:ascii="Cambria" w:eastAsia="Times New Roman" w:hAnsi="Cambria" w:cs="Times New Roman"/>
        <w:b/>
        <w:bCs/>
        <w:sz w:val="20"/>
        <w:szCs w:val="20"/>
        <w:lang w:val="en-US" w:eastAsia="en-US"/>
      </w:rPr>
      <w:t>5</w:t>
    </w:r>
  </w:p>
  <w:p w14:paraId="4A49A68D" w14:textId="2349ED2F" w:rsidR="003764FB" w:rsidRPr="00376CAD" w:rsidRDefault="003764FB" w:rsidP="00376CAD">
    <w:pPr>
      <w:tabs>
        <w:tab w:val="left" w:pos="7320"/>
      </w:tabs>
      <w:spacing w:after="0" w:line="240" w:lineRule="exact"/>
      <w:jc w:val="right"/>
      <w:rPr>
        <w:rFonts w:ascii="Cambria" w:eastAsia="Times New Roman" w:hAnsi="Cambria" w:cs="Times New Roman"/>
        <w:b/>
        <w:bCs/>
        <w:sz w:val="16"/>
        <w:szCs w:val="16"/>
        <w:lang w:val="en-US" w:eastAsia="en-US"/>
      </w:rPr>
    </w:pPr>
    <w:r w:rsidRPr="003764FB">
      <w:rPr>
        <w:rFonts w:ascii="Cambria" w:eastAsia="Times New Roman" w:hAnsi="Cambria" w:cs="Times New Roman"/>
        <w:b/>
        <w:bCs/>
        <w:sz w:val="16"/>
        <w:szCs w:val="16"/>
        <w:lang w:eastAsia="en-US"/>
      </w:rPr>
      <w:fldChar w:fldCharType="begin"/>
    </w:r>
    <w:r w:rsidRPr="003764FB">
      <w:rPr>
        <w:rFonts w:ascii="Cambria" w:eastAsia="Times New Roman" w:hAnsi="Cambria" w:cs="Times New Roman"/>
        <w:b/>
        <w:bCs/>
        <w:sz w:val="16"/>
        <w:szCs w:val="16"/>
        <w:lang w:val="en-US" w:eastAsia="en-US"/>
      </w:rPr>
      <w:instrText xml:space="preserve"> TIME \@ "dd/MM/yyyy H:mm" </w:instrText>
    </w:r>
    <w:r w:rsidRPr="003764FB">
      <w:rPr>
        <w:rFonts w:ascii="Cambria" w:eastAsia="Times New Roman" w:hAnsi="Cambria" w:cs="Times New Roman"/>
        <w:b/>
        <w:bCs/>
        <w:sz w:val="16"/>
        <w:szCs w:val="16"/>
        <w:lang w:eastAsia="en-US"/>
      </w:rPr>
      <w:fldChar w:fldCharType="separate"/>
    </w:r>
    <w:r w:rsidR="000D0329">
      <w:rPr>
        <w:rFonts w:ascii="Cambria" w:eastAsia="Times New Roman" w:hAnsi="Cambria" w:cs="Times New Roman"/>
        <w:b/>
        <w:bCs/>
        <w:noProof/>
        <w:sz w:val="16"/>
        <w:szCs w:val="16"/>
        <w:lang w:val="en-US" w:eastAsia="en-US"/>
      </w:rPr>
      <w:t>22/11/2025 20:09</w:t>
    </w:r>
    <w:r w:rsidRPr="003764FB">
      <w:rPr>
        <w:rFonts w:ascii="Cambria" w:eastAsia="Times New Roman" w:hAnsi="Cambria" w:cs="Times New Roman"/>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673"/>
    <w:rsid w:val="00020093"/>
    <w:rsid w:val="000248FF"/>
    <w:rsid w:val="00024D75"/>
    <w:rsid w:val="000251E8"/>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87D5B"/>
    <w:rsid w:val="00091441"/>
    <w:rsid w:val="000A058E"/>
    <w:rsid w:val="000A2EA4"/>
    <w:rsid w:val="000A313D"/>
    <w:rsid w:val="000A3C4B"/>
    <w:rsid w:val="000A60F0"/>
    <w:rsid w:val="000A7A79"/>
    <w:rsid w:val="000B04FB"/>
    <w:rsid w:val="000B0E29"/>
    <w:rsid w:val="000B162D"/>
    <w:rsid w:val="000B2841"/>
    <w:rsid w:val="000B6C8C"/>
    <w:rsid w:val="000C06B1"/>
    <w:rsid w:val="000C2366"/>
    <w:rsid w:val="000C2367"/>
    <w:rsid w:val="000C41D4"/>
    <w:rsid w:val="000C627A"/>
    <w:rsid w:val="000D0243"/>
    <w:rsid w:val="000D0329"/>
    <w:rsid w:val="000D1214"/>
    <w:rsid w:val="000D482D"/>
    <w:rsid w:val="000D4B4E"/>
    <w:rsid w:val="000E37F2"/>
    <w:rsid w:val="000E56F1"/>
    <w:rsid w:val="000E576C"/>
    <w:rsid w:val="000E623D"/>
    <w:rsid w:val="000F5B09"/>
    <w:rsid w:val="00100A96"/>
    <w:rsid w:val="00100C48"/>
    <w:rsid w:val="00106889"/>
    <w:rsid w:val="0011292A"/>
    <w:rsid w:val="00112E1F"/>
    <w:rsid w:val="001144A8"/>
    <w:rsid w:val="0011634B"/>
    <w:rsid w:val="00116D6B"/>
    <w:rsid w:val="001207C4"/>
    <w:rsid w:val="00124797"/>
    <w:rsid w:val="0012638D"/>
    <w:rsid w:val="0013002C"/>
    <w:rsid w:val="001336C0"/>
    <w:rsid w:val="00133E49"/>
    <w:rsid w:val="00136D8E"/>
    <w:rsid w:val="00141550"/>
    <w:rsid w:val="00143369"/>
    <w:rsid w:val="00151A96"/>
    <w:rsid w:val="00152619"/>
    <w:rsid w:val="00160B06"/>
    <w:rsid w:val="00160D50"/>
    <w:rsid w:val="00161496"/>
    <w:rsid w:val="0016255A"/>
    <w:rsid w:val="00165A21"/>
    <w:rsid w:val="00167624"/>
    <w:rsid w:val="00170B3C"/>
    <w:rsid w:val="001720D2"/>
    <w:rsid w:val="00173BE3"/>
    <w:rsid w:val="00173DE7"/>
    <w:rsid w:val="00173E45"/>
    <w:rsid w:val="0017490B"/>
    <w:rsid w:val="00176A5A"/>
    <w:rsid w:val="00181A1B"/>
    <w:rsid w:val="00182542"/>
    <w:rsid w:val="00185A30"/>
    <w:rsid w:val="00186B3F"/>
    <w:rsid w:val="00192EC0"/>
    <w:rsid w:val="0019314F"/>
    <w:rsid w:val="00193B33"/>
    <w:rsid w:val="0019542B"/>
    <w:rsid w:val="001A2EC0"/>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39C8"/>
    <w:rsid w:val="00246D0A"/>
    <w:rsid w:val="002516B8"/>
    <w:rsid w:val="00251825"/>
    <w:rsid w:val="00251F6D"/>
    <w:rsid w:val="00253E37"/>
    <w:rsid w:val="00254C12"/>
    <w:rsid w:val="00254C4F"/>
    <w:rsid w:val="0025511B"/>
    <w:rsid w:val="002579C4"/>
    <w:rsid w:val="00260776"/>
    <w:rsid w:val="00260A79"/>
    <w:rsid w:val="00260E30"/>
    <w:rsid w:val="00263DEF"/>
    <w:rsid w:val="0026547A"/>
    <w:rsid w:val="00265742"/>
    <w:rsid w:val="00281114"/>
    <w:rsid w:val="00281115"/>
    <w:rsid w:val="00281D97"/>
    <w:rsid w:val="00283D31"/>
    <w:rsid w:val="0028636B"/>
    <w:rsid w:val="0028709E"/>
    <w:rsid w:val="002927BF"/>
    <w:rsid w:val="00292C6F"/>
    <w:rsid w:val="002946A3"/>
    <w:rsid w:val="00294739"/>
    <w:rsid w:val="002962D1"/>
    <w:rsid w:val="002A4850"/>
    <w:rsid w:val="002A77DB"/>
    <w:rsid w:val="002B184B"/>
    <w:rsid w:val="002B249F"/>
    <w:rsid w:val="002B4B7B"/>
    <w:rsid w:val="002B7EB1"/>
    <w:rsid w:val="002C48F7"/>
    <w:rsid w:val="002C4A31"/>
    <w:rsid w:val="002D728E"/>
    <w:rsid w:val="002F4BED"/>
    <w:rsid w:val="002F65DF"/>
    <w:rsid w:val="003013AF"/>
    <w:rsid w:val="00305E3E"/>
    <w:rsid w:val="003075F4"/>
    <w:rsid w:val="00310A74"/>
    <w:rsid w:val="0031447F"/>
    <w:rsid w:val="003146F7"/>
    <w:rsid w:val="00315052"/>
    <w:rsid w:val="00315DF1"/>
    <w:rsid w:val="003172F6"/>
    <w:rsid w:val="00317857"/>
    <w:rsid w:val="00317A3A"/>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65348"/>
    <w:rsid w:val="003703FB"/>
    <w:rsid w:val="00373D60"/>
    <w:rsid w:val="00373E21"/>
    <w:rsid w:val="00375923"/>
    <w:rsid w:val="00375AB6"/>
    <w:rsid w:val="003764FB"/>
    <w:rsid w:val="00376CAD"/>
    <w:rsid w:val="003778DD"/>
    <w:rsid w:val="00381DA9"/>
    <w:rsid w:val="003868FE"/>
    <w:rsid w:val="00390F7F"/>
    <w:rsid w:val="00391EF7"/>
    <w:rsid w:val="00392A6E"/>
    <w:rsid w:val="00394256"/>
    <w:rsid w:val="00397499"/>
    <w:rsid w:val="003976F3"/>
    <w:rsid w:val="003A116D"/>
    <w:rsid w:val="003A2C42"/>
    <w:rsid w:val="003A584E"/>
    <w:rsid w:val="003A6A9A"/>
    <w:rsid w:val="003B2C8B"/>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3A8F"/>
    <w:rsid w:val="003F4C43"/>
    <w:rsid w:val="004026BE"/>
    <w:rsid w:val="00403A40"/>
    <w:rsid w:val="00410A7B"/>
    <w:rsid w:val="00411D9A"/>
    <w:rsid w:val="00413C7D"/>
    <w:rsid w:val="004168D1"/>
    <w:rsid w:val="004169B4"/>
    <w:rsid w:val="00420A06"/>
    <w:rsid w:val="00425556"/>
    <w:rsid w:val="00430B7C"/>
    <w:rsid w:val="004346EB"/>
    <w:rsid w:val="00435720"/>
    <w:rsid w:val="00436954"/>
    <w:rsid w:val="00440B8D"/>
    <w:rsid w:val="004561AC"/>
    <w:rsid w:val="004562A7"/>
    <w:rsid w:val="00461C53"/>
    <w:rsid w:val="00470886"/>
    <w:rsid w:val="00476C63"/>
    <w:rsid w:val="004813BF"/>
    <w:rsid w:val="00492617"/>
    <w:rsid w:val="00497701"/>
    <w:rsid w:val="004A0B78"/>
    <w:rsid w:val="004A1E4A"/>
    <w:rsid w:val="004B10BB"/>
    <w:rsid w:val="004B258A"/>
    <w:rsid w:val="004B3960"/>
    <w:rsid w:val="004C0755"/>
    <w:rsid w:val="004C35C8"/>
    <w:rsid w:val="004C3F00"/>
    <w:rsid w:val="004C43A8"/>
    <w:rsid w:val="004D3519"/>
    <w:rsid w:val="004D5AD3"/>
    <w:rsid w:val="004D7A71"/>
    <w:rsid w:val="004E1EAD"/>
    <w:rsid w:val="004E2DFA"/>
    <w:rsid w:val="004E3FB2"/>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6C0B"/>
    <w:rsid w:val="0055749D"/>
    <w:rsid w:val="00563AA4"/>
    <w:rsid w:val="0056449D"/>
    <w:rsid w:val="00565DAE"/>
    <w:rsid w:val="00566063"/>
    <w:rsid w:val="005666CA"/>
    <w:rsid w:val="00574154"/>
    <w:rsid w:val="00576990"/>
    <w:rsid w:val="00576CF5"/>
    <w:rsid w:val="0057769E"/>
    <w:rsid w:val="0058035A"/>
    <w:rsid w:val="005820B7"/>
    <w:rsid w:val="00582358"/>
    <w:rsid w:val="00582427"/>
    <w:rsid w:val="0059501C"/>
    <w:rsid w:val="0059633D"/>
    <w:rsid w:val="005970C6"/>
    <w:rsid w:val="005A0BF1"/>
    <w:rsid w:val="005A4763"/>
    <w:rsid w:val="005A7FF6"/>
    <w:rsid w:val="005B2D38"/>
    <w:rsid w:val="005B6C05"/>
    <w:rsid w:val="005C0283"/>
    <w:rsid w:val="005C1DDF"/>
    <w:rsid w:val="005C22E9"/>
    <w:rsid w:val="005C5F9D"/>
    <w:rsid w:val="005D1A31"/>
    <w:rsid w:val="005E1D6D"/>
    <w:rsid w:val="005E2498"/>
    <w:rsid w:val="005E3442"/>
    <w:rsid w:val="005F08A2"/>
    <w:rsid w:val="005F3903"/>
    <w:rsid w:val="005F3924"/>
    <w:rsid w:val="005F7D66"/>
    <w:rsid w:val="00600B9A"/>
    <w:rsid w:val="00602A6D"/>
    <w:rsid w:val="00603F4C"/>
    <w:rsid w:val="00607553"/>
    <w:rsid w:val="00611517"/>
    <w:rsid w:val="00612903"/>
    <w:rsid w:val="00617076"/>
    <w:rsid w:val="00622555"/>
    <w:rsid w:val="00622986"/>
    <w:rsid w:val="00622E50"/>
    <w:rsid w:val="00633463"/>
    <w:rsid w:val="006346D1"/>
    <w:rsid w:val="00640081"/>
    <w:rsid w:val="00640C12"/>
    <w:rsid w:val="00642313"/>
    <w:rsid w:val="00642B85"/>
    <w:rsid w:val="00643007"/>
    <w:rsid w:val="00644D6C"/>
    <w:rsid w:val="00647793"/>
    <w:rsid w:val="00655B34"/>
    <w:rsid w:val="00661BB3"/>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F87"/>
    <w:rsid w:val="006A7434"/>
    <w:rsid w:val="006A7BE3"/>
    <w:rsid w:val="006A7BFA"/>
    <w:rsid w:val="006B0510"/>
    <w:rsid w:val="006B0F05"/>
    <w:rsid w:val="006B2EA1"/>
    <w:rsid w:val="006B45EE"/>
    <w:rsid w:val="006C5881"/>
    <w:rsid w:val="006C6F75"/>
    <w:rsid w:val="006D1EA1"/>
    <w:rsid w:val="006D7CF2"/>
    <w:rsid w:val="006E05BE"/>
    <w:rsid w:val="006E0DAA"/>
    <w:rsid w:val="006E6602"/>
    <w:rsid w:val="006E7829"/>
    <w:rsid w:val="006F1557"/>
    <w:rsid w:val="006F4608"/>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63E2"/>
    <w:rsid w:val="00776ACC"/>
    <w:rsid w:val="0077735A"/>
    <w:rsid w:val="007852EC"/>
    <w:rsid w:val="00785D49"/>
    <w:rsid w:val="00787524"/>
    <w:rsid w:val="00791FB1"/>
    <w:rsid w:val="0079223E"/>
    <w:rsid w:val="007A41EA"/>
    <w:rsid w:val="007A7031"/>
    <w:rsid w:val="007B2196"/>
    <w:rsid w:val="007B424C"/>
    <w:rsid w:val="007B79E0"/>
    <w:rsid w:val="007C09E8"/>
    <w:rsid w:val="007C2674"/>
    <w:rsid w:val="007C5F4A"/>
    <w:rsid w:val="007C74FE"/>
    <w:rsid w:val="007C7A24"/>
    <w:rsid w:val="007C7EA2"/>
    <w:rsid w:val="007D07B3"/>
    <w:rsid w:val="007E01C1"/>
    <w:rsid w:val="007E06CD"/>
    <w:rsid w:val="007F2C80"/>
    <w:rsid w:val="007F72F6"/>
    <w:rsid w:val="007F7464"/>
    <w:rsid w:val="008055E1"/>
    <w:rsid w:val="00812945"/>
    <w:rsid w:val="00813AC8"/>
    <w:rsid w:val="00813D7F"/>
    <w:rsid w:val="00814919"/>
    <w:rsid w:val="008175CE"/>
    <w:rsid w:val="0082130F"/>
    <w:rsid w:val="008232D4"/>
    <w:rsid w:val="00823476"/>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200E"/>
    <w:rsid w:val="00873FFC"/>
    <w:rsid w:val="00874409"/>
    <w:rsid w:val="00875919"/>
    <w:rsid w:val="00875CD0"/>
    <w:rsid w:val="008773A8"/>
    <w:rsid w:val="00883039"/>
    <w:rsid w:val="00885F1B"/>
    <w:rsid w:val="00891518"/>
    <w:rsid w:val="008A6D24"/>
    <w:rsid w:val="008B144C"/>
    <w:rsid w:val="008B173B"/>
    <w:rsid w:val="008B3054"/>
    <w:rsid w:val="008B3C83"/>
    <w:rsid w:val="008B7125"/>
    <w:rsid w:val="008B7500"/>
    <w:rsid w:val="008B7639"/>
    <w:rsid w:val="008C067C"/>
    <w:rsid w:val="008C7172"/>
    <w:rsid w:val="008D186D"/>
    <w:rsid w:val="008D218B"/>
    <w:rsid w:val="008D2BAE"/>
    <w:rsid w:val="008D3E9D"/>
    <w:rsid w:val="008D58ED"/>
    <w:rsid w:val="008D68D1"/>
    <w:rsid w:val="008D7729"/>
    <w:rsid w:val="008E77EB"/>
    <w:rsid w:val="008F097D"/>
    <w:rsid w:val="008F3AB8"/>
    <w:rsid w:val="008F5FD2"/>
    <w:rsid w:val="009012D7"/>
    <w:rsid w:val="00903258"/>
    <w:rsid w:val="00905018"/>
    <w:rsid w:val="00905C76"/>
    <w:rsid w:val="0090690D"/>
    <w:rsid w:val="00907ADE"/>
    <w:rsid w:val="009133C3"/>
    <w:rsid w:val="009238D5"/>
    <w:rsid w:val="0092676D"/>
    <w:rsid w:val="00926A2F"/>
    <w:rsid w:val="00931947"/>
    <w:rsid w:val="00931AAE"/>
    <w:rsid w:val="00932BEF"/>
    <w:rsid w:val="00932C66"/>
    <w:rsid w:val="00935CAF"/>
    <w:rsid w:val="0095065E"/>
    <w:rsid w:val="0096439F"/>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C24EF"/>
    <w:rsid w:val="009C34CF"/>
    <w:rsid w:val="009C56F1"/>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2591"/>
    <w:rsid w:val="00A24C27"/>
    <w:rsid w:val="00A370B7"/>
    <w:rsid w:val="00A43577"/>
    <w:rsid w:val="00A45621"/>
    <w:rsid w:val="00A46D94"/>
    <w:rsid w:val="00A5223F"/>
    <w:rsid w:val="00A56CEC"/>
    <w:rsid w:val="00A61433"/>
    <w:rsid w:val="00A711AF"/>
    <w:rsid w:val="00A7230F"/>
    <w:rsid w:val="00A74195"/>
    <w:rsid w:val="00A74F36"/>
    <w:rsid w:val="00A84094"/>
    <w:rsid w:val="00A87D5F"/>
    <w:rsid w:val="00A91A2D"/>
    <w:rsid w:val="00A92AF8"/>
    <w:rsid w:val="00A92C95"/>
    <w:rsid w:val="00A97CC6"/>
    <w:rsid w:val="00AA06D7"/>
    <w:rsid w:val="00AC6599"/>
    <w:rsid w:val="00AC6E87"/>
    <w:rsid w:val="00AD2095"/>
    <w:rsid w:val="00AD2A8D"/>
    <w:rsid w:val="00AD43A7"/>
    <w:rsid w:val="00AD5E1C"/>
    <w:rsid w:val="00AE122A"/>
    <w:rsid w:val="00AE550D"/>
    <w:rsid w:val="00AF3261"/>
    <w:rsid w:val="00AF70BB"/>
    <w:rsid w:val="00AF7AAF"/>
    <w:rsid w:val="00B01731"/>
    <w:rsid w:val="00B03C4A"/>
    <w:rsid w:val="00B05547"/>
    <w:rsid w:val="00B111C1"/>
    <w:rsid w:val="00B1742C"/>
    <w:rsid w:val="00B204B5"/>
    <w:rsid w:val="00B2322C"/>
    <w:rsid w:val="00B2432B"/>
    <w:rsid w:val="00B268EC"/>
    <w:rsid w:val="00B3029F"/>
    <w:rsid w:val="00B4066E"/>
    <w:rsid w:val="00B50A56"/>
    <w:rsid w:val="00B50BA6"/>
    <w:rsid w:val="00B50D25"/>
    <w:rsid w:val="00B53A92"/>
    <w:rsid w:val="00B55B83"/>
    <w:rsid w:val="00B64CF1"/>
    <w:rsid w:val="00B64DDE"/>
    <w:rsid w:val="00B70222"/>
    <w:rsid w:val="00B76891"/>
    <w:rsid w:val="00B804AE"/>
    <w:rsid w:val="00B81138"/>
    <w:rsid w:val="00B8177F"/>
    <w:rsid w:val="00B81833"/>
    <w:rsid w:val="00B81D23"/>
    <w:rsid w:val="00B831D5"/>
    <w:rsid w:val="00BA2C93"/>
    <w:rsid w:val="00BB1975"/>
    <w:rsid w:val="00BB3836"/>
    <w:rsid w:val="00BB459B"/>
    <w:rsid w:val="00BB6DA1"/>
    <w:rsid w:val="00BC06FB"/>
    <w:rsid w:val="00BC2693"/>
    <w:rsid w:val="00BC3345"/>
    <w:rsid w:val="00BC36D8"/>
    <w:rsid w:val="00BC4029"/>
    <w:rsid w:val="00BC7510"/>
    <w:rsid w:val="00BD7D42"/>
    <w:rsid w:val="00BE29DD"/>
    <w:rsid w:val="00BE4488"/>
    <w:rsid w:val="00BE7608"/>
    <w:rsid w:val="00BF5588"/>
    <w:rsid w:val="00C00CFE"/>
    <w:rsid w:val="00C00D12"/>
    <w:rsid w:val="00C01764"/>
    <w:rsid w:val="00C026CC"/>
    <w:rsid w:val="00C02C3D"/>
    <w:rsid w:val="00C03444"/>
    <w:rsid w:val="00C05EB1"/>
    <w:rsid w:val="00C06489"/>
    <w:rsid w:val="00C06F64"/>
    <w:rsid w:val="00C11A93"/>
    <w:rsid w:val="00C131A0"/>
    <w:rsid w:val="00C217E2"/>
    <w:rsid w:val="00C22C78"/>
    <w:rsid w:val="00C25226"/>
    <w:rsid w:val="00C26764"/>
    <w:rsid w:val="00C30393"/>
    <w:rsid w:val="00C3123D"/>
    <w:rsid w:val="00C33A02"/>
    <w:rsid w:val="00C33BA0"/>
    <w:rsid w:val="00C36F14"/>
    <w:rsid w:val="00C37A12"/>
    <w:rsid w:val="00C42F6D"/>
    <w:rsid w:val="00C44405"/>
    <w:rsid w:val="00C446AB"/>
    <w:rsid w:val="00C4595F"/>
    <w:rsid w:val="00C45C07"/>
    <w:rsid w:val="00C517D7"/>
    <w:rsid w:val="00C51878"/>
    <w:rsid w:val="00C54504"/>
    <w:rsid w:val="00C55BD8"/>
    <w:rsid w:val="00C615D0"/>
    <w:rsid w:val="00C72F9D"/>
    <w:rsid w:val="00C75DEB"/>
    <w:rsid w:val="00C77171"/>
    <w:rsid w:val="00C84DC4"/>
    <w:rsid w:val="00C86539"/>
    <w:rsid w:val="00C87E92"/>
    <w:rsid w:val="00C93738"/>
    <w:rsid w:val="00C94DE0"/>
    <w:rsid w:val="00C957A9"/>
    <w:rsid w:val="00C97A9D"/>
    <w:rsid w:val="00CA48F6"/>
    <w:rsid w:val="00CC03BE"/>
    <w:rsid w:val="00CD20A6"/>
    <w:rsid w:val="00CD2540"/>
    <w:rsid w:val="00CD40C6"/>
    <w:rsid w:val="00CD4F9A"/>
    <w:rsid w:val="00CE3632"/>
    <w:rsid w:val="00CF34C6"/>
    <w:rsid w:val="00CF3AAD"/>
    <w:rsid w:val="00CF6B24"/>
    <w:rsid w:val="00D01D2B"/>
    <w:rsid w:val="00D050D2"/>
    <w:rsid w:val="00D13961"/>
    <w:rsid w:val="00D13B87"/>
    <w:rsid w:val="00D15C92"/>
    <w:rsid w:val="00D16CCD"/>
    <w:rsid w:val="00D228A1"/>
    <w:rsid w:val="00D25BA0"/>
    <w:rsid w:val="00D275CE"/>
    <w:rsid w:val="00D30B94"/>
    <w:rsid w:val="00D33AA3"/>
    <w:rsid w:val="00D3468B"/>
    <w:rsid w:val="00D35B35"/>
    <w:rsid w:val="00D400BC"/>
    <w:rsid w:val="00D41FC9"/>
    <w:rsid w:val="00D45506"/>
    <w:rsid w:val="00D52378"/>
    <w:rsid w:val="00D526D8"/>
    <w:rsid w:val="00D53465"/>
    <w:rsid w:val="00D53AE8"/>
    <w:rsid w:val="00D65361"/>
    <w:rsid w:val="00D71FFF"/>
    <w:rsid w:val="00D7367B"/>
    <w:rsid w:val="00D73762"/>
    <w:rsid w:val="00D76036"/>
    <w:rsid w:val="00D76E16"/>
    <w:rsid w:val="00D772B0"/>
    <w:rsid w:val="00D8223B"/>
    <w:rsid w:val="00D8438F"/>
    <w:rsid w:val="00D8508B"/>
    <w:rsid w:val="00D90164"/>
    <w:rsid w:val="00D907A6"/>
    <w:rsid w:val="00D92573"/>
    <w:rsid w:val="00D96530"/>
    <w:rsid w:val="00DA1A9A"/>
    <w:rsid w:val="00DA2A6D"/>
    <w:rsid w:val="00DA7A1E"/>
    <w:rsid w:val="00DA7E4C"/>
    <w:rsid w:val="00DB1397"/>
    <w:rsid w:val="00DB251C"/>
    <w:rsid w:val="00DB563E"/>
    <w:rsid w:val="00DB7C10"/>
    <w:rsid w:val="00DC03C5"/>
    <w:rsid w:val="00DC1162"/>
    <w:rsid w:val="00DC34D9"/>
    <w:rsid w:val="00DC480E"/>
    <w:rsid w:val="00DC57F0"/>
    <w:rsid w:val="00DC63B1"/>
    <w:rsid w:val="00DC7BAD"/>
    <w:rsid w:val="00DD0561"/>
    <w:rsid w:val="00DD0D4B"/>
    <w:rsid w:val="00DD1076"/>
    <w:rsid w:val="00DD56A8"/>
    <w:rsid w:val="00DE19D7"/>
    <w:rsid w:val="00DE3435"/>
    <w:rsid w:val="00DE3E67"/>
    <w:rsid w:val="00DE4F54"/>
    <w:rsid w:val="00DE5F2E"/>
    <w:rsid w:val="00DF1DB4"/>
    <w:rsid w:val="00DF4036"/>
    <w:rsid w:val="00DF4D8A"/>
    <w:rsid w:val="00E002F9"/>
    <w:rsid w:val="00E0067D"/>
    <w:rsid w:val="00E04662"/>
    <w:rsid w:val="00E05991"/>
    <w:rsid w:val="00E05AB0"/>
    <w:rsid w:val="00E1105F"/>
    <w:rsid w:val="00E117B4"/>
    <w:rsid w:val="00E202C0"/>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4217"/>
    <w:rsid w:val="00E82DDB"/>
    <w:rsid w:val="00E83DE0"/>
    <w:rsid w:val="00E84698"/>
    <w:rsid w:val="00E87389"/>
    <w:rsid w:val="00EA089B"/>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051B"/>
    <w:rsid w:val="00F2246E"/>
    <w:rsid w:val="00F255D8"/>
    <w:rsid w:val="00F27FA5"/>
    <w:rsid w:val="00F302AB"/>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74D6"/>
    <w:rsid w:val="00F876D7"/>
    <w:rsid w:val="00F93941"/>
    <w:rsid w:val="00F95247"/>
    <w:rsid w:val="00F97CE9"/>
    <w:rsid w:val="00FA2998"/>
    <w:rsid w:val="00FA3E9C"/>
    <w:rsid w:val="00FA418B"/>
    <w:rsid w:val="00FA5B50"/>
    <w:rsid w:val="00FB0B84"/>
    <w:rsid w:val="00FB0DE0"/>
    <w:rsid w:val="00FB0E98"/>
    <w:rsid w:val="00FB23D3"/>
    <w:rsid w:val="00FB24C6"/>
    <w:rsid w:val="00FB6ED9"/>
    <w:rsid w:val="00FB708D"/>
    <w:rsid w:val="00FB75C5"/>
    <w:rsid w:val="00FB7CDE"/>
    <w:rsid w:val="00FC1274"/>
    <w:rsid w:val="00FC4B6A"/>
    <w:rsid w:val="00FC5E44"/>
    <w:rsid w:val="00FC5FE5"/>
    <w:rsid w:val="00FC794C"/>
    <w:rsid w:val="00FD7D8A"/>
    <w:rsid w:val="00FF063E"/>
    <w:rsid w:val="00FF107D"/>
    <w:rsid w:val="00FF1BAB"/>
    <w:rsid w:val="00FF23CE"/>
    <w:rsid w:val="00FF479A"/>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15:docId w15:val="{C827552E-8B06-482A-8F0B-E7405C56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unhideWhenUsed/>
    <w:rsid w:val="007C09E8"/>
    <w:rPr>
      <w:vertAlign w:val="superscript"/>
    </w:rPr>
  </w:style>
  <w:style w:type="paragraph" w:styleId="Header">
    <w:name w:val="header"/>
    <w:basedOn w:val="Normal"/>
    <w:link w:val="HeaderChar"/>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table" w:customStyle="1" w:styleId="Tablaconcuadrcula1">
    <w:name w:val="Tabla con cuadrícula1"/>
    <w:basedOn w:val="TableNormal"/>
    <w:next w:val="TableGrid"/>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ADA3-3F08-4C48-A40D-5FB5F451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2430</Words>
  <Characters>13857</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María José García</cp:lastModifiedBy>
  <cp:revision>3</cp:revision>
  <dcterms:created xsi:type="dcterms:W3CDTF">2025-11-22T18:49:00Z</dcterms:created>
  <dcterms:modified xsi:type="dcterms:W3CDTF">2025-11-22T19:13:00Z</dcterms:modified>
</cp:coreProperties>
</file>