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EA1A" w14:textId="77777777" w:rsidR="00931AAE" w:rsidRPr="007845E4" w:rsidRDefault="00C01764" w:rsidP="00603F4C">
      <w:pPr>
        <w:jc w:val="right"/>
        <w:rPr>
          <w:rFonts w:ascii="Cambria" w:hAnsi="Cambria" w:cs="Times New Roman"/>
          <w:b/>
          <w:bCs/>
          <w:sz w:val="20"/>
          <w:szCs w:val="20"/>
        </w:rPr>
      </w:pPr>
      <w:r w:rsidRPr="007845E4">
        <w:rPr>
          <w:rFonts w:ascii="Cambria" w:hAnsi="Cambria"/>
          <w:b/>
          <w:bCs/>
          <w:sz w:val="20"/>
          <w:szCs w:val="20"/>
        </w:rPr>
        <w:t>Original : espagnol</w:t>
      </w:r>
    </w:p>
    <w:p w14:paraId="4667CD93" w14:textId="104B3BB5" w:rsidR="00574154" w:rsidRPr="007845E4" w:rsidRDefault="00764B44" w:rsidP="002B4B7B">
      <w:pPr>
        <w:autoSpaceDE w:val="0"/>
        <w:autoSpaceDN w:val="0"/>
        <w:adjustRightInd w:val="0"/>
        <w:spacing w:after="0" w:line="240" w:lineRule="auto"/>
        <w:jc w:val="center"/>
        <w:rPr>
          <w:rFonts w:ascii="Cambria" w:hAnsi="Cambria" w:cs="Times New Roman"/>
          <w:b/>
          <w:bCs/>
          <w:sz w:val="20"/>
          <w:szCs w:val="20"/>
        </w:rPr>
      </w:pPr>
      <w:r w:rsidRPr="007845E4">
        <w:rPr>
          <w:rFonts w:ascii="Cambria" w:hAnsi="Cambria"/>
          <w:b/>
          <w:bCs/>
          <w:sz w:val="20"/>
          <w:szCs w:val="20"/>
        </w:rPr>
        <w:t>Situation du Fonds de roulement de l'ICCAT</w:t>
      </w:r>
    </w:p>
    <w:p w14:paraId="653F8AD1" w14:textId="77777777" w:rsidR="009E024B" w:rsidRPr="007845E4" w:rsidRDefault="009E024B" w:rsidP="002B4B7B">
      <w:pPr>
        <w:autoSpaceDE w:val="0"/>
        <w:autoSpaceDN w:val="0"/>
        <w:adjustRightInd w:val="0"/>
        <w:spacing w:after="0" w:line="240" w:lineRule="auto"/>
        <w:jc w:val="center"/>
        <w:rPr>
          <w:rFonts w:ascii="Cambria" w:hAnsi="Cambria" w:cs="Times New Roman"/>
          <w:i/>
          <w:iCs/>
          <w:sz w:val="20"/>
          <w:szCs w:val="20"/>
        </w:rPr>
      </w:pPr>
    </w:p>
    <w:p w14:paraId="6B790F08" w14:textId="36EBB5A2" w:rsidR="009E024B" w:rsidRPr="007845E4" w:rsidRDefault="009E024B" w:rsidP="009E024B">
      <w:pPr>
        <w:autoSpaceDE w:val="0"/>
        <w:autoSpaceDN w:val="0"/>
        <w:adjustRightInd w:val="0"/>
        <w:spacing w:after="0" w:line="240" w:lineRule="auto"/>
        <w:jc w:val="center"/>
        <w:rPr>
          <w:rFonts w:ascii="Cambria" w:hAnsi="Cambria" w:cs="Times New Roman"/>
          <w:i/>
          <w:iCs/>
          <w:caps/>
          <w:sz w:val="20"/>
          <w:szCs w:val="20"/>
        </w:rPr>
      </w:pPr>
      <w:r w:rsidRPr="007845E4">
        <w:rPr>
          <w:rFonts w:ascii="Cambria" w:hAnsi="Cambria"/>
          <w:i/>
          <w:iCs/>
          <w:sz w:val="20"/>
          <w:szCs w:val="20"/>
        </w:rPr>
        <w:t>(Présenté par le Secrétariat de l’ICCAT)</w:t>
      </w:r>
    </w:p>
    <w:p w14:paraId="174649FC" w14:textId="77777777" w:rsidR="00A143E4" w:rsidRPr="007845E4" w:rsidRDefault="00A143E4" w:rsidP="002B4B7B">
      <w:pPr>
        <w:spacing w:after="0" w:line="240" w:lineRule="auto"/>
        <w:jc w:val="both"/>
        <w:rPr>
          <w:rFonts w:ascii="Cambria" w:hAnsi="Cambria" w:cs="Times New Roman"/>
          <w:sz w:val="20"/>
          <w:szCs w:val="20"/>
        </w:rPr>
      </w:pPr>
    </w:p>
    <w:p w14:paraId="7E910A41" w14:textId="069EBA76" w:rsidR="00A143E4" w:rsidRPr="007845E4" w:rsidRDefault="00B70222" w:rsidP="008B173B">
      <w:pPr>
        <w:pStyle w:val="ListParagraph"/>
        <w:numPr>
          <w:ilvl w:val="0"/>
          <w:numId w:val="13"/>
        </w:numPr>
        <w:spacing w:after="0" w:line="240" w:lineRule="auto"/>
        <w:ind w:left="426" w:hanging="426"/>
        <w:jc w:val="both"/>
        <w:rPr>
          <w:rFonts w:ascii="Cambria" w:hAnsi="Cambria" w:cs="Times New Roman"/>
          <w:b/>
          <w:sz w:val="20"/>
          <w:szCs w:val="20"/>
        </w:rPr>
      </w:pPr>
      <w:r w:rsidRPr="007845E4">
        <w:rPr>
          <w:rFonts w:ascii="Cambria" w:hAnsi="Cambria"/>
          <w:b/>
          <w:sz w:val="20"/>
          <w:szCs w:val="20"/>
        </w:rPr>
        <w:t xml:space="preserve">Constitution du Fonds de roulement </w:t>
      </w:r>
    </w:p>
    <w:p w14:paraId="1D436B48" w14:textId="77777777" w:rsidR="00A143E4" w:rsidRPr="007845E4" w:rsidRDefault="00A143E4" w:rsidP="002B4B7B">
      <w:pPr>
        <w:spacing w:after="0" w:line="240" w:lineRule="auto"/>
        <w:jc w:val="both"/>
        <w:rPr>
          <w:rFonts w:ascii="Cambria" w:hAnsi="Cambria" w:cs="Times New Roman"/>
          <w:sz w:val="20"/>
          <w:szCs w:val="20"/>
        </w:rPr>
      </w:pPr>
    </w:p>
    <w:p w14:paraId="3E7772D0" w14:textId="2BBB6112"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La Commission dispose d'un fonds de capital de travail (Fonds de roulement) destiné à financer les opérations de la Commission avant la réception des contributions annuelles et pour toute autre fin que détermine la Commission (article X.9 de la Convention).</w:t>
      </w:r>
    </w:p>
    <w:p w14:paraId="077C5E3F" w14:textId="77777777" w:rsidR="00C54504" w:rsidRPr="007845E4" w:rsidRDefault="00C54504" w:rsidP="002B4B7B">
      <w:pPr>
        <w:spacing w:after="0" w:line="240" w:lineRule="auto"/>
        <w:jc w:val="both"/>
        <w:rPr>
          <w:rFonts w:ascii="Cambria" w:hAnsi="Cambria" w:cs="Times New Roman"/>
          <w:sz w:val="20"/>
          <w:szCs w:val="20"/>
        </w:rPr>
      </w:pPr>
    </w:p>
    <w:p w14:paraId="493851B5" w14:textId="27A21126"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Conformément à la recommandation du Groupe de travail sur les finances et l’administration, formulée à sa réunion des 29 et 30 novembre et 1er décembre 1971, à Madrid, « Il a été considéré que le Fonds de roulement... devrait se maintenir à un niveau approximatif de 15 % du budget total annuel ». Cette recommandation a été adoptée par la Commission.</w:t>
      </w:r>
    </w:p>
    <w:p w14:paraId="10A356C9" w14:textId="77777777" w:rsidR="00907ADE" w:rsidRPr="007845E4" w:rsidRDefault="00907ADE" w:rsidP="002B4B7B">
      <w:pPr>
        <w:spacing w:after="0" w:line="240" w:lineRule="auto"/>
        <w:jc w:val="both"/>
        <w:rPr>
          <w:rFonts w:ascii="Cambria" w:hAnsi="Cambria" w:cs="Times New Roman"/>
          <w:sz w:val="20"/>
          <w:szCs w:val="20"/>
        </w:rPr>
      </w:pPr>
    </w:p>
    <w:p w14:paraId="6545222D" w14:textId="02138548" w:rsidR="00A143E4" w:rsidRPr="007845E4" w:rsidRDefault="00A143E4" w:rsidP="005D1A31">
      <w:pPr>
        <w:pStyle w:val="ListParagraph"/>
        <w:numPr>
          <w:ilvl w:val="0"/>
          <w:numId w:val="23"/>
        </w:numPr>
        <w:spacing w:after="0" w:line="240" w:lineRule="auto"/>
        <w:jc w:val="both"/>
        <w:rPr>
          <w:rFonts w:ascii="Cambria" w:hAnsi="Cambria" w:cs="Times New Roman"/>
          <w:sz w:val="20"/>
          <w:szCs w:val="20"/>
        </w:rPr>
      </w:pPr>
      <w:r w:rsidRPr="007845E4">
        <w:rPr>
          <w:rFonts w:ascii="Cambria" w:hAnsi="Cambria"/>
          <w:sz w:val="20"/>
          <w:szCs w:val="20"/>
        </w:rPr>
        <w:t>Au 31 décembre 2024, le solde était de 2.900.070,01 euros, ce qui représente 49,94% du budget de 2024, pourcentage supérieur à celui adopté par la Commission.</w:t>
      </w:r>
    </w:p>
    <w:p w14:paraId="283D0B4A" w14:textId="77777777" w:rsidR="00C54504" w:rsidRPr="007845E4" w:rsidRDefault="00C54504" w:rsidP="002B4B7B">
      <w:pPr>
        <w:spacing w:after="0" w:line="240" w:lineRule="auto"/>
        <w:jc w:val="both"/>
        <w:rPr>
          <w:rFonts w:ascii="Cambria" w:hAnsi="Cambria" w:cs="Times New Roman"/>
          <w:sz w:val="20"/>
          <w:szCs w:val="20"/>
        </w:rPr>
      </w:pPr>
    </w:p>
    <w:p w14:paraId="48E6E1C9" w14:textId="77777777"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Le Fonds de roulement est composé des éléments suivants :</w:t>
      </w:r>
    </w:p>
    <w:p w14:paraId="6B006A76" w14:textId="5FC38955" w:rsidR="00A143E4" w:rsidRPr="007845E4" w:rsidRDefault="00A143E4" w:rsidP="002B4B7B">
      <w:pPr>
        <w:pStyle w:val="ListParagraph"/>
        <w:numPr>
          <w:ilvl w:val="0"/>
          <w:numId w:val="11"/>
        </w:numPr>
        <w:spacing w:after="0" w:line="240" w:lineRule="auto"/>
        <w:jc w:val="both"/>
        <w:rPr>
          <w:rFonts w:ascii="Cambria" w:hAnsi="Cambria" w:cs="Times New Roman"/>
          <w:sz w:val="20"/>
          <w:szCs w:val="20"/>
        </w:rPr>
      </w:pPr>
      <w:r w:rsidRPr="007845E4">
        <w:rPr>
          <w:rFonts w:ascii="Cambria" w:hAnsi="Cambria"/>
          <w:sz w:val="20"/>
          <w:szCs w:val="20"/>
        </w:rPr>
        <w:t>Le solde à l’ouverture de l’exercice</w:t>
      </w:r>
    </w:p>
    <w:p w14:paraId="0A012C81" w14:textId="77777777" w:rsidR="00A143E4" w:rsidRPr="007845E4" w:rsidRDefault="00A143E4" w:rsidP="002B4B7B">
      <w:pPr>
        <w:pStyle w:val="ListParagraph"/>
        <w:numPr>
          <w:ilvl w:val="0"/>
          <w:numId w:val="11"/>
        </w:numPr>
        <w:spacing w:after="0" w:line="240" w:lineRule="auto"/>
        <w:jc w:val="both"/>
        <w:rPr>
          <w:rFonts w:ascii="Cambria" w:hAnsi="Cambria" w:cs="Times New Roman"/>
          <w:sz w:val="20"/>
          <w:szCs w:val="20"/>
        </w:rPr>
      </w:pPr>
      <w:r w:rsidRPr="007845E4">
        <w:rPr>
          <w:rFonts w:ascii="Cambria" w:hAnsi="Cambria"/>
          <w:sz w:val="20"/>
          <w:szCs w:val="20"/>
        </w:rPr>
        <w:t>Le résultat de l'exercice :</w:t>
      </w:r>
    </w:p>
    <w:p w14:paraId="6A14F93F" w14:textId="6B78586B" w:rsidR="00A143E4" w:rsidRPr="007845E4" w:rsidRDefault="001E13A3" w:rsidP="002B4B7B">
      <w:pPr>
        <w:pStyle w:val="ListParagraph"/>
        <w:numPr>
          <w:ilvl w:val="0"/>
          <w:numId w:val="10"/>
        </w:numPr>
        <w:spacing w:after="0" w:line="240" w:lineRule="auto"/>
        <w:jc w:val="both"/>
        <w:rPr>
          <w:rFonts w:ascii="Cambria" w:hAnsi="Cambria" w:cs="Times New Roman"/>
          <w:sz w:val="20"/>
          <w:szCs w:val="20"/>
        </w:rPr>
      </w:pPr>
      <w:r w:rsidRPr="007845E4">
        <w:rPr>
          <w:rFonts w:ascii="Cambria" w:hAnsi="Cambria"/>
          <w:sz w:val="20"/>
          <w:szCs w:val="20"/>
        </w:rPr>
        <w:t>Résultat de la liquidation des revenus et des dépenses au budget de l'exercice</w:t>
      </w:r>
    </w:p>
    <w:p w14:paraId="41AAE26B" w14:textId="02E4F936" w:rsidR="00A143E4" w:rsidRPr="007845E4" w:rsidRDefault="001E13A3" w:rsidP="002B4B7B">
      <w:pPr>
        <w:pStyle w:val="ListParagraph"/>
        <w:numPr>
          <w:ilvl w:val="0"/>
          <w:numId w:val="10"/>
        </w:numPr>
        <w:spacing w:after="0" w:line="240" w:lineRule="auto"/>
        <w:jc w:val="both"/>
        <w:rPr>
          <w:rFonts w:ascii="Cambria" w:hAnsi="Cambria" w:cs="Times New Roman"/>
          <w:sz w:val="20"/>
          <w:szCs w:val="20"/>
        </w:rPr>
      </w:pPr>
      <w:r w:rsidRPr="007845E4">
        <w:rPr>
          <w:rFonts w:ascii="Cambria" w:hAnsi="Cambria"/>
          <w:sz w:val="20"/>
          <w:szCs w:val="20"/>
        </w:rPr>
        <w:t>Résultat de la liquidation des revenus et des dépenses non inclus dans le budget de l'exercice</w:t>
      </w:r>
    </w:p>
    <w:p w14:paraId="3EBCC1EF" w14:textId="2539354E" w:rsidR="003D2D4C" w:rsidRPr="007845E4" w:rsidRDefault="00A143E4" w:rsidP="003D2D4C">
      <w:pPr>
        <w:pStyle w:val="ListParagraph"/>
        <w:numPr>
          <w:ilvl w:val="0"/>
          <w:numId w:val="10"/>
        </w:numPr>
        <w:spacing w:after="0" w:line="240" w:lineRule="auto"/>
        <w:jc w:val="both"/>
        <w:rPr>
          <w:rFonts w:ascii="Cambria" w:hAnsi="Cambria" w:cs="Times New Roman"/>
          <w:sz w:val="20"/>
          <w:szCs w:val="20"/>
        </w:rPr>
      </w:pPr>
      <w:r w:rsidRPr="007845E4">
        <w:rPr>
          <w:rFonts w:ascii="Cambria" w:hAnsi="Cambria"/>
          <w:sz w:val="20"/>
          <w:szCs w:val="20"/>
        </w:rPr>
        <w:t>Contributions acquittées par les Parties contractantes au titre de budgets antérieurs (arriérés)</w:t>
      </w:r>
    </w:p>
    <w:p w14:paraId="3350A555" w14:textId="77777777" w:rsidR="003D2D4C" w:rsidRPr="007845E4" w:rsidRDefault="003D2D4C" w:rsidP="003F3A8F">
      <w:pPr>
        <w:spacing w:after="0" w:line="240" w:lineRule="auto"/>
        <w:jc w:val="both"/>
        <w:rPr>
          <w:rFonts w:ascii="Cambria" w:hAnsi="Cambria" w:cs="Times New Roman"/>
          <w:sz w:val="20"/>
          <w:szCs w:val="20"/>
        </w:rPr>
      </w:pPr>
    </w:p>
    <w:p w14:paraId="1390EB4B" w14:textId="40A81923" w:rsidR="00A143E4" w:rsidRPr="007845E4" w:rsidRDefault="003D2D4C" w:rsidP="003D2D4C">
      <w:pPr>
        <w:spacing w:after="0" w:line="240" w:lineRule="auto"/>
        <w:jc w:val="both"/>
        <w:rPr>
          <w:rFonts w:ascii="Cambria" w:hAnsi="Cambria" w:cs="Times New Roman"/>
          <w:sz w:val="20"/>
          <w:szCs w:val="20"/>
        </w:rPr>
      </w:pPr>
      <w:r w:rsidRPr="007845E4">
        <w:rPr>
          <w:rFonts w:ascii="Cambria" w:hAnsi="Cambria"/>
          <w:sz w:val="20"/>
          <w:szCs w:val="20"/>
        </w:rPr>
        <w:t xml:space="preserve">Le tableau en </w:t>
      </w:r>
      <w:r w:rsidRPr="007845E4">
        <w:rPr>
          <w:rFonts w:ascii="Cambria" w:hAnsi="Cambria"/>
          <w:b/>
          <w:sz w:val="20"/>
          <w:szCs w:val="20"/>
        </w:rPr>
        <w:t>annexe</w:t>
      </w:r>
      <w:r w:rsidRPr="007845E4">
        <w:rPr>
          <w:rFonts w:ascii="Cambria" w:hAnsi="Cambria"/>
          <w:sz w:val="20"/>
          <w:szCs w:val="20"/>
        </w:rPr>
        <w:t xml:space="preserve"> comporte la situation du Fonds de roulement au 8 octobre 2025.</w:t>
      </w:r>
    </w:p>
    <w:p w14:paraId="06F3228D" w14:textId="77777777" w:rsidR="003D2D4C" w:rsidRPr="007845E4" w:rsidRDefault="003D2D4C" w:rsidP="003F3A8F">
      <w:pPr>
        <w:spacing w:after="0" w:line="240" w:lineRule="auto"/>
        <w:jc w:val="both"/>
        <w:rPr>
          <w:rFonts w:ascii="Cambria" w:hAnsi="Cambria" w:cs="Times New Roman"/>
          <w:sz w:val="20"/>
          <w:szCs w:val="20"/>
        </w:rPr>
      </w:pPr>
    </w:p>
    <w:p w14:paraId="399F581D" w14:textId="77777777" w:rsidR="00A143E4" w:rsidRPr="007845E4" w:rsidRDefault="00A143E4" w:rsidP="002B4B7B">
      <w:pPr>
        <w:tabs>
          <w:tab w:val="left" w:pos="426"/>
        </w:tabs>
        <w:spacing w:after="0" w:line="240" w:lineRule="auto"/>
        <w:jc w:val="both"/>
        <w:rPr>
          <w:rFonts w:ascii="Cambria" w:hAnsi="Cambria" w:cs="Times New Roman"/>
          <w:b/>
          <w:i/>
          <w:sz w:val="20"/>
          <w:szCs w:val="20"/>
        </w:rPr>
      </w:pPr>
      <w:r w:rsidRPr="007845E4">
        <w:rPr>
          <w:rFonts w:ascii="Cambria" w:hAnsi="Cambria"/>
          <w:b/>
          <w:i/>
          <w:sz w:val="20"/>
          <w:szCs w:val="20"/>
        </w:rPr>
        <w:t>1.a</w:t>
      </w:r>
      <w:r w:rsidRPr="007845E4">
        <w:rPr>
          <w:rFonts w:ascii="Cambria" w:hAnsi="Cambria"/>
          <w:b/>
          <w:i/>
          <w:sz w:val="20"/>
          <w:szCs w:val="20"/>
        </w:rPr>
        <w:tab/>
        <w:t>Liquidation des revenus et des dépenses au budget de l'exercice</w:t>
      </w:r>
    </w:p>
    <w:p w14:paraId="31042F65" w14:textId="77777777" w:rsidR="00A143E4" w:rsidRPr="007845E4" w:rsidRDefault="00A143E4" w:rsidP="002B4B7B">
      <w:pPr>
        <w:spacing w:after="0" w:line="240" w:lineRule="auto"/>
        <w:jc w:val="both"/>
        <w:rPr>
          <w:rFonts w:ascii="Cambria" w:hAnsi="Cambria" w:cs="Times New Roman"/>
          <w:b/>
          <w:i/>
          <w:sz w:val="20"/>
          <w:szCs w:val="20"/>
        </w:rPr>
      </w:pPr>
    </w:p>
    <w:p w14:paraId="089B0DE3" w14:textId="77777777"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La Commission approuve tous les deux ans, pendant ses réunions ordinaires, un budget pour les dépenses communes. Le budget des dépenses se divise en chapitres et sous-chapitres, en fonction des besoins de la Commission.</w:t>
      </w:r>
    </w:p>
    <w:p w14:paraId="3F7068EC" w14:textId="77777777" w:rsidR="00C54504" w:rsidRPr="007845E4" w:rsidRDefault="00C54504" w:rsidP="002B4B7B">
      <w:pPr>
        <w:spacing w:after="0" w:line="240" w:lineRule="auto"/>
        <w:jc w:val="both"/>
        <w:rPr>
          <w:rFonts w:ascii="Cambria" w:hAnsi="Cambria" w:cs="Times New Roman"/>
          <w:sz w:val="20"/>
          <w:szCs w:val="20"/>
        </w:rPr>
      </w:pPr>
    </w:p>
    <w:p w14:paraId="56760D0F" w14:textId="3AFD009F"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Chaque Partie contractante apporte tous les ans sa contribution au budget de la Commission avec une quantité calculée selon le système établi à l'article 4 du Règlement financier.</w:t>
      </w:r>
    </w:p>
    <w:p w14:paraId="09DFE4CD" w14:textId="77777777" w:rsidR="00C54504" w:rsidRPr="007845E4" w:rsidRDefault="00C54504" w:rsidP="002B4B7B">
      <w:pPr>
        <w:spacing w:after="0" w:line="240" w:lineRule="auto"/>
        <w:jc w:val="both"/>
        <w:rPr>
          <w:rFonts w:ascii="Cambria" w:hAnsi="Cambria" w:cs="Times New Roman"/>
          <w:sz w:val="20"/>
          <w:szCs w:val="20"/>
        </w:rPr>
      </w:pPr>
    </w:p>
    <w:p w14:paraId="6D59329C" w14:textId="7B0B5521"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La liquidation des revenus et des dépenses au budget de l'exercice fournit le résultat budgétaire. Au 8 octobre 2025, la liquidation du budget dégageait un résultat positif de 625.808,65 euros.</w:t>
      </w:r>
    </w:p>
    <w:p w14:paraId="3F90A6C6" w14:textId="2B5AC4EF" w:rsidR="003778DD" w:rsidRPr="007845E4" w:rsidRDefault="003778DD" w:rsidP="002B4B7B">
      <w:pPr>
        <w:spacing w:after="0" w:line="240" w:lineRule="auto"/>
        <w:jc w:val="both"/>
        <w:rPr>
          <w:rFonts w:ascii="Cambria" w:hAnsi="Cambria" w:cs="Times New Roman"/>
          <w:sz w:val="20"/>
          <w:szCs w:val="20"/>
        </w:rPr>
      </w:pPr>
    </w:p>
    <w:p w14:paraId="1A759D59" w14:textId="65DC05B0" w:rsidR="00B01731" w:rsidRPr="007845E4" w:rsidRDefault="003778DD" w:rsidP="002B4B7B">
      <w:pPr>
        <w:spacing w:after="0" w:line="240" w:lineRule="auto"/>
        <w:jc w:val="both"/>
        <w:rPr>
          <w:rFonts w:ascii="Cambria" w:hAnsi="Cambria" w:cs="Times New Roman"/>
          <w:spacing w:val="-2"/>
          <w:sz w:val="20"/>
          <w:szCs w:val="20"/>
        </w:rPr>
      </w:pPr>
      <w:r w:rsidRPr="007845E4">
        <w:rPr>
          <w:rFonts w:ascii="Cambria" w:hAnsi="Cambria"/>
          <w:sz w:val="20"/>
          <w:szCs w:val="20"/>
        </w:rPr>
        <w:t>En 2025, la tendance de nombreuses Parties contractantes à ne pas verser leurs contributions s'est poursuivie. À tel point qu'au 8 octobre 2025, seules 27 Parties contractantes ont respecté le paiement total de leurs contributions pour l'exercice en cours et 19 ont toutes leurs contributions en instance de paiement. La dette au titre des contributions en instance de versement au budget 2025 est de 1.018.202,58 euros.</w:t>
      </w:r>
    </w:p>
    <w:p w14:paraId="118C4780" w14:textId="4D9FA316" w:rsidR="00B01731" w:rsidRPr="007845E4" w:rsidRDefault="00B01731" w:rsidP="002B4B7B">
      <w:pPr>
        <w:spacing w:after="0" w:line="240" w:lineRule="auto"/>
        <w:jc w:val="both"/>
        <w:rPr>
          <w:rFonts w:ascii="Cambria" w:hAnsi="Cambria" w:cs="Times New Roman"/>
          <w:sz w:val="20"/>
          <w:szCs w:val="20"/>
        </w:rPr>
      </w:pPr>
    </w:p>
    <w:p w14:paraId="7ECA60D5" w14:textId="1AABCE39" w:rsidR="003778DD" w:rsidRPr="007845E4" w:rsidRDefault="00B01731" w:rsidP="00B01731">
      <w:pPr>
        <w:spacing w:after="0" w:line="240" w:lineRule="auto"/>
        <w:jc w:val="both"/>
        <w:rPr>
          <w:rFonts w:ascii="Cambria" w:hAnsi="Cambria" w:cs="Times New Roman"/>
          <w:sz w:val="20"/>
          <w:szCs w:val="20"/>
        </w:rPr>
      </w:pPr>
      <w:r w:rsidRPr="007845E4">
        <w:rPr>
          <w:rFonts w:ascii="Cambria" w:hAnsi="Cambria"/>
          <w:sz w:val="20"/>
          <w:szCs w:val="20"/>
        </w:rPr>
        <w:t xml:space="preserve">Il est essentiel pour le travail de cette Commission que toutes les Parties contractantes s’acquittent de leurs obligations budgétaires. </w:t>
      </w:r>
    </w:p>
    <w:p w14:paraId="11F775F9" w14:textId="77777777" w:rsidR="00A143E4" w:rsidRPr="007845E4" w:rsidRDefault="00A143E4" w:rsidP="002B4B7B">
      <w:pPr>
        <w:spacing w:after="0" w:line="240" w:lineRule="auto"/>
        <w:jc w:val="both"/>
        <w:rPr>
          <w:rFonts w:ascii="Cambria" w:hAnsi="Cambria" w:cs="Times New Roman"/>
          <w:sz w:val="20"/>
          <w:szCs w:val="20"/>
        </w:rPr>
      </w:pPr>
    </w:p>
    <w:p w14:paraId="5D758921" w14:textId="77777777" w:rsidR="00A143E4" w:rsidRPr="007845E4" w:rsidRDefault="00A143E4" w:rsidP="002B4B7B">
      <w:pPr>
        <w:tabs>
          <w:tab w:val="left" w:pos="426"/>
        </w:tabs>
        <w:spacing w:after="0" w:line="240" w:lineRule="auto"/>
        <w:jc w:val="both"/>
        <w:rPr>
          <w:rFonts w:ascii="Cambria" w:hAnsi="Cambria" w:cs="Times New Roman"/>
          <w:b/>
          <w:i/>
          <w:sz w:val="20"/>
          <w:szCs w:val="20"/>
        </w:rPr>
      </w:pPr>
      <w:r w:rsidRPr="007845E4">
        <w:rPr>
          <w:rFonts w:ascii="Cambria" w:hAnsi="Cambria"/>
          <w:b/>
          <w:i/>
          <w:sz w:val="20"/>
          <w:szCs w:val="20"/>
        </w:rPr>
        <w:t>1.b</w:t>
      </w:r>
      <w:r w:rsidRPr="007845E4">
        <w:rPr>
          <w:rFonts w:ascii="Cambria" w:hAnsi="Cambria"/>
          <w:b/>
          <w:i/>
          <w:sz w:val="20"/>
          <w:szCs w:val="20"/>
        </w:rPr>
        <w:tab/>
        <w:t>Liquidation des revenus et des dépenses non inclus dans le budget de l'exercice</w:t>
      </w:r>
    </w:p>
    <w:p w14:paraId="011A8F42" w14:textId="77777777" w:rsidR="00A143E4" w:rsidRPr="007845E4" w:rsidRDefault="00A143E4" w:rsidP="002B4B7B">
      <w:pPr>
        <w:spacing w:after="0" w:line="240" w:lineRule="auto"/>
        <w:jc w:val="both"/>
        <w:rPr>
          <w:rFonts w:ascii="Cambria" w:hAnsi="Cambria" w:cs="Times New Roman"/>
          <w:b/>
          <w:i/>
          <w:sz w:val="20"/>
          <w:szCs w:val="20"/>
        </w:rPr>
      </w:pPr>
    </w:p>
    <w:p w14:paraId="72F68967" w14:textId="77777777"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Toutes les dépenses et tous les revenus qui ne sont pas inclus dans le budget ordinaire de la Commission et qui ne font pas non plus partie d'un fonds fiduciaire quelconque de la Commission (contributions volontaires à des fins compatibles avec les principes, les objectifs et les activités de la Commission) sont dénommés extrabudgétaires.</w:t>
      </w:r>
    </w:p>
    <w:p w14:paraId="7702179F" w14:textId="77777777" w:rsidR="00C54504" w:rsidRPr="007845E4" w:rsidRDefault="00C54504" w:rsidP="002B4B7B">
      <w:pPr>
        <w:spacing w:after="0" w:line="240" w:lineRule="auto"/>
        <w:jc w:val="both"/>
        <w:rPr>
          <w:rFonts w:ascii="Cambria" w:hAnsi="Cambria" w:cs="Times New Roman"/>
          <w:sz w:val="20"/>
          <w:szCs w:val="20"/>
        </w:rPr>
      </w:pPr>
    </w:p>
    <w:p w14:paraId="26512706" w14:textId="77777777"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Actuellement, les dépenses extra-budgétaires suivantes ont été approuvées et, dans le même temps, leur financement par le biais du Fonds de roulement :</w:t>
      </w:r>
    </w:p>
    <w:p w14:paraId="1252D930" w14:textId="77777777" w:rsidR="00C54504" w:rsidRPr="007845E4" w:rsidRDefault="00C54504" w:rsidP="002B4B7B">
      <w:pPr>
        <w:spacing w:after="0" w:line="240" w:lineRule="auto"/>
        <w:jc w:val="both"/>
        <w:rPr>
          <w:rFonts w:ascii="Cambria" w:hAnsi="Cambria" w:cs="Times New Roman"/>
          <w:sz w:val="20"/>
          <w:szCs w:val="20"/>
        </w:rPr>
      </w:pPr>
    </w:p>
    <w:p w14:paraId="0DFC9BE4" w14:textId="57F032EA" w:rsidR="00A7230F" w:rsidRPr="007845E4" w:rsidRDefault="00A7230F" w:rsidP="005D1A31">
      <w:pPr>
        <w:pStyle w:val="ListParagraph"/>
        <w:numPr>
          <w:ilvl w:val="0"/>
          <w:numId w:val="23"/>
        </w:numPr>
        <w:spacing w:after="0" w:line="240" w:lineRule="auto"/>
        <w:jc w:val="both"/>
        <w:rPr>
          <w:rFonts w:ascii="Cambria" w:hAnsi="Cambria" w:cs="Times New Roman"/>
          <w:sz w:val="20"/>
          <w:szCs w:val="20"/>
        </w:rPr>
      </w:pPr>
      <w:r w:rsidRPr="007845E4">
        <w:rPr>
          <w:rFonts w:ascii="Cambria" w:hAnsi="Cambria"/>
          <w:sz w:val="20"/>
          <w:szCs w:val="20"/>
        </w:rPr>
        <w:lastRenderedPageBreak/>
        <w:t>Une partie des dépenses relatives aux réunions intersessions</w:t>
      </w:r>
    </w:p>
    <w:p w14:paraId="60885EB5" w14:textId="0B66084D" w:rsidR="004B258A" w:rsidRPr="007845E4" w:rsidRDefault="00A7230F" w:rsidP="004B258A">
      <w:pPr>
        <w:pStyle w:val="ListParagraph"/>
        <w:numPr>
          <w:ilvl w:val="0"/>
          <w:numId w:val="23"/>
        </w:numPr>
        <w:spacing w:after="0" w:line="240" w:lineRule="auto"/>
        <w:jc w:val="both"/>
        <w:rPr>
          <w:rFonts w:ascii="Cambria" w:hAnsi="Cambria" w:cs="Times New Roman"/>
          <w:sz w:val="20"/>
          <w:szCs w:val="20"/>
        </w:rPr>
      </w:pPr>
      <w:r w:rsidRPr="007845E4">
        <w:rPr>
          <w:rFonts w:ascii="Cambria" w:hAnsi="Cambria"/>
          <w:sz w:val="20"/>
          <w:szCs w:val="20"/>
        </w:rPr>
        <w:t>Les frais d’interprétation simultanée en arabe</w:t>
      </w:r>
    </w:p>
    <w:p w14:paraId="6AA63ACA" w14:textId="34DE215C" w:rsidR="004B258A" w:rsidRPr="007845E4" w:rsidRDefault="004B258A" w:rsidP="004B258A">
      <w:pPr>
        <w:pStyle w:val="ListParagraph"/>
        <w:numPr>
          <w:ilvl w:val="0"/>
          <w:numId w:val="23"/>
        </w:numPr>
        <w:spacing w:after="0" w:line="240" w:lineRule="auto"/>
        <w:jc w:val="both"/>
        <w:rPr>
          <w:rFonts w:ascii="Cambria" w:hAnsi="Cambria" w:cs="Times New Roman"/>
          <w:sz w:val="20"/>
          <w:szCs w:val="20"/>
        </w:rPr>
      </w:pPr>
      <w:r w:rsidRPr="007845E4">
        <w:rPr>
          <w:rFonts w:ascii="Cambria" w:hAnsi="Cambria"/>
          <w:sz w:val="20"/>
          <w:szCs w:val="20"/>
        </w:rPr>
        <w:t>L’audit du Programme scientifique de 2024</w:t>
      </w:r>
    </w:p>
    <w:p w14:paraId="2B7C6844" w14:textId="48B2A4E8" w:rsidR="004B258A" w:rsidRPr="007845E4" w:rsidRDefault="004B258A" w:rsidP="004B258A">
      <w:pPr>
        <w:pStyle w:val="ListParagraph"/>
        <w:numPr>
          <w:ilvl w:val="0"/>
          <w:numId w:val="23"/>
        </w:numPr>
        <w:spacing w:after="0" w:line="240" w:lineRule="auto"/>
        <w:jc w:val="both"/>
        <w:rPr>
          <w:rFonts w:ascii="Cambria" w:hAnsi="Cambria" w:cs="Times New Roman"/>
          <w:sz w:val="20"/>
          <w:szCs w:val="20"/>
        </w:rPr>
      </w:pPr>
      <w:r w:rsidRPr="007845E4">
        <w:rPr>
          <w:rFonts w:ascii="Cambria" w:hAnsi="Cambria"/>
          <w:sz w:val="20"/>
          <w:szCs w:val="20"/>
        </w:rPr>
        <w:t>Les différences de change négatives</w:t>
      </w:r>
    </w:p>
    <w:p w14:paraId="78313C30" w14:textId="77777777" w:rsidR="00C54504" w:rsidRPr="007845E4" w:rsidRDefault="00C54504" w:rsidP="008D218B">
      <w:pPr>
        <w:pStyle w:val="ListParagraph"/>
        <w:spacing w:after="0"/>
        <w:jc w:val="both"/>
        <w:rPr>
          <w:rFonts w:ascii="Cambria" w:hAnsi="Cambria" w:cs="Times New Roman"/>
          <w:sz w:val="20"/>
          <w:szCs w:val="20"/>
        </w:rPr>
      </w:pPr>
    </w:p>
    <w:p w14:paraId="13DF06A2" w14:textId="01AD707A" w:rsidR="00A143E4" w:rsidRPr="007845E4" w:rsidRDefault="00A143E4" w:rsidP="00883039">
      <w:pPr>
        <w:spacing w:after="0" w:line="240" w:lineRule="auto"/>
        <w:jc w:val="both"/>
        <w:rPr>
          <w:rFonts w:ascii="Cambria" w:hAnsi="Cambria" w:cs="Times New Roman"/>
          <w:sz w:val="20"/>
          <w:szCs w:val="20"/>
        </w:rPr>
      </w:pPr>
      <w:r w:rsidRPr="007845E4">
        <w:rPr>
          <w:rFonts w:ascii="Cambria" w:hAnsi="Cambria"/>
          <w:sz w:val="20"/>
          <w:szCs w:val="20"/>
        </w:rPr>
        <w:t>Sont considérés comme revenus extra-budgétaires tout revenu n'ayant pas pour origine les affectations des Parties contractantes par le biais des contributions annuelles.</w:t>
      </w:r>
    </w:p>
    <w:p w14:paraId="338C4964" w14:textId="77777777" w:rsidR="006E7829" w:rsidRPr="007845E4" w:rsidRDefault="006E7829" w:rsidP="00A143E4">
      <w:pPr>
        <w:spacing w:after="0"/>
        <w:jc w:val="both"/>
        <w:rPr>
          <w:rFonts w:ascii="Cambria" w:hAnsi="Cambria" w:cs="Times New Roman"/>
          <w:sz w:val="20"/>
          <w:szCs w:val="20"/>
        </w:rPr>
      </w:pPr>
    </w:p>
    <w:p w14:paraId="27E8522D" w14:textId="36712200"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Les revenus extrabudgétaires perçus en 2025 incluent les éléments suivants :</w:t>
      </w:r>
    </w:p>
    <w:p w14:paraId="16A561D1" w14:textId="77777777" w:rsidR="00C54504" w:rsidRPr="007845E4" w:rsidRDefault="00C54504" w:rsidP="002B4B7B">
      <w:pPr>
        <w:spacing w:after="0" w:line="240" w:lineRule="auto"/>
        <w:jc w:val="both"/>
        <w:rPr>
          <w:rFonts w:ascii="Cambria" w:hAnsi="Cambria" w:cs="Times New Roman"/>
          <w:sz w:val="20"/>
          <w:szCs w:val="20"/>
        </w:rPr>
      </w:pPr>
    </w:p>
    <w:p w14:paraId="61A63DC1" w14:textId="522CF62E" w:rsidR="00A143E4" w:rsidRPr="007845E4" w:rsidRDefault="00A143E4" w:rsidP="00883039">
      <w:pPr>
        <w:pStyle w:val="ListParagraph"/>
        <w:numPr>
          <w:ilvl w:val="0"/>
          <w:numId w:val="12"/>
        </w:numPr>
        <w:spacing w:after="0" w:line="240" w:lineRule="auto"/>
        <w:ind w:left="357" w:hanging="357"/>
        <w:jc w:val="both"/>
        <w:rPr>
          <w:rFonts w:ascii="Cambria" w:hAnsi="Cambria" w:cs="Times New Roman"/>
          <w:sz w:val="20"/>
          <w:szCs w:val="20"/>
        </w:rPr>
      </w:pPr>
      <w:r w:rsidRPr="007845E4">
        <w:rPr>
          <w:rFonts w:ascii="Cambria" w:hAnsi="Cambria"/>
          <w:sz w:val="20"/>
          <w:szCs w:val="20"/>
        </w:rPr>
        <w:t>Les cotisations des observateurs aux réunions en présentiel de la Commission</w:t>
      </w:r>
    </w:p>
    <w:p w14:paraId="419C031C" w14:textId="561D8AED" w:rsidR="00A143E4" w:rsidRPr="007845E4" w:rsidRDefault="00A143E4" w:rsidP="00883039">
      <w:pPr>
        <w:pStyle w:val="ListParagraph"/>
        <w:numPr>
          <w:ilvl w:val="0"/>
          <w:numId w:val="12"/>
        </w:numPr>
        <w:spacing w:after="0" w:line="240" w:lineRule="auto"/>
        <w:ind w:left="357" w:hanging="357"/>
        <w:jc w:val="both"/>
        <w:rPr>
          <w:rFonts w:ascii="Cambria" w:hAnsi="Cambria" w:cs="Times New Roman"/>
          <w:sz w:val="20"/>
          <w:szCs w:val="20"/>
        </w:rPr>
      </w:pPr>
      <w:r w:rsidRPr="007845E4">
        <w:rPr>
          <w:rFonts w:ascii="Cambria" w:hAnsi="Cambria"/>
          <w:sz w:val="20"/>
          <w:szCs w:val="20"/>
        </w:rPr>
        <w:t>Les contribution</w:t>
      </w:r>
      <w:r w:rsidR="002A12BE" w:rsidRPr="007845E4">
        <w:rPr>
          <w:rFonts w:ascii="Cambria" w:hAnsi="Cambria"/>
          <w:sz w:val="20"/>
          <w:szCs w:val="20"/>
        </w:rPr>
        <w:t>s</w:t>
      </w:r>
      <w:r w:rsidRPr="007845E4">
        <w:rPr>
          <w:rFonts w:ascii="Cambria" w:hAnsi="Cambria"/>
          <w:sz w:val="20"/>
          <w:szCs w:val="20"/>
        </w:rPr>
        <w:t xml:space="preserve"> volontaire</w:t>
      </w:r>
      <w:r w:rsidR="002A12BE" w:rsidRPr="007845E4">
        <w:rPr>
          <w:rFonts w:ascii="Cambria" w:hAnsi="Cambria"/>
          <w:sz w:val="20"/>
          <w:szCs w:val="20"/>
        </w:rPr>
        <w:t>s</w:t>
      </w:r>
      <w:r w:rsidRPr="007845E4">
        <w:rPr>
          <w:rFonts w:ascii="Cambria" w:hAnsi="Cambria"/>
          <w:sz w:val="20"/>
          <w:szCs w:val="20"/>
        </w:rPr>
        <w:t xml:space="preserve"> du Taipei chinois et du Suriname</w:t>
      </w:r>
    </w:p>
    <w:p w14:paraId="19301587" w14:textId="714D484F" w:rsidR="00A143E4" w:rsidRPr="007845E4" w:rsidRDefault="00A143E4" w:rsidP="00883039">
      <w:pPr>
        <w:pStyle w:val="ListParagraph"/>
        <w:numPr>
          <w:ilvl w:val="0"/>
          <w:numId w:val="12"/>
        </w:numPr>
        <w:spacing w:after="0" w:line="240" w:lineRule="auto"/>
        <w:ind w:left="357" w:hanging="357"/>
        <w:jc w:val="both"/>
        <w:rPr>
          <w:rFonts w:ascii="Cambria" w:hAnsi="Cambria" w:cs="Times New Roman"/>
          <w:sz w:val="20"/>
          <w:szCs w:val="20"/>
        </w:rPr>
      </w:pPr>
      <w:r w:rsidRPr="007845E4">
        <w:rPr>
          <w:rFonts w:ascii="Cambria" w:hAnsi="Cambria"/>
          <w:sz w:val="20"/>
          <w:szCs w:val="20"/>
        </w:rPr>
        <w:t>Les revenus financiers</w:t>
      </w:r>
    </w:p>
    <w:p w14:paraId="3CDBF1F1" w14:textId="1D48BD03" w:rsidR="00A7230F" w:rsidRPr="007845E4" w:rsidRDefault="00A7230F" w:rsidP="00883039">
      <w:pPr>
        <w:pStyle w:val="ListParagraph"/>
        <w:numPr>
          <w:ilvl w:val="0"/>
          <w:numId w:val="12"/>
        </w:numPr>
        <w:spacing w:after="0" w:line="240" w:lineRule="auto"/>
        <w:ind w:left="357" w:hanging="357"/>
        <w:jc w:val="both"/>
        <w:rPr>
          <w:rFonts w:ascii="Cambria" w:hAnsi="Cambria" w:cs="Times New Roman"/>
          <w:sz w:val="20"/>
          <w:szCs w:val="20"/>
        </w:rPr>
      </w:pPr>
      <w:r w:rsidRPr="007845E4">
        <w:rPr>
          <w:rFonts w:ascii="Cambria" w:hAnsi="Cambria"/>
          <w:sz w:val="20"/>
          <w:szCs w:val="20"/>
        </w:rPr>
        <w:t>Le remboursement de la TVA acquittée</w:t>
      </w:r>
    </w:p>
    <w:p w14:paraId="0F7FAABB" w14:textId="3BD0BE9A" w:rsidR="00054010" w:rsidRPr="007845E4" w:rsidRDefault="00054010" w:rsidP="00054010">
      <w:pPr>
        <w:pStyle w:val="ListParagraph"/>
        <w:numPr>
          <w:ilvl w:val="0"/>
          <w:numId w:val="12"/>
        </w:numPr>
        <w:spacing w:after="0" w:line="240" w:lineRule="auto"/>
        <w:jc w:val="both"/>
        <w:rPr>
          <w:rFonts w:ascii="Cambria" w:hAnsi="Cambria" w:cs="Times New Roman"/>
          <w:sz w:val="20"/>
          <w:szCs w:val="20"/>
        </w:rPr>
      </w:pPr>
      <w:r w:rsidRPr="007845E4">
        <w:rPr>
          <w:rFonts w:ascii="Cambria" w:hAnsi="Cambria"/>
          <w:sz w:val="20"/>
          <w:szCs w:val="20"/>
        </w:rPr>
        <w:t>La contribution volontaire de l'Union européenne pour la troisième réunion intersessions de la Sous-commission 1 et la 24e réunion extraordinaire de la Commission</w:t>
      </w:r>
    </w:p>
    <w:p w14:paraId="7D9C7951" w14:textId="21ED338E" w:rsidR="004B258A" w:rsidRPr="007845E4" w:rsidRDefault="004B258A" w:rsidP="004B258A">
      <w:pPr>
        <w:pStyle w:val="ListParagraph"/>
        <w:numPr>
          <w:ilvl w:val="0"/>
          <w:numId w:val="12"/>
        </w:numPr>
        <w:spacing w:after="0" w:line="240" w:lineRule="auto"/>
        <w:jc w:val="both"/>
        <w:rPr>
          <w:rFonts w:ascii="Cambria" w:hAnsi="Cambria" w:cs="Times New Roman"/>
          <w:sz w:val="20"/>
          <w:szCs w:val="20"/>
        </w:rPr>
      </w:pPr>
      <w:r w:rsidRPr="007845E4">
        <w:rPr>
          <w:rFonts w:ascii="Cambria" w:hAnsi="Cambria"/>
          <w:sz w:val="20"/>
          <w:szCs w:val="20"/>
        </w:rPr>
        <w:t>La contribution volontaire de l'Union européenne pour les réunions intersessions de l’ICCAT et les autres groupes de travail 2023-2024</w:t>
      </w:r>
    </w:p>
    <w:p w14:paraId="7598FAF1" w14:textId="23DF9732" w:rsidR="004B258A" w:rsidRPr="007845E4" w:rsidRDefault="004B258A" w:rsidP="004B258A">
      <w:pPr>
        <w:pStyle w:val="ListParagraph"/>
        <w:numPr>
          <w:ilvl w:val="0"/>
          <w:numId w:val="12"/>
        </w:numPr>
        <w:spacing w:after="0" w:line="240" w:lineRule="auto"/>
        <w:jc w:val="both"/>
        <w:rPr>
          <w:rFonts w:ascii="Cambria" w:hAnsi="Cambria" w:cs="Times New Roman"/>
          <w:sz w:val="20"/>
          <w:szCs w:val="20"/>
        </w:rPr>
      </w:pPr>
      <w:r w:rsidRPr="007845E4">
        <w:rPr>
          <w:rFonts w:ascii="Cambria" w:hAnsi="Cambria"/>
          <w:sz w:val="20"/>
          <w:szCs w:val="20"/>
        </w:rPr>
        <w:t>La contribution volontaire de l'Union européenne pour les réunions intersessions de l’ICCAT et les autres groupes de travail 2025-2026</w:t>
      </w:r>
    </w:p>
    <w:p w14:paraId="47F0C7BC" w14:textId="1E72F940" w:rsidR="00A143E4" w:rsidRPr="007845E4" w:rsidRDefault="007F72F6" w:rsidP="00883039">
      <w:pPr>
        <w:pStyle w:val="ListParagraph"/>
        <w:numPr>
          <w:ilvl w:val="0"/>
          <w:numId w:val="12"/>
        </w:numPr>
        <w:spacing w:after="0" w:line="240" w:lineRule="auto"/>
        <w:ind w:left="357" w:hanging="357"/>
        <w:jc w:val="both"/>
        <w:rPr>
          <w:rFonts w:ascii="Cambria" w:hAnsi="Cambria" w:cs="Times New Roman"/>
          <w:sz w:val="20"/>
          <w:szCs w:val="20"/>
        </w:rPr>
      </w:pPr>
      <w:r w:rsidRPr="007845E4">
        <w:rPr>
          <w:rFonts w:ascii="Cambria" w:hAnsi="Cambria"/>
          <w:sz w:val="20"/>
          <w:szCs w:val="20"/>
        </w:rPr>
        <w:t>Les revenus des programmes et fonds fiduciaires gérés par le Secrétariat</w:t>
      </w:r>
    </w:p>
    <w:p w14:paraId="4A94BDB4" w14:textId="77777777" w:rsidR="00C54504" w:rsidRPr="007845E4" w:rsidRDefault="00C54504" w:rsidP="00883039">
      <w:pPr>
        <w:pStyle w:val="ListParagraph"/>
        <w:spacing w:after="0" w:line="240" w:lineRule="auto"/>
        <w:ind w:left="360"/>
        <w:jc w:val="both"/>
        <w:rPr>
          <w:rFonts w:ascii="Cambria" w:hAnsi="Cambria" w:cs="Times New Roman"/>
          <w:sz w:val="20"/>
          <w:szCs w:val="20"/>
        </w:rPr>
      </w:pPr>
    </w:p>
    <w:p w14:paraId="473E6FA4" w14:textId="572B7CB9"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La liquidation des dépenses et des revenus extrabudgétaires donne un résultat positif qui, au 8 octobre 2025, s'élève à 553.285,09 euros.</w:t>
      </w:r>
    </w:p>
    <w:p w14:paraId="414DCAD5" w14:textId="77777777" w:rsidR="00A143E4" w:rsidRPr="007845E4" w:rsidRDefault="00A143E4" w:rsidP="002B4B7B">
      <w:pPr>
        <w:spacing w:after="0" w:line="240" w:lineRule="auto"/>
        <w:ind w:left="426" w:hanging="426"/>
        <w:jc w:val="both"/>
        <w:rPr>
          <w:rFonts w:ascii="Cambria" w:hAnsi="Cambria" w:cs="Times New Roman"/>
          <w:sz w:val="20"/>
          <w:szCs w:val="20"/>
        </w:rPr>
      </w:pPr>
    </w:p>
    <w:p w14:paraId="606B2891" w14:textId="6B3246CB" w:rsidR="00A143E4" w:rsidRPr="007845E4" w:rsidRDefault="00A143E4" w:rsidP="006E7829">
      <w:pPr>
        <w:spacing w:after="0" w:line="240" w:lineRule="auto"/>
        <w:jc w:val="both"/>
        <w:rPr>
          <w:rFonts w:ascii="Cambria" w:hAnsi="Cambria" w:cs="Times New Roman"/>
          <w:b/>
          <w:i/>
          <w:sz w:val="20"/>
          <w:szCs w:val="20"/>
        </w:rPr>
      </w:pPr>
      <w:r w:rsidRPr="007845E4">
        <w:rPr>
          <w:rFonts w:ascii="Cambria" w:hAnsi="Cambria"/>
          <w:b/>
          <w:i/>
          <w:sz w:val="20"/>
          <w:szCs w:val="20"/>
        </w:rPr>
        <w:t>1.c Contributions acquittées par les Parties contractantes à des budgets antérieurs (arriérés) ou contributions de nouveaux membres de la Commission</w:t>
      </w:r>
    </w:p>
    <w:p w14:paraId="0A001EB1" w14:textId="77777777" w:rsidR="00A143E4" w:rsidRPr="007845E4" w:rsidRDefault="00A143E4" w:rsidP="002B4B7B">
      <w:pPr>
        <w:spacing w:after="0" w:line="240" w:lineRule="auto"/>
        <w:jc w:val="both"/>
        <w:rPr>
          <w:rFonts w:ascii="Cambria" w:hAnsi="Cambria" w:cs="Times New Roman"/>
          <w:b/>
          <w:i/>
          <w:sz w:val="20"/>
          <w:szCs w:val="20"/>
        </w:rPr>
      </w:pPr>
    </w:p>
    <w:p w14:paraId="41A621E0" w14:textId="29732BCE"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Les Parties contractantes sont tenues de payer leurs contributions annuelles le 1er janvier de l’année à laquelle elles se rapportent. Celles qui n'ont pas été versées avant le 1</w:t>
      </w:r>
      <w:r w:rsidRPr="007845E4">
        <w:rPr>
          <w:rFonts w:ascii="Cambria" w:hAnsi="Cambria"/>
          <w:sz w:val="20"/>
          <w:szCs w:val="20"/>
          <w:vertAlign w:val="superscript"/>
        </w:rPr>
        <w:t>er</w:t>
      </w:r>
      <w:r w:rsidR="00A541FD" w:rsidRPr="007845E4">
        <w:rPr>
          <w:rFonts w:ascii="Cambria" w:hAnsi="Cambria"/>
          <w:sz w:val="20"/>
          <w:szCs w:val="20"/>
        </w:rPr>
        <w:t xml:space="preserve"> </w:t>
      </w:r>
      <w:r w:rsidRPr="007845E4">
        <w:rPr>
          <w:rFonts w:ascii="Cambria" w:hAnsi="Cambria"/>
          <w:sz w:val="20"/>
          <w:szCs w:val="20"/>
        </w:rPr>
        <w:t xml:space="preserve">janvier de l'année suivante sont considérées comme des arriérés. </w:t>
      </w:r>
    </w:p>
    <w:p w14:paraId="1D6E6359" w14:textId="77777777" w:rsidR="00C54504" w:rsidRPr="007845E4" w:rsidRDefault="00C54504" w:rsidP="002B4B7B">
      <w:pPr>
        <w:spacing w:after="0" w:line="240" w:lineRule="auto"/>
        <w:jc w:val="both"/>
        <w:rPr>
          <w:rFonts w:ascii="Cambria" w:hAnsi="Cambria" w:cs="Times New Roman"/>
          <w:sz w:val="20"/>
          <w:szCs w:val="20"/>
        </w:rPr>
      </w:pPr>
    </w:p>
    <w:p w14:paraId="2EE6000F" w14:textId="41D6B261"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Quand un arriéré de contribution est encaissé, le montant est imputé sur le Fonds de roulement. À cette date, des arriérés ont été reçus pour un montant de 233.488,67 euros. Il convient de noter que certaines Parties contractantes déploient d’importants efforts en vue de réduire leurs arriérés accumulés.</w:t>
      </w:r>
    </w:p>
    <w:p w14:paraId="489D182A" w14:textId="77777777" w:rsidR="00C54504" w:rsidRPr="007845E4" w:rsidRDefault="00C54504" w:rsidP="002B4B7B">
      <w:pPr>
        <w:spacing w:after="0" w:line="240" w:lineRule="auto"/>
        <w:jc w:val="both"/>
        <w:rPr>
          <w:rFonts w:ascii="Cambria" w:hAnsi="Cambria" w:cs="Times New Roman"/>
          <w:sz w:val="20"/>
          <w:szCs w:val="20"/>
        </w:rPr>
      </w:pPr>
    </w:p>
    <w:p w14:paraId="4DB4DF7E" w14:textId="2B1FCA3C"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 xml:space="preserve">Par ailleurs, le Règlement financier de la Commission prévoit, à l'article 4.4. et 4.5, que les nouveaux membres de la Commission admis au cours du premier semestre d'une année quelconque sont tenus de verser en totalité le montant de la contribution annuelle qui leur aurait été demandée s'ils avaient fait partie de la Commission lors du calcul des contributions annuelles, conformément à la Convention. Les nouveaux membres admis au cours du dernier semestre d'une année quelconque sont tenus de payer la moitié de la contribution annuelle. </w:t>
      </w:r>
    </w:p>
    <w:p w14:paraId="2EEED59E" w14:textId="77777777" w:rsidR="00C54504" w:rsidRPr="007845E4" w:rsidRDefault="00C54504" w:rsidP="00A143E4">
      <w:pPr>
        <w:spacing w:after="0"/>
        <w:jc w:val="both"/>
        <w:rPr>
          <w:rFonts w:ascii="Cambria" w:hAnsi="Cambria" w:cs="Times New Roman"/>
          <w:sz w:val="20"/>
          <w:szCs w:val="20"/>
        </w:rPr>
      </w:pPr>
    </w:p>
    <w:p w14:paraId="1B85D702" w14:textId="34FFB466" w:rsidR="00A143E4" w:rsidRPr="007845E4" w:rsidRDefault="00A143E4" w:rsidP="002B4B7B">
      <w:pPr>
        <w:spacing w:after="0" w:line="240" w:lineRule="auto"/>
        <w:jc w:val="both"/>
        <w:rPr>
          <w:rFonts w:ascii="Cambria" w:hAnsi="Cambria" w:cs="Times New Roman"/>
          <w:sz w:val="20"/>
          <w:szCs w:val="20"/>
        </w:rPr>
      </w:pPr>
      <w:r w:rsidRPr="007845E4">
        <w:rPr>
          <w:rFonts w:ascii="Cambria" w:hAnsi="Cambria"/>
          <w:sz w:val="20"/>
          <w:szCs w:val="20"/>
        </w:rPr>
        <w:t xml:space="preserve">Les contributions versées par les nouvelles Parties contractantes sont imputées sur le Fonds de roulement. </w:t>
      </w:r>
    </w:p>
    <w:p w14:paraId="21C4D9BE" w14:textId="17E2137C" w:rsidR="008F3AB8" w:rsidRPr="007845E4" w:rsidRDefault="008F3AB8" w:rsidP="002B4B7B">
      <w:pPr>
        <w:spacing w:after="0" w:line="240" w:lineRule="auto"/>
        <w:jc w:val="both"/>
        <w:rPr>
          <w:rFonts w:ascii="Cambria" w:hAnsi="Cambria" w:cs="Times New Roman"/>
          <w:sz w:val="20"/>
          <w:szCs w:val="20"/>
        </w:rPr>
      </w:pPr>
    </w:p>
    <w:p w14:paraId="4ADA36D3" w14:textId="5E4D1E04" w:rsidR="00C51878" w:rsidRPr="007845E4" w:rsidRDefault="00C51878" w:rsidP="002B4B7B">
      <w:pPr>
        <w:spacing w:after="0" w:line="240" w:lineRule="auto"/>
        <w:jc w:val="both"/>
        <w:rPr>
          <w:rFonts w:ascii="Cambria" w:hAnsi="Cambria" w:cs="Times New Roman"/>
          <w:sz w:val="20"/>
          <w:szCs w:val="20"/>
        </w:rPr>
      </w:pPr>
      <w:r w:rsidRPr="007845E4">
        <w:rPr>
          <w:rFonts w:ascii="Cambria" w:hAnsi="Cambria"/>
        </w:rPr>
        <w:t xml:space="preserve">Comme au point 1.a </w:t>
      </w:r>
      <w:bookmarkStart w:id="0" w:name="_Hlk118710329"/>
      <w:r w:rsidRPr="007845E4">
        <w:rPr>
          <w:rFonts w:ascii="Cambria" w:hAnsi="Cambria"/>
        </w:rPr>
        <w:t>du présent document</w:t>
      </w:r>
      <w:bookmarkEnd w:id="0"/>
      <w:r w:rsidRPr="007845E4">
        <w:rPr>
          <w:rFonts w:ascii="Cambria" w:hAnsi="Cambria"/>
        </w:rPr>
        <w:t>, il est nécessaire de souligner le manquement des Parties contractantes à leurs obligations budgétaires antérieures.</w:t>
      </w:r>
      <w:r w:rsidRPr="007845E4">
        <w:rPr>
          <w:rFonts w:ascii="Cambria" w:hAnsi="Cambria"/>
          <w:sz w:val="20"/>
          <w:szCs w:val="20"/>
        </w:rPr>
        <w:t xml:space="preserve"> Au 8 octobre 2025, la dette cumulée des Parties contractantes au titre d’arriérés est de 1.460.051,76 euros (24,34% du budget de 2025), dont 1.453.151,35 euros correspondent à des arriérés et 6.900,41 euros à la dette de la nouvelle Partie contractante. </w:t>
      </w:r>
    </w:p>
    <w:p w14:paraId="1263F47C" w14:textId="1FA6FC09" w:rsidR="00CD20A6" w:rsidRPr="007845E4" w:rsidRDefault="00CD20A6" w:rsidP="00A143E4">
      <w:pPr>
        <w:spacing w:after="0"/>
        <w:jc w:val="both"/>
        <w:rPr>
          <w:rFonts w:ascii="Cambria" w:hAnsi="Cambria" w:cs="Times New Roman"/>
          <w:sz w:val="20"/>
          <w:szCs w:val="20"/>
        </w:rPr>
      </w:pPr>
    </w:p>
    <w:p w14:paraId="641FA794" w14:textId="77777777" w:rsidR="00CD20A6" w:rsidRPr="007845E4" w:rsidRDefault="00CD20A6" w:rsidP="00A143E4">
      <w:pPr>
        <w:spacing w:after="0"/>
        <w:jc w:val="both"/>
        <w:rPr>
          <w:rFonts w:ascii="Cambria" w:hAnsi="Cambria" w:cs="Times New Roman"/>
          <w:sz w:val="20"/>
          <w:szCs w:val="20"/>
        </w:rPr>
      </w:pPr>
    </w:p>
    <w:p w14:paraId="4CF15E3B" w14:textId="423575E8" w:rsidR="00A143E4" w:rsidRPr="007845E4" w:rsidRDefault="00A143E4" w:rsidP="008B173B">
      <w:pPr>
        <w:pStyle w:val="ListParagraph"/>
        <w:numPr>
          <w:ilvl w:val="0"/>
          <w:numId w:val="13"/>
        </w:numPr>
        <w:spacing w:after="0"/>
        <w:ind w:left="426" w:hanging="426"/>
        <w:jc w:val="both"/>
        <w:rPr>
          <w:rFonts w:ascii="Cambria" w:hAnsi="Cambria" w:cs="Times New Roman"/>
          <w:b/>
          <w:sz w:val="20"/>
          <w:szCs w:val="20"/>
        </w:rPr>
      </w:pPr>
      <w:r w:rsidRPr="007845E4">
        <w:rPr>
          <w:rFonts w:ascii="Cambria" w:hAnsi="Cambria"/>
          <w:b/>
          <w:sz w:val="20"/>
          <w:szCs w:val="20"/>
        </w:rPr>
        <w:t xml:space="preserve">Évolution du Fonds de roulement au cours des </w:t>
      </w:r>
      <w:r w:rsidR="007B4589" w:rsidRPr="007845E4">
        <w:rPr>
          <w:rFonts w:ascii="Cambria" w:hAnsi="Cambria"/>
          <w:b/>
          <w:sz w:val="20"/>
          <w:szCs w:val="20"/>
        </w:rPr>
        <w:t>douze</w:t>
      </w:r>
      <w:r w:rsidRPr="007845E4">
        <w:rPr>
          <w:rFonts w:ascii="Cambria" w:hAnsi="Cambria"/>
          <w:b/>
          <w:sz w:val="20"/>
          <w:szCs w:val="20"/>
        </w:rPr>
        <w:t xml:space="preserve"> dernières années</w:t>
      </w:r>
    </w:p>
    <w:p w14:paraId="62B8D480" w14:textId="77777777" w:rsidR="008C7172" w:rsidRPr="007845E4" w:rsidRDefault="008C7172" w:rsidP="008C7172">
      <w:pPr>
        <w:pStyle w:val="ListParagraph"/>
        <w:spacing w:after="0"/>
        <w:ind w:left="360"/>
        <w:jc w:val="both"/>
        <w:rPr>
          <w:rFonts w:ascii="Cambria" w:hAnsi="Cambria" w:cs="Times New Roman"/>
          <w:b/>
          <w:sz w:val="20"/>
          <w:szCs w:val="20"/>
        </w:rPr>
      </w:pPr>
    </w:p>
    <w:p w14:paraId="215EFD46" w14:textId="69ED7778" w:rsidR="008C7172" w:rsidRPr="007845E4" w:rsidRDefault="00EF20B9" w:rsidP="002B4B7B">
      <w:pPr>
        <w:spacing w:after="0" w:line="240" w:lineRule="auto"/>
        <w:jc w:val="both"/>
        <w:rPr>
          <w:rFonts w:ascii="Cambria" w:hAnsi="Cambria" w:cs="Times New Roman"/>
          <w:sz w:val="20"/>
          <w:szCs w:val="20"/>
        </w:rPr>
      </w:pPr>
      <w:r w:rsidRPr="007845E4">
        <w:rPr>
          <w:rFonts w:ascii="Cambria" w:hAnsi="Cambria"/>
          <w:sz w:val="20"/>
          <w:szCs w:val="20"/>
        </w:rPr>
        <w:t xml:space="preserve">De 2008 à 2012, le Fonds de roulement s’est considérablement accru. Pour cette raison, certaines recommandations ayant des implications financières, adoptées par la Commission, ont été couvertes par le Fonds de roulement (interprétation simultanée à l'arabe pendant la réunion annuelle) tout comme l'augmentation des dépenses relatives à la tenue des réunions de la Commission (ordinaire et </w:t>
      </w:r>
      <w:r w:rsidRPr="007845E4">
        <w:rPr>
          <w:rFonts w:ascii="Cambria" w:hAnsi="Cambria"/>
          <w:sz w:val="20"/>
          <w:szCs w:val="20"/>
        </w:rPr>
        <w:lastRenderedPageBreak/>
        <w:t>intersessions). Depuis 2012, un tournant s’est produit, car l'utilisation de ce fonds a de plus en plus augmenté, ce qui a entraîné une réduction significative, comme cela apparaît dans le tableau suivant :</w:t>
      </w:r>
    </w:p>
    <w:p w14:paraId="3DEE746A" w14:textId="77777777" w:rsidR="0092676D" w:rsidRPr="007845E4" w:rsidRDefault="0092676D" w:rsidP="002B4B7B">
      <w:pPr>
        <w:spacing w:after="0" w:line="240" w:lineRule="auto"/>
        <w:jc w:val="both"/>
        <w:rPr>
          <w:rFonts w:ascii="Cambria" w:hAnsi="Cambria" w:cs="Times New Roman"/>
          <w:sz w:val="20"/>
          <w:szCs w:val="20"/>
        </w:rPr>
      </w:pPr>
    </w:p>
    <w:tbl>
      <w:tblPr>
        <w:tblW w:w="0" w:type="auto"/>
        <w:jc w:val="center"/>
        <w:tblCellMar>
          <w:left w:w="70" w:type="dxa"/>
          <w:right w:w="70" w:type="dxa"/>
        </w:tblCellMar>
        <w:tblLook w:val="04A0" w:firstRow="1" w:lastRow="0" w:firstColumn="1" w:lastColumn="0" w:noHBand="0" w:noVBand="1"/>
      </w:tblPr>
      <w:tblGrid>
        <w:gridCol w:w="583"/>
        <w:gridCol w:w="1260"/>
        <w:gridCol w:w="1782"/>
        <w:gridCol w:w="913"/>
      </w:tblGrid>
      <w:tr w:rsidR="008C7172" w:rsidRPr="007845E4" w14:paraId="4F44DDE3"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F4EB0F" w14:textId="77777777" w:rsidR="008C7172" w:rsidRPr="007845E4" w:rsidRDefault="008C7172" w:rsidP="00E117B4">
            <w:pPr>
              <w:spacing w:after="0" w:line="240" w:lineRule="auto"/>
              <w:jc w:val="both"/>
              <w:rPr>
                <w:rFonts w:ascii="Cambria" w:eastAsia="Times New Roman" w:hAnsi="Cambria" w:cs="Times New Roman"/>
                <w:i/>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EA9582" w14:textId="77777777" w:rsidR="008C7172" w:rsidRPr="007845E4" w:rsidRDefault="008C7172" w:rsidP="00E117B4">
            <w:pPr>
              <w:spacing w:after="0" w:line="240" w:lineRule="auto"/>
              <w:jc w:val="center"/>
              <w:rPr>
                <w:rFonts w:ascii="Cambria" w:eastAsia="Times New Roman" w:hAnsi="Cambria" w:cs="Times New Roman"/>
                <w:bCs/>
                <w:i/>
                <w:color w:val="000000"/>
                <w:sz w:val="20"/>
                <w:szCs w:val="20"/>
              </w:rPr>
            </w:pPr>
            <w:r w:rsidRPr="007845E4">
              <w:rPr>
                <w:rFonts w:ascii="Cambria" w:hAnsi="Cambria"/>
                <w:bCs/>
                <w:i/>
                <w:color w:val="000000"/>
                <w:sz w:val="20"/>
                <w:szCs w:val="20"/>
              </w:rPr>
              <w:t>Budget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768E31" w14:textId="77777777" w:rsidR="008C7172" w:rsidRPr="007845E4" w:rsidRDefault="008C7172" w:rsidP="00E117B4">
            <w:pPr>
              <w:spacing w:after="0" w:line="240" w:lineRule="auto"/>
              <w:jc w:val="center"/>
              <w:rPr>
                <w:rFonts w:ascii="Cambria" w:eastAsia="Times New Roman" w:hAnsi="Cambria" w:cs="Times New Roman"/>
                <w:bCs/>
                <w:i/>
                <w:color w:val="000000"/>
                <w:sz w:val="20"/>
                <w:szCs w:val="20"/>
              </w:rPr>
            </w:pPr>
            <w:r w:rsidRPr="007845E4">
              <w:rPr>
                <w:rFonts w:ascii="Cambria" w:hAnsi="Cambria"/>
                <w:bCs/>
                <w:i/>
                <w:color w:val="000000"/>
                <w:sz w:val="20"/>
                <w:szCs w:val="20"/>
              </w:rPr>
              <w:t>Fonds de roulement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39D248" w14:textId="77777777" w:rsidR="008C7172" w:rsidRPr="007845E4" w:rsidRDefault="008C7172" w:rsidP="00E117B4">
            <w:pPr>
              <w:spacing w:after="0" w:line="240" w:lineRule="auto"/>
              <w:jc w:val="center"/>
              <w:rPr>
                <w:rFonts w:ascii="Cambria" w:eastAsia="Times New Roman" w:hAnsi="Cambria" w:cs="Times New Roman"/>
                <w:bCs/>
                <w:i/>
                <w:color w:val="000000"/>
                <w:sz w:val="20"/>
                <w:szCs w:val="20"/>
              </w:rPr>
            </w:pPr>
            <w:r w:rsidRPr="007845E4">
              <w:rPr>
                <w:rFonts w:ascii="Cambria" w:hAnsi="Cambria"/>
                <w:bCs/>
                <w:i/>
                <w:color w:val="000000"/>
                <w:sz w:val="20"/>
                <w:szCs w:val="20"/>
              </w:rPr>
              <w:t>%</w:t>
            </w:r>
          </w:p>
        </w:tc>
      </w:tr>
      <w:tr w:rsidR="003B4684" w:rsidRPr="007845E4" w14:paraId="15BDE162"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tcPr>
          <w:p w14:paraId="2A859B2B" w14:textId="2FABF31E" w:rsidR="003B4684" w:rsidRPr="007845E4" w:rsidRDefault="003B4684" w:rsidP="003B4684">
            <w:pPr>
              <w:spacing w:after="0" w:line="240" w:lineRule="auto"/>
              <w:jc w:val="center"/>
              <w:rPr>
                <w:rFonts w:ascii="Cambria" w:hAnsi="Cambria"/>
                <w:color w:val="000000"/>
                <w:sz w:val="20"/>
                <w:szCs w:val="20"/>
              </w:rPr>
            </w:pPr>
            <w:r w:rsidRPr="007845E4">
              <w:rPr>
                <w:rFonts w:asciiTheme="majorHAnsi" w:hAnsiTheme="majorHAnsi"/>
                <w:color w:val="000000"/>
                <w:sz w:val="20"/>
              </w:rPr>
              <w:t>2013</w:t>
            </w:r>
          </w:p>
        </w:tc>
        <w:tc>
          <w:tcPr>
            <w:tcW w:w="0" w:type="auto"/>
            <w:tcBorders>
              <w:top w:val="nil"/>
              <w:left w:val="nil"/>
              <w:bottom w:val="single" w:sz="4" w:space="0" w:color="auto"/>
              <w:right w:val="single" w:sz="4" w:space="0" w:color="auto"/>
            </w:tcBorders>
            <w:noWrap/>
            <w:vAlign w:val="bottom"/>
          </w:tcPr>
          <w:p w14:paraId="629E9510" w14:textId="54E764EC" w:rsidR="003B4684" w:rsidRPr="007845E4" w:rsidRDefault="003B4684" w:rsidP="003B4684">
            <w:pPr>
              <w:spacing w:after="0" w:line="240" w:lineRule="auto"/>
              <w:jc w:val="right"/>
              <w:rPr>
                <w:rFonts w:ascii="Cambria" w:hAnsi="Cambria"/>
                <w:color w:val="000000"/>
                <w:sz w:val="20"/>
                <w:szCs w:val="20"/>
              </w:rPr>
            </w:pPr>
            <w:r w:rsidRPr="007845E4">
              <w:rPr>
                <w:rFonts w:asciiTheme="majorHAnsi" w:hAnsiTheme="majorHAnsi"/>
                <w:color w:val="000000"/>
                <w:sz w:val="20"/>
              </w:rPr>
              <w:t>3.025.599</w:t>
            </w:r>
            <w:r w:rsidR="00A60F1C" w:rsidRPr="007845E4">
              <w:rPr>
                <w:rFonts w:asciiTheme="majorHAnsi" w:hAnsiTheme="majorHAnsi"/>
                <w:color w:val="000000"/>
                <w:sz w:val="20"/>
              </w:rPr>
              <w:t>,</w:t>
            </w:r>
            <w:r w:rsidRPr="007845E4">
              <w:rPr>
                <w:rFonts w:asciiTheme="majorHAnsi" w:hAnsiTheme="majorHAnsi"/>
                <w:color w:val="000000"/>
                <w:sz w:val="20"/>
              </w:rPr>
              <w:t>85</w:t>
            </w:r>
          </w:p>
        </w:tc>
        <w:tc>
          <w:tcPr>
            <w:tcW w:w="0" w:type="auto"/>
            <w:tcBorders>
              <w:top w:val="nil"/>
              <w:left w:val="nil"/>
              <w:bottom w:val="single" w:sz="4" w:space="0" w:color="auto"/>
              <w:right w:val="single" w:sz="4" w:space="0" w:color="auto"/>
            </w:tcBorders>
            <w:noWrap/>
            <w:vAlign w:val="bottom"/>
          </w:tcPr>
          <w:p w14:paraId="78C97BD9" w14:textId="414935EF" w:rsidR="003B4684" w:rsidRPr="007845E4" w:rsidRDefault="003B4684" w:rsidP="003B4684">
            <w:pPr>
              <w:spacing w:after="0" w:line="240" w:lineRule="auto"/>
              <w:jc w:val="right"/>
              <w:rPr>
                <w:rFonts w:ascii="Cambria" w:hAnsi="Cambria"/>
                <w:color w:val="000000"/>
                <w:sz w:val="20"/>
                <w:szCs w:val="20"/>
              </w:rPr>
            </w:pPr>
            <w:r w:rsidRPr="007845E4">
              <w:rPr>
                <w:rFonts w:asciiTheme="majorHAnsi" w:hAnsiTheme="majorHAnsi"/>
                <w:color w:val="000000"/>
                <w:sz w:val="20"/>
              </w:rPr>
              <w:t>3.570.895</w:t>
            </w:r>
            <w:r w:rsidR="00A60F1C" w:rsidRPr="007845E4">
              <w:rPr>
                <w:rFonts w:asciiTheme="majorHAnsi" w:hAnsiTheme="majorHAnsi"/>
                <w:color w:val="000000"/>
                <w:sz w:val="20"/>
              </w:rPr>
              <w:t>,</w:t>
            </w:r>
            <w:r w:rsidRPr="007845E4">
              <w:rPr>
                <w:rFonts w:asciiTheme="majorHAnsi" w:hAnsiTheme="majorHAnsi"/>
                <w:color w:val="000000"/>
                <w:sz w:val="20"/>
              </w:rPr>
              <w:t>20</w:t>
            </w:r>
          </w:p>
        </w:tc>
        <w:tc>
          <w:tcPr>
            <w:tcW w:w="0" w:type="auto"/>
            <w:tcBorders>
              <w:top w:val="nil"/>
              <w:left w:val="nil"/>
              <w:bottom w:val="single" w:sz="4" w:space="0" w:color="auto"/>
              <w:right w:val="single" w:sz="4" w:space="0" w:color="auto"/>
            </w:tcBorders>
            <w:noWrap/>
            <w:vAlign w:val="bottom"/>
          </w:tcPr>
          <w:p w14:paraId="64A12965" w14:textId="52B70F4A" w:rsidR="003B4684" w:rsidRPr="007845E4" w:rsidRDefault="003B4684" w:rsidP="003B4684">
            <w:pPr>
              <w:spacing w:after="0" w:line="240" w:lineRule="auto"/>
              <w:jc w:val="right"/>
              <w:rPr>
                <w:rFonts w:ascii="Cambria" w:hAnsi="Cambria"/>
                <w:color w:val="000000"/>
                <w:sz w:val="20"/>
                <w:szCs w:val="20"/>
              </w:rPr>
            </w:pPr>
            <w:r w:rsidRPr="007845E4">
              <w:rPr>
                <w:rFonts w:asciiTheme="majorHAnsi" w:hAnsiTheme="majorHAnsi"/>
                <w:color w:val="000000"/>
                <w:sz w:val="20"/>
              </w:rPr>
              <w:t>118,02%</w:t>
            </w:r>
          </w:p>
        </w:tc>
      </w:tr>
      <w:tr w:rsidR="008C7172" w:rsidRPr="007845E4" w14:paraId="1FAB97DC"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54ABF02F" w14:textId="77777777" w:rsidR="008C7172" w:rsidRPr="007845E4" w:rsidRDefault="008C7172" w:rsidP="00E117B4">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2014</w:t>
            </w:r>
          </w:p>
        </w:tc>
        <w:tc>
          <w:tcPr>
            <w:tcW w:w="0" w:type="auto"/>
            <w:tcBorders>
              <w:top w:val="nil"/>
              <w:left w:val="nil"/>
              <w:bottom w:val="single" w:sz="4" w:space="0" w:color="auto"/>
              <w:right w:val="single" w:sz="4" w:space="0" w:color="auto"/>
            </w:tcBorders>
            <w:noWrap/>
            <w:vAlign w:val="bottom"/>
            <w:hideMark/>
          </w:tcPr>
          <w:p w14:paraId="632A2219" w14:textId="77777777" w:rsidR="008C7172" w:rsidRPr="007845E4" w:rsidRDefault="008C7172"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3.122.635,17</w:t>
            </w:r>
          </w:p>
        </w:tc>
        <w:tc>
          <w:tcPr>
            <w:tcW w:w="0" w:type="auto"/>
            <w:tcBorders>
              <w:top w:val="nil"/>
              <w:left w:val="nil"/>
              <w:bottom w:val="single" w:sz="4" w:space="0" w:color="auto"/>
              <w:right w:val="single" w:sz="4" w:space="0" w:color="auto"/>
            </w:tcBorders>
            <w:noWrap/>
            <w:vAlign w:val="bottom"/>
            <w:hideMark/>
          </w:tcPr>
          <w:p w14:paraId="626B0FEB" w14:textId="77777777" w:rsidR="008C7172" w:rsidRPr="007845E4" w:rsidRDefault="008C7172"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2.700.041,34</w:t>
            </w:r>
          </w:p>
        </w:tc>
        <w:tc>
          <w:tcPr>
            <w:tcW w:w="0" w:type="auto"/>
            <w:tcBorders>
              <w:top w:val="nil"/>
              <w:left w:val="nil"/>
              <w:bottom w:val="single" w:sz="4" w:space="0" w:color="auto"/>
              <w:right w:val="single" w:sz="4" w:space="0" w:color="auto"/>
            </w:tcBorders>
            <w:noWrap/>
            <w:vAlign w:val="bottom"/>
            <w:hideMark/>
          </w:tcPr>
          <w:p w14:paraId="404E875B" w14:textId="77777777" w:rsidR="008C7172" w:rsidRPr="007845E4" w:rsidRDefault="008C7172"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86,47 %</w:t>
            </w:r>
          </w:p>
        </w:tc>
      </w:tr>
      <w:tr w:rsidR="00C131A0" w:rsidRPr="007845E4" w14:paraId="286237F4"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4ED98AF" w14:textId="1BEDD509" w:rsidR="00C131A0" w:rsidRPr="007845E4" w:rsidRDefault="00C131A0" w:rsidP="00E117B4">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2015</w:t>
            </w:r>
          </w:p>
        </w:tc>
        <w:tc>
          <w:tcPr>
            <w:tcW w:w="0" w:type="auto"/>
            <w:tcBorders>
              <w:top w:val="nil"/>
              <w:left w:val="nil"/>
              <w:bottom w:val="single" w:sz="4" w:space="0" w:color="auto"/>
              <w:right w:val="single" w:sz="4" w:space="0" w:color="auto"/>
            </w:tcBorders>
            <w:noWrap/>
            <w:vAlign w:val="bottom"/>
            <w:hideMark/>
          </w:tcPr>
          <w:p w14:paraId="7A07292B" w14:textId="77777777" w:rsidR="00C131A0" w:rsidRPr="007845E4" w:rsidRDefault="00C131A0"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3.199.887,87</w:t>
            </w:r>
          </w:p>
        </w:tc>
        <w:tc>
          <w:tcPr>
            <w:tcW w:w="0" w:type="auto"/>
            <w:tcBorders>
              <w:top w:val="nil"/>
              <w:left w:val="nil"/>
              <w:bottom w:val="single" w:sz="4" w:space="0" w:color="auto"/>
              <w:right w:val="single" w:sz="4" w:space="0" w:color="auto"/>
            </w:tcBorders>
            <w:noWrap/>
            <w:vAlign w:val="bottom"/>
          </w:tcPr>
          <w:p w14:paraId="7FC34E47" w14:textId="77777777" w:rsidR="00C131A0" w:rsidRPr="007845E4" w:rsidRDefault="00C131A0"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1.823.382,55</w:t>
            </w:r>
          </w:p>
        </w:tc>
        <w:tc>
          <w:tcPr>
            <w:tcW w:w="0" w:type="auto"/>
            <w:tcBorders>
              <w:top w:val="nil"/>
              <w:left w:val="nil"/>
              <w:bottom w:val="single" w:sz="4" w:space="0" w:color="auto"/>
              <w:right w:val="single" w:sz="4" w:space="0" w:color="auto"/>
            </w:tcBorders>
            <w:noWrap/>
            <w:vAlign w:val="bottom"/>
            <w:hideMark/>
          </w:tcPr>
          <w:p w14:paraId="029EFD25" w14:textId="77777777" w:rsidR="00C131A0" w:rsidRPr="007845E4" w:rsidRDefault="00C131A0" w:rsidP="00C131A0">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56,98 %</w:t>
            </w:r>
          </w:p>
        </w:tc>
      </w:tr>
      <w:tr w:rsidR="00C131A0" w:rsidRPr="007845E4" w14:paraId="1C4599CB"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5B09585E" w14:textId="0E126DC0" w:rsidR="00C131A0" w:rsidRPr="007845E4" w:rsidRDefault="00C131A0" w:rsidP="00C131A0">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2016</w:t>
            </w:r>
          </w:p>
        </w:tc>
        <w:tc>
          <w:tcPr>
            <w:tcW w:w="0" w:type="auto"/>
            <w:tcBorders>
              <w:top w:val="nil"/>
              <w:left w:val="nil"/>
              <w:bottom w:val="single" w:sz="4" w:space="0" w:color="auto"/>
              <w:right w:val="single" w:sz="4" w:space="0" w:color="auto"/>
            </w:tcBorders>
            <w:noWrap/>
            <w:vAlign w:val="bottom"/>
            <w:hideMark/>
          </w:tcPr>
          <w:p w14:paraId="108FFEFE" w14:textId="77777777" w:rsidR="00C131A0" w:rsidRPr="007845E4" w:rsidRDefault="00C131A0"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3.392.031,52</w:t>
            </w:r>
          </w:p>
        </w:tc>
        <w:tc>
          <w:tcPr>
            <w:tcW w:w="0" w:type="auto"/>
            <w:tcBorders>
              <w:top w:val="nil"/>
              <w:left w:val="nil"/>
              <w:bottom w:val="single" w:sz="4" w:space="0" w:color="auto"/>
              <w:right w:val="single" w:sz="4" w:space="0" w:color="auto"/>
            </w:tcBorders>
            <w:noWrap/>
            <w:vAlign w:val="bottom"/>
          </w:tcPr>
          <w:p w14:paraId="7F361EE0" w14:textId="77777777" w:rsidR="00C131A0" w:rsidRPr="007845E4" w:rsidRDefault="00C131A0" w:rsidP="00E117B4">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843.923,95</w:t>
            </w:r>
          </w:p>
        </w:tc>
        <w:tc>
          <w:tcPr>
            <w:tcW w:w="0" w:type="auto"/>
            <w:tcBorders>
              <w:top w:val="nil"/>
              <w:left w:val="nil"/>
              <w:bottom w:val="single" w:sz="4" w:space="0" w:color="auto"/>
              <w:right w:val="single" w:sz="4" w:space="0" w:color="auto"/>
            </w:tcBorders>
            <w:noWrap/>
            <w:vAlign w:val="bottom"/>
            <w:hideMark/>
          </w:tcPr>
          <w:p w14:paraId="5A4B77F3" w14:textId="77777777" w:rsidR="00C131A0" w:rsidRPr="007845E4" w:rsidRDefault="00C131A0" w:rsidP="00C131A0">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24,88 %</w:t>
            </w:r>
          </w:p>
        </w:tc>
      </w:tr>
      <w:tr w:rsidR="00B1742C" w:rsidRPr="007845E4" w14:paraId="45A5B68C" w14:textId="77777777" w:rsidTr="00284755">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3529C588" w14:textId="74090A0E" w:rsidR="00B1742C" w:rsidRPr="007845E4" w:rsidRDefault="00B1742C" w:rsidP="00B1742C">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2017</w:t>
            </w:r>
          </w:p>
        </w:tc>
        <w:tc>
          <w:tcPr>
            <w:tcW w:w="0" w:type="auto"/>
            <w:tcBorders>
              <w:top w:val="nil"/>
              <w:left w:val="nil"/>
              <w:bottom w:val="single" w:sz="4" w:space="0" w:color="auto"/>
              <w:right w:val="single" w:sz="4" w:space="0" w:color="auto"/>
            </w:tcBorders>
            <w:noWrap/>
            <w:vAlign w:val="bottom"/>
            <w:hideMark/>
          </w:tcPr>
          <w:p w14:paraId="1E8BC282" w14:textId="77777777" w:rsidR="00B1742C" w:rsidRPr="007845E4" w:rsidRDefault="00B1742C" w:rsidP="00981E91">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3.635.672,15</w:t>
            </w:r>
          </w:p>
        </w:tc>
        <w:tc>
          <w:tcPr>
            <w:tcW w:w="0" w:type="auto"/>
            <w:tcBorders>
              <w:top w:val="nil"/>
              <w:left w:val="nil"/>
              <w:bottom w:val="single" w:sz="4" w:space="0" w:color="auto"/>
              <w:right w:val="single" w:sz="4" w:space="0" w:color="auto"/>
            </w:tcBorders>
            <w:noWrap/>
            <w:vAlign w:val="bottom"/>
          </w:tcPr>
          <w:p w14:paraId="72B1AF5E" w14:textId="77777777" w:rsidR="00B1742C" w:rsidRPr="007845E4" w:rsidRDefault="00B1742C" w:rsidP="00981E91">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701.586,18</w:t>
            </w:r>
          </w:p>
        </w:tc>
        <w:tc>
          <w:tcPr>
            <w:tcW w:w="0" w:type="auto"/>
            <w:tcBorders>
              <w:top w:val="nil"/>
              <w:left w:val="nil"/>
              <w:bottom w:val="single" w:sz="4" w:space="0" w:color="auto"/>
              <w:right w:val="single" w:sz="4" w:space="0" w:color="auto"/>
            </w:tcBorders>
            <w:noWrap/>
            <w:vAlign w:val="bottom"/>
            <w:hideMark/>
          </w:tcPr>
          <w:p w14:paraId="25A1A78E" w14:textId="77777777" w:rsidR="00B1742C" w:rsidRPr="007845E4" w:rsidRDefault="00B1742C" w:rsidP="00B1742C">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19,30 %</w:t>
            </w:r>
          </w:p>
        </w:tc>
      </w:tr>
      <w:tr w:rsidR="00AF7AAF" w:rsidRPr="007845E4" w14:paraId="6B3F0B1F"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4BE876EE" w14:textId="19D3BAD7" w:rsidR="00AF7AAF" w:rsidRPr="007845E4" w:rsidRDefault="00AF7AAF" w:rsidP="00B1742C">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2018</w:t>
            </w:r>
          </w:p>
        </w:tc>
        <w:tc>
          <w:tcPr>
            <w:tcW w:w="0" w:type="auto"/>
            <w:tcBorders>
              <w:top w:val="single" w:sz="4" w:space="0" w:color="auto"/>
              <w:left w:val="nil"/>
              <w:bottom w:val="single" w:sz="4" w:space="0" w:color="auto"/>
              <w:right w:val="single" w:sz="4" w:space="0" w:color="auto"/>
            </w:tcBorders>
            <w:noWrap/>
            <w:vAlign w:val="bottom"/>
          </w:tcPr>
          <w:p w14:paraId="302760CD" w14:textId="7BDE0E16" w:rsidR="00AF7AAF" w:rsidRPr="007845E4" w:rsidRDefault="00AF7AAF" w:rsidP="00981E91">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3.817.573,51</w:t>
            </w:r>
          </w:p>
        </w:tc>
        <w:tc>
          <w:tcPr>
            <w:tcW w:w="0" w:type="auto"/>
            <w:tcBorders>
              <w:top w:val="single" w:sz="4" w:space="0" w:color="auto"/>
              <w:left w:val="nil"/>
              <w:bottom w:val="single" w:sz="4" w:space="0" w:color="auto"/>
              <w:right w:val="single" w:sz="4" w:space="0" w:color="auto"/>
            </w:tcBorders>
            <w:noWrap/>
            <w:vAlign w:val="bottom"/>
          </w:tcPr>
          <w:p w14:paraId="71B9783A" w14:textId="15A75857" w:rsidR="00AF7AAF" w:rsidRPr="007845E4" w:rsidRDefault="00AF7AAF" w:rsidP="00981E91">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697.504,77</w:t>
            </w:r>
          </w:p>
        </w:tc>
        <w:tc>
          <w:tcPr>
            <w:tcW w:w="0" w:type="auto"/>
            <w:tcBorders>
              <w:top w:val="single" w:sz="4" w:space="0" w:color="auto"/>
              <w:left w:val="nil"/>
              <w:bottom w:val="single" w:sz="4" w:space="0" w:color="auto"/>
              <w:right w:val="single" w:sz="4" w:space="0" w:color="auto"/>
            </w:tcBorders>
            <w:noWrap/>
            <w:vAlign w:val="bottom"/>
          </w:tcPr>
          <w:p w14:paraId="73464E84" w14:textId="7F15E573" w:rsidR="00AF7AAF" w:rsidRPr="007845E4" w:rsidRDefault="00576990" w:rsidP="00B1742C">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18,27 %</w:t>
            </w:r>
          </w:p>
        </w:tc>
      </w:tr>
      <w:tr w:rsidR="00BF5588" w:rsidRPr="007845E4" w14:paraId="5DDD247D"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31C0A2C0" w14:textId="6AB39867" w:rsidR="00BF5588" w:rsidRPr="007845E4" w:rsidRDefault="00BF5588">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2019</w:t>
            </w:r>
          </w:p>
        </w:tc>
        <w:tc>
          <w:tcPr>
            <w:tcW w:w="0" w:type="auto"/>
            <w:tcBorders>
              <w:top w:val="single" w:sz="4" w:space="0" w:color="auto"/>
              <w:left w:val="nil"/>
              <w:bottom w:val="single" w:sz="4" w:space="0" w:color="auto"/>
              <w:right w:val="single" w:sz="4" w:space="0" w:color="auto"/>
            </w:tcBorders>
            <w:noWrap/>
            <w:vAlign w:val="bottom"/>
          </w:tcPr>
          <w:p w14:paraId="46306249" w14:textId="1605D398" w:rsidR="00BF5588" w:rsidRPr="007845E4" w:rsidRDefault="00BF5588">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4.008.554,98</w:t>
            </w:r>
          </w:p>
        </w:tc>
        <w:tc>
          <w:tcPr>
            <w:tcW w:w="0" w:type="auto"/>
            <w:tcBorders>
              <w:top w:val="single" w:sz="4" w:space="0" w:color="auto"/>
              <w:left w:val="nil"/>
              <w:bottom w:val="single" w:sz="4" w:space="0" w:color="auto"/>
              <w:right w:val="single" w:sz="4" w:space="0" w:color="auto"/>
            </w:tcBorders>
            <w:noWrap/>
            <w:vAlign w:val="bottom"/>
          </w:tcPr>
          <w:p w14:paraId="49376FBF" w14:textId="117286A1" w:rsidR="00BF5588" w:rsidRPr="007845E4" w:rsidRDefault="00BF5588">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578.133,92</w:t>
            </w:r>
          </w:p>
        </w:tc>
        <w:tc>
          <w:tcPr>
            <w:tcW w:w="0" w:type="auto"/>
            <w:tcBorders>
              <w:top w:val="single" w:sz="4" w:space="0" w:color="auto"/>
              <w:left w:val="nil"/>
              <w:bottom w:val="single" w:sz="4" w:space="0" w:color="auto"/>
              <w:right w:val="single" w:sz="4" w:space="0" w:color="auto"/>
            </w:tcBorders>
            <w:noWrap/>
            <w:vAlign w:val="bottom"/>
          </w:tcPr>
          <w:p w14:paraId="6EC6DB6F" w14:textId="7566DD91" w:rsidR="00BF5588" w:rsidRPr="007845E4" w:rsidRDefault="00BF5588">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14,42 %</w:t>
            </w:r>
          </w:p>
        </w:tc>
      </w:tr>
      <w:tr w:rsidR="00D16CCD" w:rsidRPr="007845E4" w14:paraId="4A2C5AA4"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2B6E1830" w14:textId="06EAA082" w:rsidR="00D16CCD" w:rsidRPr="007845E4" w:rsidRDefault="00D16CCD" w:rsidP="00D16CCD">
            <w:pPr>
              <w:spacing w:after="0" w:line="240" w:lineRule="auto"/>
              <w:jc w:val="center"/>
              <w:rPr>
                <w:rFonts w:ascii="Cambria" w:eastAsia="Times New Roman" w:hAnsi="Cambria" w:cs="Times New Roman"/>
                <w:color w:val="000000"/>
                <w:sz w:val="20"/>
                <w:szCs w:val="20"/>
              </w:rPr>
            </w:pPr>
            <w:r w:rsidRPr="007845E4">
              <w:rPr>
                <w:rFonts w:ascii="Cambria" w:hAnsi="Cambria"/>
                <w:color w:val="000000"/>
                <w:sz w:val="20"/>
                <w:szCs w:val="20"/>
              </w:rPr>
              <w:t>2020</w:t>
            </w:r>
          </w:p>
        </w:tc>
        <w:tc>
          <w:tcPr>
            <w:tcW w:w="0" w:type="auto"/>
            <w:tcBorders>
              <w:top w:val="single" w:sz="4" w:space="0" w:color="auto"/>
              <w:left w:val="nil"/>
              <w:bottom w:val="single" w:sz="4" w:space="0" w:color="auto"/>
              <w:right w:val="single" w:sz="4" w:space="0" w:color="auto"/>
            </w:tcBorders>
            <w:noWrap/>
            <w:vAlign w:val="bottom"/>
          </w:tcPr>
          <w:p w14:paraId="39A2B9E9" w14:textId="72B411D8" w:rsidR="00D16CCD" w:rsidRPr="007845E4" w:rsidRDefault="00D16CCD">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4.222.708,17</w:t>
            </w:r>
          </w:p>
        </w:tc>
        <w:tc>
          <w:tcPr>
            <w:tcW w:w="0" w:type="auto"/>
            <w:tcBorders>
              <w:top w:val="single" w:sz="4" w:space="0" w:color="auto"/>
              <w:left w:val="nil"/>
              <w:bottom w:val="single" w:sz="4" w:space="0" w:color="auto"/>
              <w:right w:val="single" w:sz="4" w:space="0" w:color="auto"/>
            </w:tcBorders>
            <w:noWrap/>
            <w:vAlign w:val="bottom"/>
          </w:tcPr>
          <w:p w14:paraId="32C2FCA2" w14:textId="24946C45" w:rsidR="00D16CCD" w:rsidRPr="007845E4" w:rsidRDefault="00D16CCD">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891.080,91</w:t>
            </w:r>
          </w:p>
        </w:tc>
        <w:tc>
          <w:tcPr>
            <w:tcW w:w="0" w:type="auto"/>
            <w:tcBorders>
              <w:top w:val="single" w:sz="4" w:space="0" w:color="auto"/>
              <w:left w:val="nil"/>
              <w:bottom w:val="single" w:sz="4" w:space="0" w:color="auto"/>
              <w:right w:val="single" w:sz="4" w:space="0" w:color="auto"/>
            </w:tcBorders>
            <w:noWrap/>
            <w:vAlign w:val="bottom"/>
          </w:tcPr>
          <w:p w14:paraId="7D629649" w14:textId="4575D7BD" w:rsidR="00D16CCD" w:rsidRPr="007845E4" w:rsidRDefault="00D16CCD">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21,10 %</w:t>
            </w:r>
          </w:p>
        </w:tc>
      </w:tr>
      <w:tr w:rsidR="00D16CCD" w:rsidRPr="007845E4" w14:paraId="201F1EB8"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229E239E" w14:textId="721C3CB7" w:rsidR="00D16CCD" w:rsidRPr="007845E4" w:rsidRDefault="00D16CCD">
            <w:pPr>
              <w:spacing w:after="0" w:line="240" w:lineRule="auto"/>
              <w:jc w:val="center"/>
              <w:rPr>
                <w:rFonts w:ascii="Cambria" w:eastAsia="Times New Roman" w:hAnsi="Cambria" w:cs="Times New Roman"/>
                <w:color w:val="000000"/>
                <w:sz w:val="20"/>
                <w:szCs w:val="20"/>
              </w:rPr>
            </w:pPr>
            <w:bookmarkStart w:id="1" w:name="_Hlk148953202"/>
            <w:r w:rsidRPr="007845E4">
              <w:rPr>
                <w:rFonts w:ascii="Cambria" w:hAnsi="Cambria"/>
                <w:color w:val="000000"/>
                <w:sz w:val="20"/>
                <w:szCs w:val="20"/>
              </w:rPr>
              <w:t>2021</w:t>
            </w:r>
          </w:p>
        </w:tc>
        <w:tc>
          <w:tcPr>
            <w:tcW w:w="0" w:type="auto"/>
            <w:tcBorders>
              <w:top w:val="single" w:sz="4" w:space="0" w:color="auto"/>
              <w:left w:val="nil"/>
              <w:bottom w:val="single" w:sz="4" w:space="0" w:color="auto"/>
              <w:right w:val="single" w:sz="4" w:space="0" w:color="auto"/>
            </w:tcBorders>
            <w:noWrap/>
            <w:vAlign w:val="bottom"/>
          </w:tcPr>
          <w:p w14:paraId="27C9164D" w14:textId="13B2CB1E" w:rsidR="00D16CCD" w:rsidRPr="007845E4" w:rsidRDefault="00D16CCD">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4.489.286,68</w:t>
            </w:r>
          </w:p>
        </w:tc>
        <w:tc>
          <w:tcPr>
            <w:tcW w:w="0" w:type="auto"/>
            <w:tcBorders>
              <w:top w:val="single" w:sz="4" w:space="0" w:color="auto"/>
              <w:left w:val="nil"/>
              <w:bottom w:val="single" w:sz="4" w:space="0" w:color="auto"/>
              <w:right w:val="single" w:sz="4" w:space="0" w:color="auto"/>
            </w:tcBorders>
            <w:noWrap/>
            <w:vAlign w:val="bottom"/>
          </w:tcPr>
          <w:p w14:paraId="686960C3" w14:textId="2C11C14A" w:rsidR="00D16CCD" w:rsidRPr="007845E4" w:rsidRDefault="00D16CCD">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2.039.057,97</w:t>
            </w:r>
          </w:p>
        </w:tc>
        <w:tc>
          <w:tcPr>
            <w:tcW w:w="0" w:type="auto"/>
            <w:tcBorders>
              <w:top w:val="single" w:sz="4" w:space="0" w:color="auto"/>
              <w:left w:val="nil"/>
              <w:bottom w:val="single" w:sz="4" w:space="0" w:color="auto"/>
              <w:right w:val="single" w:sz="4" w:space="0" w:color="auto"/>
            </w:tcBorders>
            <w:noWrap/>
            <w:vAlign w:val="bottom"/>
          </w:tcPr>
          <w:p w14:paraId="2DB1FC0C" w14:textId="3E250CC9" w:rsidR="00D16CCD" w:rsidRPr="007845E4" w:rsidRDefault="00D16CCD">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45,42 %</w:t>
            </w:r>
          </w:p>
        </w:tc>
      </w:tr>
      <w:tr w:rsidR="00F830BF" w:rsidRPr="007845E4" w14:paraId="2FD0E50D"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0E86251D" w14:textId="4052401A" w:rsidR="00F830BF" w:rsidRPr="007845E4" w:rsidRDefault="00F830BF" w:rsidP="00FB0DE0">
            <w:pPr>
              <w:spacing w:after="0" w:line="240" w:lineRule="auto"/>
              <w:jc w:val="center"/>
              <w:rPr>
                <w:rFonts w:ascii="Cambria" w:hAnsi="Cambria" w:cs="Times New Roman"/>
                <w:sz w:val="20"/>
                <w:szCs w:val="20"/>
              </w:rPr>
            </w:pPr>
            <w:bookmarkStart w:id="2" w:name="_Hlk180663323"/>
            <w:r w:rsidRPr="007845E4">
              <w:rPr>
                <w:rFonts w:ascii="Cambria" w:hAnsi="Cambria"/>
                <w:sz w:val="20"/>
                <w:szCs w:val="20"/>
              </w:rPr>
              <w:t>2022</w:t>
            </w:r>
          </w:p>
        </w:tc>
        <w:tc>
          <w:tcPr>
            <w:tcW w:w="0" w:type="auto"/>
            <w:tcBorders>
              <w:top w:val="single" w:sz="4" w:space="0" w:color="auto"/>
              <w:left w:val="nil"/>
              <w:bottom w:val="single" w:sz="4" w:space="0" w:color="auto"/>
              <w:right w:val="single" w:sz="4" w:space="0" w:color="auto"/>
            </w:tcBorders>
            <w:noWrap/>
            <w:vAlign w:val="bottom"/>
          </w:tcPr>
          <w:p w14:paraId="4B4A773E" w14:textId="30BA4FF0" w:rsidR="00F830BF" w:rsidRPr="007845E4" w:rsidRDefault="00F830BF" w:rsidP="004E1EAD">
            <w:pPr>
              <w:spacing w:after="0" w:line="240" w:lineRule="auto"/>
              <w:jc w:val="right"/>
              <w:rPr>
                <w:rFonts w:ascii="Cambria" w:hAnsi="Cambria" w:cs="Times New Roman"/>
                <w:sz w:val="20"/>
                <w:szCs w:val="20"/>
              </w:rPr>
            </w:pPr>
            <w:r w:rsidRPr="007845E4">
              <w:rPr>
                <w:rFonts w:ascii="Cambria" w:hAnsi="Cambria"/>
                <w:sz w:val="20"/>
                <w:szCs w:val="20"/>
              </w:rPr>
              <w:t>4.788.676,80</w:t>
            </w:r>
          </w:p>
        </w:tc>
        <w:tc>
          <w:tcPr>
            <w:tcW w:w="0" w:type="auto"/>
            <w:tcBorders>
              <w:top w:val="single" w:sz="4" w:space="0" w:color="auto"/>
              <w:left w:val="nil"/>
              <w:bottom w:val="single" w:sz="4" w:space="0" w:color="auto"/>
              <w:right w:val="single" w:sz="4" w:space="0" w:color="auto"/>
            </w:tcBorders>
            <w:noWrap/>
            <w:vAlign w:val="bottom"/>
          </w:tcPr>
          <w:p w14:paraId="02CD57B9" w14:textId="3C0BA53A" w:rsidR="00F830BF" w:rsidRPr="007845E4" w:rsidRDefault="00F830BF" w:rsidP="004E1EAD">
            <w:pPr>
              <w:spacing w:after="0" w:line="240" w:lineRule="auto"/>
              <w:jc w:val="right"/>
              <w:rPr>
                <w:rFonts w:ascii="Cambria" w:hAnsi="Cambria" w:cs="Times New Roman"/>
                <w:sz w:val="20"/>
                <w:szCs w:val="20"/>
              </w:rPr>
            </w:pPr>
            <w:r w:rsidRPr="007845E4">
              <w:rPr>
                <w:rFonts w:ascii="Cambria" w:hAnsi="Cambria"/>
                <w:sz w:val="20"/>
                <w:szCs w:val="20"/>
              </w:rPr>
              <w:t>1.906.160,09</w:t>
            </w:r>
          </w:p>
        </w:tc>
        <w:tc>
          <w:tcPr>
            <w:tcW w:w="0" w:type="auto"/>
            <w:tcBorders>
              <w:top w:val="single" w:sz="4" w:space="0" w:color="auto"/>
              <w:left w:val="nil"/>
              <w:bottom w:val="single" w:sz="4" w:space="0" w:color="auto"/>
              <w:right w:val="single" w:sz="4" w:space="0" w:color="auto"/>
            </w:tcBorders>
            <w:noWrap/>
            <w:vAlign w:val="bottom"/>
          </w:tcPr>
          <w:p w14:paraId="1AAB11A7" w14:textId="1908DC62" w:rsidR="00F830BF" w:rsidRPr="007845E4" w:rsidRDefault="00F830BF" w:rsidP="004E1EAD">
            <w:pPr>
              <w:spacing w:after="0" w:line="240" w:lineRule="auto"/>
              <w:jc w:val="right"/>
              <w:rPr>
                <w:rFonts w:ascii="Cambria" w:hAnsi="Cambria" w:cs="Times New Roman"/>
                <w:sz w:val="20"/>
                <w:szCs w:val="20"/>
              </w:rPr>
            </w:pPr>
            <w:r w:rsidRPr="007845E4">
              <w:rPr>
                <w:rFonts w:ascii="Cambria" w:hAnsi="Cambria"/>
                <w:sz w:val="20"/>
                <w:szCs w:val="20"/>
              </w:rPr>
              <w:t>39,81 %</w:t>
            </w:r>
          </w:p>
        </w:tc>
      </w:tr>
      <w:tr w:rsidR="00E87389" w:rsidRPr="007845E4" w14:paraId="48C1BBCA"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0019A515" w14:textId="2E71F698" w:rsidR="00E87389" w:rsidRPr="007845E4" w:rsidRDefault="00E87389" w:rsidP="00FB0DE0">
            <w:pPr>
              <w:spacing w:after="0" w:line="240" w:lineRule="auto"/>
              <w:jc w:val="center"/>
              <w:rPr>
                <w:rFonts w:ascii="Cambria" w:hAnsi="Cambria" w:cs="Times New Roman"/>
                <w:sz w:val="20"/>
                <w:szCs w:val="20"/>
              </w:rPr>
            </w:pPr>
            <w:r w:rsidRPr="007845E4">
              <w:rPr>
                <w:rFonts w:ascii="Cambria" w:hAnsi="Cambria"/>
                <w:sz w:val="20"/>
                <w:szCs w:val="20"/>
              </w:rPr>
              <w:t>2023</w:t>
            </w:r>
          </w:p>
        </w:tc>
        <w:tc>
          <w:tcPr>
            <w:tcW w:w="0" w:type="auto"/>
            <w:tcBorders>
              <w:top w:val="single" w:sz="4" w:space="0" w:color="auto"/>
              <w:left w:val="nil"/>
              <w:bottom w:val="single" w:sz="4" w:space="0" w:color="auto"/>
              <w:right w:val="single" w:sz="4" w:space="0" w:color="auto"/>
            </w:tcBorders>
            <w:noWrap/>
            <w:vAlign w:val="bottom"/>
          </w:tcPr>
          <w:p w14:paraId="72DEBD4A" w14:textId="0A1A55A3" w:rsidR="00E87389" w:rsidRPr="007845E4" w:rsidRDefault="00E87389" w:rsidP="004E1EAD">
            <w:pPr>
              <w:spacing w:after="0" w:line="240" w:lineRule="auto"/>
              <w:jc w:val="right"/>
              <w:rPr>
                <w:rFonts w:ascii="Cambria" w:hAnsi="Cambria" w:cs="Times New Roman"/>
                <w:sz w:val="20"/>
                <w:szCs w:val="20"/>
              </w:rPr>
            </w:pPr>
            <w:r w:rsidRPr="007845E4">
              <w:rPr>
                <w:rFonts w:ascii="Cambria" w:hAnsi="Cambria"/>
                <w:sz w:val="20"/>
                <w:szCs w:val="20"/>
              </w:rPr>
              <w:t>5.598.443,51</w:t>
            </w:r>
          </w:p>
        </w:tc>
        <w:tc>
          <w:tcPr>
            <w:tcW w:w="0" w:type="auto"/>
            <w:tcBorders>
              <w:top w:val="single" w:sz="4" w:space="0" w:color="auto"/>
              <w:left w:val="nil"/>
              <w:bottom w:val="single" w:sz="4" w:space="0" w:color="auto"/>
              <w:right w:val="single" w:sz="4" w:space="0" w:color="auto"/>
            </w:tcBorders>
            <w:noWrap/>
            <w:vAlign w:val="bottom"/>
          </w:tcPr>
          <w:p w14:paraId="6610B598" w14:textId="5511CCB8" w:rsidR="00E87389" w:rsidRPr="007845E4" w:rsidRDefault="00E87389" w:rsidP="004E1EAD">
            <w:pPr>
              <w:spacing w:after="0" w:line="240" w:lineRule="auto"/>
              <w:jc w:val="right"/>
              <w:rPr>
                <w:rFonts w:ascii="Cambria" w:hAnsi="Cambria" w:cs="Times New Roman"/>
                <w:sz w:val="20"/>
                <w:szCs w:val="20"/>
              </w:rPr>
            </w:pPr>
            <w:r w:rsidRPr="007845E4">
              <w:rPr>
                <w:rFonts w:ascii="Cambria" w:hAnsi="Cambria"/>
                <w:sz w:val="20"/>
                <w:szCs w:val="20"/>
              </w:rPr>
              <w:t>2.582.282,44</w:t>
            </w:r>
          </w:p>
        </w:tc>
        <w:tc>
          <w:tcPr>
            <w:tcW w:w="0" w:type="auto"/>
            <w:tcBorders>
              <w:top w:val="single" w:sz="4" w:space="0" w:color="auto"/>
              <w:left w:val="nil"/>
              <w:bottom w:val="single" w:sz="4" w:space="0" w:color="auto"/>
              <w:right w:val="single" w:sz="4" w:space="0" w:color="auto"/>
            </w:tcBorders>
            <w:noWrap/>
            <w:vAlign w:val="bottom"/>
          </w:tcPr>
          <w:p w14:paraId="2A137D7C" w14:textId="6B4A8E54" w:rsidR="00E87389" w:rsidRPr="007845E4" w:rsidRDefault="00E87389" w:rsidP="004E1EAD">
            <w:pPr>
              <w:spacing w:after="0" w:line="240" w:lineRule="auto"/>
              <w:jc w:val="right"/>
              <w:rPr>
                <w:rFonts w:ascii="Cambria" w:hAnsi="Cambria" w:cs="Times New Roman"/>
                <w:sz w:val="20"/>
                <w:szCs w:val="20"/>
              </w:rPr>
            </w:pPr>
            <w:r w:rsidRPr="007845E4">
              <w:rPr>
                <w:rFonts w:ascii="Cambria" w:hAnsi="Cambria"/>
                <w:sz w:val="20"/>
                <w:szCs w:val="20"/>
              </w:rPr>
              <w:t>46,13 %</w:t>
            </w:r>
          </w:p>
        </w:tc>
      </w:tr>
      <w:tr w:rsidR="004B258A" w:rsidRPr="007845E4" w14:paraId="7D064D6C" w14:textId="77777777" w:rsidTr="0028475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59359B80" w14:textId="20B61712" w:rsidR="004B258A" w:rsidRPr="007845E4" w:rsidRDefault="004B258A" w:rsidP="004B258A">
            <w:pPr>
              <w:spacing w:after="0" w:line="240" w:lineRule="auto"/>
              <w:jc w:val="center"/>
              <w:rPr>
                <w:rFonts w:ascii="Cambria" w:hAnsi="Cambria" w:cs="Times New Roman"/>
                <w:sz w:val="20"/>
                <w:szCs w:val="20"/>
              </w:rPr>
            </w:pPr>
            <w:r w:rsidRPr="007845E4">
              <w:rPr>
                <w:rFonts w:ascii="Cambria" w:hAnsi="Cambria"/>
                <w:sz w:val="20"/>
                <w:szCs w:val="20"/>
              </w:rPr>
              <w:t>2024</w:t>
            </w:r>
          </w:p>
        </w:tc>
        <w:tc>
          <w:tcPr>
            <w:tcW w:w="0" w:type="auto"/>
            <w:tcBorders>
              <w:top w:val="single" w:sz="4" w:space="0" w:color="auto"/>
              <w:left w:val="nil"/>
              <w:bottom w:val="single" w:sz="4" w:space="0" w:color="auto"/>
              <w:right w:val="single" w:sz="4" w:space="0" w:color="auto"/>
            </w:tcBorders>
            <w:noWrap/>
            <w:vAlign w:val="bottom"/>
          </w:tcPr>
          <w:p w14:paraId="789B651F" w14:textId="049FC404" w:rsidR="004B258A" w:rsidRPr="007845E4" w:rsidRDefault="004B258A" w:rsidP="004B258A">
            <w:pPr>
              <w:spacing w:after="0" w:line="240" w:lineRule="auto"/>
              <w:jc w:val="right"/>
              <w:rPr>
                <w:rFonts w:ascii="Cambria" w:hAnsi="Cambria" w:cs="Times New Roman"/>
                <w:sz w:val="20"/>
                <w:szCs w:val="20"/>
              </w:rPr>
            </w:pPr>
            <w:r w:rsidRPr="007845E4">
              <w:rPr>
                <w:rFonts w:ascii="Cambria" w:hAnsi="Cambria"/>
                <w:sz w:val="20"/>
                <w:szCs w:val="20"/>
              </w:rPr>
              <w:t>5.806.790,36</w:t>
            </w:r>
          </w:p>
        </w:tc>
        <w:tc>
          <w:tcPr>
            <w:tcW w:w="0" w:type="auto"/>
            <w:tcBorders>
              <w:top w:val="single" w:sz="4" w:space="0" w:color="auto"/>
              <w:left w:val="nil"/>
              <w:bottom w:val="single" w:sz="4" w:space="0" w:color="auto"/>
              <w:right w:val="single" w:sz="4" w:space="0" w:color="auto"/>
            </w:tcBorders>
            <w:noWrap/>
            <w:vAlign w:val="bottom"/>
          </w:tcPr>
          <w:p w14:paraId="7C835E7A" w14:textId="002F82F5" w:rsidR="004B258A" w:rsidRPr="007845E4" w:rsidRDefault="004B258A" w:rsidP="004B258A">
            <w:pPr>
              <w:spacing w:after="0" w:line="240" w:lineRule="auto"/>
              <w:jc w:val="right"/>
              <w:rPr>
                <w:rFonts w:ascii="Cambria" w:hAnsi="Cambria" w:cs="Times New Roman"/>
                <w:sz w:val="20"/>
                <w:szCs w:val="20"/>
              </w:rPr>
            </w:pPr>
            <w:r w:rsidRPr="007845E4">
              <w:rPr>
                <w:rFonts w:ascii="Cambria" w:hAnsi="Cambria"/>
                <w:sz w:val="20"/>
                <w:szCs w:val="20"/>
              </w:rPr>
              <w:t>2.900.070,01</w:t>
            </w:r>
          </w:p>
        </w:tc>
        <w:tc>
          <w:tcPr>
            <w:tcW w:w="0" w:type="auto"/>
            <w:tcBorders>
              <w:top w:val="single" w:sz="4" w:space="0" w:color="auto"/>
              <w:left w:val="nil"/>
              <w:bottom w:val="single" w:sz="4" w:space="0" w:color="auto"/>
              <w:right w:val="single" w:sz="4" w:space="0" w:color="auto"/>
            </w:tcBorders>
            <w:noWrap/>
            <w:vAlign w:val="bottom"/>
          </w:tcPr>
          <w:p w14:paraId="56CC7737" w14:textId="39BF98A4" w:rsidR="004B258A" w:rsidRPr="007845E4" w:rsidRDefault="004B258A" w:rsidP="004B258A">
            <w:pPr>
              <w:spacing w:after="0" w:line="240" w:lineRule="auto"/>
              <w:jc w:val="right"/>
              <w:rPr>
                <w:rFonts w:ascii="Cambria" w:hAnsi="Cambria" w:cs="Times New Roman"/>
                <w:sz w:val="20"/>
                <w:szCs w:val="20"/>
              </w:rPr>
            </w:pPr>
            <w:r w:rsidRPr="007845E4">
              <w:rPr>
                <w:rFonts w:ascii="Cambria" w:hAnsi="Cambria"/>
                <w:sz w:val="20"/>
                <w:szCs w:val="20"/>
              </w:rPr>
              <w:t>49,94 %</w:t>
            </w:r>
          </w:p>
        </w:tc>
      </w:tr>
      <w:bookmarkEnd w:id="1"/>
      <w:bookmarkEnd w:id="2"/>
    </w:tbl>
    <w:p w14:paraId="0158E909" w14:textId="38DF1A6B" w:rsidR="008C7172" w:rsidRPr="007845E4" w:rsidRDefault="008C7172" w:rsidP="00883039">
      <w:pPr>
        <w:spacing w:after="0" w:line="240" w:lineRule="auto"/>
        <w:jc w:val="both"/>
        <w:rPr>
          <w:rFonts w:ascii="Cambria" w:hAnsi="Cambria" w:cs="Times New Roman"/>
          <w:sz w:val="20"/>
          <w:szCs w:val="20"/>
        </w:rPr>
      </w:pPr>
    </w:p>
    <w:p w14:paraId="4CFF27F6" w14:textId="75BC5533" w:rsidR="00DD1076" w:rsidRPr="007845E4" w:rsidRDefault="00FF23CE" w:rsidP="00883039">
      <w:pPr>
        <w:spacing w:after="0" w:line="240" w:lineRule="auto"/>
        <w:jc w:val="both"/>
        <w:rPr>
          <w:rFonts w:ascii="Cambria" w:hAnsi="Cambria" w:cs="Times New Roman"/>
          <w:sz w:val="20"/>
          <w:szCs w:val="20"/>
        </w:rPr>
      </w:pPr>
      <w:r w:rsidRPr="007845E4">
        <w:rPr>
          <w:rFonts w:ascii="Cambria" w:hAnsi="Cambria"/>
          <w:sz w:val="20"/>
          <w:szCs w:val="20"/>
        </w:rPr>
        <w:t>Depuis 2021, un nouveau tournant s’est produit dans le Fonds de roulement, avec une reprise significative.</w:t>
      </w:r>
    </w:p>
    <w:p w14:paraId="21B41017" w14:textId="77777777" w:rsidR="00DD1076" w:rsidRPr="007845E4" w:rsidRDefault="00DD1076" w:rsidP="00883039">
      <w:pPr>
        <w:spacing w:after="0" w:line="240" w:lineRule="auto"/>
        <w:jc w:val="both"/>
        <w:rPr>
          <w:rFonts w:ascii="Cambria" w:hAnsi="Cambria" w:cs="Times New Roman"/>
          <w:sz w:val="20"/>
          <w:szCs w:val="20"/>
        </w:rPr>
      </w:pPr>
    </w:p>
    <w:p w14:paraId="4AF0BF62" w14:textId="77777777" w:rsidR="00B50A56" w:rsidRPr="007845E4" w:rsidRDefault="00B50A56" w:rsidP="00883039">
      <w:pPr>
        <w:spacing w:after="0" w:line="240" w:lineRule="auto"/>
        <w:jc w:val="both"/>
        <w:rPr>
          <w:rFonts w:ascii="Cambria" w:hAnsi="Cambria" w:cs="Times New Roman"/>
          <w:sz w:val="20"/>
          <w:szCs w:val="20"/>
        </w:rPr>
      </w:pPr>
    </w:p>
    <w:p w14:paraId="10EAE687" w14:textId="665C8E86" w:rsidR="008C7172" w:rsidRPr="007845E4" w:rsidRDefault="008C7172" w:rsidP="000B162D">
      <w:pPr>
        <w:pStyle w:val="ListParagraph"/>
        <w:numPr>
          <w:ilvl w:val="0"/>
          <w:numId w:val="13"/>
        </w:numPr>
        <w:spacing w:after="0" w:line="240" w:lineRule="auto"/>
        <w:ind w:left="426" w:hanging="426"/>
        <w:jc w:val="both"/>
        <w:rPr>
          <w:rFonts w:ascii="Cambria" w:hAnsi="Cambria" w:cs="Times New Roman"/>
          <w:b/>
          <w:sz w:val="20"/>
          <w:szCs w:val="20"/>
        </w:rPr>
      </w:pPr>
      <w:r w:rsidRPr="007845E4">
        <w:rPr>
          <w:rFonts w:ascii="Cambria" w:hAnsi="Cambria"/>
          <w:b/>
          <w:sz w:val="20"/>
          <w:szCs w:val="20"/>
        </w:rPr>
        <w:t>Options possibles pour l'utilisation du Fonds de roulement en 2026</w:t>
      </w:r>
    </w:p>
    <w:p w14:paraId="1E9A7268" w14:textId="77777777" w:rsidR="008C7172" w:rsidRPr="007845E4" w:rsidRDefault="008C7172" w:rsidP="002B4B7B">
      <w:pPr>
        <w:spacing w:after="0" w:line="240" w:lineRule="auto"/>
        <w:jc w:val="both"/>
        <w:rPr>
          <w:rFonts w:ascii="Cambria" w:hAnsi="Cambria" w:cs="Times New Roman"/>
          <w:sz w:val="20"/>
          <w:szCs w:val="20"/>
        </w:rPr>
      </w:pPr>
    </w:p>
    <w:p w14:paraId="2623BD73" w14:textId="5ED6B20C" w:rsidR="00BC2693" w:rsidRPr="007845E4" w:rsidRDefault="00EB3417" w:rsidP="00C615D0">
      <w:pPr>
        <w:spacing w:after="0" w:line="240" w:lineRule="auto"/>
        <w:jc w:val="both"/>
        <w:rPr>
          <w:rFonts w:ascii="Cambria" w:hAnsi="Cambria" w:cs="Times New Roman"/>
          <w:sz w:val="20"/>
          <w:szCs w:val="20"/>
        </w:rPr>
      </w:pPr>
      <w:r w:rsidRPr="007845E4">
        <w:rPr>
          <w:rFonts w:ascii="Cambria" w:hAnsi="Cambria"/>
          <w:sz w:val="20"/>
          <w:szCs w:val="20"/>
        </w:rPr>
        <w:t>Conformément à l'évolution du Fonds de roulement au cours des dernières années et compte tenu de la demande de certaines délégations lors des sessions du STACFAD d'inclure dans le budget de la Commission le financement d’activités régulières, les récents projets de budget ont inclus certaines modifications de chapitres et la création d'autres chapitres afin de continuer à régulariser progressivement les dépenses extrabudgétaires qui devraient être incluses dans le budget ordinaire de la Commission.</w:t>
      </w:r>
    </w:p>
    <w:p w14:paraId="4427AB0F" w14:textId="77777777" w:rsidR="00BC2693" w:rsidRPr="007845E4" w:rsidRDefault="00BC2693" w:rsidP="00C615D0">
      <w:pPr>
        <w:spacing w:after="0" w:line="240" w:lineRule="auto"/>
        <w:jc w:val="both"/>
        <w:rPr>
          <w:rFonts w:ascii="Cambria" w:hAnsi="Cambria" w:cs="Times New Roman"/>
          <w:sz w:val="20"/>
          <w:szCs w:val="20"/>
        </w:rPr>
      </w:pPr>
    </w:p>
    <w:p w14:paraId="40DA46D3" w14:textId="77777777" w:rsidR="00C37A12" w:rsidRPr="007845E4" w:rsidRDefault="00C37A12" w:rsidP="00C615D0">
      <w:pPr>
        <w:spacing w:after="0" w:line="240" w:lineRule="auto"/>
        <w:jc w:val="both"/>
        <w:rPr>
          <w:rFonts w:ascii="Cambria" w:hAnsi="Cambria" w:cs="Times New Roman"/>
          <w:b/>
          <w:i/>
          <w:sz w:val="20"/>
          <w:szCs w:val="20"/>
        </w:rPr>
      </w:pPr>
      <w:r w:rsidRPr="007845E4">
        <w:rPr>
          <w:rFonts w:ascii="Cambria" w:hAnsi="Cambria"/>
          <w:b/>
          <w:i/>
          <w:sz w:val="20"/>
          <w:szCs w:val="20"/>
        </w:rPr>
        <w:t>Régularisation d’activités inscrites dans le budget de la Commission</w:t>
      </w:r>
    </w:p>
    <w:p w14:paraId="10DBE778" w14:textId="77777777" w:rsidR="00C37A12" w:rsidRPr="007845E4" w:rsidRDefault="00C37A12" w:rsidP="001F13FF">
      <w:pPr>
        <w:spacing w:after="0" w:line="240" w:lineRule="auto"/>
        <w:jc w:val="both"/>
        <w:rPr>
          <w:rFonts w:ascii="Cambria" w:hAnsi="Cambria" w:cs="Times New Roman"/>
          <w:sz w:val="20"/>
          <w:szCs w:val="20"/>
        </w:rPr>
      </w:pPr>
    </w:p>
    <w:p w14:paraId="5F4B9FC3" w14:textId="31729119" w:rsidR="00BC2693" w:rsidRPr="007845E4" w:rsidRDefault="00C37A12" w:rsidP="00582427">
      <w:pPr>
        <w:spacing w:after="0" w:line="240" w:lineRule="auto"/>
        <w:jc w:val="both"/>
        <w:rPr>
          <w:rFonts w:ascii="Cambria" w:hAnsi="Cambria" w:cs="Times New Roman"/>
          <w:sz w:val="20"/>
          <w:szCs w:val="20"/>
        </w:rPr>
      </w:pPr>
      <w:r w:rsidRPr="007845E4">
        <w:rPr>
          <w:rFonts w:ascii="Cambria" w:hAnsi="Cambria"/>
          <w:sz w:val="20"/>
          <w:szCs w:val="20"/>
        </w:rPr>
        <w:t>En 2017, la Commission a décidé que cette régularisation se fasse sur une période de quatre ans afin que cela n’ait pas un trop grand impact sur les contributions des Parties contractantes. Cette régularisation devra être prorogée dans les prochains budgets, pour tenir compte des activités qui doivent être régularisées, ce qui n’a pas encore pu être réalisé.</w:t>
      </w:r>
    </w:p>
    <w:p w14:paraId="2DE58670" w14:textId="77777777" w:rsidR="00726B93" w:rsidRPr="007845E4" w:rsidRDefault="00726B93" w:rsidP="00582427">
      <w:pPr>
        <w:spacing w:after="0" w:line="240" w:lineRule="auto"/>
        <w:jc w:val="both"/>
        <w:rPr>
          <w:rFonts w:ascii="Cambria" w:hAnsi="Cambria" w:cs="Times New Roman"/>
          <w:sz w:val="20"/>
          <w:szCs w:val="20"/>
        </w:rPr>
      </w:pPr>
    </w:p>
    <w:p w14:paraId="6DE3F574" w14:textId="0EC3A9E2" w:rsidR="00726B93" w:rsidRPr="007845E4" w:rsidRDefault="00726B93" w:rsidP="0082130F">
      <w:pPr>
        <w:pStyle w:val="ListParagraph"/>
        <w:numPr>
          <w:ilvl w:val="0"/>
          <w:numId w:val="12"/>
        </w:numPr>
        <w:spacing w:after="0" w:line="240" w:lineRule="auto"/>
        <w:jc w:val="both"/>
        <w:rPr>
          <w:rFonts w:ascii="Cambria" w:hAnsi="Cambria" w:cs="Times New Roman"/>
          <w:sz w:val="20"/>
          <w:szCs w:val="20"/>
        </w:rPr>
      </w:pPr>
      <w:r w:rsidRPr="007845E4">
        <w:rPr>
          <w:rFonts w:ascii="Cambria" w:hAnsi="Cambria"/>
          <w:i/>
          <w:sz w:val="20"/>
          <w:szCs w:val="20"/>
        </w:rPr>
        <w:t>Chapitre 2.d)</w:t>
      </w:r>
      <w:r w:rsidRPr="007845E4">
        <w:rPr>
          <w:rFonts w:ascii="Cambria" w:hAnsi="Cambria"/>
          <w:i/>
          <w:iCs/>
          <w:sz w:val="20"/>
          <w:szCs w:val="20"/>
        </w:rPr>
        <w:t xml:space="preserve"> </w:t>
      </w:r>
      <w:r w:rsidRPr="007845E4">
        <w:rPr>
          <w:rFonts w:ascii="Cambria" w:hAnsi="Cambria"/>
          <w:i/>
          <w:sz w:val="20"/>
          <w:szCs w:val="20"/>
        </w:rPr>
        <w:t>Fonds extraordinaire pour la participation aux réunions</w:t>
      </w:r>
      <w:r w:rsidR="0026700F" w:rsidRPr="007845E4">
        <w:rPr>
          <w:rFonts w:ascii="Cambria" w:hAnsi="Cambria"/>
          <w:i/>
          <w:sz w:val="20"/>
          <w:szCs w:val="20"/>
        </w:rPr>
        <w:t>.</w:t>
      </w:r>
      <w:r w:rsidRPr="007845E4">
        <w:rPr>
          <w:rFonts w:ascii="Cambria" w:hAnsi="Cambria"/>
          <w:sz w:val="20"/>
          <w:szCs w:val="20"/>
        </w:rPr>
        <w:t xml:space="preserve"> Le Fonds pour la participation aux réunions a été alimenté au fil des ans par la contribution du budget ordinaire de l’ICCAT et des contributions volontaires. En 2025, aucune contribution volontaire n’a été reçue à cette fin. Par conséquent, le solde du fond</w:t>
      </w:r>
      <w:r w:rsidR="002A52A5" w:rsidRPr="007845E4">
        <w:rPr>
          <w:rFonts w:ascii="Cambria" w:hAnsi="Cambria"/>
          <w:sz w:val="20"/>
          <w:szCs w:val="20"/>
        </w:rPr>
        <w:t>s</w:t>
      </w:r>
      <w:r w:rsidRPr="007845E4">
        <w:rPr>
          <w:rFonts w:ascii="Cambria" w:hAnsi="Cambria"/>
          <w:sz w:val="20"/>
          <w:szCs w:val="20"/>
        </w:rPr>
        <w:t xml:space="preserve"> a diminué de telle sorte que la seule contribution du budget ne sera pas suffisante pour couvrir l’estimation des coûts pour la prochaine période biennale. C’est pourquoi</w:t>
      </w:r>
      <w:r w:rsidR="002A52A5" w:rsidRPr="007845E4">
        <w:rPr>
          <w:rFonts w:ascii="Cambria" w:hAnsi="Cambria"/>
          <w:sz w:val="20"/>
          <w:szCs w:val="20"/>
        </w:rPr>
        <w:t>,</w:t>
      </w:r>
      <w:r w:rsidRPr="007845E4">
        <w:rPr>
          <w:rFonts w:ascii="Cambria" w:hAnsi="Cambria"/>
          <w:sz w:val="20"/>
          <w:szCs w:val="20"/>
        </w:rPr>
        <w:t xml:space="preserve"> il est demandé d’augmenter progressivement la dotation de la Commission à ce fonds.</w:t>
      </w:r>
    </w:p>
    <w:p w14:paraId="733CEC61" w14:textId="77777777" w:rsidR="00BC2693" w:rsidRPr="007845E4" w:rsidRDefault="00BC2693">
      <w:pPr>
        <w:spacing w:after="0" w:line="240" w:lineRule="auto"/>
        <w:jc w:val="both"/>
        <w:rPr>
          <w:rFonts w:ascii="Cambria" w:hAnsi="Cambria" w:cs="Times New Roman"/>
          <w:sz w:val="20"/>
          <w:szCs w:val="20"/>
        </w:rPr>
      </w:pPr>
    </w:p>
    <w:p w14:paraId="12831D71" w14:textId="59B5DC9E" w:rsidR="00FB708D" w:rsidRPr="007845E4" w:rsidRDefault="00FB708D" w:rsidP="003F3A8F">
      <w:pPr>
        <w:pStyle w:val="ListParagraph"/>
        <w:numPr>
          <w:ilvl w:val="0"/>
          <w:numId w:val="12"/>
        </w:numPr>
        <w:spacing w:line="240" w:lineRule="auto"/>
        <w:ind w:left="357"/>
        <w:jc w:val="both"/>
        <w:rPr>
          <w:rFonts w:ascii="Cambria" w:hAnsi="Cambria"/>
          <w:sz w:val="20"/>
          <w:szCs w:val="20"/>
        </w:rPr>
      </w:pPr>
      <w:r w:rsidRPr="007845E4">
        <w:rPr>
          <w:rFonts w:ascii="Cambria" w:hAnsi="Cambria"/>
          <w:i/>
          <w:sz w:val="20"/>
          <w:szCs w:val="20"/>
        </w:rPr>
        <w:t>Chapitre 3</w:t>
      </w:r>
      <w:r w:rsidRPr="007845E4">
        <w:rPr>
          <w:rFonts w:ascii="Cambria" w:hAnsi="Cambria"/>
          <w:sz w:val="20"/>
          <w:szCs w:val="20"/>
        </w:rPr>
        <w:t>.</w:t>
      </w:r>
      <w:r w:rsidRPr="007845E4">
        <w:rPr>
          <w:rFonts w:ascii="Cambria" w:hAnsi="Cambria"/>
          <w:i/>
          <w:sz w:val="20"/>
          <w:szCs w:val="20"/>
        </w:rPr>
        <w:t xml:space="preserve"> Réunions</w:t>
      </w:r>
      <w:r w:rsidRPr="007845E4">
        <w:rPr>
          <w:rFonts w:ascii="Cambria" w:hAnsi="Cambria"/>
          <w:sz w:val="20"/>
          <w:szCs w:val="20"/>
        </w:rPr>
        <w:t>. Augmenter ce chapitre pour couvrir les coûts des réunions intersessions et les coûts totaux de la réunion annuelle de la Commission (étant entendu que le coût sera celui prévu pour la réunion de la Commission de 2025, le montant nécessaire s’élève à 532.700,00 euros au moins). En 2026, ce poste totalise 210.000,00 euros, montant bien inférieur au montant nécessaire.</w:t>
      </w:r>
    </w:p>
    <w:p w14:paraId="612F59CA" w14:textId="619FD4D0" w:rsidR="0073585E" w:rsidRPr="007845E4" w:rsidRDefault="000A2EA4">
      <w:pPr>
        <w:spacing w:after="0" w:line="240" w:lineRule="auto"/>
        <w:ind w:left="357"/>
        <w:jc w:val="both"/>
        <w:rPr>
          <w:rFonts w:ascii="Cambria" w:hAnsi="Cambria" w:cs="Times New Roman"/>
          <w:sz w:val="20"/>
          <w:szCs w:val="20"/>
        </w:rPr>
      </w:pPr>
      <w:r w:rsidRPr="007845E4">
        <w:rPr>
          <w:rFonts w:ascii="Cambria" w:hAnsi="Cambria"/>
          <w:sz w:val="20"/>
          <w:szCs w:val="20"/>
        </w:rPr>
        <w:t xml:space="preserve">Le Secrétariat demande à la Commission de mettre en place des mesures pour couvrir ces coûts dès que possible, étant donné que le Fonds de roulement ne sera pas en mesure de couvrir ces coûts et que nous n'avons pas reçu d'invitation officielle pour la tenue de la réunion de la Commission de 2026. </w:t>
      </w:r>
    </w:p>
    <w:p w14:paraId="7305BEAF" w14:textId="77777777" w:rsidR="00BD7D42" w:rsidRPr="007845E4" w:rsidRDefault="00BD7D42" w:rsidP="003F3A8F">
      <w:pPr>
        <w:spacing w:after="0" w:line="240" w:lineRule="auto"/>
        <w:ind w:left="357"/>
        <w:jc w:val="both"/>
        <w:rPr>
          <w:rFonts w:ascii="Cambria" w:hAnsi="Cambria" w:cs="Times New Roman"/>
          <w:sz w:val="20"/>
          <w:szCs w:val="20"/>
        </w:rPr>
      </w:pPr>
    </w:p>
    <w:p w14:paraId="5D568389" w14:textId="48ED95D3" w:rsidR="00FB708D" w:rsidRPr="007845E4" w:rsidRDefault="00785D49" w:rsidP="00582427">
      <w:pPr>
        <w:pStyle w:val="ListParagraph"/>
        <w:numPr>
          <w:ilvl w:val="0"/>
          <w:numId w:val="20"/>
        </w:numPr>
        <w:spacing w:after="0" w:line="240" w:lineRule="auto"/>
        <w:jc w:val="both"/>
        <w:rPr>
          <w:rFonts w:ascii="Cambria" w:hAnsi="Cambria" w:cs="Times New Roman"/>
          <w:sz w:val="20"/>
          <w:szCs w:val="20"/>
        </w:rPr>
      </w:pPr>
      <w:r w:rsidRPr="007845E4">
        <w:rPr>
          <w:rFonts w:ascii="Cambria" w:hAnsi="Cambria"/>
          <w:i/>
          <w:iCs/>
          <w:sz w:val="20"/>
          <w:szCs w:val="20"/>
        </w:rPr>
        <w:t>Chapitre 7. Enveloppe scientifique (programmes de recherche de l’ICCAT)</w:t>
      </w:r>
      <w:r w:rsidR="0026700F" w:rsidRPr="007845E4">
        <w:rPr>
          <w:rFonts w:ascii="Cambria" w:hAnsi="Cambria"/>
          <w:i/>
          <w:iCs/>
          <w:sz w:val="20"/>
          <w:szCs w:val="20"/>
        </w:rPr>
        <w:t>.</w:t>
      </w:r>
      <w:r w:rsidRPr="007845E4">
        <w:rPr>
          <w:rFonts w:ascii="Cambria" w:hAnsi="Cambria"/>
          <w:sz w:val="20"/>
          <w:szCs w:val="20"/>
        </w:rPr>
        <w:t xml:space="preserve"> Augmenter ce chapitre pour couvrir toutes les activités requises par le SCRS.</w:t>
      </w:r>
    </w:p>
    <w:p w14:paraId="5B00FA1B" w14:textId="77777777" w:rsidR="00785D49" w:rsidRPr="007845E4" w:rsidRDefault="00785D49">
      <w:pPr>
        <w:pStyle w:val="ListParagraph"/>
        <w:spacing w:after="0" w:line="240" w:lineRule="auto"/>
        <w:ind w:left="360"/>
        <w:jc w:val="both"/>
        <w:rPr>
          <w:rFonts w:ascii="Cambria" w:hAnsi="Cambria" w:cs="Times New Roman"/>
          <w:sz w:val="16"/>
          <w:szCs w:val="16"/>
        </w:rPr>
      </w:pPr>
    </w:p>
    <w:p w14:paraId="5FAF3A68" w14:textId="40CA9EB4" w:rsidR="001E724E" w:rsidRPr="007845E4" w:rsidRDefault="001E724E">
      <w:pPr>
        <w:pStyle w:val="ListParagraph"/>
        <w:spacing w:after="0" w:line="240" w:lineRule="auto"/>
        <w:ind w:left="360"/>
        <w:jc w:val="both"/>
        <w:rPr>
          <w:rFonts w:ascii="Cambria" w:hAnsi="Cambria" w:cs="Times New Roman"/>
          <w:sz w:val="20"/>
          <w:szCs w:val="20"/>
        </w:rPr>
      </w:pPr>
      <w:r w:rsidRPr="007845E4">
        <w:rPr>
          <w:rFonts w:ascii="Cambria" w:hAnsi="Cambria"/>
          <w:sz w:val="20"/>
          <w:szCs w:val="20"/>
        </w:rPr>
        <w:lastRenderedPageBreak/>
        <w:t>En 2025 ce Programme est financé à travers le solde du Programme stratégique pour la recherche, un financement de l'Union européenne par le biais de la signature d’un contrat qui couvrira 80% des coûts estimés à 1.000.000,00 euros (pour les activités de 2024 et 2025) et un financement des États-Unis imputé sur le Fonds spécial pour les données - États-Unis (à hauteur de 155.000,00 euros), sur le Fonds des États-Unis pour les thonidés tropicaux (à hauteur de 73.750,00 euros) et sur le Fonds pour le rétablissement des Caraïbes « Deepwater Horizon » – États-Unis (à hauteur de 121.000,00 euros). En outre, les activités du Programme de recherche sur le thon rouge englobant tout l’Atlantique (GBYP) sont entièrement financées par des contributions volontaires, l'Union européenne en finançant 80%. Le GBYP dispose d'un budget de 815.000,00 euros.</w:t>
      </w:r>
    </w:p>
    <w:p w14:paraId="5708EC47" w14:textId="0C5D3AD6" w:rsidR="001E724E" w:rsidRPr="007845E4" w:rsidRDefault="001E724E" w:rsidP="006E7829">
      <w:pPr>
        <w:pStyle w:val="ListParagraph"/>
        <w:spacing w:after="0" w:line="240" w:lineRule="auto"/>
        <w:ind w:left="360"/>
        <w:jc w:val="both"/>
        <w:rPr>
          <w:rFonts w:ascii="Cambria" w:hAnsi="Cambria" w:cs="Times New Roman"/>
          <w:sz w:val="20"/>
          <w:szCs w:val="20"/>
        </w:rPr>
      </w:pPr>
    </w:p>
    <w:p w14:paraId="1BF470EB" w14:textId="791E6335" w:rsidR="00814919" w:rsidRPr="007845E4" w:rsidRDefault="001E724E" w:rsidP="00EC6366">
      <w:pPr>
        <w:pStyle w:val="ListParagraph"/>
        <w:spacing w:after="0" w:line="240" w:lineRule="auto"/>
        <w:ind w:left="360"/>
        <w:jc w:val="both"/>
        <w:rPr>
          <w:rFonts w:ascii="Cambria" w:hAnsi="Cambria" w:cs="Times New Roman"/>
          <w:sz w:val="20"/>
          <w:szCs w:val="20"/>
        </w:rPr>
      </w:pPr>
      <w:r w:rsidRPr="007845E4">
        <w:rPr>
          <w:rFonts w:ascii="Cambria" w:hAnsi="Cambria"/>
          <w:sz w:val="20"/>
          <w:szCs w:val="20"/>
        </w:rPr>
        <w:t xml:space="preserve">Pour 2026, le Secrétariat a reçu </w:t>
      </w:r>
      <w:r w:rsidR="003A5332" w:rsidRPr="007845E4">
        <w:rPr>
          <w:rFonts w:ascii="Cambria" w:hAnsi="Cambria"/>
          <w:sz w:val="20"/>
          <w:szCs w:val="20"/>
        </w:rPr>
        <w:t xml:space="preserve">des </w:t>
      </w:r>
      <w:r w:rsidRPr="007845E4">
        <w:rPr>
          <w:rFonts w:ascii="Cambria" w:hAnsi="Cambria"/>
          <w:sz w:val="20"/>
          <w:szCs w:val="20"/>
        </w:rPr>
        <w:t>communication</w:t>
      </w:r>
      <w:r w:rsidR="003A5332" w:rsidRPr="007845E4">
        <w:rPr>
          <w:rFonts w:ascii="Cambria" w:hAnsi="Cambria"/>
          <w:sz w:val="20"/>
          <w:szCs w:val="20"/>
        </w:rPr>
        <w:t>s</w:t>
      </w:r>
      <w:r w:rsidRPr="007845E4">
        <w:rPr>
          <w:rFonts w:ascii="Cambria" w:hAnsi="Cambria"/>
          <w:sz w:val="20"/>
          <w:szCs w:val="20"/>
        </w:rPr>
        <w:t xml:space="preserve"> </w:t>
      </w:r>
      <w:r w:rsidR="003A5332" w:rsidRPr="007845E4">
        <w:rPr>
          <w:rFonts w:ascii="Cambria" w:hAnsi="Cambria"/>
          <w:sz w:val="20"/>
          <w:szCs w:val="20"/>
        </w:rPr>
        <w:t xml:space="preserve">concernant des contributions </w:t>
      </w:r>
      <w:r w:rsidRPr="007845E4">
        <w:rPr>
          <w:rFonts w:ascii="Cambria" w:hAnsi="Cambria"/>
          <w:sz w:val="20"/>
          <w:szCs w:val="20"/>
        </w:rPr>
        <w:t>des États-Unis à hauteur de 223.891,29 euros, de la Chine par le biais de son Fonds spécial pour les données à hauteur de 40.000,00 euros, du Canada à hauteur de 62.000,00 dollars canadiens (environ 38.225,24 euros) et de l’Union européenne à hauteur de 542.241,06 euros. Ce montant, conjointement avec l’enveloppe scientifique demandée de 2026 (</w:t>
      </w:r>
      <w:r w:rsidR="0058301D">
        <w:rPr>
          <w:rFonts w:ascii="Cambria" w:hAnsi="Cambria"/>
          <w:sz w:val="20"/>
          <w:szCs w:val="20"/>
        </w:rPr>
        <w:t>250</w:t>
      </w:r>
      <w:r w:rsidRPr="007845E4">
        <w:rPr>
          <w:rFonts w:ascii="Cambria" w:hAnsi="Cambria"/>
          <w:sz w:val="20"/>
          <w:szCs w:val="20"/>
        </w:rPr>
        <w:t>.</w:t>
      </w:r>
      <w:r w:rsidR="0058301D">
        <w:rPr>
          <w:rFonts w:ascii="Cambria" w:hAnsi="Cambria"/>
          <w:sz w:val="20"/>
          <w:szCs w:val="20"/>
        </w:rPr>
        <w:t>000</w:t>
      </w:r>
      <w:r w:rsidRPr="007845E4">
        <w:rPr>
          <w:rFonts w:ascii="Cambria" w:hAnsi="Cambria"/>
          <w:sz w:val="20"/>
          <w:szCs w:val="20"/>
        </w:rPr>
        <w:t>,</w:t>
      </w:r>
      <w:r w:rsidR="0058301D">
        <w:rPr>
          <w:rFonts w:ascii="Cambria" w:hAnsi="Cambria"/>
          <w:sz w:val="20"/>
          <w:szCs w:val="20"/>
        </w:rPr>
        <w:t>00</w:t>
      </w:r>
      <w:r w:rsidRPr="007845E4">
        <w:rPr>
          <w:rFonts w:ascii="Cambria" w:hAnsi="Cambria"/>
          <w:sz w:val="20"/>
          <w:szCs w:val="20"/>
        </w:rPr>
        <w:t xml:space="preserve"> euros) et le solde du Programme de recherche stratégique, couvrira la totalité des activités demandées par le SCRS pour 2026. Le GBYP sera financé par le reliquat des années antérieures et par le biais de contributions volontaires. </w:t>
      </w:r>
    </w:p>
    <w:p w14:paraId="14A01C53" w14:textId="77777777" w:rsidR="00814919" w:rsidRPr="007845E4" w:rsidRDefault="00814919" w:rsidP="00EC6366">
      <w:pPr>
        <w:pStyle w:val="ListParagraph"/>
        <w:spacing w:after="0" w:line="240" w:lineRule="auto"/>
        <w:ind w:left="360"/>
        <w:jc w:val="both"/>
        <w:rPr>
          <w:rFonts w:ascii="Cambria" w:hAnsi="Cambria" w:cs="Times New Roman"/>
          <w:sz w:val="20"/>
          <w:szCs w:val="20"/>
        </w:rPr>
      </w:pPr>
    </w:p>
    <w:p w14:paraId="6FA6CB74" w14:textId="7159A53C" w:rsidR="001E724E" w:rsidRPr="007845E4" w:rsidRDefault="00D7367B" w:rsidP="00EC6366">
      <w:pPr>
        <w:pStyle w:val="ListParagraph"/>
        <w:spacing w:after="0" w:line="240" w:lineRule="auto"/>
        <w:ind w:left="360"/>
        <w:jc w:val="both"/>
        <w:rPr>
          <w:rFonts w:ascii="Cambria" w:hAnsi="Cambria" w:cs="Times New Roman"/>
          <w:sz w:val="20"/>
          <w:szCs w:val="20"/>
        </w:rPr>
      </w:pPr>
      <w:r w:rsidRPr="007845E4">
        <w:rPr>
          <w:rFonts w:ascii="Cambria" w:hAnsi="Cambria"/>
          <w:sz w:val="20"/>
          <w:szCs w:val="20"/>
        </w:rPr>
        <w:t>Étant donné que le budget de la Commission ne couvre pas encore les coûts et activités nécessaires au SCRS, la Commission est encouragée à renforcer le Chapitre 7 dans les prochains budgets afin de régulariser le budget pour toutes les activités du SCRS.</w:t>
      </w:r>
    </w:p>
    <w:p w14:paraId="65ACBC47" w14:textId="77777777" w:rsidR="007C74FE" w:rsidRPr="007845E4" w:rsidRDefault="007C74FE" w:rsidP="002B4B7B">
      <w:pPr>
        <w:spacing w:after="0" w:line="240" w:lineRule="auto"/>
        <w:jc w:val="both"/>
        <w:rPr>
          <w:rFonts w:ascii="Cambria" w:hAnsi="Cambria" w:cs="Times New Roman"/>
          <w:sz w:val="20"/>
          <w:szCs w:val="20"/>
        </w:rPr>
      </w:pPr>
    </w:p>
    <w:p w14:paraId="2EBFE86E" w14:textId="0BAF7B94" w:rsidR="007C74FE" w:rsidRPr="007845E4" w:rsidRDefault="0095065E" w:rsidP="0085004C">
      <w:pPr>
        <w:spacing w:after="0" w:line="240" w:lineRule="auto"/>
        <w:jc w:val="both"/>
        <w:rPr>
          <w:rFonts w:ascii="Cambria" w:hAnsi="Cambria" w:cs="Times New Roman"/>
          <w:b/>
          <w:i/>
          <w:sz w:val="20"/>
          <w:szCs w:val="20"/>
        </w:rPr>
      </w:pPr>
      <w:r w:rsidRPr="007845E4">
        <w:rPr>
          <w:rFonts w:ascii="Cambria" w:hAnsi="Cambria"/>
          <w:b/>
          <w:i/>
          <w:sz w:val="20"/>
          <w:szCs w:val="20"/>
        </w:rPr>
        <w:t>Utilisation du Fonds de roulement</w:t>
      </w:r>
    </w:p>
    <w:p w14:paraId="13448860" w14:textId="77777777" w:rsidR="00EE5E76" w:rsidRPr="007845E4" w:rsidRDefault="00EE5E76" w:rsidP="002B4B7B">
      <w:pPr>
        <w:spacing w:after="0" w:line="240" w:lineRule="auto"/>
        <w:jc w:val="both"/>
        <w:rPr>
          <w:rFonts w:ascii="Cambria" w:hAnsi="Cambria" w:cs="Times New Roman"/>
          <w:sz w:val="20"/>
          <w:szCs w:val="20"/>
        </w:rPr>
      </w:pPr>
    </w:p>
    <w:p w14:paraId="4E81DE9D" w14:textId="124C99FD" w:rsidR="008C7172" w:rsidRPr="007845E4" w:rsidRDefault="000C41D4" w:rsidP="00883039">
      <w:pPr>
        <w:spacing w:after="0" w:line="240" w:lineRule="auto"/>
        <w:jc w:val="both"/>
        <w:rPr>
          <w:rFonts w:ascii="Cambria" w:hAnsi="Cambria" w:cs="Times New Roman"/>
          <w:sz w:val="20"/>
          <w:szCs w:val="20"/>
        </w:rPr>
      </w:pPr>
      <w:r w:rsidRPr="007845E4">
        <w:rPr>
          <w:rFonts w:ascii="Cambria" w:hAnsi="Cambria"/>
          <w:sz w:val="20"/>
          <w:szCs w:val="20"/>
        </w:rPr>
        <w:t xml:space="preserve">Il sera nécessaire de continuer à utiliser le Fonds de roulement en 2026 pour la tenue des réunions intersessions de la Commission, en présentiel et en ligne. En 2025, 10 réunions intersessions ont été tenues </w:t>
      </w:r>
      <w:r w:rsidR="00152025" w:rsidRPr="007845E4">
        <w:rPr>
          <w:rFonts w:ascii="Cambria" w:hAnsi="Cambria"/>
          <w:sz w:val="20"/>
          <w:szCs w:val="20"/>
        </w:rPr>
        <w:t>q</w:t>
      </w:r>
      <w:r w:rsidRPr="007845E4">
        <w:rPr>
          <w:rFonts w:ascii="Cambria" w:hAnsi="Cambria"/>
          <w:sz w:val="20"/>
          <w:szCs w:val="20"/>
        </w:rPr>
        <w:t xml:space="preserve">ui ont nécessité un financement imputé sur le Fonds de roulement. </w:t>
      </w:r>
      <w:r w:rsidR="006F6EAE" w:rsidRPr="007845E4">
        <w:rPr>
          <w:rFonts w:ascii="Cambria" w:hAnsi="Cambria"/>
          <w:sz w:val="20"/>
          <w:szCs w:val="20"/>
          <w:u w:val="single"/>
        </w:rPr>
        <w:t>Cinq</w:t>
      </w:r>
      <w:r w:rsidRPr="007845E4">
        <w:rPr>
          <w:rFonts w:ascii="Cambria" w:hAnsi="Cambria"/>
          <w:sz w:val="20"/>
          <w:szCs w:val="20"/>
        </w:rPr>
        <w:t xml:space="preserve"> de ces réunions ont été co-financées par l'Union européenne. Le coût prévu nécessaire est estimé être de </w:t>
      </w:r>
      <w:r w:rsidR="0028355A" w:rsidRPr="007845E4">
        <w:rPr>
          <w:rFonts w:asciiTheme="majorHAnsi" w:hAnsiTheme="majorHAnsi" w:cs="Times New Roman"/>
          <w:sz w:val="20"/>
          <w:szCs w:val="20"/>
          <w:u w:val="single"/>
        </w:rPr>
        <w:t xml:space="preserve">84.472,41 </w:t>
      </w:r>
      <w:r w:rsidRPr="007845E4">
        <w:rPr>
          <w:rFonts w:ascii="Cambria" w:hAnsi="Cambria"/>
          <w:sz w:val="20"/>
          <w:szCs w:val="20"/>
        </w:rPr>
        <w:t>euros.</w:t>
      </w:r>
    </w:p>
    <w:p w14:paraId="475DB5BE" w14:textId="77777777" w:rsidR="001B3772" w:rsidRPr="007845E4" w:rsidRDefault="001B3772" w:rsidP="00883039">
      <w:pPr>
        <w:spacing w:after="0" w:line="240" w:lineRule="auto"/>
        <w:jc w:val="both"/>
        <w:rPr>
          <w:rFonts w:ascii="Cambria" w:hAnsi="Cambria" w:cs="Times New Roman"/>
          <w:sz w:val="20"/>
          <w:szCs w:val="20"/>
        </w:rPr>
      </w:pPr>
    </w:p>
    <w:p w14:paraId="66B3DDF0" w14:textId="4DA24A0A" w:rsidR="001B3772" w:rsidRPr="007845E4" w:rsidRDefault="001B3772" w:rsidP="00883039">
      <w:pPr>
        <w:spacing w:after="0" w:line="240" w:lineRule="auto"/>
        <w:jc w:val="both"/>
        <w:rPr>
          <w:rFonts w:ascii="Cambria" w:hAnsi="Cambria" w:cs="Times New Roman"/>
          <w:sz w:val="20"/>
          <w:szCs w:val="20"/>
        </w:rPr>
      </w:pPr>
      <w:r w:rsidRPr="007845E4">
        <w:rPr>
          <w:rFonts w:ascii="Cambria" w:hAnsi="Cambria"/>
          <w:sz w:val="20"/>
          <w:szCs w:val="20"/>
        </w:rPr>
        <w:t xml:space="preserve">Si la Commission ne reçoit aucune invitation pour la tenue de la réunion annuelle de 2026, il sera nécessaire de recourir au Fonds de roulement afin de couvrir les coûts dépassant le montant demandé au chapitre 3.a Réunion annuelle de la Commission (210.000,00 euros). Il est estimé qu’un montant de </w:t>
      </w:r>
      <w:r w:rsidR="00640C1C" w:rsidRPr="007845E4">
        <w:rPr>
          <w:rFonts w:asciiTheme="majorHAnsi" w:hAnsiTheme="majorHAnsi" w:cs="Times New Roman"/>
          <w:sz w:val="20"/>
          <w:szCs w:val="20"/>
          <w:u w:val="single"/>
        </w:rPr>
        <w:t xml:space="preserve">326.093,88 </w:t>
      </w:r>
      <w:r w:rsidRPr="007845E4">
        <w:rPr>
          <w:rFonts w:ascii="Cambria" w:hAnsi="Cambria"/>
          <w:sz w:val="20"/>
          <w:szCs w:val="20"/>
        </w:rPr>
        <w:t>euros sera nécessaire.</w:t>
      </w:r>
    </w:p>
    <w:p w14:paraId="2FBD79F6" w14:textId="7049F702" w:rsidR="000C41D4" w:rsidRPr="007845E4" w:rsidRDefault="000C41D4" w:rsidP="00883039">
      <w:pPr>
        <w:spacing w:after="0" w:line="240" w:lineRule="auto"/>
        <w:jc w:val="both"/>
        <w:rPr>
          <w:rFonts w:ascii="Cambria" w:hAnsi="Cambria" w:cs="Times New Roman"/>
          <w:sz w:val="20"/>
          <w:szCs w:val="20"/>
        </w:rPr>
      </w:pPr>
    </w:p>
    <w:p w14:paraId="4E74A0BD" w14:textId="3D3142ED" w:rsidR="0068450D" w:rsidRPr="007845E4" w:rsidRDefault="000C41D4" w:rsidP="008C067C">
      <w:pPr>
        <w:spacing w:after="0" w:line="240" w:lineRule="auto"/>
        <w:jc w:val="both"/>
        <w:rPr>
          <w:rFonts w:ascii="Cambria" w:hAnsi="Cambria" w:cs="Times New Roman"/>
          <w:sz w:val="20"/>
          <w:szCs w:val="20"/>
        </w:rPr>
      </w:pPr>
      <w:r w:rsidRPr="007845E4">
        <w:rPr>
          <w:rFonts w:ascii="Cambria" w:hAnsi="Cambria"/>
          <w:sz w:val="20"/>
          <w:szCs w:val="20"/>
        </w:rPr>
        <w:t>Il sera également nécessaire d’utiliser le Fonds de roulement pour augmenter le solde du Fonds pour la participation aux réunions et couvrir les demandes prévues pour 2026 (</w:t>
      </w:r>
      <w:r w:rsidR="00FE47A8" w:rsidRPr="007845E4">
        <w:rPr>
          <w:rFonts w:asciiTheme="majorHAnsi" w:hAnsiTheme="majorHAnsi" w:cs="Times New Roman"/>
          <w:sz w:val="20"/>
          <w:szCs w:val="20"/>
          <w:u w:val="single"/>
        </w:rPr>
        <w:t>185.000,00</w:t>
      </w:r>
      <w:r w:rsidR="00FE47A8" w:rsidRPr="007845E4">
        <w:rPr>
          <w:rFonts w:asciiTheme="majorHAnsi" w:hAnsiTheme="majorHAnsi" w:cs="Times New Roman"/>
          <w:sz w:val="20"/>
          <w:szCs w:val="20"/>
        </w:rPr>
        <w:t xml:space="preserve"> </w:t>
      </w:r>
      <w:r w:rsidRPr="007845E4">
        <w:rPr>
          <w:rFonts w:ascii="Cambria" w:hAnsi="Cambria"/>
          <w:sz w:val="20"/>
          <w:szCs w:val="20"/>
        </w:rPr>
        <w:t xml:space="preserve">euros).  </w:t>
      </w:r>
    </w:p>
    <w:p w14:paraId="76F49E24" w14:textId="77777777" w:rsidR="008C067C" w:rsidRPr="007845E4" w:rsidRDefault="008C067C" w:rsidP="008C067C">
      <w:pPr>
        <w:spacing w:after="0" w:line="240" w:lineRule="auto"/>
        <w:jc w:val="both"/>
        <w:rPr>
          <w:rFonts w:ascii="Cambria" w:hAnsi="Cambria" w:cs="Times New Roman"/>
          <w:sz w:val="20"/>
          <w:szCs w:val="20"/>
        </w:rPr>
      </w:pPr>
    </w:p>
    <w:p w14:paraId="3DA3B490" w14:textId="05B5D476" w:rsidR="00D73762" w:rsidRPr="007845E4" w:rsidRDefault="008C067C" w:rsidP="008C067C">
      <w:pPr>
        <w:spacing w:after="0" w:line="240" w:lineRule="auto"/>
        <w:jc w:val="both"/>
        <w:rPr>
          <w:rFonts w:ascii="Cambria" w:hAnsi="Cambria" w:cs="Times New Roman"/>
          <w:sz w:val="20"/>
          <w:szCs w:val="20"/>
        </w:rPr>
      </w:pPr>
      <w:r w:rsidRPr="007845E4">
        <w:rPr>
          <w:rFonts w:ascii="Cambria" w:hAnsi="Cambria"/>
          <w:sz w:val="20"/>
          <w:szCs w:val="20"/>
        </w:rPr>
        <w:t xml:space="preserve">Finalement, si la proposition de modification de l’article 7 du Règlement financier soumise par la </w:t>
      </w:r>
      <w:r w:rsidR="002A52A5" w:rsidRPr="007845E4">
        <w:rPr>
          <w:rFonts w:ascii="Cambria" w:hAnsi="Cambria"/>
          <w:sz w:val="20"/>
          <w:szCs w:val="20"/>
        </w:rPr>
        <w:t>P</w:t>
      </w:r>
      <w:r w:rsidRPr="007845E4">
        <w:rPr>
          <w:rFonts w:ascii="Cambria" w:hAnsi="Cambria"/>
          <w:sz w:val="20"/>
          <w:szCs w:val="20"/>
        </w:rPr>
        <w:t xml:space="preserve">résidente du STACFAD est approuvée, le montant de </w:t>
      </w:r>
      <w:r w:rsidR="005E48D2" w:rsidRPr="007845E4">
        <w:rPr>
          <w:rFonts w:asciiTheme="majorHAnsi" w:hAnsiTheme="majorHAnsi" w:cs="Times New Roman"/>
          <w:sz w:val="20"/>
          <w:szCs w:val="20"/>
          <w:u w:val="single"/>
        </w:rPr>
        <w:t>691.614,58</w:t>
      </w:r>
      <w:r w:rsidR="005E48D2" w:rsidRPr="007845E4">
        <w:rPr>
          <w:rFonts w:asciiTheme="majorHAnsi" w:hAnsiTheme="majorHAnsi" w:cs="Times New Roman"/>
          <w:sz w:val="20"/>
          <w:szCs w:val="20"/>
        </w:rPr>
        <w:t xml:space="preserve"> </w:t>
      </w:r>
      <w:r w:rsidRPr="007845E4">
        <w:rPr>
          <w:rFonts w:ascii="Cambria" w:hAnsi="Cambria"/>
          <w:sz w:val="20"/>
          <w:szCs w:val="20"/>
        </w:rPr>
        <w:t xml:space="preserve">euros sera affecté à la réduction des contributions des Parties contractantes pour 2026. Ce montant sera déduit de la version approuvée du budget. Pour 2027, le même processus sera suivi : calculer l’excédent du Fonds de roulement qui sera déduit lorsque le projet de budget révisé sera présenté pour 2027. </w:t>
      </w:r>
    </w:p>
    <w:p w14:paraId="0F0D09CB" w14:textId="77777777" w:rsidR="006D7CF2" w:rsidRPr="007845E4" w:rsidRDefault="00D73762" w:rsidP="008C067C">
      <w:pPr>
        <w:spacing w:after="0" w:line="240" w:lineRule="auto"/>
        <w:jc w:val="both"/>
        <w:rPr>
          <w:rFonts w:ascii="Cambria" w:hAnsi="Cambria" w:cs="Times New Roman"/>
          <w:sz w:val="20"/>
          <w:szCs w:val="20"/>
        </w:rPr>
      </w:pPr>
      <w:r w:rsidRPr="007845E4">
        <w:rPr>
          <w:rFonts w:ascii="Cambria" w:hAnsi="Cambria"/>
          <w:sz w:val="20"/>
          <w:szCs w:val="20"/>
        </w:rPr>
        <w:t xml:space="preserve"> </w:t>
      </w:r>
    </w:p>
    <w:tbl>
      <w:tblPr>
        <w:tblW w:w="8220" w:type="dxa"/>
        <w:jc w:val="center"/>
        <w:tblCellMar>
          <w:left w:w="70" w:type="dxa"/>
          <w:right w:w="70" w:type="dxa"/>
        </w:tblCellMar>
        <w:tblLook w:val="04A0" w:firstRow="1" w:lastRow="0" w:firstColumn="1" w:lastColumn="0" w:noHBand="0" w:noVBand="1"/>
      </w:tblPr>
      <w:tblGrid>
        <w:gridCol w:w="6600"/>
        <w:gridCol w:w="1620"/>
      </w:tblGrid>
      <w:tr w:rsidR="006D7CF2" w:rsidRPr="007845E4" w14:paraId="77B52B0A"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023D6C2B" w14:textId="77777777" w:rsidR="006D7CF2" w:rsidRPr="007845E4" w:rsidRDefault="006D7CF2" w:rsidP="006D7CF2">
            <w:pPr>
              <w:spacing w:after="0" w:line="240" w:lineRule="auto"/>
              <w:rPr>
                <w:rFonts w:ascii="Cambria" w:eastAsia="Times New Roman" w:hAnsi="Cambria" w:cs="Times New Roman"/>
                <w:color w:val="000000"/>
                <w:sz w:val="20"/>
                <w:szCs w:val="20"/>
              </w:rPr>
            </w:pPr>
            <w:r w:rsidRPr="007845E4">
              <w:rPr>
                <w:rFonts w:ascii="Cambria" w:hAnsi="Cambria"/>
                <w:color w:val="000000"/>
                <w:sz w:val="20"/>
                <w:szCs w:val="20"/>
              </w:rPr>
              <w:t>Fonds nécessaires pour couvrir les dépenses budgétaires (janvier-février)</w:t>
            </w:r>
          </w:p>
        </w:tc>
        <w:tc>
          <w:tcPr>
            <w:tcW w:w="1620" w:type="dxa"/>
            <w:tcBorders>
              <w:top w:val="single" w:sz="4" w:space="0" w:color="auto"/>
              <w:left w:val="nil"/>
              <w:bottom w:val="nil"/>
              <w:right w:val="single" w:sz="4" w:space="0" w:color="auto"/>
            </w:tcBorders>
            <w:noWrap/>
            <w:vAlign w:val="bottom"/>
            <w:hideMark/>
          </w:tcPr>
          <w:p w14:paraId="096B62AD" w14:textId="77777777" w:rsidR="006D7CF2" w:rsidRPr="007845E4" w:rsidRDefault="006D7CF2" w:rsidP="006D7CF2">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1.183.000,00 €</w:t>
            </w:r>
          </w:p>
        </w:tc>
      </w:tr>
      <w:tr w:rsidR="006D7CF2" w:rsidRPr="007845E4" w14:paraId="488B490C" w14:textId="77777777" w:rsidTr="00C94DE0">
        <w:trPr>
          <w:trHeight w:val="250"/>
          <w:jc w:val="center"/>
        </w:trPr>
        <w:tc>
          <w:tcPr>
            <w:tcW w:w="6600" w:type="dxa"/>
            <w:tcBorders>
              <w:top w:val="nil"/>
              <w:left w:val="single" w:sz="4" w:space="0" w:color="auto"/>
              <w:bottom w:val="nil"/>
              <w:right w:val="nil"/>
            </w:tcBorders>
            <w:noWrap/>
            <w:vAlign w:val="bottom"/>
            <w:hideMark/>
          </w:tcPr>
          <w:p w14:paraId="7C410532" w14:textId="4F02C907" w:rsidR="006D7CF2" w:rsidRPr="007845E4" w:rsidRDefault="006D7CF2" w:rsidP="006D7CF2">
            <w:pPr>
              <w:spacing w:after="0" w:line="240" w:lineRule="auto"/>
              <w:rPr>
                <w:rFonts w:ascii="Cambria" w:eastAsia="Times New Roman" w:hAnsi="Cambria" w:cs="Times New Roman"/>
                <w:color w:val="000000"/>
                <w:sz w:val="20"/>
                <w:szCs w:val="20"/>
              </w:rPr>
            </w:pPr>
            <w:r w:rsidRPr="007845E4">
              <w:rPr>
                <w:rFonts w:ascii="Cambria" w:hAnsi="Cambria"/>
                <w:color w:val="000000"/>
                <w:sz w:val="20"/>
                <w:szCs w:val="20"/>
              </w:rPr>
              <w:t xml:space="preserve">Fonds nécessaires pour couvrir trois mois de dépenses </w:t>
            </w:r>
            <w:r w:rsidR="002A52A5" w:rsidRPr="007845E4">
              <w:rPr>
                <w:rFonts w:ascii="Cambria" w:hAnsi="Cambria"/>
                <w:color w:val="000000"/>
                <w:sz w:val="20"/>
                <w:szCs w:val="20"/>
              </w:rPr>
              <w:t>extra</w:t>
            </w:r>
            <w:r w:rsidRPr="007845E4">
              <w:rPr>
                <w:rFonts w:ascii="Cambria" w:hAnsi="Cambria"/>
                <w:color w:val="000000"/>
                <w:sz w:val="20"/>
                <w:szCs w:val="20"/>
              </w:rPr>
              <w:t xml:space="preserve">budgétaires </w:t>
            </w:r>
          </w:p>
        </w:tc>
        <w:tc>
          <w:tcPr>
            <w:tcW w:w="1620" w:type="dxa"/>
            <w:tcBorders>
              <w:top w:val="nil"/>
              <w:left w:val="nil"/>
              <w:bottom w:val="nil"/>
              <w:right w:val="single" w:sz="4" w:space="0" w:color="auto"/>
            </w:tcBorders>
            <w:noWrap/>
            <w:vAlign w:val="bottom"/>
            <w:hideMark/>
          </w:tcPr>
          <w:p w14:paraId="657159B4" w14:textId="77777777" w:rsidR="006D7CF2" w:rsidRPr="007845E4" w:rsidRDefault="006D7CF2" w:rsidP="006D7CF2">
            <w:pPr>
              <w:spacing w:after="0" w:line="240" w:lineRule="auto"/>
              <w:jc w:val="right"/>
              <w:rPr>
                <w:rFonts w:ascii="Cambria" w:eastAsia="Times New Roman" w:hAnsi="Cambria" w:cs="Times New Roman"/>
                <w:color w:val="000000"/>
                <w:sz w:val="20"/>
                <w:szCs w:val="20"/>
              </w:rPr>
            </w:pPr>
            <w:r w:rsidRPr="007845E4">
              <w:rPr>
                <w:rFonts w:ascii="Cambria" w:hAnsi="Cambria"/>
                <w:color w:val="000000"/>
                <w:sz w:val="20"/>
                <w:szCs w:val="20"/>
              </w:rPr>
              <w:t>350.000,00 €</w:t>
            </w:r>
          </w:p>
        </w:tc>
      </w:tr>
      <w:tr w:rsidR="00921844" w:rsidRPr="007845E4" w14:paraId="09855591" w14:textId="77777777" w:rsidTr="00C94DE0">
        <w:trPr>
          <w:trHeight w:val="250"/>
          <w:jc w:val="center"/>
        </w:trPr>
        <w:tc>
          <w:tcPr>
            <w:tcW w:w="6600" w:type="dxa"/>
            <w:tcBorders>
              <w:top w:val="nil"/>
              <w:left w:val="single" w:sz="4" w:space="0" w:color="auto"/>
              <w:bottom w:val="nil"/>
              <w:right w:val="nil"/>
            </w:tcBorders>
            <w:noWrap/>
            <w:vAlign w:val="bottom"/>
            <w:hideMark/>
          </w:tcPr>
          <w:p w14:paraId="227E3876" w14:textId="54D2ADAE" w:rsidR="00921844" w:rsidRPr="007845E4" w:rsidRDefault="00921844" w:rsidP="00921844">
            <w:pPr>
              <w:spacing w:after="0" w:line="240" w:lineRule="auto"/>
              <w:rPr>
                <w:rFonts w:ascii="Cambria" w:eastAsia="Times New Roman" w:hAnsi="Cambria" w:cs="Times New Roman"/>
                <w:color w:val="000000"/>
                <w:sz w:val="20"/>
                <w:szCs w:val="20"/>
              </w:rPr>
            </w:pPr>
            <w:r w:rsidRPr="007845E4">
              <w:rPr>
                <w:rFonts w:ascii="Cambria" w:hAnsi="Cambria"/>
                <w:color w:val="000000"/>
                <w:sz w:val="20"/>
                <w:szCs w:val="20"/>
              </w:rPr>
              <w:t>Fonds pour imprévus (5 % du budget de 2026)</w:t>
            </w:r>
          </w:p>
        </w:tc>
        <w:tc>
          <w:tcPr>
            <w:tcW w:w="1620" w:type="dxa"/>
            <w:tcBorders>
              <w:top w:val="nil"/>
              <w:left w:val="nil"/>
              <w:bottom w:val="nil"/>
              <w:right w:val="single" w:sz="4" w:space="0" w:color="auto"/>
            </w:tcBorders>
            <w:noWrap/>
            <w:vAlign w:val="bottom"/>
            <w:hideMark/>
          </w:tcPr>
          <w:p w14:paraId="5F48DE4F" w14:textId="43EC3E7B" w:rsidR="00921844" w:rsidRPr="007845E4" w:rsidRDefault="00921844" w:rsidP="00921844">
            <w:pPr>
              <w:spacing w:after="0" w:line="240" w:lineRule="auto"/>
              <w:jc w:val="right"/>
              <w:rPr>
                <w:rFonts w:ascii="Cambria" w:eastAsia="Times New Roman" w:hAnsi="Cambria" w:cs="Times New Roman"/>
                <w:color w:val="000000"/>
                <w:sz w:val="20"/>
                <w:szCs w:val="20"/>
              </w:rPr>
            </w:pPr>
            <w:r w:rsidRPr="007845E4">
              <w:rPr>
                <w:rFonts w:ascii="Cambria" w:eastAsia="Times New Roman" w:hAnsi="Cambria" w:cs="Times New Roman"/>
                <w:color w:val="000000"/>
                <w:sz w:val="20"/>
                <w:szCs w:val="20"/>
                <w:u w:val="single"/>
              </w:rPr>
              <w:t>320.428,00 €</w:t>
            </w:r>
          </w:p>
        </w:tc>
      </w:tr>
      <w:tr w:rsidR="00921844" w:rsidRPr="007845E4" w14:paraId="5241A9A9"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5B305F7C" w14:textId="77777777" w:rsidR="00921844" w:rsidRPr="007845E4" w:rsidRDefault="00921844" w:rsidP="00921844">
            <w:pPr>
              <w:spacing w:after="0" w:line="240" w:lineRule="auto"/>
              <w:rPr>
                <w:rFonts w:ascii="Cambria" w:eastAsia="Times New Roman" w:hAnsi="Cambria" w:cs="Times New Roman"/>
                <w:b/>
                <w:bCs/>
                <w:color w:val="000000"/>
                <w:sz w:val="20"/>
                <w:szCs w:val="20"/>
              </w:rPr>
            </w:pPr>
            <w:r w:rsidRPr="007845E4">
              <w:rPr>
                <w:rFonts w:ascii="Cambria" w:hAnsi="Cambria"/>
                <w:b/>
                <w:bCs/>
                <w:color w:val="000000"/>
                <w:sz w:val="20"/>
                <w:szCs w:val="20"/>
              </w:rPr>
              <w:t>Solde total du Fonds de roulement à transférer à 2026</w:t>
            </w:r>
          </w:p>
        </w:tc>
        <w:tc>
          <w:tcPr>
            <w:tcW w:w="1620" w:type="dxa"/>
            <w:tcBorders>
              <w:top w:val="single" w:sz="4" w:space="0" w:color="auto"/>
              <w:left w:val="nil"/>
              <w:bottom w:val="single" w:sz="4" w:space="0" w:color="auto"/>
              <w:right w:val="single" w:sz="4" w:space="0" w:color="auto"/>
            </w:tcBorders>
            <w:noWrap/>
            <w:vAlign w:val="bottom"/>
            <w:hideMark/>
          </w:tcPr>
          <w:p w14:paraId="69CC00A5" w14:textId="19AA6547" w:rsidR="00921844" w:rsidRPr="007845E4" w:rsidRDefault="00921844" w:rsidP="00921844">
            <w:pPr>
              <w:spacing w:after="0" w:line="240" w:lineRule="auto"/>
              <w:jc w:val="right"/>
              <w:rPr>
                <w:rFonts w:ascii="Cambria" w:eastAsia="Times New Roman" w:hAnsi="Cambria" w:cs="Times New Roman"/>
                <w:b/>
                <w:bCs/>
                <w:color w:val="000000"/>
                <w:sz w:val="20"/>
                <w:szCs w:val="20"/>
              </w:rPr>
            </w:pPr>
            <w:r w:rsidRPr="007845E4">
              <w:rPr>
                <w:rFonts w:ascii="Cambria" w:eastAsia="Times New Roman" w:hAnsi="Cambria" w:cs="Times New Roman"/>
                <w:b/>
                <w:bCs/>
                <w:color w:val="000000"/>
                <w:sz w:val="20"/>
                <w:szCs w:val="20"/>
                <w:u w:val="single"/>
              </w:rPr>
              <w:t>1.853.428,00 €</w:t>
            </w:r>
          </w:p>
        </w:tc>
      </w:tr>
      <w:tr w:rsidR="006D7CF2" w:rsidRPr="007845E4" w14:paraId="1DCCD9B7" w14:textId="77777777" w:rsidTr="00C94DE0">
        <w:trPr>
          <w:trHeight w:val="250"/>
          <w:jc w:val="center"/>
        </w:trPr>
        <w:tc>
          <w:tcPr>
            <w:tcW w:w="6600" w:type="dxa"/>
            <w:tcBorders>
              <w:top w:val="nil"/>
              <w:left w:val="nil"/>
              <w:bottom w:val="nil"/>
              <w:right w:val="nil"/>
            </w:tcBorders>
            <w:noWrap/>
            <w:vAlign w:val="bottom"/>
            <w:hideMark/>
          </w:tcPr>
          <w:p w14:paraId="3C168B91" w14:textId="77777777" w:rsidR="006D7CF2" w:rsidRPr="007845E4" w:rsidRDefault="006D7CF2" w:rsidP="006D7CF2">
            <w:pPr>
              <w:spacing w:after="0" w:line="240" w:lineRule="auto"/>
              <w:jc w:val="right"/>
              <w:rPr>
                <w:rFonts w:ascii="Cambria" w:eastAsia="Times New Roman" w:hAnsi="Cambria" w:cs="Times New Roman"/>
                <w:b/>
                <w:bCs/>
                <w:color w:val="000000"/>
                <w:sz w:val="20"/>
                <w:szCs w:val="20"/>
              </w:rPr>
            </w:pPr>
          </w:p>
        </w:tc>
        <w:tc>
          <w:tcPr>
            <w:tcW w:w="1620" w:type="dxa"/>
            <w:tcBorders>
              <w:top w:val="nil"/>
              <w:left w:val="nil"/>
              <w:bottom w:val="nil"/>
              <w:right w:val="nil"/>
            </w:tcBorders>
            <w:noWrap/>
            <w:vAlign w:val="bottom"/>
            <w:hideMark/>
          </w:tcPr>
          <w:p w14:paraId="47F504FB" w14:textId="77777777" w:rsidR="006D7CF2" w:rsidRPr="007845E4" w:rsidRDefault="006D7CF2" w:rsidP="006D7CF2">
            <w:pPr>
              <w:spacing w:after="0" w:line="240" w:lineRule="auto"/>
              <w:rPr>
                <w:rFonts w:ascii="Cambria" w:eastAsia="Times New Roman" w:hAnsi="Cambria" w:cs="Times New Roman"/>
                <w:sz w:val="20"/>
                <w:szCs w:val="20"/>
              </w:rPr>
            </w:pPr>
          </w:p>
        </w:tc>
      </w:tr>
      <w:tr w:rsidR="002D6B07" w:rsidRPr="007845E4" w14:paraId="06E023E2"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56C914BA" w14:textId="77777777" w:rsidR="002D6B07" w:rsidRPr="007845E4" w:rsidRDefault="002D6B07" w:rsidP="002D6B07">
            <w:pPr>
              <w:spacing w:after="0" w:line="240" w:lineRule="auto"/>
              <w:rPr>
                <w:rFonts w:ascii="Cambria" w:eastAsia="Times New Roman" w:hAnsi="Cambria" w:cs="Times New Roman"/>
                <w:color w:val="000000"/>
                <w:sz w:val="20"/>
                <w:szCs w:val="20"/>
              </w:rPr>
            </w:pPr>
            <w:r w:rsidRPr="007845E4">
              <w:rPr>
                <w:rFonts w:ascii="Cambria" w:hAnsi="Cambria"/>
                <w:color w:val="000000"/>
                <w:sz w:val="20"/>
                <w:szCs w:val="20"/>
              </w:rPr>
              <w:t>Budget ordinaire proposé pour 2026</w:t>
            </w:r>
          </w:p>
        </w:tc>
        <w:tc>
          <w:tcPr>
            <w:tcW w:w="1620" w:type="dxa"/>
            <w:tcBorders>
              <w:top w:val="single" w:sz="4" w:space="0" w:color="auto"/>
              <w:left w:val="nil"/>
              <w:bottom w:val="nil"/>
              <w:right w:val="single" w:sz="4" w:space="0" w:color="auto"/>
            </w:tcBorders>
            <w:noWrap/>
            <w:vAlign w:val="bottom"/>
            <w:hideMark/>
          </w:tcPr>
          <w:p w14:paraId="7B2CF5D7" w14:textId="2AF4E3D7" w:rsidR="002D6B07" w:rsidRPr="007845E4" w:rsidRDefault="002D6B07" w:rsidP="002D6B07">
            <w:pPr>
              <w:spacing w:after="0" w:line="240" w:lineRule="auto"/>
              <w:jc w:val="right"/>
              <w:rPr>
                <w:rFonts w:ascii="Cambria" w:eastAsia="Times New Roman" w:hAnsi="Cambria" w:cs="Times New Roman"/>
                <w:color w:val="000000"/>
                <w:sz w:val="20"/>
                <w:szCs w:val="20"/>
              </w:rPr>
            </w:pPr>
            <w:r w:rsidRPr="007845E4">
              <w:rPr>
                <w:rFonts w:ascii="Cambria" w:eastAsia="Times New Roman" w:hAnsi="Cambria" w:cs="Times New Roman"/>
                <w:color w:val="000000"/>
                <w:sz w:val="20"/>
                <w:szCs w:val="20"/>
                <w:u w:val="single"/>
              </w:rPr>
              <w:t>6.408.555,90 €</w:t>
            </w:r>
          </w:p>
        </w:tc>
      </w:tr>
      <w:tr w:rsidR="002D6B07" w:rsidRPr="007845E4" w14:paraId="5475E20B" w14:textId="77777777" w:rsidTr="00C94DE0">
        <w:trPr>
          <w:trHeight w:val="250"/>
          <w:jc w:val="center"/>
        </w:trPr>
        <w:tc>
          <w:tcPr>
            <w:tcW w:w="6600" w:type="dxa"/>
            <w:tcBorders>
              <w:top w:val="nil"/>
              <w:left w:val="single" w:sz="4" w:space="0" w:color="auto"/>
              <w:bottom w:val="nil"/>
              <w:right w:val="nil"/>
            </w:tcBorders>
            <w:noWrap/>
            <w:vAlign w:val="bottom"/>
            <w:hideMark/>
          </w:tcPr>
          <w:p w14:paraId="5FCD426E" w14:textId="5DB5F2C5" w:rsidR="002D6B07" w:rsidRPr="007845E4" w:rsidRDefault="002D6B07" w:rsidP="002D6B07">
            <w:pPr>
              <w:spacing w:after="0" w:line="240" w:lineRule="auto"/>
              <w:rPr>
                <w:rFonts w:ascii="Cambria" w:eastAsia="Times New Roman" w:hAnsi="Cambria" w:cs="Times New Roman"/>
                <w:color w:val="000000"/>
                <w:sz w:val="20"/>
                <w:szCs w:val="20"/>
              </w:rPr>
            </w:pPr>
            <w:r w:rsidRPr="007845E4">
              <w:rPr>
                <w:rFonts w:ascii="Cambria" w:hAnsi="Cambria"/>
                <w:color w:val="000000"/>
                <w:sz w:val="20"/>
                <w:szCs w:val="20"/>
              </w:rPr>
              <w:t>Excédent du Fonds de roulement (estimé à 2.545.042,88 euros)</w:t>
            </w:r>
          </w:p>
        </w:tc>
        <w:tc>
          <w:tcPr>
            <w:tcW w:w="1620" w:type="dxa"/>
            <w:tcBorders>
              <w:top w:val="nil"/>
              <w:left w:val="nil"/>
              <w:bottom w:val="nil"/>
              <w:right w:val="single" w:sz="4" w:space="0" w:color="auto"/>
            </w:tcBorders>
            <w:noWrap/>
            <w:vAlign w:val="bottom"/>
            <w:hideMark/>
          </w:tcPr>
          <w:p w14:paraId="607A720A" w14:textId="08B7F9DB" w:rsidR="002D6B07" w:rsidRPr="007845E4" w:rsidRDefault="002D6B07" w:rsidP="002D6B07">
            <w:pPr>
              <w:spacing w:after="0" w:line="240" w:lineRule="auto"/>
              <w:jc w:val="right"/>
              <w:rPr>
                <w:rFonts w:ascii="Cambria" w:eastAsia="Times New Roman" w:hAnsi="Cambria" w:cs="Times New Roman"/>
                <w:color w:val="000000"/>
                <w:sz w:val="20"/>
                <w:szCs w:val="20"/>
              </w:rPr>
            </w:pPr>
            <w:r w:rsidRPr="007845E4">
              <w:rPr>
                <w:rFonts w:ascii="Cambria" w:eastAsia="Times New Roman" w:hAnsi="Cambria" w:cs="Times New Roman"/>
                <w:color w:val="000000"/>
                <w:sz w:val="20"/>
                <w:szCs w:val="20"/>
                <w:u w:val="single"/>
              </w:rPr>
              <w:t>(691.614,00 €)</w:t>
            </w:r>
          </w:p>
        </w:tc>
      </w:tr>
      <w:tr w:rsidR="002D6B07" w:rsidRPr="007845E4" w14:paraId="078B67B2"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496D95DD" w14:textId="77777777" w:rsidR="002D6B07" w:rsidRPr="007845E4" w:rsidRDefault="002D6B07" w:rsidP="002D6B07">
            <w:pPr>
              <w:spacing w:after="0" w:line="240" w:lineRule="auto"/>
              <w:rPr>
                <w:rFonts w:ascii="Cambria" w:eastAsia="Times New Roman" w:hAnsi="Cambria" w:cs="Times New Roman"/>
                <w:b/>
                <w:bCs/>
                <w:color w:val="000000"/>
                <w:sz w:val="20"/>
                <w:szCs w:val="20"/>
              </w:rPr>
            </w:pPr>
            <w:r w:rsidRPr="007845E4">
              <w:rPr>
                <w:rFonts w:ascii="Cambria" w:hAnsi="Cambria"/>
                <w:b/>
                <w:bCs/>
                <w:color w:val="000000"/>
                <w:sz w:val="20"/>
                <w:szCs w:val="20"/>
              </w:rPr>
              <w:t>Budget ordinaire net qui sera financé par les Parties contractantes</w:t>
            </w:r>
          </w:p>
        </w:tc>
        <w:tc>
          <w:tcPr>
            <w:tcW w:w="1620" w:type="dxa"/>
            <w:tcBorders>
              <w:top w:val="single" w:sz="4" w:space="0" w:color="auto"/>
              <w:left w:val="nil"/>
              <w:bottom w:val="single" w:sz="4" w:space="0" w:color="auto"/>
              <w:right w:val="single" w:sz="4" w:space="0" w:color="auto"/>
            </w:tcBorders>
            <w:noWrap/>
            <w:vAlign w:val="bottom"/>
            <w:hideMark/>
          </w:tcPr>
          <w:p w14:paraId="0C1B1F46" w14:textId="42B0AF20" w:rsidR="002D6B07" w:rsidRPr="007845E4" w:rsidRDefault="002D6B07" w:rsidP="002D6B07">
            <w:pPr>
              <w:spacing w:after="0" w:line="240" w:lineRule="auto"/>
              <w:jc w:val="right"/>
              <w:rPr>
                <w:rFonts w:ascii="Cambria" w:eastAsia="Times New Roman" w:hAnsi="Cambria" w:cs="Times New Roman"/>
                <w:b/>
                <w:bCs/>
                <w:color w:val="000000"/>
                <w:sz w:val="20"/>
                <w:szCs w:val="20"/>
              </w:rPr>
            </w:pPr>
            <w:r w:rsidRPr="007845E4">
              <w:rPr>
                <w:rFonts w:ascii="Cambria" w:eastAsia="Times New Roman" w:hAnsi="Cambria" w:cs="Times New Roman"/>
                <w:b/>
                <w:bCs/>
                <w:color w:val="000000"/>
                <w:sz w:val="20"/>
                <w:szCs w:val="20"/>
                <w:u w:val="single"/>
              </w:rPr>
              <w:t>5</w:t>
            </w:r>
            <w:r w:rsidR="00D0569D" w:rsidRPr="007845E4">
              <w:rPr>
                <w:rFonts w:ascii="Cambria" w:eastAsia="Times New Roman" w:hAnsi="Cambria" w:cs="Times New Roman"/>
                <w:b/>
                <w:bCs/>
                <w:color w:val="000000"/>
                <w:sz w:val="20"/>
                <w:szCs w:val="20"/>
                <w:u w:val="single"/>
              </w:rPr>
              <w:t>.</w:t>
            </w:r>
            <w:r w:rsidRPr="007845E4">
              <w:rPr>
                <w:rFonts w:ascii="Cambria" w:eastAsia="Times New Roman" w:hAnsi="Cambria" w:cs="Times New Roman"/>
                <w:b/>
                <w:bCs/>
                <w:color w:val="000000"/>
                <w:sz w:val="20"/>
                <w:szCs w:val="20"/>
                <w:u w:val="single"/>
              </w:rPr>
              <w:t>716.941,90 €</w:t>
            </w:r>
          </w:p>
        </w:tc>
      </w:tr>
    </w:tbl>
    <w:p w14:paraId="727F42D1" w14:textId="235F0344" w:rsidR="008C067C" w:rsidRPr="007845E4" w:rsidRDefault="008C067C" w:rsidP="008C067C">
      <w:pPr>
        <w:spacing w:after="0" w:line="240" w:lineRule="auto"/>
        <w:jc w:val="both"/>
        <w:rPr>
          <w:rFonts w:ascii="Cambria" w:hAnsi="Cambria" w:cs="Times New Roman"/>
          <w:sz w:val="20"/>
          <w:szCs w:val="20"/>
        </w:rPr>
      </w:pPr>
    </w:p>
    <w:p w14:paraId="76F8C89D" w14:textId="01A19A20" w:rsidR="000C41D4" w:rsidRPr="007845E4" w:rsidRDefault="000C41D4" w:rsidP="00883039">
      <w:pPr>
        <w:spacing w:after="0" w:line="240" w:lineRule="auto"/>
        <w:jc w:val="both"/>
        <w:rPr>
          <w:rFonts w:ascii="Cambria" w:hAnsi="Cambria" w:cs="Times New Roman"/>
          <w:sz w:val="16"/>
          <w:szCs w:val="16"/>
        </w:rPr>
      </w:pPr>
    </w:p>
    <w:p w14:paraId="67460287" w14:textId="4734F86C" w:rsidR="00A143E4" w:rsidRPr="007845E4" w:rsidRDefault="00680E25" w:rsidP="000B162D">
      <w:pPr>
        <w:pStyle w:val="ListParagraph"/>
        <w:numPr>
          <w:ilvl w:val="0"/>
          <w:numId w:val="13"/>
        </w:numPr>
        <w:spacing w:after="0"/>
        <w:ind w:left="426" w:hanging="426"/>
        <w:jc w:val="both"/>
        <w:rPr>
          <w:rFonts w:ascii="Cambria" w:hAnsi="Cambria" w:cs="Times New Roman"/>
          <w:b/>
          <w:sz w:val="20"/>
          <w:szCs w:val="20"/>
        </w:rPr>
      </w:pPr>
      <w:r w:rsidRPr="007845E4">
        <w:rPr>
          <w:rFonts w:ascii="Cambria" w:hAnsi="Cambria"/>
          <w:b/>
          <w:sz w:val="20"/>
          <w:szCs w:val="20"/>
        </w:rPr>
        <w:t>Fonds fiduciaires</w:t>
      </w:r>
    </w:p>
    <w:p w14:paraId="03DBD88D" w14:textId="77777777" w:rsidR="002B4B7B" w:rsidRPr="007845E4" w:rsidRDefault="002B4B7B">
      <w:pPr>
        <w:spacing w:after="0" w:line="240" w:lineRule="auto"/>
        <w:jc w:val="both"/>
        <w:rPr>
          <w:rFonts w:ascii="Cambria" w:hAnsi="Cambria" w:cs="Times New Roman"/>
          <w:sz w:val="20"/>
          <w:szCs w:val="20"/>
        </w:rPr>
      </w:pPr>
    </w:p>
    <w:p w14:paraId="240F5518" w14:textId="04EDE065" w:rsidR="00A143E4" w:rsidRPr="007845E4" w:rsidRDefault="00A143E4">
      <w:pPr>
        <w:spacing w:after="0" w:line="240" w:lineRule="auto"/>
        <w:jc w:val="both"/>
        <w:rPr>
          <w:rFonts w:ascii="Cambria" w:hAnsi="Cambria" w:cs="Times New Roman"/>
          <w:sz w:val="20"/>
          <w:szCs w:val="20"/>
        </w:rPr>
      </w:pPr>
      <w:r w:rsidRPr="007845E4">
        <w:rPr>
          <w:rFonts w:ascii="Cambria" w:hAnsi="Cambria"/>
          <w:sz w:val="20"/>
          <w:szCs w:val="20"/>
        </w:rPr>
        <w:t>Le reste des activités non couvertes par le Fonds de roulement sont couvertes par les fonds fiduciaires.</w:t>
      </w:r>
    </w:p>
    <w:p w14:paraId="7B403236" w14:textId="77777777" w:rsidR="002B4B7B" w:rsidRPr="007845E4" w:rsidRDefault="002B4B7B">
      <w:pPr>
        <w:spacing w:after="0" w:line="240" w:lineRule="auto"/>
        <w:jc w:val="both"/>
        <w:rPr>
          <w:rFonts w:ascii="Cambria" w:hAnsi="Cambria" w:cs="Times New Roman"/>
          <w:sz w:val="20"/>
          <w:szCs w:val="20"/>
        </w:rPr>
      </w:pPr>
    </w:p>
    <w:p w14:paraId="68D3402B" w14:textId="525EBE5F" w:rsidR="00A143E4" w:rsidRPr="007845E4" w:rsidRDefault="00A143E4">
      <w:pPr>
        <w:spacing w:after="0" w:line="240" w:lineRule="auto"/>
        <w:jc w:val="both"/>
        <w:rPr>
          <w:rFonts w:ascii="Cambria" w:hAnsi="Cambria" w:cs="Times New Roman"/>
          <w:sz w:val="20"/>
          <w:szCs w:val="20"/>
        </w:rPr>
      </w:pPr>
      <w:r w:rsidRPr="007845E4">
        <w:rPr>
          <w:rFonts w:ascii="Cambria" w:hAnsi="Cambria"/>
          <w:sz w:val="20"/>
          <w:szCs w:val="20"/>
        </w:rPr>
        <w:lastRenderedPageBreak/>
        <w:t>L'Article 8 du Règlement financier prévoit que le Secrétaire exécutif peut accepter, au nom de la Commission, des contributions volontaires, en espèces ou non, versées par des Parties contractantes ou provenant d'autres sources, sous réserve que l'application de ces contributions soit compatible avec les principes, les buts et les activités de la Commission. La Commission sera informée des fonds établis.</w:t>
      </w:r>
    </w:p>
    <w:p w14:paraId="0B51A9E2" w14:textId="77777777" w:rsidR="002B4B7B" w:rsidRPr="007845E4" w:rsidRDefault="002B4B7B">
      <w:pPr>
        <w:spacing w:after="0" w:line="240" w:lineRule="auto"/>
        <w:jc w:val="both"/>
        <w:rPr>
          <w:rFonts w:ascii="Cambria" w:hAnsi="Cambria" w:cs="Times New Roman"/>
          <w:sz w:val="20"/>
          <w:szCs w:val="20"/>
        </w:rPr>
      </w:pPr>
    </w:p>
    <w:p w14:paraId="57604EDB" w14:textId="2E0A2CEC" w:rsidR="00013094" w:rsidRPr="007845E4" w:rsidRDefault="00A143E4" w:rsidP="00AC4E2D">
      <w:pPr>
        <w:spacing w:after="0" w:line="240" w:lineRule="auto"/>
        <w:jc w:val="both"/>
        <w:rPr>
          <w:rFonts w:ascii="Cambria" w:hAnsi="Cambria"/>
          <w:sz w:val="20"/>
          <w:szCs w:val="20"/>
        </w:rPr>
      </w:pPr>
      <w:r w:rsidRPr="007845E4">
        <w:rPr>
          <w:rFonts w:ascii="Cambria" w:hAnsi="Cambria"/>
          <w:sz w:val="20"/>
          <w:szCs w:val="20"/>
        </w:rPr>
        <w:t>Les revenus et dépenses des fonds fiduciaires sont maintenus dans des comptes séparés conformément à l'Article 9 du Règlement financier.</w:t>
      </w:r>
      <w:r w:rsidR="006D3937" w:rsidRPr="007845E4">
        <w:rPr>
          <w:rFonts w:ascii="Cambria" w:hAnsi="Cambria"/>
          <w:sz w:val="20"/>
          <w:szCs w:val="20"/>
        </w:rPr>
        <w:t xml:space="preserve"> </w:t>
      </w:r>
    </w:p>
    <w:p w14:paraId="2A288221" w14:textId="77777777" w:rsidR="00013094" w:rsidRPr="007845E4" w:rsidRDefault="00013094">
      <w:pPr>
        <w:rPr>
          <w:rFonts w:ascii="Cambria" w:hAnsi="Cambria"/>
          <w:sz w:val="20"/>
          <w:szCs w:val="20"/>
        </w:rPr>
      </w:pPr>
      <w:r w:rsidRPr="007845E4">
        <w:rPr>
          <w:rFonts w:ascii="Cambria" w:hAnsi="Cambria"/>
          <w:sz w:val="20"/>
          <w:szCs w:val="20"/>
        </w:rPr>
        <w:br w:type="page"/>
      </w:r>
    </w:p>
    <w:p w14:paraId="61869DAD" w14:textId="24BE0DEA" w:rsidR="00D15C92" w:rsidRPr="007845E4" w:rsidRDefault="00D15C92" w:rsidP="00013094">
      <w:pPr>
        <w:spacing w:after="0" w:line="240" w:lineRule="auto"/>
        <w:jc w:val="right"/>
        <w:rPr>
          <w:rFonts w:ascii="Cambria" w:hAnsi="Cambria" w:cs="Times New Roman"/>
          <w:b/>
          <w:bCs/>
          <w:sz w:val="20"/>
          <w:szCs w:val="20"/>
        </w:rPr>
      </w:pPr>
      <w:r w:rsidRPr="007845E4">
        <w:rPr>
          <w:rFonts w:ascii="Cambria" w:hAnsi="Cambria"/>
          <w:b/>
          <w:bCs/>
          <w:sz w:val="20"/>
          <w:szCs w:val="20"/>
        </w:rPr>
        <w:lastRenderedPageBreak/>
        <w:t>Annexe</w:t>
      </w:r>
    </w:p>
    <w:p w14:paraId="045BEBA4" w14:textId="77777777" w:rsidR="00413C7D" w:rsidRPr="007845E4" w:rsidRDefault="00413C7D" w:rsidP="00883039">
      <w:pPr>
        <w:spacing w:after="0" w:line="240" w:lineRule="auto"/>
        <w:jc w:val="right"/>
        <w:rPr>
          <w:rFonts w:ascii="Cambria" w:hAnsi="Cambria" w:cs="Times New Roman"/>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843"/>
        <w:gridCol w:w="2126"/>
      </w:tblGrid>
      <w:tr w:rsidR="00F255D8" w:rsidRPr="007845E4" w14:paraId="16327A06"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56B945F" w14:textId="11A19BFA" w:rsidR="00413C7D" w:rsidRPr="007845E4" w:rsidRDefault="00413C7D" w:rsidP="00413C7D">
            <w:pPr>
              <w:spacing w:after="0" w:line="240" w:lineRule="auto"/>
              <w:rPr>
                <w:rFonts w:ascii="Cambria" w:eastAsia="Times New Roman" w:hAnsi="Cambria" w:cs="Arial"/>
                <w:i/>
                <w:sz w:val="20"/>
                <w:szCs w:val="20"/>
              </w:rPr>
            </w:pPr>
            <w:r w:rsidRPr="007845E4">
              <w:rPr>
                <w:rFonts w:ascii="Cambria" w:hAnsi="Cambria"/>
                <w:i/>
                <w:sz w:val="20"/>
                <w:szCs w:val="20"/>
              </w:rPr>
              <w:t>Composition et solde du Fonds de roulement (euros) (au 8 octobre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1B27D748" w14:textId="18286BD7" w:rsidR="00413C7D" w:rsidRPr="007845E4" w:rsidRDefault="00413C7D" w:rsidP="00FB0DE0">
            <w:pPr>
              <w:spacing w:after="0" w:line="240" w:lineRule="auto"/>
              <w:jc w:val="center"/>
              <w:rPr>
                <w:rFonts w:ascii="Cambria" w:hAnsi="Cambria" w:cs="Times New Roman"/>
                <w:i/>
                <w:iCs/>
                <w:sz w:val="20"/>
                <w:szCs w:val="20"/>
              </w:rPr>
            </w:pPr>
            <w:r w:rsidRPr="007845E4">
              <w:rPr>
                <w:rFonts w:ascii="Cambria" w:hAnsi="Cambria"/>
                <w:i/>
                <w:iCs/>
                <w:sz w:val="20"/>
                <w:szCs w:val="20"/>
              </w:rPr>
              <w:t>Exercice 2025</w:t>
            </w:r>
          </w:p>
        </w:tc>
        <w:tc>
          <w:tcPr>
            <w:tcW w:w="2126" w:type="dxa"/>
            <w:tcBorders>
              <w:top w:val="single" w:sz="4" w:space="0" w:color="auto"/>
              <w:left w:val="single" w:sz="4" w:space="0" w:color="auto"/>
              <w:bottom w:val="single" w:sz="4" w:space="0" w:color="auto"/>
              <w:right w:val="single" w:sz="4" w:space="0" w:color="auto"/>
            </w:tcBorders>
            <w:vAlign w:val="bottom"/>
          </w:tcPr>
          <w:p w14:paraId="627AA5AB" w14:textId="08B3CF12" w:rsidR="00413C7D" w:rsidRPr="007845E4" w:rsidRDefault="00413C7D" w:rsidP="006E7829">
            <w:pPr>
              <w:spacing w:after="0" w:line="240" w:lineRule="auto"/>
              <w:jc w:val="center"/>
              <w:rPr>
                <w:rFonts w:ascii="Cambria" w:eastAsia="Times New Roman" w:hAnsi="Cambria" w:cs="Arial"/>
                <w:i/>
                <w:sz w:val="20"/>
                <w:szCs w:val="20"/>
              </w:rPr>
            </w:pPr>
            <w:r w:rsidRPr="007845E4">
              <w:rPr>
                <w:rFonts w:ascii="Cambria" w:hAnsi="Cambria"/>
                <w:i/>
                <w:sz w:val="20"/>
                <w:szCs w:val="20"/>
              </w:rPr>
              <w:t>Pourcentage par rapport au budget de 2025 (5.992.471,50 €)</w:t>
            </w:r>
          </w:p>
        </w:tc>
      </w:tr>
      <w:tr w:rsidR="007F7464" w:rsidRPr="007845E4" w14:paraId="087BC63E"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42AF0" w14:textId="77777777"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Solde disponible à l’ouverture de l’exercice</w:t>
            </w:r>
          </w:p>
        </w:tc>
        <w:tc>
          <w:tcPr>
            <w:tcW w:w="1843" w:type="dxa"/>
            <w:tcBorders>
              <w:top w:val="single" w:sz="4" w:space="0" w:color="auto"/>
              <w:left w:val="single" w:sz="4" w:space="0" w:color="auto"/>
              <w:bottom w:val="single" w:sz="4" w:space="0" w:color="auto"/>
              <w:right w:val="single" w:sz="4" w:space="0" w:color="auto"/>
            </w:tcBorders>
            <w:noWrap/>
            <w:vAlign w:val="bottom"/>
          </w:tcPr>
          <w:p w14:paraId="0AC03952" w14:textId="41B3704F"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2.900.070,01</w:t>
            </w:r>
          </w:p>
        </w:tc>
        <w:tc>
          <w:tcPr>
            <w:tcW w:w="2126" w:type="dxa"/>
            <w:tcBorders>
              <w:top w:val="single" w:sz="4" w:space="0" w:color="auto"/>
              <w:left w:val="single" w:sz="4" w:space="0" w:color="auto"/>
              <w:bottom w:val="single" w:sz="4" w:space="0" w:color="auto"/>
              <w:right w:val="single" w:sz="4" w:space="0" w:color="auto"/>
            </w:tcBorders>
            <w:vAlign w:val="bottom"/>
          </w:tcPr>
          <w:p w14:paraId="0B63A348" w14:textId="1BE84D5C" w:rsidR="007F7464" w:rsidRPr="007845E4" w:rsidRDefault="007F7464" w:rsidP="00C94DE0">
            <w:pPr>
              <w:spacing w:after="0" w:line="240" w:lineRule="auto"/>
              <w:jc w:val="center"/>
              <w:rPr>
                <w:rFonts w:ascii="Cambria" w:hAnsi="Cambria" w:cs="Times New Roman"/>
                <w:sz w:val="20"/>
                <w:szCs w:val="20"/>
              </w:rPr>
            </w:pPr>
            <w:r w:rsidRPr="007845E4">
              <w:rPr>
                <w:rFonts w:ascii="Cambria" w:hAnsi="Cambria"/>
                <w:sz w:val="20"/>
                <w:szCs w:val="20"/>
              </w:rPr>
              <w:t>48,40 %</w:t>
            </w:r>
          </w:p>
        </w:tc>
      </w:tr>
      <w:tr w:rsidR="007F7464" w:rsidRPr="007845E4" w14:paraId="4F098BD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E8771DD" w14:textId="77777777"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Résultat de l'exercice : a) + b) + c)</w:t>
            </w:r>
          </w:p>
        </w:tc>
        <w:tc>
          <w:tcPr>
            <w:tcW w:w="1843" w:type="dxa"/>
            <w:tcBorders>
              <w:top w:val="single" w:sz="4" w:space="0" w:color="auto"/>
              <w:left w:val="single" w:sz="4" w:space="0" w:color="auto"/>
              <w:bottom w:val="single" w:sz="4" w:space="0" w:color="auto"/>
              <w:right w:val="single" w:sz="4" w:space="0" w:color="auto"/>
            </w:tcBorders>
            <w:noWrap/>
            <w:vAlign w:val="bottom"/>
          </w:tcPr>
          <w:p w14:paraId="5D281A67" w14:textId="39EC80EA"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1.418.018,82</w:t>
            </w:r>
          </w:p>
        </w:tc>
        <w:tc>
          <w:tcPr>
            <w:tcW w:w="2126" w:type="dxa"/>
            <w:tcBorders>
              <w:top w:val="single" w:sz="4" w:space="0" w:color="auto"/>
              <w:left w:val="single" w:sz="4" w:space="0" w:color="auto"/>
              <w:bottom w:val="single" w:sz="4" w:space="0" w:color="auto"/>
              <w:right w:val="single" w:sz="4" w:space="0" w:color="auto"/>
            </w:tcBorders>
            <w:vAlign w:val="bottom"/>
          </w:tcPr>
          <w:p w14:paraId="6689C9A4" w14:textId="411A5737" w:rsidR="007F7464" w:rsidRPr="007845E4" w:rsidRDefault="007F7464" w:rsidP="00C94DE0">
            <w:pPr>
              <w:spacing w:after="0" w:line="240" w:lineRule="auto"/>
              <w:jc w:val="center"/>
              <w:rPr>
                <w:rFonts w:ascii="Cambria" w:hAnsi="Cambria" w:cs="Times New Roman"/>
                <w:sz w:val="20"/>
                <w:szCs w:val="20"/>
              </w:rPr>
            </w:pPr>
            <w:r w:rsidRPr="007845E4">
              <w:rPr>
                <w:rFonts w:ascii="Cambria" w:hAnsi="Cambria"/>
                <w:sz w:val="20"/>
                <w:szCs w:val="20"/>
              </w:rPr>
              <w:t>23,66 %</w:t>
            </w:r>
          </w:p>
        </w:tc>
      </w:tr>
      <w:tr w:rsidR="007F7464" w:rsidRPr="007845E4" w14:paraId="45F0F72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45B8B4" w14:textId="77777777"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9CB9AD2" w14:textId="77777777" w:rsidR="007F7464" w:rsidRPr="007845E4" w:rsidRDefault="007F7464" w:rsidP="007F7464">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2FF446D" w14:textId="77777777" w:rsidR="007F7464" w:rsidRPr="007845E4" w:rsidRDefault="007F7464" w:rsidP="007F7464">
            <w:pPr>
              <w:spacing w:after="0" w:line="240" w:lineRule="auto"/>
              <w:jc w:val="center"/>
              <w:rPr>
                <w:rFonts w:ascii="Cambria" w:eastAsia="Times New Roman" w:hAnsi="Cambria" w:cs="Arial"/>
                <w:b/>
                <w:sz w:val="20"/>
                <w:szCs w:val="20"/>
              </w:rPr>
            </w:pPr>
          </w:p>
        </w:tc>
      </w:tr>
      <w:tr w:rsidR="007F7464" w:rsidRPr="007845E4" w14:paraId="2155EF9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8460F7F" w14:textId="77777777"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 xml:space="preserve">a) Résultat budgétaire </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D58CC" w14:textId="2A90BA64" w:rsidR="007F7464" w:rsidRPr="007845E4" w:rsidRDefault="007F7464" w:rsidP="007F7464">
            <w:pPr>
              <w:spacing w:after="0" w:line="240" w:lineRule="auto"/>
              <w:jc w:val="center"/>
              <w:rPr>
                <w:rFonts w:ascii="Cambria" w:hAnsi="Cambria" w:cs="Times New Roman"/>
                <w:b/>
                <w:bCs/>
                <w:sz w:val="20"/>
                <w:szCs w:val="20"/>
              </w:rPr>
            </w:pPr>
            <w:r w:rsidRPr="007845E4">
              <w:rPr>
                <w:rFonts w:ascii="Cambria" w:hAnsi="Cambria"/>
                <w:b/>
                <w:bCs/>
                <w:sz w:val="20"/>
                <w:szCs w:val="20"/>
              </w:rPr>
              <w:t>625.808,65</w:t>
            </w:r>
          </w:p>
        </w:tc>
        <w:tc>
          <w:tcPr>
            <w:tcW w:w="2126" w:type="dxa"/>
            <w:tcBorders>
              <w:top w:val="single" w:sz="4" w:space="0" w:color="auto"/>
              <w:left w:val="single" w:sz="4" w:space="0" w:color="auto"/>
              <w:bottom w:val="single" w:sz="4" w:space="0" w:color="auto"/>
              <w:right w:val="single" w:sz="4" w:space="0" w:color="auto"/>
            </w:tcBorders>
            <w:vAlign w:val="bottom"/>
          </w:tcPr>
          <w:p w14:paraId="5AD465E5" w14:textId="77777777" w:rsidR="007F7464" w:rsidRPr="007845E4" w:rsidRDefault="007F7464" w:rsidP="007F7464">
            <w:pPr>
              <w:spacing w:after="0" w:line="240" w:lineRule="auto"/>
              <w:jc w:val="center"/>
              <w:rPr>
                <w:rFonts w:ascii="Cambria" w:eastAsia="Times New Roman" w:hAnsi="Cambria" w:cs="Arial"/>
                <w:b/>
                <w:sz w:val="20"/>
                <w:szCs w:val="20"/>
              </w:rPr>
            </w:pPr>
          </w:p>
        </w:tc>
      </w:tr>
      <w:tr w:rsidR="007F7464" w:rsidRPr="007845E4" w14:paraId="34FBB48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9AD92C7"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Revenus budgétaires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62E48DBE" w14:textId="0D4B46E7"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4.974.268,93</w:t>
            </w:r>
          </w:p>
        </w:tc>
        <w:tc>
          <w:tcPr>
            <w:tcW w:w="2126" w:type="dxa"/>
            <w:tcBorders>
              <w:top w:val="single" w:sz="4" w:space="0" w:color="auto"/>
              <w:left w:val="single" w:sz="4" w:space="0" w:color="auto"/>
              <w:bottom w:val="single" w:sz="4" w:space="0" w:color="auto"/>
              <w:right w:val="single" w:sz="4" w:space="0" w:color="auto"/>
            </w:tcBorders>
            <w:vAlign w:val="bottom"/>
          </w:tcPr>
          <w:p w14:paraId="751EADBA"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41B67E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7487D20" w14:textId="175E43D2"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Dépenses budgétaires (Chapitres 1 à 15)</w:t>
            </w:r>
          </w:p>
        </w:tc>
        <w:tc>
          <w:tcPr>
            <w:tcW w:w="1843" w:type="dxa"/>
            <w:tcBorders>
              <w:top w:val="single" w:sz="4" w:space="0" w:color="auto"/>
              <w:left w:val="single" w:sz="4" w:space="0" w:color="auto"/>
              <w:bottom w:val="single" w:sz="4" w:space="0" w:color="auto"/>
              <w:right w:val="single" w:sz="4" w:space="0" w:color="auto"/>
            </w:tcBorders>
            <w:noWrap/>
            <w:vAlign w:val="bottom"/>
          </w:tcPr>
          <w:p w14:paraId="72F4FA4E" w14:textId="1BEBC4B7"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4.348.460,28</w:t>
            </w:r>
          </w:p>
        </w:tc>
        <w:tc>
          <w:tcPr>
            <w:tcW w:w="2126" w:type="dxa"/>
            <w:tcBorders>
              <w:top w:val="single" w:sz="4" w:space="0" w:color="auto"/>
              <w:left w:val="single" w:sz="4" w:space="0" w:color="auto"/>
              <w:bottom w:val="single" w:sz="4" w:space="0" w:color="auto"/>
              <w:right w:val="single" w:sz="4" w:space="0" w:color="auto"/>
            </w:tcBorders>
            <w:vAlign w:val="bottom"/>
          </w:tcPr>
          <w:p w14:paraId="3B337FB1"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0B280FB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12B1541"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3CDB1A7B" w14:textId="77777777" w:rsidR="007F7464" w:rsidRPr="007845E4" w:rsidRDefault="007F7464" w:rsidP="007F7464">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C93BF8B"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2EF18D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AEEA4C3" w14:textId="77777777"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b) Résultat extrabudgétaire</w:t>
            </w:r>
          </w:p>
        </w:tc>
        <w:tc>
          <w:tcPr>
            <w:tcW w:w="1843" w:type="dxa"/>
            <w:tcBorders>
              <w:top w:val="single" w:sz="4" w:space="0" w:color="auto"/>
              <w:left w:val="single" w:sz="4" w:space="0" w:color="auto"/>
              <w:bottom w:val="single" w:sz="4" w:space="0" w:color="auto"/>
              <w:right w:val="single" w:sz="4" w:space="0" w:color="auto"/>
            </w:tcBorders>
            <w:noWrap/>
            <w:vAlign w:val="bottom"/>
          </w:tcPr>
          <w:p w14:paraId="50338DCD" w14:textId="3EE66E2E" w:rsidR="007F7464" w:rsidRPr="007845E4" w:rsidRDefault="007F7464" w:rsidP="007F7464">
            <w:pPr>
              <w:spacing w:after="0" w:line="240" w:lineRule="auto"/>
              <w:jc w:val="center"/>
              <w:rPr>
                <w:rFonts w:ascii="Cambria" w:hAnsi="Cambria" w:cs="Times New Roman"/>
                <w:b/>
                <w:bCs/>
                <w:sz w:val="20"/>
                <w:szCs w:val="20"/>
              </w:rPr>
            </w:pPr>
            <w:r w:rsidRPr="007845E4">
              <w:rPr>
                <w:rFonts w:ascii="Cambria" w:hAnsi="Cambria"/>
                <w:b/>
                <w:bCs/>
                <w:sz w:val="20"/>
                <w:szCs w:val="20"/>
              </w:rPr>
              <w:t>553.285,09</w:t>
            </w:r>
          </w:p>
        </w:tc>
        <w:tc>
          <w:tcPr>
            <w:tcW w:w="2126" w:type="dxa"/>
            <w:tcBorders>
              <w:top w:val="single" w:sz="4" w:space="0" w:color="auto"/>
              <w:left w:val="single" w:sz="4" w:space="0" w:color="auto"/>
              <w:bottom w:val="single" w:sz="4" w:space="0" w:color="auto"/>
              <w:right w:val="single" w:sz="4" w:space="0" w:color="auto"/>
            </w:tcBorders>
            <w:vAlign w:val="bottom"/>
          </w:tcPr>
          <w:p w14:paraId="64D3DDD1" w14:textId="77777777" w:rsidR="007F7464" w:rsidRPr="007845E4" w:rsidRDefault="007F7464" w:rsidP="007F7464">
            <w:pPr>
              <w:spacing w:after="0" w:line="240" w:lineRule="auto"/>
              <w:jc w:val="center"/>
              <w:rPr>
                <w:rFonts w:ascii="Cambria" w:eastAsia="Times New Roman" w:hAnsi="Cambria" w:cs="Arial"/>
                <w:b/>
                <w:sz w:val="20"/>
                <w:szCs w:val="20"/>
              </w:rPr>
            </w:pPr>
          </w:p>
        </w:tc>
      </w:tr>
      <w:tr w:rsidR="007F7464" w:rsidRPr="007845E4" w14:paraId="4BC2642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B484936" w14:textId="77777777" w:rsidR="007F7464" w:rsidRPr="007845E4" w:rsidRDefault="007F7464" w:rsidP="007F7464">
            <w:pPr>
              <w:spacing w:after="0" w:line="240" w:lineRule="auto"/>
              <w:rPr>
                <w:rFonts w:ascii="Cambria" w:eastAsia="Times New Roman" w:hAnsi="Cambria" w:cs="Arial"/>
                <w:b/>
                <w:i/>
                <w:sz w:val="20"/>
                <w:szCs w:val="20"/>
              </w:rPr>
            </w:pPr>
            <w:r w:rsidRPr="007845E4">
              <w:rPr>
                <w:rFonts w:ascii="Cambria" w:hAnsi="Cambria"/>
                <w:b/>
                <w:i/>
                <w:sz w:val="20"/>
                <w:szCs w:val="20"/>
              </w:rPr>
              <w:t>Revenus extrabudgétaires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5F2D62F9" w14:textId="291DC26A"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664.203,93</w:t>
            </w:r>
          </w:p>
        </w:tc>
        <w:tc>
          <w:tcPr>
            <w:tcW w:w="2126" w:type="dxa"/>
            <w:tcBorders>
              <w:top w:val="single" w:sz="4" w:space="0" w:color="auto"/>
              <w:left w:val="single" w:sz="4" w:space="0" w:color="auto"/>
              <w:bottom w:val="single" w:sz="4" w:space="0" w:color="auto"/>
              <w:right w:val="single" w:sz="4" w:space="0" w:color="auto"/>
            </w:tcBorders>
            <w:vAlign w:val="bottom"/>
          </w:tcPr>
          <w:p w14:paraId="6B3AD9CC" w14:textId="77777777" w:rsidR="007F7464" w:rsidRPr="007845E4" w:rsidRDefault="007F7464" w:rsidP="007F7464">
            <w:pPr>
              <w:spacing w:after="0" w:line="240" w:lineRule="auto"/>
              <w:jc w:val="center"/>
              <w:rPr>
                <w:rFonts w:ascii="Cambria" w:eastAsia="Times New Roman" w:hAnsi="Cambria" w:cs="Arial"/>
                <w:b/>
                <w:i/>
                <w:sz w:val="20"/>
                <w:szCs w:val="20"/>
              </w:rPr>
            </w:pPr>
          </w:p>
        </w:tc>
      </w:tr>
      <w:tr w:rsidR="007F7464" w:rsidRPr="007845E4" w14:paraId="3084D1B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B897F3D"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Contributions volontaires :</w:t>
            </w:r>
          </w:p>
        </w:tc>
        <w:tc>
          <w:tcPr>
            <w:tcW w:w="1843" w:type="dxa"/>
            <w:tcBorders>
              <w:top w:val="single" w:sz="4" w:space="0" w:color="auto"/>
              <w:left w:val="single" w:sz="4" w:space="0" w:color="auto"/>
              <w:bottom w:val="single" w:sz="4" w:space="0" w:color="auto"/>
              <w:right w:val="single" w:sz="4" w:space="0" w:color="auto"/>
            </w:tcBorders>
            <w:noWrap/>
            <w:vAlign w:val="bottom"/>
          </w:tcPr>
          <w:p w14:paraId="64E33B26" w14:textId="77777777" w:rsidR="007F7464" w:rsidRPr="007845E4" w:rsidRDefault="007F7464" w:rsidP="007F7464">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C610189"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07B9974D"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6E3783" w14:textId="77777777"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Cotisations d'observateurs aux réunions ICCAT</w:t>
            </w:r>
          </w:p>
        </w:tc>
        <w:tc>
          <w:tcPr>
            <w:tcW w:w="1843" w:type="dxa"/>
            <w:tcBorders>
              <w:top w:val="single" w:sz="4" w:space="0" w:color="auto"/>
              <w:left w:val="single" w:sz="4" w:space="0" w:color="auto"/>
              <w:bottom w:val="single" w:sz="4" w:space="0" w:color="auto"/>
              <w:right w:val="single" w:sz="4" w:space="0" w:color="auto"/>
            </w:tcBorders>
            <w:noWrap/>
            <w:vAlign w:val="bottom"/>
          </w:tcPr>
          <w:p w14:paraId="09549B39" w14:textId="75B81EF7"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9.119,06</w:t>
            </w:r>
          </w:p>
        </w:tc>
        <w:tc>
          <w:tcPr>
            <w:tcW w:w="2126" w:type="dxa"/>
            <w:tcBorders>
              <w:top w:val="single" w:sz="4" w:space="0" w:color="auto"/>
              <w:left w:val="single" w:sz="4" w:space="0" w:color="auto"/>
              <w:bottom w:val="single" w:sz="4" w:space="0" w:color="auto"/>
              <w:right w:val="single" w:sz="4" w:space="0" w:color="auto"/>
            </w:tcBorders>
            <w:vAlign w:val="bottom"/>
          </w:tcPr>
          <w:p w14:paraId="0DD38C49"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473596E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A3FFFB" w14:textId="3388EE5B"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Revenus Programme régional d'observateurs de l'ICCAT pour les transbordements en mer</w:t>
            </w:r>
          </w:p>
        </w:tc>
        <w:tc>
          <w:tcPr>
            <w:tcW w:w="1843" w:type="dxa"/>
            <w:tcBorders>
              <w:top w:val="single" w:sz="4" w:space="0" w:color="auto"/>
              <w:left w:val="single" w:sz="4" w:space="0" w:color="auto"/>
              <w:bottom w:val="single" w:sz="4" w:space="0" w:color="auto"/>
              <w:right w:val="single" w:sz="4" w:space="0" w:color="auto"/>
            </w:tcBorders>
            <w:noWrap/>
            <w:vAlign w:val="bottom"/>
          </w:tcPr>
          <w:p w14:paraId="5EA0282F" w14:textId="272CE004"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19.158,93</w:t>
            </w:r>
          </w:p>
        </w:tc>
        <w:tc>
          <w:tcPr>
            <w:tcW w:w="2126" w:type="dxa"/>
            <w:tcBorders>
              <w:top w:val="single" w:sz="4" w:space="0" w:color="auto"/>
              <w:left w:val="single" w:sz="4" w:space="0" w:color="auto"/>
              <w:bottom w:val="single" w:sz="4" w:space="0" w:color="auto"/>
              <w:right w:val="single" w:sz="4" w:space="0" w:color="auto"/>
            </w:tcBorders>
            <w:vAlign w:val="bottom"/>
          </w:tcPr>
          <w:p w14:paraId="41327169"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58990F0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7C9E2A" w14:textId="78F10660"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Revenus Programme régional d’observateurs de l’ICCAT pour le thon rouge de l’Atlantique Est et de la Méditerranée (ROP-BFT)</w:t>
            </w:r>
          </w:p>
        </w:tc>
        <w:tc>
          <w:tcPr>
            <w:tcW w:w="1843" w:type="dxa"/>
            <w:tcBorders>
              <w:top w:val="single" w:sz="4" w:space="0" w:color="auto"/>
              <w:left w:val="single" w:sz="4" w:space="0" w:color="auto"/>
              <w:bottom w:val="single" w:sz="4" w:space="0" w:color="auto"/>
              <w:right w:val="single" w:sz="4" w:space="0" w:color="auto"/>
            </w:tcBorders>
            <w:noWrap/>
            <w:vAlign w:val="bottom"/>
          </w:tcPr>
          <w:p w14:paraId="53CC9C7B" w14:textId="524E8B9B"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73.318,28</w:t>
            </w:r>
          </w:p>
        </w:tc>
        <w:tc>
          <w:tcPr>
            <w:tcW w:w="2126" w:type="dxa"/>
            <w:tcBorders>
              <w:top w:val="single" w:sz="4" w:space="0" w:color="auto"/>
              <w:left w:val="single" w:sz="4" w:space="0" w:color="auto"/>
              <w:bottom w:val="single" w:sz="4" w:space="0" w:color="auto"/>
              <w:right w:val="single" w:sz="4" w:space="0" w:color="auto"/>
            </w:tcBorders>
            <w:vAlign w:val="bottom"/>
          </w:tcPr>
          <w:p w14:paraId="6B9BF1D3"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3684A07E" w14:textId="77777777" w:rsidTr="00A0129D">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6D8B4E" w14:textId="71BCD503"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Revenus Projet ICCAT/Japon d'assistance au renforcement des capacités (phase 3) (JCAP3)</w:t>
            </w:r>
          </w:p>
        </w:tc>
        <w:tc>
          <w:tcPr>
            <w:tcW w:w="1843" w:type="dxa"/>
            <w:tcBorders>
              <w:top w:val="single" w:sz="4" w:space="0" w:color="auto"/>
              <w:left w:val="single" w:sz="4" w:space="0" w:color="auto"/>
              <w:bottom w:val="single" w:sz="4" w:space="0" w:color="auto"/>
              <w:right w:val="single" w:sz="4" w:space="0" w:color="auto"/>
            </w:tcBorders>
            <w:noWrap/>
            <w:vAlign w:val="bottom"/>
          </w:tcPr>
          <w:p w14:paraId="41862C9E" w14:textId="7444B711"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9.885,90</w:t>
            </w:r>
          </w:p>
        </w:tc>
        <w:tc>
          <w:tcPr>
            <w:tcW w:w="2126" w:type="dxa"/>
            <w:tcBorders>
              <w:top w:val="single" w:sz="4" w:space="0" w:color="auto"/>
              <w:left w:val="single" w:sz="4" w:space="0" w:color="auto"/>
              <w:bottom w:val="single" w:sz="4" w:space="0" w:color="auto"/>
              <w:right w:val="single" w:sz="4" w:space="0" w:color="auto"/>
            </w:tcBorders>
            <w:vAlign w:val="bottom"/>
          </w:tcPr>
          <w:p w14:paraId="536A77D9"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5291DF7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406DFD9" w14:textId="178BA84E" w:rsidR="007F7464" w:rsidRPr="007845E4" w:rsidRDefault="007F7464" w:rsidP="007F7464">
            <w:pPr>
              <w:spacing w:after="0" w:line="240" w:lineRule="auto"/>
              <w:ind w:left="284"/>
              <w:rPr>
                <w:rFonts w:ascii="Cambria" w:eastAsia="Times New Roman" w:hAnsi="Cambria" w:cs="Arial"/>
                <w:sz w:val="20"/>
                <w:szCs w:val="20"/>
              </w:rPr>
            </w:pPr>
            <w:bookmarkStart w:id="3" w:name="_Hlk180665839"/>
            <w:r w:rsidRPr="007845E4">
              <w:rPr>
                <w:rFonts w:ascii="Cambria" w:hAnsi="Cambria"/>
                <w:sz w:val="20"/>
                <w:szCs w:val="20"/>
              </w:rPr>
              <w:t xml:space="preserve">Contribution du volontaire de Taipei chinois à l'ICCAT </w:t>
            </w:r>
          </w:p>
        </w:tc>
        <w:tc>
          <w:tcPr>
            <w:tcW w:w="1843" w:type="dxa"/>
            <w:tcBorders>
              <w:top w:val="single" w:sz="4" w:space="0" w:color="auto"/>
              <w:left w:val="single" w:sz="4" w:space="0" w:color="auto"/>
              <w:bottom w:val="single" w:sz="4" w:space="0" w:color="auto"/>
              <w:right w:val="single" w:sz="4" w:space="0" w:color="auto"/>
            </w:tcBorders>
            <w:noWrap/>
            <w:vAlign w:val="bottom"/>
          </w:tcPr>
          <w:p w14:paraId="16C632B2" w14:textId="0B30056F"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100.000,00</w:t>
            </w:r>
          </w:p>
        </w:tc>
        <w:tc>
          <w:tcPr>
            <w:tcW w:w="2126" w:type="dxa"/>
            <w:tcBorders>
              <w:top w:val="single" w:sz="4" w:space="0" w:color="auto"/>
              <w:left w:val="single" w:sz="4" w:space="0" w:color="auto"/>
              <w:bottom w:val="single" w:sz="4" w:space="0" w:color="auto"/>
              <w:right w:val="single" w:sz="4" w:space="0" w:color="auto"/>
            </w:tcBorders>
            <w:vAlign w:val="bottom"/>
          </w:tcPr>
          <w:p w14:paraId="4C93863E"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5054851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BF651A" w14:textId="27346DF1"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Contribution volontaire du Suriname à l’ICCAT</w:t>
            </w:r>
            <w:r w:rsidRPr="007845E4">
              <w:rPr>
                <w:rFonts w:ascii="Cambria" w:hAnsi="Cambria"/>
                <w:sz w:val="20"/>
                <w:szCs w:val="20"/>
              </w:rPr>
              <w:tab/>
            </w:r>
          </w:p>
        </w:tc>
        <w:tc>
          <w:tcPr>
            <w:tcW w:w="1843" w:type="dxa"/>
            <w:tcBorders>
              <w:top w:val="single" w:sz="4" w:space="0" w:color="auto"/>
              <w:left w:val="single" w:sz="4" w:space="0" w:color="auto"/>
              <w:bottom w:val="single" w:sz="4" w:space="0" w:color="auto"/>
              <w:right w:val="single" w:sz="4" w:space="0" w:color="auto"/>
            </w:tcBorders>
            <w:noWrap/>
            <w:vAlign w:val="bottom"/>
          </w:tcPr>
          <w:p w14:paraId="1496681F" w14:textId="4C4D2959"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3.235,08</w:t>
            </w:r>
          </w:p>
        </w:tc>
        <w:tc>
          <w:tcPr>
            <w:tcW w:w="2126" w:type="dxa"/>
            <w:tcBorders>
              <w:top w:val="single" w:sz="4" w:space="0" w:color="auto"/>
              <w:left w:val="single" w:sz="4" w:space="0" w:color="auto"/>
              <w:bottom w:val="single" w:sz="4" w:space="0" w:color="auto"/>
              <w:right w:val="single" w:sz="4" w:space="0" w:color="auto"/>
            </w:tcBorders>
            <w:vAlign w:val="bottom"/>
          </w:tcPr>
          <w:p w14:paraId="69252049" w14:textId="77777777" w:rsidR="007F7464" w:rsidRPr="007845E4" w:rsidRDefault="007F7464" w:rsidP="007F7464">
            <w:pPr>
              <w:spacing w:after="0" w:line="240" w:lineRule="auto"/>
              <w:jc w:val="center"/>
              <w:rPr>
                <w:rFonts w:ascii="Cambria" w:eastAsia="Times New Roman" w:hAnsi="Cambria" w:cs="Arial"/>
                <w:sz w:val="20"/>
                <w:szCs w:val="20"/>
              </w:rPr>
            </w:pPr>
          </w:p>
        </w:tc>
      </w:tr>
      <w:bookmarkEnd w:id="3"/>
      <w:tr w:rsidR="007F7464" w:rsidRPr="007845E4" w14:paraId="6F17B14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13714D3"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 xml:space="preserve">Revenus financiers </w:t>
            </w:r>
          </w:p>
        </w:tc>
        <w:tc>
          <w:tcPr>
            <w:tcW w:w="1843" w:type="dxa"/>
            <w:tcBorders>
              <w:top w:val="single" w:sz="4" w:space="0" w:color="auto"/>
              <w:left w:val="single" w:sz="4" w:space="0" w:color="auto"/>
              <w:bottom w:val="single" w:sz="4" w:space="0" w:color="auto"/>
              <w:right w:val="single" w:sz="4" w:space="0" w:color="auto"/>
            </w:tcBorders>
            <w:noWrap/>
            <w:vAlign w:val="bottom"/>
          </w:tcPr>
          <w:p w14:paraId="7926C3C2" w14:textId="0FE8A87B"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8.156,61</w:t>
            </w:r>
          </w:p>
        </w:tc>
        <w:tc>
          <w:tcPr>
            <w:tcW w:w="2126" w:type="dxa"/>
            <w:tcBorders>
              <w:top w:val="single" w:sz="4" w:space="0" w:color="auto"/>
              <w:left w:val="single" w:sz="4" w:space="0" w:color="auto"/>
              <w:bottom w:val="single" w:sz="4" w:space="0" w:color="auto"/>
              <w:right w:val="single" w:sz="4" w:space="0" w:color="auto"/>
            </w:tcBorders>
            <w:vAlign w:val="bottom"/>
          </w:tcPr>
          <w:p w14:paraId="5F30D2E6"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2B8B0C7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029029E" w14:textId="536463B1"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Remboursement de la TVA</w:t>
            </w:r>
          </w:p>
        </w:tc>
        <w:tc>
          <w:tcPr>
            <w:tcW w:w="1843" w:type="dxa"/>
            <w:tcBorders>
              <w:top w:val="single" w:sz="4" w:space="0" w:color="auto"/>
              <w:left w:val="single" w:sz="4" w:space="0" w:color="auto"/>
              <w:bottom w:val="single" w:sz="4" w:space="0" w:color="auto"/>
              <w:right w:val="single" w:sz="4" w:space="0" w:color="auto"/>
            </w:tcBorders>
            <w:noWrap/>
            <w:vAlign w:val="bottom"/>
          </w:tcPr>
          <w:p w14:paraId="005630FB" w14:textId="6B9426EF"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15.998,37</w:t>
            </w:r>
          </w:p>
        </w:tc>
        <w:tc>
          <w:tcPr>
            <w:tcW w:w="2126" w:type="dxa"/>
            <w:tcBorders>
              <w:top w:val="single" w:sz="4" w:space="0" w:color="auto"/>
              <w:left w:val="single" w:sz="4" w:space="0" w:color="auto"/>
              <w:bottom w:val="single" w:sz="4" w:space="0" w:color="auto"/>
              <w:right w:val="single" w:sz="4" w:space="0" w:color="auto"/>
            </w:tcBorders>
            <w:vAlign w:val="bottom"/>
          </w:tcPr>
          <w:p w14:paraId="05A1CEE6"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1B67A49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14C1A3C4" w14:textId="19F3C621"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Revenus divers</w:t>
            </w:r>
          </w:p>
        </w:tc>
        <w:tc>
          <w:tcPr>
            <w:tcW w:w="1843" w:type="dxa"/>
            <w:tcBorders>
              <w:top w:val="single" w:sz="4" w:space="0" w:color="auto"/>
              <w:left w:val="single" w:sz="4" w:space="0" w:color="auto"/>
              <w:bottom w:val="single" w:sz="4" w:space="0" w:color="auto"/>
              <w:right w:val="single" w:sz="4" w:space="0" w:color="auto"/>
            </w:tcBorders>
            <w:noWrap/>
            <w:vAlign w:val="bottom"/>
          </w:tcPr>
          <w:p w14:paraId="63B44F12" w14:textId="2DA69E21"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1.760,00</w:t>
            </w:r>
          </w:p>
        </w:tc>
        <w:tc>
          <w:tcPr>
            <w:tcW w:w="2126" w:type="dxa"/>
            <w:tcBorders>
              <w:top w:val="single" w:sz="4" w:space="0" w:color="auto"/>
              <w:left w:val="single" w:sz="4" w:space="0" w:color="auto"/>
              <w:bottom w:val="single" w:sz="4" w:space="0" w:color="auto"/>
              <w:right w:val="single" w:sz="4" w:space="0" w:color="auto"/>
            </w:tcBorders>
            <w:vAlign w:val="bottom"/>
          </w:tcPr>
          <w:p w14:paraId="174A6093"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F255D8" w:rsidRPr="007845E4" w14:paraId="2E97D92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5E72EE" w14:textId="77777777" w:rsidR="00413C7D" w:rsidRPr="007845E4" w:rsidRDefault="00413C7D" w:rsidP="00413C7D">
            <w:pPr>
              <w:spacing w:after="0" w:line="240" w:lineRule="auto"/>
              <w:rPr>
                <w:rFonts w:ascii="Cambria" w:eastAsia="Times New Roman" w:hAnsi="Cambria" w:cs="Arial"/>
                <w:sz w:val="20"/>
                <w:szCs w:val="20"/>
              </w:rPr>
            </w:pPr>
            <w:r w:rsidRPr="007845E4">
              <w:rPr>
                <w:rFonts w:ascii="Cambria" w:hAnsi="Cambria"/>
                <w:sz w:val="20"/>
                <w:szCs w:val="20"/>
              </w:rPr>
              <w:t xml:space="preserve">Revenus réunions de la Commission </w:t>
            </w:r>
          </w:p>
        </w:tc>
        <w:tc>
          <w:tcPr>
            <w:tcW w:w="1843" w:type="dxa"/>
            <w:tcBorders>
              <w:top w:val="single" w:sz="4" w:space="0" w:color="auto"/>
              <w:left w:val="single" w:sz="4" w:space="0" w:color="auto"/>
              <w:bottom w:val="single" w:sz="4" w:space="0" w:color="auto"/>
              <w:right w:val="single" w:sz="4" w:space="0" w:color="auto"/>
            </w:tcBorders>
            <w:noWrap/>
            <w:vAlign w:val="bottom"/>
          </w:tcPr>
          <w:p w14:paraId="7E6C140F" w14:textId="77777777" w:rsidR="00413C7D" w:rsidRPr="007845E4" w:rsidRDefault="00413C7D" w:rsidP="00FB0DE0">
            <w:pPr>
              <w:spacing w:after="0" w:line="240" w:lineRule="auto"/>
              <w:jc w:val="center"/>
              <w:rPr>
                <w:rFonts w:ascii="Cambria" w:hAnsi="Cambr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34A908B" w14:textId="77777777" w:rsidR="00413C7D" w:rsidRPr="007845E4" w:rsidRDefault="00413C7D" w:rsidP="006E7829">
            <w:pPr>
              <w:spacing w:after="0" w:line="240" w:lineRule="auto"/>
              <w:jc w:val="center"/>
              <w:rPr>
                <w:rFonts w:ascii="Cambria" w:eastAsia="Times New Roman" w:hAnsi="Cambria" w:cs="Arial"/>
                <w:sz w:val="20"/>
                <w:szCs w:val="20"/>
              </w:rPr>
            </w:pPr>
          </w:p>
        </w:tc>
      </w:tr>
      <w:tr w:rsidR="007F7464" w:rsidRPr="007845E4" w14:paraId="49796865" w14:textId="77777777" w:rsidTr="007F7464">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67E4355" w14:textId="77777777" w:rsidR="007F7464" w:rsidRPr="007845E4" w:rsidRDefault="007F7464" w:rsidP="00C94DE0">
            <w:pPr>
              <w:spacing w:after="0" w:line="240" w:lineRule="auto"/>
              <w:ind w:left="288"/>
              <w:rPr>
                <w:rFonts w:ascii="Cambria" w:eastAsia="Times New Roman" w:hAnsi="Cambria" w:cs="Arial"/>
                <w:sz w:val="20"/>
                <w:szCs w:val="20"/>
              </w:rPr>
            </w:pPr>
            <w:r w:rsidRPr="007845E4">
              <w:rPr>
                <w:rFonts w:ascii="Cambria" w:hAnsi="Cambria"/>
                <w:sz w:val="20"/>
                <w:szCs w:val="20"/>
              </w:rPr>
              <w:t>Réunions intersessions de l’ICCAT et d’autres groupes de travail 2023-2024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54E9CE8C" w14:textId="5625796F"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24.354,59</w:t>
            </w:r>
          </w:p>
        </w:tc>
        <w:tc>
          <w:tcPr>
            <w:tcW w:w="2126" w:type="dxa"/>
            <w:tcBorders>
              <w:top w:val="single" w:sz="4" w:space="0" w:color="auto"/>
              <w:left w:val="single" w:sz="4" w:space="0" w:color="auto"/>
              <w:bottom w:val="single" w:sz="4" w:space="0" w:color="auto"/>
              <w:right w:val="single" w:sz="4" w:space="0" w:color="auto"/>
            </w:tcBorders>
            <w:vAlign w:val="bottom"/>
          </w:tcPr>
          <w:p w14:paraId="28A5B351"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092D13F0"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32C13AD" w14:textId="7D61423D"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Troisième réunion intersessions de la Sous-commission 1 et 24e réunion extraordinaire de la Commission de 2024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FBA84B" w14:textId="6C0D22D7"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231.217,11</w:t>
            </w:r>
          </w:p>
        </w:tc>
        <w:tc>
          <w:tcPr>
            <w:tcW w:w="2126" w:type="dxa"/>
            <w:tcBorders>
              <w:top w:val="single" w:sz="4" w:space="0" w:color="auto"/>
              <w:left w:val="single" w:sz="4" w:space="0" w:color="auto"/>
              <w:bottom w:val="single" w:sz="4" w:space="0" w:color="auto"/>
              <w:right w:val="single" w:sz="4" w:space="0" w:color="auto"/>
            </w:tcBorders>
            <w:vAlign w:val="bottom"/>
          </w:tcPr>
          <w:p w14:paraId="1D7413EC"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2234E0C3"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632FD543" w14:textId="274BC657" w:rsidR="007F7464" w:rsidRPr="007845E4" w:rsidRDefault="007F7464" w:rsidP="007F7464">
            <w:pPr>
              <w:spacing w:after="0" w:line="240" w:lineRule="auto"/>
              <w:ind w:left="284"/>
              <w:rPr>
                <w:rFonts w:ascii="Cambria" w:eastAsia="Times New Roman" w:hAnsi="Cambria" w:cs="Arial"/>
                <w:sz w:val="20"/>
                <w:szCs w:val="20"/>
              </w:rPr>
            </w:pPr>
            <w:r w:rsidRPr="007845E4">
              <w:rPr>
                <w:rFonts w:ascii="Cambria" w:hAnsi="Cambria"/>
                <w:sz w:val="20"/>
                <w:szCs w:val="20"/>
              </w:rPr>
              <w:t>Réunions intersessions de l’ICCAT et d’autres groupes de travail 2025-2026</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54E3F" w14:textId="5531C3A1"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168.000,00</w:t>
            </w:r>
          </w:p>
        </w:tc>
        <w:tc>
          <w:tcPr>
            <w:tcW w:w="2126" w:type="dxa"/>
            <w:tcBorders>
              <w:top w:val="single" w:sz="4" w:space="0" w:color="auto"/>
              <w:left w:val="single" w:sz="4" w:space="0" w:color="auto"/>
              <w:bottom w:val="single" w:sz="4" w:space="0" w:color="auto"/>
              <w:right w:val="single" w:sz="4" w:space="0" w:color="auto"/>
            </w:tcBorders>
            <w:vAlign w:val="bottom"/>
          </w:tcPr>
          <w:p w14:paraId="756797BB"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7C1FF34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1629171" w14:textId="77777777" w:rsidR="007F7464" w:rsidRPr="007845E4" w:rsidRDefault="007F7464" w:rsidP="007F7464">
            <w:pPr>
              <w:spacing w:after="0" w:line="240" w:lineRule="auto"/>
              <w:rPr>
                <w:rFonts w:ascii="Cambria" w:eastAsia="Times New Roman" w:hAnsi="Cambria" w:cs="Arial"/>
                <w:b/>
                <w:i/>
                <w:sz w:val="20"/>
                <w:szCs w:val="20"/>
              </w:rPr>
            </w:pPr>
            <w:r w:rsidRPr="007845E4">
              <w:rPr>
                <w:rFonts w:ascii="Cambria" w:hAnsi="Cambria"/>
                <w:b/>
                <w:i/>
                <w:sz w:val="20"/>
                <w:szCs w:val="20"/>
              </w:rPr>
              <w:t>Dépenses extrabudgétaires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5D7258D1" w14:textId="4EFE7D8D"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110.918,84</w:t>
            </w:r>
          </w:p>
        </w:tc>
        <w:tc>
          <w:tcPr>
            <w:tcW w:w="2126" w:type="dxa"/>
            <w:tcBorders>
              <w:top w:val="single" w:sz="4" w:space="0" w:color="auto"/>
              <w:left w:val="single" w:sz="4" w:space="0" w:color="auto"/>
              <w:bottom w:val="single" w:sz="4" w:space="0" w:color="auto"/>
              <w:right w:val="single" w:sz="4" w:space="0" w:color="auto"/>
            </w:tcBorders>
            <w:vAlign w:val="bottom"/>
          </w:tcPr>
          <w:p w14:paraId="06C62FAF" w14:textId="77777777" w:rsidR="007F7464" w:rsidRPr="007845E4" w:rsidRDefault="007F7464" w:rsidP="007F7464">
            <w:pPr>
              <w:spacing w:after="0" w:line="240" w:lineRule="auto"/>
              <w:jc w:val="center"/>
              <w:rPr>
                <w:rFonts w:ascii="Cambria" w:eastAsia="Times New Roman" w:hAnsi="Cambria" w:cs="Arial"/>
                <w:b/>
                <w:i/>
                <w:sz w:val="20"/>
                <w:szCs w:val="20"/>
              </w:rPr>
            </w:pPr>
          </w:p>
        </w:tc>
      </w:tr>
      <w:tr w:rsidR="007F7464" w:rsidRPr="007845E4" w14:paraId="5CA0919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139AA62" w14:textId="012E111D" w:rsidR="007F7464" w:rsidRPr="007845E4" w:rsidRDefault="007F7464" w:rsidP="007F7464">
            <w:pPr>
              <w:spacing w:after="0" w:line="240" w:lineRule="auto"/>
              <w:jc w:val="both"/>
              <w:rPr>
                <w:rFonts w:ascii="Cambria" w:eastAsia="Times New Roman" w:hAnsi="Cambria" w:cs="Arial"/>
                <w:sz w:val="20"/>
                <w:szCs w:val="20"/>
              </w:rPr>
            </w:pPr>
            <w:r w:rsidRPr="007845E4">
              <w:rPr>
                <w:rFonts w:ascii="Cambria" w:hAnsi="Cambria"/>
                <w:sz w:val="20"/>
                <w:szCs w:val="20"/>
              </w:rPr>
              <w:t>Différences de change négatives</w:t>
            </w:r>
          </w:p>
        </w:tc>
        <w:tc>
          <w:tcPr>
            <w:tcW w:w="1843" w:type="dxa"/>
            <w:tcBorders>
              <w:top w:val="single" w:sz="4" w:space="0" w:color="auto"/>
              <w:left w:val="single" w:sz="4" w:space="0" w:color="auto"/>
              <w:bottom w:val="single" w:sz="4" w:space="0" w:color="auto"/>
              <w:right w:val="single" w:sz="4" w:space="0" w:color="auto"/>
            </w:tcBorders>
            <w:noWrap/>
            <w:vAlign w:val="bottom"/>
          </w:tcPr>
          <w:p w14:paraId="0C4A3424" w14:textId="14237659"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4,86</w:t>
            </w:r>
          </w:p>
        </w:tc>
        <w:tc>
          <w:tcPr>
            <w:tcW w:w="2126" w:type="dxa"/>
            <w:tcBorders>
              <w:top w:val="single" w:sz="4" w:space="0" w:color="auto"/>
              <w:left w:val="single" w:sz="4" w:space="0" w:color="auto"/>
              <w:bottom w:val="single" w:sz="4" w:space="0" w:color="auto"/>
              <w:right w:val="single" w:sz="4" w:space="0" w:color="auto"/>
            </w:tcBorders>
            <w:vAlign w:val="bottom"/>
          </w:tcPr>
          <w:p w14:paraId="15BF07F2"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2FCD6F8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C61A61" w14:textId="3F0BB9BA"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Frais interprétation simultanée en arabe</w:t>
            </w:r>
          </w:p>
        </w:tc>
        <w:tc>
          <w:tcPr>
            <w:tcW w:w="1843" w:type="dxa"/>
            <w:tcBorders>
              <w:top w:val="single" w:sz="4" w:space="0" w:color="auto"/>
              <w:left w:val="single" w:sz="4" w:space="0" w:color="auto"/>
              <w:bottom w:val="single" w:sz="4" w:space="0" w:color="auto"/>
              <w:right w:val="single" w:sz="4" w:space="0" w:color="auto"/>
            </w:tcBorders>
            <w:noWrap/>
            <w:vAlign w:val="bottom"/>
          </w:tcPr>
          <w:p w14:paraId="7AEEDEAA" w14:textId="2F7FEBEE"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1.355,19</w:t>
            </w:r>
          </w:p>
        </w:tc>
        <w:tc>
          <w:tcPr>
            <w:tcW w:w="2126" w:type="dxa"/>
            <w:tcBorders>
              <w:top w:val="single" w:sz="4" w:space="0" w:color="auto"/>
              <w:left w:val="single" w:sz="4" w:space="0" w:color="auto"/>
              <w:bottom w:val="single" w:sz="4" w:space="0" w:color="auto"/>
              <w:right w:val="single" w:sz="4" w:space="0" w:color="auto"/>
            </w:tcBorders>
            <w:vAlign w:val="bottom"/>
          </w:tcPr>
          <w:p w14:paraId="38E12176"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55964AE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7AA63FC" w14:textId="210FC99E"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Réunions intersessions de 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2ECA804E" w14:textId="598ADAC2" w:rsidR="007F7464" w:rsidRPr="007845E4" w:rsidRDefault="007F7464" w:rsidP="007F7464">
            <w:pPr>
              <w:spacing w:after="0" w:line="240" w:lineRule="auto"/>
              <w:jc w:val="center"/>
              <w:rPr>
                <w:rFonts w:ascii="Cambria" w:hAnsi="Cambria" w:cs="Times New Roman"/>
                <w:sz w:val="20"/>
                <w:szCs w:val="20"/>
              </w:rPr>
            </w:pPr>
            <w:r w:rsidRPr="007845E4">
              <w:rPr>
                <w:rFonts w:ascii="Cambria" w:hAnsi="Cambria"/>
                <w:sz w:val="20"/>
                <w:szCs w:val="20"/>
              </w:rPr>
              <w:t>105.928,79</w:t>
            </w:r>
          </w:p>
        </w:tc>
        <w:tc>
          <w:tcPr>
            <w:tcW w:w="2126" w:type="dxa"/>
            <w:tcBorders>
              <w:top w:val="single" w:sz="4" w:space="0" w:color="auto"/>
              <w:left w:val="single" w:sz="4" w:space="0" w:color="auto"/>
              <w:bottom w:val="single" w:sz="4" w:space="0" w:color="auto"/>
              <w:right w:val="single" w:sz="4" w:space="0" w:color="auto"/>
            </w:tcBorders>
            <w:vAlign w:val="bottom"/>
          </w:tcPr>
          <w:p w14:paraId="29A90E4C"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66B88A7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8F4382"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F1DADF0" w14:textId="77777777" w:rsidR="007F7464" w:rsidRPr="007845E4" w:rsidRDefault="007F7464" w:rsidP="007F7464">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0A6B69E"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076269C6"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0A5B500" w14:textId="77777777"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c) Contributions versées pendant l'exercice au titre de budgets antérieurs</w:t>
            </w:r>
          </w:p>
        </w:tc>
        <w:tc>
          <w:tcPr>
            <w:tcW w:w="1843" w:type="dxa"/>
            <w:tcBorders>
              <w:top w:val="single" w:sz="4" w:space="0" w:color="auto"/>
              <w:left w:val="single" w:sz="4" w:space="0" w:color="auto"/>
              <w:bottom w:val="single" w:sz="4" w:space="0" w:color="auto"/>
              <w:right w:val="single" w:sz="4" w:space="0" w:color="auto"/>
            </w:tcBorders>
            <w:noWrap/>
            <w:vAlign w:val="center"/>
          </w:tcPr>
          <w:p w14:paraId="001DA7CE" w14:textId="3EF72163" w:rsidR="007F7464" w:rsidRPr="007845E4" w:rsidRDefault="007F7464" w:rsidP="007F7464">
            <w:pPr>
              <w:spacing w:after="0" w:line="240" w:lineRule="auto"/>
              <w:jc w:val="center"/>
              <w:rPr>
                <w:rFonts w:ascii="Cambria" w:eastAsia="Times New Roman" w:hAnsi="Cambria" w:cs="Arial"/>
                <w:b/>
                <w:sz w:val="20"/>
                <w:szCs w:val="20"/>
              </w:rPr>
            </w:pPr>
            <w:r w:rsidRPr="007845E4">
              <w:rPr>
                <w:rFonts w:ascii="Cambria" w:hAnsi="Cambria"/>
                <w:b/>
                <w:sz w:val="20"/>
                <w:szCs w:val="20"/>
              </w:rPr>
              <w:t>238.925,08</w:t>
            </w:r>
          </w:p>
        </w:tc>
        <w:tc>
          <w:tcPr>
            <w:tcW w:w="2126" w:type="dxa"/>
            <w:tcBorders>
              <w:top w:val="single" w:sz="4" w:space="0" w:color="auto"/>
              <w:left w:val="single" w:sz="4" w:space="0" w:color="auto"/>
              <w:bottom w:val="single" w:sz="4" w:space="0" w:color="auto"/>
              <w:right w:val="single" w:sz="4" w:space="0" w:color="auto"/>
            </w:tcBorders>
            <w:vAlign w:val="bottom"/>
          </w:tcPr>
          <w:p w14:paraId="0CBB4568" w14:textId="77777777" w:rsidR="007F7464" w:rsidRPr="007845E4" w:rsidRDefault="007F7464" w:rsidP="007F7464">
            <w:pPr>
              <w:spacing w:after="0" w:line="240" w:lineRule="auto"/>
              <w:jc w:val="center"/>
              <w:rPr>
                <w:rFonts w:ascii="Cambria" w:eastAsia="Times New Roman" w:hAnsi="Cambria" w:cs="Arial"/>
                <w:b/>
                <w:sz w:val="20"/>
                <w:szCs w:val="20"/>
              </w:rPr>
            </w:pPr>
          </w:p>
        </w:tc>
      </w:tr>
      <w:tr w:rsidR="00F255D8" w:rsidRPr="007845E4" w14:paraId="5811AA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5807B41" w14:textId="77777777" w:rsidR="00413C7D" w:rsidRPr="007845E4" w:rsidRDefault="00413C7D" w:rsidP="00413C7D">
            <w:pPr>
              <w:spacing w:after="0" w:line="240" w:lineRule="auto"/>
              <w:rPr>
                <w:rFonts w:ascii="Cambria" w:eastAsia="Times New Roman" w:hAnsi="Cambria" w:cs="Arial"/>
                <w:sz w:val="20"/>
                <w:szCs w:val="20"/>
              </w:rPr>
            </w:pPr>
            <w:r w:rsidRPr="007845E4">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D054F40" w14:textId="77777777" w:rsidR="00413C7D" w:rsidRPr="007845E4" w:rsidRDefault="00413C7D" w:rsidP="006E7829">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FBE06A5" w14:textId="77777777" w:rsidR="00413C7D" w:rsidRPr="007845E4" w:rsidRDefault="00413C7D" w:rsidP="006E7829">
            <w:pPr>
              <w:spacing w:after="0" w:line="240" w:lineRule="auto"/>
              <w:jc w:val="center"/>
              <w:rPr>
                <w:rFonts w:ascii="Cambria" w:eastAsia="Times New Roman" w:hAnsi="Cambria" w:cs="Arial"/>
                <w:sz w:val="20"/>
                <w:szCs w:val="20"/>
              </w:rPr>
            </w:pPr>
          </w:p>
        </w:tc>
      </w:tr>
      <w:tr w:rsidR="007F7464" w:rsidRPr="007845E4" w14:paraId="1C898C1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8D44EE7"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Contributions aux budgets ordinaires</w:t>
            </w:r>
          </w:p>
        </w:tc>
        <w:tc>
          <w:tcPr>
            <w:tcW w:w="1843" w:type="dxa"/>
            <w:tcBorders>
              <w:top w:val="single" w:sz="4" w:space="0" w:color="auto"/>
              <w:left w:val="single" w:sz="4" w:space="0" w:color="auto"/>
              <w:bottom w:val="single" w:sz="4" w:space="0" w:color="auto"/>
              <w:right w:val="single" w:sz="4" w:space="0" w:color="auto"/>
            </w:tcBorders>
            <w:noWrap/>
            <w:vAlign w:val="bottom"/>
          </w:tcPr>
          <w:p w14:paraId="43E3C85D" w14:textId="29C8B5CC" w:rsidR="007F7464" w:rsidRPr="007845E4" w:rsidRDefault="007F7464" w:rsidP="007F7464">
            <w:pPr>
              <w:spacing w:after="0" w:line="240" w:lineRule="auto"/>
              <w:jc w:val="center"/>
              <w:rPr>
                <w:rFonts w:ascii="Cambria" w:eastAsia="Times New Roman" w:hAnsi="Cambria" w:cs="Arial"/>
                <w:sz w:val="20"/>
                <w:szCs w:val="20"/>
              </w:rPr>
            </w:pPr>
            <w:r w:rsidRPr="007845E4">
              <w:rPr>
                <w:rFonts w:ascii="Cambria" w:hAnsi="Cambria"/>
                <w:sz w:val="20"/>
                <w:szCs w:val="20"/>
              </w:rPr>
              <w:t>233.488,67</w:t>
            </w:r>
          </w:p>
        </w:tc>
        <w:tc>
          <w:tcPr>
            <w:tcW w:w="2126" w:type="dxa"/>
            <w:tcBorders>
              <w:top w:val="single" w:sz="4" w:space="0" w:color="auto"/>
              <w:left w:val="single" w:sz="4" w:space="0" w:color="auto"/>
              <w:bottom w:val="single" w:sz="4" w:space="0" w:color="auto"/>
              <w:right w:val="single" w:sz="4" w:space="0" w:color="auto"/>
            </w:tcBorders>
            <w:vAlign w:val="bottom"/>
          </w:tcPr>
          <w:p w14:paraId="148A6676"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4433B512"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3CF41CA" w14:textId="13F31CFE"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Contributions versées de nouvelles Parties contractantes à l'exercice en cours</w:t>
            </w:r>
          </w:p>
        </w:tc>
        <w:tc>
          <w:tcPr>
            <w:tcW w:w="1843" w:type="dxa"/>
            <w:tcBorders>
              <w:top w:val="single" w:sz="4" w:space="0" w:color="auto"/>
              <w:left w:val="single" w:sz="4" w:space="0" w:color="auto"/>
              <w:bottom w:val="single" w:sz="4" w:space="0" w:color="auto"/>
              <w:right w:val="single" w:sz="4" w:space="0" w:color="auto"/>
            </w:tcBorders>
            <w:noWrap/>
            <w:vAlign w:val="center"/>
          </w:tcPr>
          <w:p w14:paraId="211BC584" w14:textId="70ABF37E" w:rsidR="007F7464" w:rsidRPr="007845E4" w:rsidRDefault="007F7464" w:rsidP="007F7464">
            <w:pPr>
              <w:spacing w:after="0" w:line="240" w:lineRule="auto"/>
              <w:jc w:val="center"/>
              <w:rPr>
                <w:rFonts w:ascii="Cambria" w:eastAsia="Times New Roman" w:hAnsi="Cambria" w:cs="Arial"/>
                <w:sz w:val="20"/>
                <w:szCs w:val="20"/>
              </w:rPr>
            </w:pPr>
            <w:r w:rsidRPr="007845E4">
              <w:rPr>
                <w:rFonts w:ascii="Cambria" w:hAnsi="Cambria"/>
                <w:sz w:val="20"/>
                <w:szCs w:val="20"/>
              </w:rPr>
              <w:t>5.436,41</w:t>
            </w:r>
          </w:p>
        </w:tc>
        <w:tc>
          <w:tcPr>
            <w:tcW w:w="2126" w:type="dxa"/>
            <w:tcBorders>
              <w:top w:val="single" w:sz="4" w:space="0" w:color="auto"/>
              <w:left w:val="single" w:sz="4" w:space="0" w:color="auto"/>
              <w:bottom w:val="single" w:sz="4" w:space="0" w:color="auto"/>
              <w:right w:val="single" w:sz="4" w:space="0" w:color="auto"/>
            </w:tcBorders>
            <w:vAlign w:val="bottom"/>
          </w:tcPr>
          <w:p w14:paraId="41751858"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F255D8" w:rsidRPr="007845E4" w14:paraId="4420CCF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EB649DC" w14:textId="77777777" w:rsidR="00413C7D" w:rsidRPr="007845E4" w:rsidRDefault="00413C7D" w:rsidP="00413C7D">
            <w:pPr>
              <w:spacing w:after="0" w:line="240" w:lineRule="auto"/>
              <w:rPr>
                <w:rFonts w:ascii="Cambria" w:eastAsia="Times New Roman" w:hAnsi="Cambria" w:cs="Arial"/>
                <w:sz w:val="20"/>
                <w:szCs w:val="20"/>
              </w:rPr>
            </w:pPr>
            <w:r w:rsidRPr="007845E4">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C39FE" w14:textId="77777777" w:rsidR="00413C7D" w:rsidRPr="007845E4" w:rsidRDefault="00413C7D" w:rsidP="006E7829">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897A2C" w14:textId="77777777" w:rsidR="00413C7D" w:rsidRPr="007845E4" w:rsidRDefault="00413C7D" w:rsidP="006E7829">
            <w:pPr>
              <w:spacing w:after="0" w:line="240" w:lineRule="auto"/>
              <w:jc w:val="center"/>
              <w:rPr>
                <w:rFonts w:ascii="Cambria" w:eastAsia="Times New Roman" w:hAnsi="Cambria" w:cs="Arial"/>
                <w:sz w:val="20"/>
                <w:szCs w:val="20"/>
              </w:rPr>
            </w:pPr>
          </w:p>
        </w:tc>
      </w:tr>
      <w:tr w:rsidR="007F7464" w:rsidRPr="007845E4" w14:paraId="36E8E43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9640E8D" w14:textId="66D53928"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Solde disponible au 8 octobre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4E8F0380" w14:textId="1CFE947E" w:rsidR="007F7464" w:rsidRPr="007845E4" w:rsidRDefault="007F7464" w:rsidP="007F7464">
            <w:pPr>
              <w:spacing w:after="0" w:line="240" w:lineRule="auto"/>
              <w:jc w:val="center"/>
              <w:rPr>
                <w:rFonts w:ascii="Cambria" w:eastAsia="Times New Roman" w:hAnsi="Cambria" w:cs="Arial"/>
                <w:b/>
                <w:sz w:val="20"/>
                <w:szCs w:val="20"/>
              </w:rPr>
            </w:pPr>
            <w:r w:rsidRPr="007845E4">
              <w:rPr>
                <w:rFonts w:ascii="Cambria" w:hAnsi="Cambria"/>
                <w:b/>
                <w:sz w:val="20"/>
                <w:szCs w:val="20"/>
              </w:rPr>
              <w:t>4.318.088,83</w:t>
            </w:r>
          </w:p>
        </w:tc>
        <w:tc>
          <w:tcPr>
            <w:tcW w:w="2126" w:type="dxa"/>
            <w:tcBorders>
              <w:top w:val="single" w:sz="4" w:space="0" w:color="auto"/>
              <w:left w:val="single" w:sz="4" w:space="0" w:color="auto"/>
              <w:bottom w:val="single" w:sz="4" w:space="0" w:color="auto"/>
              <w:right w:val="single" w:sz="4" w:space="0" w:color="auto"/>
            </w:tcBorders>
            <w:vAlign w:val="bottom"/>
          </w:tcPr>
          <w:p w14:paraId="5F861BE4" w14:textId="6D935AE5" w:rsidR="007F7464" w:rsidRPr="007845E4" w:rsidRDefault="007F7464" w:rsidP="007F7464">
            <w:pPr>
              <w:spacing w:after="0" w:line="240" w:lineRule="auto"/>
              <w:jc w:val="center"/>
              <w:rPr>
                <w:rFonts w:ascii="Cambria" w:eastAsia="Times New Roman" w:hAnsi="Cambria" w:cs="Arial"/>
                <w:b/>
                <w:sz w:val="20"/>
                <w:szCs w:val="20"/>
              </w:rPr>
            </w:pPr>
            <w:r w:rsidRPr="007845E4">
              <w:rPr>
                <w:rFonts w:ascii="Cambria" w:hAnsi="Cambria"/>
                <w:b/>
                <w:sz w:val="20"/>
                <w:szCs w:val="20"/>
              </w:rPr>
              <w:t>72,06 %</w:t>
            </w:r>
          </w:p>
        </w:tc>
      </w:tr>
      <w:tr w:rsidR="007F7464" w:rsidRPr="007845E4" w14:paraId="2D4CD6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885C37"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D4666F9" w14:textId="77777777" w:rsidR="007F7464" w:rsidRPr="007845E4" w:rsidRDefault="007F7464" w:rsidP="007F7464">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0E932C1"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3CBB4C0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7DB40A2" w14:textId="4912FB14"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Dépenses estimées (jusqu'au 31 décembre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314B8615" w14:textId="7836F9B7" w:rsidR="007F7464" w:rsidRPr="007845E4" w:rsidRDefault="007F7464" w:rsidP="007F7464">
            <w:pPr>
              <w:spacing w:after="0" w:line="240" w:lineRule="auto"/>
              <w:jc w:val="center"/>
              <w:rPr>
                <w:rFonts w:ascii="Cambria" w:eastAsia="Times New Roman" w:hAnsi="Cambria" w:cs="Arial"/>
                <w:color w:val="FF0000"/>
                <w:sz w:val="20"/>
                <w:szCs w:val="20"/>
              </w:rPr>
            </w:pPr>
            <w:r w:rsidRPr="007845E4">
              <w:rPr>
                <w:rFonts w:ascii="Cambria" w:hAnsi="Cambria"/>
                <w:sz w:val="20"/>
                <w:szCs w:val="20"/>
              </w:rPr>
              <w:t>1.773.045,95</w:t>
            </w:r>
          </w:p>
        </w:tc>
        <w:tc>
          <w:tcPr>
            <w:tcW w:w="2126" w:type="dxa"/>
            <w:tcBorders>
              <w:top w:val="single" w:sz="4" w:space="0" w:color="auto"/>
              <w:left w:val="single" w:sz="4" w:space="0" w:color="auto"/>
              <w:bottom w:val="single" w:sz="4" w:space="0" w:color="auto"/>
              <w:right w:val="single" w:sz="4" w:space="0" w:color="auto"/>
            </w:tcBorders>
            <w:vAlign w:val="bottom"/>
          </w:tcPr>
          <w:p w14:paraId="39639797"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7845E4" w14:paraId="7CF35C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8609004" w14:textId="77777777" w:rsidR="007F7464" w:rsidRPr="007845E4" w:rsidRDefault="007F7464" w:rsidP="007F7464">
            <w:pPr>
              <w:spacing w:after="0" w:line="240" w:lineRule="auto"/>
              <w:rPr>
                <w:rFonts w:ascii="Cambria" w:eastAsia="Times New Roman" w:hAnsi="Cambria" w:cs="Arial"/>
                <w:sz w:val="20"/>
                <w:szCs w:val="20"/>
              </w:rPr>
            </w:pPr>
            <w:r w:rsidRPr="007845E4">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2B81E3BD" w14:textId="77777777" w:rsidR="007F7464" w:rsidRPr="007845E4" w:rsidRDefault="007F7464" w:rsidP="007F7464">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10A8DEC" w14:textId="77777777" w:rsidR="007F7464" w:rsidRPr="007845E4" w:rsidRDefault="007F7464" w:rsidP="007F7464">
            <w:pPr>
              <w:spacing w:after="0" w:line="240" w:lineRule="auto"/>
              <w:jc w:val="center"/>
              <w:rPr>
                <w:rFonts w:ascii="Cambria" w:eastAsia="Times New Roman" w:hAnsi="Cambria" w:cs="Arial"/>
                <w:sz w:val="20"/>
                <w:szCs w:val="20"/>
              </w:rPr>
            </w:pPr>
          </w:p>
        </w:tc>
      </w:tr>
      <w:tr w:rsidR="007F7464" w:rsidRPr="00404D83" w14:paraId="3082775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2D4BDD" w14:textId="7016DE4F" w:rsidR="007F7464" w:rsidRPr="007845E4" w:rsidRDefault="007F7464" w:rsidP="007F7464">
            <w:pPr>
              <w:spacing w:after="0" w:line="240" w:lineRule="auto"/>
              <w:rPr>
                <w:rFonts w:ascii="Cambria" w:eastAsia="Times New Roman" w:hAnsi="Cambria" w:cs="Arial"/>
                <w:b/>
                <w:sz w:val="20"/>
                <w:szCs w:val="20"/>
              </w:rPr>
            </w:pPr>
            <w:r w:rsidRPr="007845E4">
              <w:rPr>
                <w:rFonts w:ascii="Cambria" w:hAnsi="Cambria"/>
                <w:b/>
                <w:sz w:val="20"/>
                <w:szCs w:val="20"/>
              </w:rPr>
              <w:t>Solde estimé au 31 décembre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27C432C8" w14:textId="385B6E37" w:rsidR="007F7464" w:rsidRPr="007845E4" w:rsidRDefault="007F7464" w:rsidP="007F7464">
            <w:pPr>
              <w:spacing w:after="0" w:line="240" w:lineRule="auto"/>
              <w:jc w:val="center"/>
              <w:rPr>
                <w:rFonts w:ascii="Cambria" w:eastAsia="Times New Roman" w:hAnsi="Cambria" w:cs="Arial"/>
                <w:b/>
                <w:sz w:val="20"/>
                <w:szCs w:val="20"/>
              </w:rPr>
            </w:pPr>
            <w:r w:rsidRPr="007845E4">
              <w:rPr>
                <w:rFonts w:ascii="Cambria" w:hAnsi="Cambria"/>
                <w:b/>
                <w:sz w:val="20"/>
                <w:szCs w:val="20"/>
              </w:rPr>
              <w:t>2.545.042,88</w:t>
            </w:r>
          </w:p>
        </w:tc>
        <w:tc>
          <w:tcPr>
            <w:tcW w:w="2126" w:type="dxa"/>
            <w:tcBorders>
              <w:top w:val="single" w:sz="4" w:space="0" w:color="auto"/>
              <w:left w:val="single" w:sz="4" w:space="0" w:color="auto"/>
              <w:bottom w:val="single" w:sz="4" w:space="0" w:color="auto"/>
              <w:right w:val="single" w:sz="4" w:space="0" w:color="auto"/>
            </w:tcBorders>
            <w:vAlign w:val="bottom"/>
          </w:tcPr>
          <w:p w14:paraId="2CDCDFCD" w14:textId="26A01504" w:rsidR="007F7464" w:rsidRPr="006F5E03" w:rsidRDefault="007F7464" w:rsidP="007F7464">
            <w:pPr>
              <w:spacing w:after="0" w:line="240" w:lineRule="auto"/>
              <w:jc w:val="center"/>
              <w:rPr>
                <w:rFonts w:ascii="Cambria" w:eastAsia="Times New Roman" w:hAnsi="Cambria" w:cs="Arial"/>
                <w:b/>
                <w:sz w:val="20"/>
                <w:szCs w:val="20"/>
              </w:rPr>
            </w:pPr>
            <w:r w:rsidRPr="007845E4">
              <w:rPr>
                <w:rFonts w:ascii="Cambria" w:hAnsi="Cambria"/>
                <w:b/>
                <w:sz w:val="20"/>
                <w:szCs w:val="20"/>
              </w:rPr>
              <w:t>42,47 %</w:t>
            </w:r>
          </w:p>
        </w:tc>
      </w:tr>
      <w:tr w:rsidR="00F255D8" w:rsidRPr="00404D83" w14:paraId="3BB2E1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8292378" w14:textId="77777777" w:rsidR="00413C7D" w:rsidRPr="00404D83" w:rsidRDefault="00413C7D" w:rsidP="00413C7D">
            <w:pPr>
              <w:spacing w:after="0" w:line="240" w:lineRule="auto"/>
              <w:rPr>
                <w:rFonts w:ascii="Cambria" w:eastAsia="Times New Roman" w:hAnsi="Cambria" w:cs="Arial"/>
                <w:sz w:val="20"/>
                <w:szCs w:val="20"/>
              </w:rPr>
            </w:pPr>
            <w:r w:rsidRPr="00404D83">
              <w:rPr>
                <w:rFonts w:ascii="Cambria" w:hAnsi="Cambria"/>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7D42646B" w14:textId="77777777" w:rsidR="00413C7D" w:rsidRPr="00404D83" w:rsidRDefault="00413C7D" w:rsidP="006E7829">
            <w:pPr>
              <w:spacing w:after="0" w:line="240" w:lineRule="auto"/>
              <w:jc w:val="center"/>
              <w:rPr>
                <w:rFonts w:ascii="Cambria" w:eastAsia="Times New Roman"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713550E" w14:textId="77777777" w:rsidR="00413C7D" w:rsidRPr="00404D83" w:rsidRDefault="00413C7D" w:rsidP="006E7829">
            <w:pPr>
              <w:spacing w:after="0" w:line="240" w:lineRule="auto"/>
              <w:jc w:val="center"/>
              <w:rPr>
                <w:rFonts w:ascii="Cambria" w:eastAsia="Times New Roman" w:hAnsi="Cambria" w:cs="Arial"/>
                <w:sz w:val="20"/>
                <w:szCs w:val="20"/>
              </w:rPr>
            </w:pPr>
          </w:p>
        </w:tc>
      </w:tr>
    </w:tbl>
    <w:p w14:paraId="587E6591" w14:textId="77777777" w:rsidR="00260776" w:rsidRPr="00404D83" w:rsidRDefault="00260776" w:rsidP="00883039">
      <w:pPr>
        <w:spacing w:after="0" w:line="240" w:lineRule="auto"/>
        <w:jc w:val="both"/>
        <w:rPr>
          <w:rFonts w:ascii="Cambria" w:hAnsi="Cambria" w:cs="Times New Roman"/>
          <w:b/>
          <w:bCs/>
          <w:sz w:val="20"/>
          <w:szCs w:val="20"/>
        </w:rPr>
      </w:pPr>
    </w:p>
    <w:sectPr w:rsidR="00260776" w:rsidRPr="00404D83" w:rsidSect="005A0BF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F1C7" w14:textId="77777777" w:rsidR="008E4F25" w:rsidRDefault="008E4F25" w:rsidP="007C09E8">
      <w:pPr>
        <w:spacing w:after="0" w:line="240" w:lineRule="auto"/>
      </w:pPr>
      <w:r>
        <w:separator/>
      </w:r>
    </w:p>
  </w:endnote>
  <w:endnote w:type="continuationSeparator" w:id="0">
    <w:p w14:paraId="27EB5EF4" w14:textId="77777777" w:rsidR="008E4F25" w:rsidRDefault="008E4F25"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283C" w14:textId="37E8B95B" w:rsidR="001F13FF" w:rsidRPr="008B3054" w:rsidRDefault="003F3A8F" w:rsidP="00AC4E2D">
    <w:pPr>
      <w:tabs>
        <w:tab w:val="center" w:pos="4513"/>
        <w:tab w:val="right" w:pos="9026"/>
      </w:tabs>
      <w:spacing w:after="0" w:line="240" w:lineRule="auto"/>
      <w:jc w:val="center"/>
      <w:rPr>
        <w:rFonts w:asciiTheme="majorHAnsi" w:eastAsia="MS Mincho" w:hAnsiTheme="majorHAnsi" w:cs="Times New Roman"/>
        <w:sz w:val="20"/>
        <w:szCs w:val="20"/>
        <w:lang w:val="es-ES_tradnl" w:eastAsia="ja-JP"/>
      </w:rPr>
    </w:pPr>
    <w:r w:rsidRPr="003F3A8F">
      <w:rPr>
        <w:rFonts w:ascii="Cambria" w:eastAsia="Times New Roman" w:hAnsi="Cambria" w:cs="Times New Roman"/>
        <w:sz w:val="20"/>
        <w:szCs w:val="20"/>
      </w:rPr>
      <w:fldChar w:fldCharType="begin"/>
    </w:r>
    <w:r w:rsidRPr="003F3A8F">
      <w:rPr>
        <w:rFonts w:ascii="Cambria" w:eastAsia="Times New Roman" w:hAnsi="Cambria" w:cs="Times New Roman"/>
        <w:sz w:val="20"/>
        <w:szCs w:val="20"/>
      </w:rPr>
      <w:instrText xml:space="preserve"> PAGE </w:instrText>
    </w:r>
    <w:r w:rsidRPr="003F3A8F">
      <w:rPr>
        <w:rFonts w:ascii="Cambria" w:eastAsia="Times New Roman" w:hAnsi="Cambria" w:cs="Times New Roman"/>
        <w:sz w:val="20"/>
        <w:szCs w:val="20"/>
      </w:rPr>
      <w:fldChar w:fldCharType="separate"/>
    </w:r>
    <w:r w:rsidRPr="003F3A8F">
      <w:rPr>
        <w:rFonts w:ascii="Cambria" w:eastAsia="Times New Roman" w:hAnsi="Cambria" w:cs="Times New Roman"/>
        <w:sz w:val="20"/>
        <w:szCs w:val="20"/>
      </w:rPr>
      <w:t>1</w:t>
    </w:r>
    <w:r w:rsidRPr="003F3A8F">
      <w:rPr>
        <w:rFonts w:ascii="Cambria" w:eastAsia="Times New Roman" w:hAnsi="Cambria" w:cs="Times New Roman"/>
        <w:sz w:val="20"/>
        <w:szCs w:val="20"/>
      </w:rPr>
      <w:fldChar w:fldCharType="end"/>
    </w:r>
    <w:r>
      <w:rPr>
        <w:rFonts w:ascii="Cambria" w:hAnsi="Cambria"/>
        <w:sz w:val="20"/>
        <w:szCs w:val="20"/>
      </w:rPr>
      <w:t xml:space="preserve"> / </w:t>
    </w:r>
    <w:r w:rsidRPr="003F3A8F">
      <w:rPr>
        <w:rFonts w:ascii="Cambria" w:eastAsia="Times New Roman" w:hAnsi="Cambria" w:cs="Times New Roman"/>
        <w:sz w:val="20"/>
        <w:szCs w:val="20"/>
      </w:rPr>
      <w:fldChar w:fldCharType="begin"/>
    </w:r>
    <w:r w:rsidRPr="003F3A8F">
      <w:rPr>
        <w:rFonts w:ascii="Cambria" w:eastAsia="Times New Roman" w:hAnsi="Cambria" w:cs="Times New Roman"/>
        <w:sz w:val="20"/>
        <w:szCs w:val="20"/>
      </w:rPr>
      <w:instrText xml:space="preserve"> NUMPAGES </w:instrText>
    </w:r>
    <w:r w:rsidRPr="003F3A8F">
      <w:rPr>
        <w:rFonts w:ascii="Cambria" w:eastAsia="Times New Roman" w:hAnsi="Cambria" w:cs="Times New Roman"/>
        <w:sz w:val="20"/>
        <w:szCs w:val="20"/>
      </w:rPr>
      <w:fldChar w:fldCharType="separate"/>
    </w:r>
    <w:r w:rsidRPr="003F3A8F">
      <w:rPr>
        <w:rFonts w:ascii="Cambria" w:eastAsia="Times New Roman" w:hAnsi="Cambria" w:cs="Times New Roman"/>
        <w:sz w:val="20"/>
        <w:szCs w:val="20"/>
      </w:rPr>
      <w:t>1</w:t>
    </w:r>
    <w:r w:rsidRPr="003F3A8F">
      <w:rPr>
        <w:rFonts w:ascii="Cambria" w:eastAsia="Times New Roman" w:hAnsi="Cambria"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CC37" w14:textId="77777777" w:rsidR="008E4F25" w:rsidRDefault="008E4F25" w:rsidP="007C09E8">
      <w:pPr>
        <w:spacing w:after="0" w:line="240" w:lineRule="auto"/>
      </w:pPr>
      <w:r>
        <w:separator/>
      </w:r>
    </w:p>
  </w:footnote>
  <w:footnote w:type="continuationSeparator" w:id="0">
    <w:p w14:paraId="435D45EE" w14:textId="77777777" w:rsidR="008E4F25" w:rsidRDefault="008E4F25"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0F10" w14:textId="7946EF85" w:rsidR="003764FB" w:rsidRPr="003764FB" w:rsidRDefault="003764FB" w:rsidP="003764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bCs/>
        <w:sz w:val="20"/>
        <w:szCs w:val="20"/>
      </w:rPr>
      <w:t>STF_207</w:t>
    </w:r>
    <w:r w:rsidR="005B2B7F">
      <w:rPr>
        <w:rFonts w:ascii="Cambria" w:hAnsi="Cambria"/>
        <w:b/>
        <w:bCs/>
        <w:sz w:val="20"/>
        <w:szCs w:val="20"/>
      </w:rPr>
      <w:t>A</w:t>
    </w:r>
    <w:r>
      <w:rPr>
        <w:rFonts w:ascii="Cambria" w:hAnsi="Cambria"/>
        <w:b/>
        <w:bCs/>
        <w:sz w:val="20"/>
        <w:szCs w:val="20"/>
      </w:rPr>
      <w:t>/2025</w:t>
    </w:r>
  </w:p>
  <w:p w14:paraId="4A49A68D" w14:textId="1955F8FE" w:rsidR="003764FB" w:rsidRPr="00376CAD" w:rsidRDefault="00404D83" w:rsidP="00376CAD">
    <w:pPr>
      <w:tabs>
        <w:tab w:val="left" w:pos="7320"/>
      </w:tabs>
      <w:spacing w:after="0" w:line="240" w:lineRule="exact"/>
      <w:jc w:val="right"/>
      <w:rPr>
        <w:rFonts w:ascii="Cambria" w:eastAsia="Times New Roman" w:hAnsi="Cambria" w:cs="Times New Roman"/>
        <w:b/>
        <w:bCs/>
        <w:sz w:val="16"/>
        <w:szCs w:val="16"/>
      </w:rPr>
    </w:pPr>
    <w:r>
      <w:rPr>
        <w:rFonts w:ascii="Cambria" w:eastAsia="Times New Roman" w:hAnsi="Cambria" w:cs="Times New Roman"/>
        <w:b/>
        <w:bCs/>
        <w:sz w:val="16"/>
        <w:szCs w:val="16"/>
      </w:rPr>
      <w:fldChar w:fldCharType="begin"/>
    </w:r>
    <w:r>
      <w:rPr>
        <w:rFonts w:ascii="Cambria" w:eastAsia="Times New Roman" w:hAnsi="Cambria" w:cs="Times New Roman"/>
        <w:b/>
        <w:bCs/>
        <w:sz w:val="16"/>
        <w:szCs w:val="16"/>
      </w:rPr>
      <w:instrText xml:space="preserve"> TIME  \@ "dd/MM/yyyy HH:mm" </w:instrText>
    </w:r>
    <w:r>
      <w:rPr>
        <w:rFonts w:ascii="Cambria" w:eastAsia="Times New Roman" w:hAnsi="Cambria" w:cs="Times New Roman"/>
        <w:b/>
        <w:bCs/>
        <w:sz w:val="16"/>
        <w:szCs w:val="16"/>
      </w:rPr>
      <w:fldChar w:fldCharType="separate"/>
    </w:r>
    <w:r w:rsidR="0058301D">
      <w:rPr>
        <w:rFonts w:ascii="Cambria" w:eastAsia="Times New Roman" w:hAnsi="Cambria" w:cs="Times New Roman"/>
        <w:b/>
        <w:bCs/>
        <w:noProof/>
        <w:sz w:val="16"/>
        <w:szCs w:val="16"/>
      </w:rPr>
      <w:t>22/11/2025 20:10</w:t>
    </w:r>
    <w:r>
      <w:rPr>
        <w:rFonts w:ascii="Cambria" w:eastAsia="Times New Roman" w:hAnsi="Cambria" w:cs="Times New Roman"/>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D03"/>
    <w:multiLevelType w:val="hybridMultilevel"/>
    <w:tmpl w:val="BD88BED8"/>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 w15:restartNumberingAfterBreak="0">
    <w:nsid w:val="0F875396"/>
    <w:multiLevelType w:val="hybridMultilevel"/>
    <w:tmpl w:val="01E4E026"/>
    <w:lvl w:ilvl="0" w:tplc="252C5FFA">
      <w:start w:val="1"/>
      <w:numFmt w:val="bullet"/>
      <w:lvlText w:val="-"/>
      <w:lvlJc w:val="left"/>
      <w:pPr>
        <w:ind w:left="720" w:hanging="360"/>
      </w:pPr>
      <w:rPr>
        <w:rFonts w:ascii="MS Reference Sans Serif" w:hAnsi="MS Reference Sans Serif"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1E014F"/>
    <w:multiLevelType w:val="hybridMultilevel"/>
    <w:tmpl w:val="6DB410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2E3DF8"/>
    <w:multiLevelType w:val="hybridMultilevel"/>
    <w:tmpl w:val="D2E66BDE"/>
    <w:lvl w:ilvl="0" w:tplc="7DA48A6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4F3102"/>
    <w:multiLevelType w:val="hybridMultilevel"/>
    <w:tmpl w:val="F962D00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BD2208"/>
    <w:multiLevelType w:val="hybridMultilevel"/>
    <w:tmpl w:val="89AE5C6E"/>
    <w:lvl w:ilvl="0" w:tplc="68D0813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F012F5"/>
    <w:multiLevelType w:val="hybridMultilevel"/>
    <w:tmpl w:val="FEF6DE46"/>
    <w:lvl w:ilvl="0" w:tplc="7DA48A64">
      <w:numFmt w:val="bullet"/>
      <w:lvlText w:val="•"/>
      <w:lvlJc w:val="left"/>
      <w:pPr>
        <w:ind w:left="360" w:hanging="360"/>
      </w:pPr>
      <w:rPr>
        <w:rFonts w:ascii="Times New Roman" w:eastAsia="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10A9"/>
    <w:multiLevelType w:val="hybridMultilevel"/>
    <w:tmpl w:val="B6B83D64"/>
    <w:lvl w:ilvl="0" w:tplc="68D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EC24EB"/>
    <w:multiLevelType w:val="hybridMultilevel"/>
    <w:tmpl w:val="D9788484"/>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74BAF"/>
    <w:multiLevelType w:val="hybridMultilevel"/>
    <w:tmpl w:val="173CC6C0"/>
    <w:lvl w:ilvl="0" w:tplc="68D08138">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2"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C07C3"/>
    <w:multiLevelType w:val="hybridMultilevel"/>
    <w:tmpl w:val="61CE7F4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B966B0"/>
    <w:multiLevelType w:val="hybridMultilevel"/>
    <w:tmpl w:val="9A9E1C06"/>
    <w:lvl w:ilvl="0" w:tplc="DB9EDC20">
      <w:start w:val="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5C540F"/>
    <w:multiLevelType w:val="hybridMultilevel"/>
    <w:tmpl w:val="6D9EC8A4"/>
    <w:lvl w:ilvl="0" w:tplc="956A6816">
      <w:start w:val="2"/>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C2A2C"/>
    <w:multiLevelType w:val="hybridMultilevel"/>
    <w:tmpl w:val="4746DE1C"/>
    <w:lvl w:ilvl="0" w:tplc="EEF0EB88">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015A0D"/>
    <w:multiLevelType w:val="hybridMultilevel"/>
    <w:tmpl w:val="96DCFD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4BE5E0F"/>
    <w:multiLevelType w:val="hybridMultilevel"/>
    <w:tmpl w:val="84B44F5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7793E5E"/>
    <w:multiLevelType w:val="hybridMultilevel"/>
    <w:tmpl w:val="E9481E84"/>
    <w:lvl w:ilvl="0" w:tplc="3082588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298398">
    <w:abstractNumId w:val="22"/>
  </w:num>
  <w:num w:numId="2" w16cid:durableId="450049741">
    <w:abstractNumId w:val="17"/>
  </w:num>
  <w:num w:numId="3" w16cid:durableId="1918127633">
    <w:abstractNumId w:val="12"/>
  </w:num>
  <w:num w:numId="4" w16cid:durableId="567880873">
    <w:abstractNumId w:val="7"/>
  </w:num>
  <w:num w:numId="5" w16cid:durableId="100809435">
    <w:abstractNumId w:val="10"/>
  </w:num>
  <w:num w:numId="6" w16cid:durableId="1145925121">
    <w:abstractNumId w:val="16"/>
  </w:num>
  <w:num w:numId="7" w16cid:durableId="1390181059">
    <w:abstractNumId w:val="3"/>
  </w:num>
  <w:num w:numId="8" w16cid:durableId="1826117243">
    <w:abstractNumId w:val="6"/>
  </w:num>
  <w:num w:numId="9" w16cid:durableId="666251069">
    <w:abstractNumId w:val="18"/>
  </w:num>
  <w:num w:numId="10" w16cid:durableId="997994886">
    <w:abstractNumId w:val="19"/>
  </w:num>
  <w:num w:numId="11" w16cid:durableId="1493911601">
    <w:abstractNumId w:val="5"/>
  </w:num>
  <w:num w:numId="12" w16cid:durableId="1371958355">
    <w:abstractNumId w:val="15"/>
  </w:num>
  <w:num w:numId="13" w16cid:durableId="2061051870">
    <w:abstractNumId w:val="2"/>
  </w:num>
  <w:num w:numId="14" w16cid:durableId="232400402">
    <w:abstractNumId w:val="4"/>
  </w:num>
  <w:num w:numId="15" w16cid:durableId="154037299">
    <w:abstractNumId w:val="11"/>
  </w:num>
  <w:num w:numId="16" w16cid:durableId="537818698">
    <w:abstractNumId w:val="8"/>
  </w:num>
  <w:num w:numId="17" w16cid:durableId="311177593">
    <w:abstractNumId w:val="13"/>
  </w:num>
  <w:num w:numId="18" w16cid:durableId="948001947">
    <w:abstractNumId w:val="9"/>
  </w:num>
  <w:num w:numId="19" w16cid:durableId="723603067">
    <w:abstractNumId w:val="0"/>
  </w:num>
  <w:num w:numId="20" w16cid:durableId="176117829">
    <w:abstractNumId w:val="14"/>
  </w:num>
  <w:num w:numId="21" w16cid:durableId="1020857222">
    <w:abstractNumId w:val="21"/>
  </w:num>
  <w:num w:numId="22" w16cid:durableId="1214075598">
    <w:abstractNumId w:val="20"/>
  </w:num>
  <w:num w:numId="23" w16cid:durableId="2428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4132"/>
    <w:rsid w:val="000112C1"/>
    <w:rsid w:val="00011602"/>
    <w:rsid w:val="00012A63"/>
    <w:rsid w:val="00012E26"/>
    <w:rsid w:val="00013094"/>
    <w:rsid w:val="00013673"/>
    <w:rsid w:val="00020093"/>
    <w:rsid w:val="000248FF"/>
    <w:rsid w:val="00024D75"/>
    <w:rsid w:val="000251E8"/>
    <w:rsid w:val="00027FA0"/>
    <w:rsid w:val="0003128A"/>
    <w:rsid w:val="000319ED"/>
    <w:rsid w:val="00031F4A"/>
    <w:rsid w:val="0003256E"/>
    <w:rsid w:val="00040378"/>
    <w:rsid w:val="000411C5"/>
    <w:rsid w:val="00041425"/>
    <w:rsid w:val="00041A7F"/>
    <w:rsid w:val="00050FC7"/>
    <w:rsid w:val="00054010"/>
    <w:rsid w:val="00055DF4"/>
    <w:rsid w:val="00060142"/>
    <w:rsid w:val="00060B03"/>
    <w:rsid w:val="0006289F"/>
    <w:rsid w:val="00067E89"/>
    <w:rsid w:val="00073DC3"/>
    <w:rsid w:val="000772DF"/>
    <w:rsid w:val="00080667"/>
    <w:rsid w:val="00081EB3"/>
    <w:rsid w:val="000823C3"/>
    <w:rsid w:val="00082F93"/>
    <w:rsid w:val="0008572C"/>
    <w:rsid w:val="00085D71"/>
    <w:rsid w:val="00091441"/>
    <w:rsid w:val="000A058E"/>
    <w:rsid w:val="000A2EA4"/>
    <w:rsid w:val="000A3C4B"/>
    <w:rsid w:val="000A60F0"/>
    <w:rsid w:val="000A7A79"/>
    <w:rsid w:val="000B04FB"/>
    <w:rsid w:val="000B0E29"/>
    <w:rsid w:val="000B162D"/>
    <w:rsid w:val="000B2841"/>
    <w:rsid w:val="000B6C8C"/>
    <w:rsid w:val="000C06B1"/>
    <w:rsid w:val="000C2366"/>
    <w:rsid w:val="000C2367"/>
    <w:rsid w:val="000C41D4"/>
    <w:rsid w:val="000C627A"/>
    <w:rsid w:val="000D0243"/>
    <w:rsid w:val="000D1214"/>
    <w:rsid w:val="000D482D"/>
    <w:rsid w:val="000D4B4E"/>
    <w:rsid w:val="000E37F2"/>
    <w:rsid w:val="000E56F1"/>
    <w:rsid w:val="000E623D"/>
    <w:rsid w:val="000F5B09"/>
    <w:rsid w:val="00100A96"/>
    <w:rsid w:val="00100C48"/>
    <w:rsid w:val="00106889"/>
    <w:rsid w:val="0011292A"/>
    <w:rsid w:val="00112E1F"/>
    <w:rsid w:val="001144A8"/>
    <w:rsid w:val="0011634B"/>
    <w:rsid w:val="00116D6B"/>
    <w:rsid w:val="001207C4"/>
    <w:rsid w:val="00124797"/>
    <w:rsid w:val="0012638D"/>
    <w:rsid w:val="001336C0"/>
    <w:rsid w:val="00133E49"/>
    <w:rsid w:val="00136D8E"/>
    <w:rsid w:val="00141550"/>
    <w:rsid w:val="00143369"/>
    <w:rsid w:val="00151A96"/>
    <w:rsid w:val="00152025"/>
    <w:rsid w:val="00152619"/>
    <w:rsid w:val="00160D50"/>
    <w:rsid w:val="00161496"/>
    <w:rsid w:val="0016255A"/>
    <w:rsid w:val="00165A21"/>
    <w:rsid w:val="00167624"/>
    <w:rsid w:val="00170B3C"/>
    <w:rsid w:val="001720D2"/>
    <w:rsid w:val="00173BE3"/>
    <w:rsid w:val="00173DE7"/>
    <w:rsid w:val="00173E45"/>
    <w:rsid w:val="0017490B"/>
    <w:rsid w:val="00176A5A"/>
    <w:rsid w:val="00181A1B"/>
    <w:rsid w:val="00182542"/>
    <w:rsid w:val="00185A30"/>
    <w:rsid w:val="00192EC0"/>
    <w:rsid w:val="0019314F"/>
    <w:rsid w:val="00193B33"/>
    <w:rsid w:val="0019542B"/>
    <w:rsid w:val="001A2EC0"/>
    <w:rsid w:val="001A556C"/>
    <w:rsid w:val="001A5E85"/>
    <w:rsid w:val="001B0760"/>
    <w:rsid w:val="001B23F4"/>
    <w:rsid w:val="001B3772"/>
    <w:rsid w:val="001B6F39"/>
    <w:rsid w:val="001B745D"/>
    <w:rsid w:val="001B78DF"/>
    <w:rsid w:val="001C4257"/>
    <w:rsid w:val="001C71F5"/>
    <w:rsid w:val="001D2B86"/>
    <w:rsid w:val="001D2FEE"/>
    <w:rsid w:val="001D3ED8"/>
    <w:rsid w:val="001D6332"/>
    <w:rsid w:val="001D6C85"/>
    <w:rsid w:val="001E13A3"/>
    <w:rsid w:val="001E3F7A"/>
    <w:rsid w:val="001E63C3"/>
    <w:rsid w:val="001E6F4E"/>
    <w:rsid w:val="001E724E"/>
    <w:rsid w:val="001F04EE"/>
    <w:rsid w:val="001F11BF"/>
    <w:rsid w:val="001F13FF"/>
    <w:rsid w:val="001F164E"/>
    <w:rsid w:val="001F3ED6"/>
    <w:rsid w:val="0020284E"/>
    <w:rsid w:val="00206FC0"/>
    <w:rsid w:val="00212D46"/>
    <w:rsid w:val="00214A66"/>
    <w:rsid w:val="00221A9F"/>
    <w:rsid w:val="002253DB"/>
    <w:rsid w:val="002326A4"/>
    <w:rsid w:val="002339C8"/>
    <w:rsid w:val="00246D0A"/>
    <w:rsid w:val="00251825"/>
    <w:rsid w:val="00251F6D"/>
    <w:rsid w:val="00253E37"/>
    <w:rsid w:val="00254C12"/>
    <w:rsid w:val="00254C4F"/>
    <w:rsid w:val="0025511B"/>
    <w:rsid w:val="00260776"/>
    <w:rsid w:val="00260A79"/>
    <w:rsid w:val="00260E30"/>
    <w:rsid w:val="00263DEF"/>
    <w:rsid w:val="0026547A"/>
    <w:rsid w:val="00265742"/>
    <w:rsid w:val="0026700F"/>
    <w:rsid w:val="00281114"/>
    <w:rsid w:val="00281115"/>
    <w:rsid w:val="00281D97"/>
    <w:rsid w:val="0028355A"/>
    <w:rsid w:val="00284755"/>
    <w:rsid w:val="0028636B"/>
    <w:rsid w:val="0028709E"/>
    <w:rsid w:val="002927BF"/>
    <w:rsid w:val="00292C6F"/>
    <w:rsid w:val="002946A3"/>
    <w:rsid w:val="00294739"/>
    <w:rsid w:val="002962D1"/>
    <w:rsid w:val="002A12BE"/>
    <w:rsid w:val="002A4850"/>
    <w:rsid w:val="002A52A5"/>
    <w:rsid w:val="002A77DB"/>
    <w:rsid w:val="002B184B"/>
    <w:rsid w:val="002B249F"/>
    <w:rsid w:val="002B4B7B"/>
    <w:rsid w:val="002B7EB1"/>
    <w:rsid w:val="002C48F7"/>
    <w:rsid w:val="002C4A31"/>
    <w:rsid w:val="002D6B07"/>
    <w:rsid w:val="002D728E"/>
    <w:rsid w:val="002E51E8"/>
    <w:rsid w:val="002F4BED"/>
    <w:rsid w:val="002F65DF"/>
    <w:rsid w:val="00301371"/>
    <w:rsid w:val="003013AF"/>
    <w:rsid w:val="00305E3E"/>
    <w:rsid w:val="003075F4"/>
    <w:rsid w:val="00310A74"/>
    <w:rsid w:val="0031447F"/>
    <w:rsid w:val="003146F7"/>
    <w:rsid w:val="00315052"/>
    <w:rsid w:val="00315DF1"/>
    <w:rsid w:val="003172F6"/>
    <w:rsid w:val="00317857"/>
    <w:rsid w:val="00317A3A"/>
    <w:rsid w:val="00320111"/>
    <w:rsid w:val="0032080C"/>
    <w:rsid w:val="00322377"/>
    <w:rsid w:val="00322CC2"/>
    <w:rsid w:val="00324361"/>
    <w:rsid w:val="003303CE"/>
    <w:rsid w:val="003322CA"/>
    <w:rsid w:val="00333B2B"/>
    <w:rsid w:val="00336927"/>
    <w:rsid w:val="00340AA7"/>
    <w:rsid w:val="003415E4"/>
    <w:rsid w:val="00344B0F"/>
    <w:rsid w:val="0034638C"/>
    <w:rsid w:val="00346E95"/>
    <w:rsid w:val="003475D6"/>
    <w:rsid w:val="003537E8"/>
    <w:rsid w:val="00354656"/>
    <w:rsid w:val="00354B09"/>
    <w:rsid w:val="00357E77"/>
    <w:rsid w:val="003703FB"/>
    <w:rsid w:val="00373D60"/>
    <w:rsid w:val="00373E21"/>
    <w:rsid w:val="00375923"/>
    <w:rsid w:val="00375AB6"/>
    <w:rsid w:val="003764FB"/>
    <w:rsid w:val="00376CAD"/>
    <w:rsid w:val="003778DD"/>
    <w:rsid w:val="00381DA9"/>
    <w:rsid w:val="003868FE"/>
    <w:rsid w:val="00390F7F"/>
    <w:rsid w:val="00391EF7"/>
    <w:rsid w:val="00392A6E"/>
    <w:rsid w:val="00394256"/>
    <w:rsid w:val="00397499"/>
    <w:rsid w:val="003976F3"/>
    <w:rsid w:val="003A116D"/>
    <w:rsid w:val="003A2C42"/>
    <w:rsid w:val="003A5332"/>
    <w:rsid w:val="003A584E"/>
    <w:rsid w:val="003A6A9A"/>
    <w:rsid w:val="003B2C8B"/>
    <w:rsid w:val="003B4684"/>
    <w:rsid w:val="003B7339"/>
    <w:rsid w:val="003C04D1"/>
    <w:rsid w:val="003C3A28"/>
    <w:rsid w:val="003C7469"/>
    <w:rsid w:val="003C786C"/>
    <w:rsid w:val="003D0248"/>
    <w:rsid w:val="003D082A"/>
    <w:rsid w:val="003D0B5F"/>
    <w:rsid w:val="003D1047"/>
    <w:rsid w:val="003D2D4C"/>
    <w:rsid w:val="003D3D24"/>
    <w:rsid w:val="003D3E2D"/>
    <w:rsid w:val="003D6B22"/>
    <w:rsid w:val="003D70E2"/>
    <w:rsid w:val="003E2603"/>
    <w:rsid w:val="003E528B"/>
    <w:rsid w:val="003E52D5"/>
    <w:rsid w:val="003E5D30"/>
    <w:rsid w:val="003E7954"/>
    <w:rsid w:val="003F0BEC"/>
    <w:rsid w:val="003F0FF7"/>
    <w:rsid w:val="003F3A8F"/>
    <w:rsid w:val="003F4C43"/>
    <w:rsid w:val="004026BE"/>
    <w:rsid w:val="00403A40"/>
    <w:rsid w:val="00404D83"/>
    <w:rsid w:val="00410A7B"/>
    <w:rsid w:val="00411D9A"/>
    <w:rsid w:val="00413C7D"/>
    <w:rsid w:val="004168D1"/>
    <w:rsid w:val="004169B4"/>
    <w:rsid w:val="00420A06"/>
    <w:rsid w:val="00425556"/>
    <w:rsid w:val="00430B7C"/>
    <w:rsid w:val="004346EB"/>
    <w:rsid w:val="00435720"/>
    <w:rsid w:val="00436954"/>
    <w:rsid w:val="00440B8D"/>
    <w:rsid w:val="00443494"/>
    <w:rsid w:val="00444C21"/>
    <w:rsid w:val="004561AC"/>
    <w:rsid w:val="004562A7"/>
    <w:rsid w:val="00461C53"/>
    <w:rsid w:val="00470886"/>
    <w:rsid w:val="00476C63"/>
    <w:rsid w:val="004813BF"/>
    <w:rsid w:val="00492617"/>
    <w:rsid w:val="00497701"/>
    <w:rsid w:val="004A0B78"/>
    <w:rsid w:val="004A1E4A"/>
    <w:rsid w:val="004B10BB"/>
    <w:rsid w:val="004B258A"/>
    <w:rsid w:val="004B3960"/>
    <w:rsid w:val="004C0755"/>
    <w:rsid w:val="004C35C8"/>
    <w:rsid w:val="004C39F6"/>
    <w:rsid w:val="004C3CFC"/>
    <w:rsid w:val="004C3F00"/>
    <w:rsid w:val="004C43A8"/>
    <w:rsid w:val="004D3519"/>
    <w:rsid w:val="004D5AD3"/>
    <w:rsid w:val="004D7A71"/>
    <w:rsid w:val="004E1EAD"/>
    <w:rsid w:val="004E2DFA"/>
    <w:rsid w:val="004E35FD"/>
    <w:rsid w:val="004F033E"/>
    <w:rsid w:val="004F189B"/>
    <w:rsid w:val="004F735D"/>
    <w:rsid w:val="00500BF9"/>
    <w:rsid w:val="00503B66"/>
    <w:rsid w:val="00506060"/>
    <w:rsid w:val="0050695E"/>
    <w:rsid w:val="005115D1"/>
    <w:rsid w:val="00511AB7"/>
    <w:rsid w:val="0052251A"/>
    <w:rsid w:val="00525728"/>
    <w:rsid w:val="00526EF6"/>
    <w:rsid w:val="00527BD6"/>
    <w:rsid w:val="00531C8A"/>
    <w:rsid w:val="00533DEB"/>
    <w:rsid w:val="00537EE0"/>
    <w:rsid w:val="00541032"/>
    <w:rsid w:val="00546475"/>
    <w:rsid w:val="00547024"/>
    <w:rsid w:val="00556C0B"/>
    <w:rsid w:val="0055749D"/>
    <w:rsid w:val="00563AA4"/>
    <w:rsid w:val="0056449D"/>
    <w:rsid w:val="00565DAE"/>
    <w:rsid w:val="00566063"/>
    <w:rsid w:val="005666CA"/>
    <w:rsid w:val="00574154"/>
    <w:rsid w:val="00576990"/>
    <w:rsid w:val="00576CF5"/>
    <w:rsid w:val="0057769E"/>
    <w:rsid w:val="0058035A"/>
    <w:rsid w:val="005820B7"/>
    <w:rsid w:val="00582358"/>
    <w:rsid w:val="00582427"/>
    <w:rsid w:val="005826E9"/>
    <w:rsid w:val="0058301D"/>
    <w:rsid w:val="0059633D"/>
    <w:rsid w:val="005A0BF1"/>
    <w:rsid w:val="005A4763"/>
    <w:rsid w:val="005A7FF6"/>
    <w:rsid w:val="005B2B7F"/>
    <w:rsid w:val="005B2D38"/>
    <w:rsid w:val="005B6C05"/>
    <w:rsid w:val="005C0283"/>
    <w:rsid w:val="005C1DDF"/>
    <w:rsid w:val="005C22E9"/>
    <w:rsid w:val="005C5F9D"/>
    <w:rsid w:val="005D1A31"/>
    <w:rsid w:val="005E1D6D"/>
    <w:rsid w:val="005E2498"/>
    <w:rsid w:val="005E3442"/>
    <w:rsid w:val="005E48D2"/>
    <w:rsid w:val="005F08A2"/>
    <w:rsid w:val="005F3903"/>
    <w:rsid w:val="005F3924"/>
    <w:rsid w:val="005F7D66"/>
    <w:rsid w:val="00600B9A"/>
    <w:rsid w:val="00602A6D"/>
    <w:rsid w:val="00603F4C"/>
    <w:rsid w:val="00607553"/>
    <w:rsid w:val="00611517"/>
    <w:rsid w:val="00612903"/>
    <w:rsid w:val="00617076"/>
    <w:rsid w:val="00622555"/>
    <w:rsid w:val="00622986"/>
    <w:rsid w:val="00622E50"/>
    <w:rsid w:val="00633463"/>
    <w:rsid w:val="006346D1"/>
    <w:rsid w:val="00640081"/>
    <w:rsid w:val="00640C12"/>
    <w:rsid w:val="00640C1C"/>
    <w:rsid w:val="00642313"/>
    <w:rsid w:val="00642B85"/>
    <w:rsid w:val="00643007"/>
    <w:rsid w:val="00644D6C"/>
    <w:rsid w:val="00647793"/>
    <w:rsid w:val="00655B34"/>
    <w:rsid w:val="0066274F"/>
    <w:rsid w:val="00662A89"/>
    <w:rsid w:val="006635D2"/>
    <w:rsid w:val="00663EA8"/>
    <w:rsid w:val="00665D29"/>
    <w:rsid w:val="00666A12"/>
    <w:rsid w:val="00667FC6"/>
    <w:rsid w:val="00670041"/>
    <w:rsid w:val="006713B3"/>
    <w:rsid w:val="0067516B"/>
    <w:rsid w:val="00680E25"/>
    <w:rsid w:val="006830B6"/>
    <w:rsid w:val="0068450D"/>
    <w:rsid w:val="00684BA7"/>
    <w:rsid w:val="00687F0D"/>
    <w:rsid w:val="006966E0"/>
    <w:rsid w:val="006A093B"/>
    <w:rsid w:val="006A5F87"/>
    <w:rsid w:val="006A7434"/>
    <w:rsid w:val="006A7BE3"/>
    <w:rsid w:val="006A7BFA"/>
    <w:rsid w:val="006B0510"/>
    <w:rsid w:val="006B0F05"/>
    <w:rsid w:val="006B2EA1"/>
    <w:rsid w:val="006B45EE"/>
    <w:rsid w:val="006C5881"/>
    <w:rsid w:val="006C6F75"/>
    <w:rsid w:val="006D1EA1"/>
    <w:rsid w:val="006D3937"/>
    <w:rsid w:val="006D7CF2"/>
    <w:rsid w:val="006E05BE"/>
    <w:rsid w:val="006E6602"/>
    <w:rsid w:val="006E7829"/>
    <w:rsid w:val="006F1557"/>
    <w:rsid w:val="006F4608"/>
    <w:rsid w:val="006F5E03"/>
    <w:rsid w:val="006F6EAE"/>
    <w:rsid w:val="006F7EB7"/>
    <w:rsid w:val="00701FB1"/>
    <w:rsid w:val="007041EC"/>
    <w:rsid w:val="00704FC2"/>
    <w:rsid w:val="0070562D"/>
    <w:rsid w:val="00705A56"/>
    <w:rsid w:val="007144B3"/>
    <w:rsid w:val="00715323"/>
    <w:rsid w:val="0071671F"/>
    <w:rsid w:val="00726B93"/>
    <w:rsid w:val="00734101"/>
    <w:rsid w:val="0073585E"/>
    <w:rsid w:val="00736ED4"/>
    <w:rsid w:val="0073702B"/>
    <w:rsid w:val="00737642"/>
    <w:rsid w:val="007468B7"/>
    <w:rsid w:val="0075453A"/>
    <w:rsid w:val="007556C4"/>
    <w:rsid w:val="00755AD2"/>
    <w:rsid w:val="00756B4B"/>
    <w:rsid w:val="00757A90"/>
    <w:rsid w:val="00761FB2"/>
    <w:rsid w:val="007636D9"/>
    <w:rsid w:val="00764B44"/>
    <w:rsid w:val="007732D0"/>
    <w:rsid w:val="0077376D"/>
    <w:rsid w:val="007763E2"/>
    <w:rsid w:val="00776ACC"/>
    <w:rsid w:val="0077735A"/>
    <w:rsid w:val="007845E4"/>
    <w:rsid w:val="007852EC"/>
    <w:rsid w:val="00785D49"/>
    <w:rsid w:val="00787524"/>
    <w:rsid w:val="00791FB1"/>
    <w:rsid w:val="0079223E"/>
    <w:rsid w:val="007A41EA"/>
    <w:rsid w:val="007A7031"/>
    <w:rsid w:val="007B2196"/>
    <w:rsid w:val="007B424C"/>
    <w:rsid w:val="007B4589"/>
    <w:rsid w:val="007B79E0"/>
    <w:rsid w:val="007C09E8"/>
    <w:rsid w:val="007C2674"/>
    <w:rsid w:val="007C5F4A"/>
    <w:rsid w:val="007C74FE"/>
    <w:rsid w:val="007C7A24"/>
    <w:rsid w:val="007C7EA2"/>
    <w:rsid w:val="007D07B3"/>
    <w:rsid w:val="007E01C1"/>
    <w:rsid w:val="007E06CD"/>
    <w:rsid w:val="007F2C80"/>
    <w:rsid w:val="007F72F6"/>
    <w:rsid w:val="007F7464"/>
    <w:rsid w:val="008027F8"/>
    <w:rsid w:val="008055E1"/>
    <w:rsid w:val="00812945"/>
    <w:rsid w:val="00813AC8"/>
    <w:rsid w:val="00813D7F"/>
    <w:rsid w:val="00814919"/>
    <w:rsid w:val="0081593B"/>
    <w:rsid w:val="008175CE"/>
    <w:rsid w:val="0082130F"/>
    <w:rsid w:val="008232D4"/>
    <w:rsid w:val="0082631C"/>
    <w:rsid w:val="0082792E"/>
    <w:rsid w:val="00827AB0"/>
    <w:rsid w:val="0083318C"/>
    <w:rsid w:val="00835568"/>
    <w:rsid w:val="0084463A"/>
    <w:rsid w:val="0085004C"/>
    <w:rsid w:val="008522E3"/>
    <w:rsid w:val="0085361A"/>
    <w:rsid w:val="00854228"/>
    <w:rsid w:val="0085680F"/>
    <w:rsid w:val="00856DCD"/>
    <w:rsid w:val="00862284"/>
    <w:rsid w:val="0086247A"/>
    <w:rsid w:val="00865679"/>
    <w:rsid w:val="00873FFC"/>
    <w:rsid w:val="00874409"/>
    <w:rsid w:val="00875919"/>
    <w:rsid w:val="00875CD0"/>
    <w:rsid w:val="008773A8"/>
    <w:rsid w:val="00883039"/>
    <w:rsid w:val="00885F1B"/>
    <w:rsid w:val="00891518"/>
    <w:rsid w:val="008A6D24"/>
    <w:rsid w:val="008B144C"/>
    <w:rsid w:val="008B173B"/>
    <w:rsid w:val="008B3054"/>
    <w:rsid w:val="008B3C83"/>
    <w:rsid w:val="008B7125"/>
    <w:rsid w:val="008B7500"/>
    <w:rsid w:val="008B7639"/>
    <w:rsid w:val="008C067C"/>
    <w:rsid w:val="008C7172"/>
    <w:rsid w:val="008D186D"/>
    <w:rsid w:val="008D218B"/>
    <w:rsid w:val="008D2BAE"/>
    <w:rsid w:val="008D3E9D"/>
    <w:rsid w:val="008D58ED"/>
    <w:rsid w:val="008D68D1"/>
    <w:rsid w:val="008E4F25"/>
    <w:rsid w:val="008E77EB"/>
    <w:rsid w:val="008F097D"/>
    <w:rsid w:val="008F3AB8"/>
    <w:rsid w:val="008F5FD2"/>
    <w:rsid w:val="009012D7"/>
    <w:rsid w:val="00903258"/>
    <w:rsid w:val="00905018"/>
    <w:rsid w:val="00905C76"/>
    <w:rsid w:val="00907ADE"/>
    <w:rsid w:val="009133C3"/>
    <w:rsid w:val="00921844"/>
    <w:rsid w:val="009238D5"/>
    <w:rsid w:val="0092676D"/>
    <w:rsid w:val="00926A2F"/>
    <w:rsid w:val="00931947"/>
    <w:rsid w:val="00931AAE"/>
    <w:rsid w:val="00932BEF"/>
    <w:rsid w:val="00932C66"/>
    <w:rsid w:val="00935CAF"/>
    <w:rsid w:val="0095065E"/>
    <w:rsid w:val="00964562"/>
    <w:rsid w:val="009656EC"/>
    <w:rsid w:val="00980169"/>
    <w:rsid w:val="00980E62"/>
    <w:rsid w:val="00981E91"/>
    <w:rsid w:val="00990736"/>
    <w:rsid w:val="0099100A"/>
    <w:rsid w:val="009937A7"/>
    <w:rsid w:val="00994AC0"/>
    <w:rsid w:val="00995338"/>
    <w:rsid w:val="009967A8"/>
    <w:rsid w:val="009A124F"/>
    <w:rsid w:val="009A4630"/>
    <w:rsid w:val="009A49A3"/>
    <w:rsid w:val="009B03A4"/>
    <w:rsid w:val="009C24EF"/>
    <w:rsid w:val="009C34CF"/>
    <w:rsid w:val="009C56F1"/>
    <w:rsid w:val="009C7154"/>
    <w:rsid w:val="009C7D13"/>
    <w:rsid w:val="009D1AF6"/>
    <w:rsid w:val="009D2141"/>
    <w:rsid w:val="009D272F"/>
    <w:rsid w:val="009D3AE9"/>
    <w:rsid w:val="009E024B"/>
    <w:rsid w:val="009E52DC"/>
    <w:rsid w:val="009E7875"/>
    <w:rsid w:val="009F25CF"/>
    <w:rsid w:val="00A0129D"/>
    <w:rsid w:val="00A1367D"/>
    <w:rsid w:val="00A143E4"/>
    <w:rsid w:val="00A16100"/>
    <w:rsid w:val="00A16442"/>
    <w:rsid w:val="00A20345"/>
    <w:rsid w:val="00A24C27"/>
    <w:rsid w:val="00A300B0"/>
    <w:rsid w:val="00A370B7"/>
    <w:rsid w:val="00A43577"/>
    <w:rsid w:val="00A45621"/>
    <w:rsid w:val="00A46D94"/>
    <w:rsid w:val="00A5223F"/>
    <w:rsid w:val="00A541FD"/>
    <w:rsid w:val="00A56CEC"/>
    <w:rsid w:val="00A60F1C"/>
    <w:rsid w:val="00A61433"/>
    <w:rsid w:val="00A711AF"/>
    <w:rsid w:val="00A7230F"/>
    <w:rsid w:val="00A74195"/>
    <w:rsid w:val="00A74F36"/>
    <w:rsid w:val="00A84094"/>
    <w:rsid w:val="00A87D5F"/>
    <w:rsid w:val="00A91A2D"/>
    <w:rsid w:val="00A92AF8"/>
    <w:rsid w:val="00A92C95"/>
    <w:rsid w:val="00A95051"/>
    <w:rsid w:val="00A95700"/>
    <w:rsid w:val="00A97CC6"/>
    <w:rsid w:val="00AA06D7"/>
    <w:rsid w:val="00AB27ED"/>
    <w:rsid w:val="00AC4E2D"/>
    <w:rsid w:val="00AC6599"/>
    <w:rsid w:val="00AC6E87"/>
    <w:rsid w:val="00AD2095"/>
    <w:rsid w:val="00AD2A8D"/>
    <w:rsid w:val="00AD43A7"/>
    <w:rsid w:val="00AD5E1C"/>
    <w:rsid w:val="00AE122A"/>
    <w:rsid w:val="00AE550D"/>
    <w:rsid w:val="00AF3261"/>
    <w:rsid w:val="00AF70BB"/>
    <w:rsid w:val="00AF7AAF"/>
    <w:rsid w:val="00B01731"/>
    <w:rsid w:val="00B03C4A"/>
    <w:rsid w:val="00B05547"/>
    <w:rsid w:val="00B111C1"/>
    <w:rsid w:val="00B1742C"/>
    <w:rsid w:val="00B204B5"/>
    <w:rsid w:val="00B2322C"/>
    <w:rsid w:val="00B2432B"/>
    <w:rsid w:val="00B268EC"/>
    <w:rsid w:val="00B3029F"/>
    <w:rsid w:val="00B4066E"/>
    <w:rsid w:val="00B50A56"/>
    <w:rsid w:val="00B50BA6"/>
    <w:rsid w:val="00B50D25"/>
    <w:rsid w:val="00B53A92"/>
    <w:rsid w:val="00B55B83"/>
    <w:rsid w:val="00B64CF1"/>
    <w:rsid w:val="00B64DDE"/>
    <w:rsid w:val="00B70222"/>
    <w:rsid w:val="00B76891"/>
    <w:rsid w:val="00B804AE"/>
    <w:rsid w:val="00B81138"/>
    <w:rsid w:val="00B8177F"/>
    <w:rsid w:val="00B81833"/>
    <w:rsid w:val="00B81D23"/>
    <w:rsid w:val="00B831D5"/>
    <w:rsid w:val="00B959A4"/>
    <w:rsid w:val="00BA2C93"/>
    <w:rsid w:val="00BB1975"/>
    <w:rsid w:val="00BB3836"/>
    <w:rsid w:val="00BB459B"/>
    <w:rsid w:val="00BB6DA1"/>
    <w:rsid w:val="00BC06FB"/>
    <w:rsid w:val="00BC2693"/>
    <w:rsid w:val="00BC3345"/>
    <w:rsid w:val="00BC36D8"/>
    <w:rsid w:val="00BC4029"/>
    <w:rsid w:val="00BC7510"/>
    <w:rsid w:val="00BD7D42"/>
    <w:rsid w:val="00BD7DB8"/>
    <w:rsid w:val="00BE29DD"/>
    <w:rsid w:val="00BE4488"/>
    <w:rsid w:val="00BE7608"/>
    <w:rsid w:val="00BF5588"/>
    <w:rsid w:val="00C00CFE"/>
    <w:rsid w:val="00C00D12"/>
    <w:rsid w:val="00C01764"/>
    <w:rsid w:val="00C026CC"/>
    <w:rsid w:val="00C02C3D"/>
    <w:rsid w:val="00C03444"/>
    <w:rsid w:val="00C05EB1"/>
    <w:rsid w:val="00C06489"/>
    <w:rsid w:val="00C06F64"/>
    <w:rsid w:val="00C11A93"/>
    <w:rsid w:val="00C131A0"/>
    <w:rsid w:val="00C217E2"/>
    <w:rsid w:val="00C22C78"/>
    <w:rsid w:val="00C25226"/>
    <w:rsid w:val="00C26764"/>
    <w:rsid w:val="00C30393"/>
    <w:rsid w:val="00C3123D"/>
    <w:rsid w:val="00C33BA0"/>
    <w:rsid w:val="00C36F14"/>
    <w:rsid w:val="00C37A12"/>
    <w:rsid w:val="00C42F6D"/>
    <w:rsid w:val="00C44405"/>
    <w:rsid w:val="00C446AB"/>
    <w:rsid w:val="00C4595F"/>
    <w:rsid w:val="00C45C07"/>
    <w:rsid w:val="00C517D7"/>
    <w:rsid w:val="00C51878"/>
    <w:rsid w:val="00C54504"/>
    <w:rsid w:val="00C55BD8"/>
    <w:rsid w:val="00C615D0"/>
    <w:rsid w:val="00C72F9D"/>
    <w:rsid w:val="00C75DEB"/>
    <w:rsid w:val="00C77171"/>
    <w:rsid w:val="00C84DC4"/>
    <w:rsid w:val="00C86539"/>
    <w:rsid w:val="00C87E92"/>
    <w:rsid w:val="00C93738"/>
    <w:rsid w:val="00C94DE0"/>
    <w:rsid w:val="00C957A9"/>
    <w:rsid w:val="00C97A9D"/>
    <w:rsid w:val="00CA48F6"/>
    <w:rsid w:val="00CD20A6"/>
    <w:rsid w:val="00CD2540"/>
    <w:rsid w:val="00CD40C6"/>
    <w:rsid w:val="00CD4F9A"/>
    <w:rsid w:val="00CE3215"/>
    <w:rsid w:val="00CE3632"/>
    <w:rsid w:val="00CF34C6"/>
    <w:rsid w:val="00CF3AAD"/>
    <w:rsid w:val="00CF6B24"/>
    <w:rsid w:val="00D01D2B"/>
    <w:rsid w:val="00D050D2"/>
    <w:rsid w:val="00D0569D"/>
    <w:rsid w:val="00D13961"/>
    <w:rsid w:val="00D13B87"/>
    <w:rsid w:val="00D15C92"/>
    <w:rsid w:val="00D16CCD"/>
    <w:rsid w:val="00D228A1"/>
    <w:rsid w:val="00D25BA0"/>
    <w:rsid w:val="00D275CE"/>
    <w:rsid w:val="00D30B94"/>
    <w:rsid w:val="00D33AA3"/>
    <w:rsid w:val="00D3468B"/>
    <w:rsid w:val="00D35B35"/>
    <w:rsid w:val="00D400BC"/>
    <w:rsid w:val="00D41FC9"/>
    <w:rsid w:val="00D45506"/>
    <w:rsid w:val="00D52378"/>
    <w:rsid w:val="00D526D8"/>
    <w:rsid w:val="00D53465"/>
    <w:rsid w:val="00D65361"/>
    <w:rsid w:val="00D71FFF"/>
    <w:rsid w:val="00D7367B"/>
    <w:rsid w:val="00D73762"/>
    <w:rsid w:val="00D76036"/>
    <w:rsid w:val="00D76E16"/>
    <w:rsid w:val="00D772B0"/>
    <w:rsid w:val="00D8223B"/>
    <w:rsid w:val="00D8438F"/>
    <w:rsid w:val="00D8508B"/>
    <w:rsid w:val="00D90164"/>
    <w:rsid w:val="00D907A6"/>
    <w:rsid w:val="00D92573"/>
    <w:rsid w:val="00D96530"/>
    <w:rsid w:val="00DA1A9A"/>
    <w:rsid w:val="00DA2A6D"/>
    <w:rsid w:val="00DB1397"/>
    <w:rsid w:val="00DB251C"/>
    <w:rsid w:val="00DB563E"/>
    <w:rsid w:val="00DB7C10"/>
    <w:rsid w:val="00DC03C5"/>
    <w:rsid w:val="00DC1162"/>
    <w:rsid w:val="00DC34D9"/>
    <w:rsid w:val="00DC480E"/>
    <w:rsid w:val="00DC57F0"/>
    <w:rsid w:val="00DC63B1"/>
    <w:rsid w:val="00DC7BAD"/>
    <w:rsid w:val="00DD0561"/>
    <w:rsid w:val="00DD1076"/>
    <w:rsid w:val="00DD56A8"/>
    <w:rsid w:val="00DE19D7"/>
    <w:rsid w:val="00DE3435"/>
    <w:rsid w:val="00DE3E67"/>
    <w:rsid w:val="00DE4F54"/>
    <w:rsid w:val="00DE5F2E"/>
    <w:rsid w:val="00DF1DB4"/>
    <w:rsid w:val="00DF4036"/>
    <w:rsid w:val="00DF4D8A"/>
    <w:rsid w:val="00E002F9"/>
    <w:rsid w:val="00E0067D"/>
    <w:rsid w:val="00E025A7"/>
    <w:rsid w:val="00E04662"/>
    <w:rsid w:val="00E05991"/>
    <w:rsid w:val="00E05AB0"/>
    <w:rsid w:val="00E1105F"/>
    <w:rsid w:val="00E117B4"/>
    <w:rsid w:val="00E234FF"/>
    <w:rsid w:val="00E23562"/>
    <w:rsid w:val="00E254FE"/>
    <w:rsid w:val="00E278ED"/>
    <w:rsid w:val="00E27FFA"/>
    <w:rsid w:val="00E3133F"/>
    <w:rsid w:val="00E32585"/>
    <w:rsid w:val="00E32B6F"/>
    <w:rsid w:val="00E355DE"/>
    <w:rsid w:val="00E400F2"/>
    <w:rsid w:val="00E40687"/>
    <w:rsid w:val="00E51E12"/>
    <w:rsid w:val="00E5322A"/>
    <w:rsid w:val="00E553FC"/>
    <w:rsid w:val="00E65504"/>
    <w:rsid w:val="00E66DDB"/>
    <w:rsid w:val="00E74217"/>
    <w:rsid w:val="00E749A3"/>
    <w:rsid w:val="00E82DDB"/>
    <w:rsid w:val="00E83DE0"/>
    <w:rsid w:val="00E84698"/>
    <w:rsid w:val="00E87389"/>
    <w:rsid w:val="00EA089B"/>
    <w:rsid w:val="00EA240B"/>
    <w:rsid w:val="00EA3E49"/>
    <w:rsid w:val="00EA433F"/>
    <w:rsid w:val="00EA45B1"/>
    <w:rsid w:val="00EA5B13"/>
    <w:rsid w:val="00EA6FEB"/>
    <w:rsid w:val="00EA7255"/>
    <w:rsid w:val="00EB0765"/>
    <w:rsid w:val="00EB2260"/>
    <w:rsid w:val="00EB23E5"/>
    <w:rsid w:val="00EB3417"/>
    <w:rsid w:val="00EB59A1"/>
    <w:rsid w:val="00EB6840"/>
    <w:rsid w:val="00EC41D0"/>
    <w:rsid w:val="00EC6366"/>
    <w:rsid w:val="00EC655D"/>
    <w:rsid w:val="00ED1AE8"/>
    <w:rsid w:val="00ED1BD5"/>
    <w:rsid w:val="00ED21A8"/>
    <w:rsid w:val="00ED240E"/>
    <w:rsid w:val="00ED53B6"/>
    <w:rsid w:val="00ED6E95"/>
    <w:rsid w:val="00ED78EF"/>
    <w:rsid w:val="00EE0CAB"/>
    <w:rsid w:val="00EE16C6"/>
    <w:rsid w:val="00EE29E3"/>
    <w:rsid w:val="00EE5E76"/>
    <w:rsid w:val="00EE6659"/>
    <w:rsid w:val="00EF20B9"/>
    <w:rsid w:val="00EF2F7C"/>
    <w:rsid w:val="00EF4544"/>
    <w:rsid w:val="00EF4DBF"/>
    <w:rsid w:val="00F0208B"/>
    <w:rsid w:val="00F030DA"/>
    <w:rsid w:val="00F0328F"/>
    <w:rsid w:val="00F03345"/>
    <w:rsid w:val="00F03573"/>
    <w:rsid w:val="00F048DF"/>
    <w:rsid w:val="00F1400F"/>
    <w:rsid w:val="00F1625E"/>
    <w:rsid w:val="00F17A5F"/>
    <w:rsid w:val="00F2246E"/>
    <w:rsid w:val="00F255D8"/>
    <w:rsid w:val="00F27FA5"/>
    <w:rsid w:val="00F31C4E"/>
    <w:rsid w:val="00F3241F"/>
    <w:rsid w:val="00F32492"/>
    <w:rsid w:val="00F371AC"/>
    <w:rsid w:val="00F42BE4"/>
    <w:rsid w:val="00F42E4F"/>
    <w:rsid w:val="00F443A7"/>
    <w:rsid w:val="00F46135"/>
    <w:rsid w:val="00F529F9"/>
    <w:rsid w:val="00F52AD6"/>
    <w:rsid w:val="00F5503F"/>
    <w:rsid w:val="00F62027"/>
    <w:rsid w:val="00F66ED4"/>
    <w:rsid w:val="00F725D2"/>
    <w:rsid w:val="00F76F92"/>
    <w:rsid w:val="00F81517"/>
    <w:rsid w:val="00F82899"/>
    <w:rsid w:val="00F830BF"/>
    <w:rsid w:val="00F86096"/>
    <w:rsid w:val="00F874D6"/>
    <w:rsid w:val="00F876D7"/>
    <w:rsid w:val="00F87E6B"/>
    <w:rsid w:val="00F93941"/>
    <w:rsid w:val="00F95247"/>
    <w:rsid w:val="00F97CE9"/>
    <w:rsid w:val="00FA2998"/>
    <w:rsid w:val="00FA3E9C"/>
    <w:rsid w:val="00FA418B"/>
    <w:rsid w:val="00FA5B50"/>
    <w:rsid w:val="00FB0B84"/>
    <w:rsid w:val="00FB0DE0"/>
    <w:rsid w:val="00FB0E98"/>
    <w:rsid w:val="00FB14CF"/>
    <w:rsid w:val="00FB23D3"/>
    <w:rsid w:val="00FB24C6"/>
    <w:rsid w:val="00FB6ED9"/>
    <w:rsid w:val="00FB708D"/>
    <w:rsid w:val="00FB75C5"/>
    <w:rsid w:val="00FB7CDE"/>
    <w:rsid w:val="00FC1274"/>
    <w:rsid w:val="00FC4B6A"/>
    <w:rsid w:val="00FC5E44"/>
    <w:rsid w:val="00FC5FE5"/>
    <w:rsid w:val="00FC794C"/>
    <w:rsid w:val="00FD7D8A"/>
    <w:rsid w:val="00FE47A8"/>
    <w:rsid w:val="00FF063E"/>
    <w:rsid w:val="00FF107D"/>
    <w:rsid w:val="00FF1BAB"/>
    <w:rsid w:val="00FF23CE"/>
    <w:rsid w:val="00FF479A"/>
    <w:rsid w:val="00FF519A"/>
    <w:rsid w:val="00FF534F"/>
    <w:rsid w:val="00FF78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3A15"/>
  <w15:docId w15:val="{C827552E-8B06-482A-8F0B-E7405C56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unhideWhenUsed/>
    <w:rsid w:val="007C09E8"/>
    <w:rPr>
      <w:vertAlign w:val="superscript"/>
    </w:rPr>
  </w:style>
  <w:style w:type="paragraph" w:styleId="Header">
    <w:name w:val="header"/>
    <w:basedOn w:val="Normal"/>
    <w:link w:val="HeaderChar"/>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table" w:customStyle="1" w:styleId="Tablaconcuadrcula1">
    <w:name w:val="Tabla con cuadrícula1"/>
    <w:basedOn w:val="TableNormal"/>
    <w:next w:val="TableGrid"/>
    <w:uiPriority w:val="59"/>
    <w:rsid w:val="005A0BF1"/>
    <w:pPr>
      <w:spacing w:after="0" w:line="240" w:lineRule="auto"/>
    </w:pPr>
    <w:rPr>
      <w:rFonts w:eastAsiaTheme="minorHAnsi"/>
      <w:lang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9741292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4604645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48778461">
      <w:bodyDiv w:val="1"/>
      <w:marLeft w:val="0"/>
      <w:marRight w:val="0"/>
      <w:marTop w:val="0"/>
      <w:marBottom w:val="0"/>
      <w:divBdr>
        <w:top w:val="none" w:sz="0" w:space="0" w:color="auto"/>
        <w:left w:val="none" w:sz="0" w:space="0" w:color="auto"/>
        <w:bottom w:val="none" w:sz="0" w:space="0" w:color="auto"/>
        <w:right w:val="none" w:sz="0" w:space="0" w:color="auto"/>
      </w:divBdr>
    </w:div>
    <w:div w:id="115017571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206060323">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18541323">
      <w:bodyDiv w:val="1"/>
      <w:marLeft w:val="0"/>
      <w:marRight w:val="0"/>
      <w:marTop w:val="0"/>
      <w:marBottom w:val="0"/>
      <w:divBdr>
        <w:top w:val="none" w:sz="0" w:space="0" w:color="auto"/>
        <w:left w:val="none" w:sz="0" w:space="0" w:color="auto"/>
        <w:bottom w:val="none" w:sz="0" w:space="0" w:color="auto"/>
        <w:right w:val="none" w:sz="0" w:space="0" w:color="auto"/>
      </w:divBdr>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6ADA3-3F08-4C48-A40D-5FB5F451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2457</Words>
  <Characters>14009</Characters>
  <Application>Microsoft Office Word</Application>
  <DocSecurity>0</DocSecurity>
  <Lines>116</Lines>
  <Paragraphs>32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Christine Peyre</cp:lastModifiedBy>
  <cp:revision>13</cp:revision>
  <dcterms:created xsi:type="dcterms:W3CDTF">2025-11-22T18:30:00Z</dcterms:created>
  <dcterms:modified xsi:type="dcterms:W3CDTF">2025-11-22T19:12:00Z</dcterms:modified>
</cp:coreProperties>
</file>