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F0C2E" w14:textId="714B6578" w:rsidR="00931AAE" w:rsidRPr="00B57F12" w:rsidRDefault="00C01764" w:rsidP="002F4E3B">
      <w:pPr>
        <w:spacing w:after="0"/>
        <w:jc w:val="right"/>
        <w:rPr>
          <w:rFonts w:asciiTheme="majorHAnsi" w:hAnsiTheme="majorHAnsi" w:cs="Times New Roman"/>
          <w:b/>
          <w:bCs/>
          <w:sz w:val="20"/>
          <w:szCs w:val="20"/>
        </w:rPr>
      </w:pPr>
      <w:r w:rsidRPr="00B57F12">
        <w:rPr>
          <w:rFonts w:asciiTheme="majorHAnsi" w:hAnsiTheme="majorHAnsi" w:cs="Times New Roman"/>
          <w:b/>
          <w:bCs/>
          <w:sz w:val="20"/>
          <w:szCs w:val="20"/>
        </w:rPr>
        <w:t>Original: español</w:t>
      </w:r>
    </w:p>
    <w:p w14:paraId="74809BDC" w14:textId="77777777" w:rsidR="009E0D86" w:rsidRPr="00B57F12" w:rsidRDefault="009E0D86" w:rsidP="002F4E3B">
      <w:pPr>
        <w:spacing w:after="0"/>
        <w:jc w:val="right"/>
        <w:rPr>
          <w:rFonts w:asciiTheme="majorHAnsi" w:hAnsiTheme="majorHAnsi" w:cs="Times New Roman"/>
          <w:bCs/>
          <w:sz w:val="20"/>
          <w:szCs w:val="20"/>
        </w:rPr>
      </w:pPr>
    </w:p>
    <w:p w14:paraId="7BA2EDBD" w14:textId="6C0D12AE" w:rsidR="00574154" w:rsidRPr="00B57F12" w:rsidRDefault="00F97AC9" w:rsidP="002F4E3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 w:rsidRPr="00B57F12">
        <w:rPr>
          <w:rFonts w:asciiTheme="majorHAnsi" w:hAnsiTheme="majorHAnsi" w:cs="Times New Roman"/>
          <w:b/>
          <w:bCs/>
          <w:sz w:val="20"/>
          <w:szCs w:val="20"/>
        </w:rPr>
        <w:t>Fondo para la participación en reuniones</w:t>
      </w:r>
      <w:r w:rsidR="00E5322A" w:rsidRPr="00B57F12">
        <w:rPr>
          <w:rStyle w:val="FootnoteReference"/>
          <w:rFonts w:asciiTheme="majorHAnsi" w:hAnsiTheme="majorHAnsi" w:cs="Times New Roman"/>
          <w:b/>
          <w:bCs/>
          <w:sz w:val="20"/>
          <w:szCs w:val="20"/>
        </w:rPr>
        <w:footnoteReference w:id="2"/>
      </w:r>
    </w:p>
    <w:p w14:paraId="3487723B" w14:textId="77777777" w:rsidR="00E5322A" w:rsidRPr="00B57F12" w:rsidRDefault="00E5322A" w:rsidP="002F4E3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</w:p>
    <w:p w14:paraId="4B3623F7" w14:textId="31CBEE56" w:rsidR="001F0235" w:rsidRPr="00B57F12" w:rsidRDefault="001F0235" w:rsidP="002F4E3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B57F12">
        <w:rPr>
          <w:rFonts w:asciiTheme="majorHAnsi" w:hAnsiTheme="majorHAnsi" w:cs="Times New Roman"/>
          <w:sz w:val="20"/>
          <w:szCs w:val="20"/>
        </w:rPr>
        <w:t>En 20</w:t>
      </w:r>
      <w:r w:rsidR="00C32E44" w:rsidRPr="00B57F12">
        <w:rPr>
          <w:rFonts w:asciiTheme="majorHAnsi" w:hAnsiTheme="majorHAnsi" w:cs="Times New Roman"/>
          <w:sz w:val="20"/>
          <w:szCs w:val="20"/>
        </w:rPr>
        <w:t>20</w:t>
      </w:r>
      <w:r w:rsidRPr="00B57F12">
        <w:rPr>
          <w:rFonts w:asciiTheme="majorHAnsi" w:hAnsiTheme="majorHAnsi" w:cs="Times New Roman"/>
          <w:sz w:val="20"/>
          <w:szCs w:val="20"/>
        </w:rPr>
        <w:t xml:space="preserve"> la Comisión adoptó la </w:t>
      </w:r>
      <w:r w:rsidRPr="00B57F12">
        <w:rPr>
          <w:rFonts w:asciiTheme="majorHAnsi" w:hAnsiTheme="majorHAnsi" w:cs="Times New Roman"/>
          <w:i/>
          <w:sz w:val="20"/>
          <w:szCs w:val="20"/>
        </w:rPr>
        <w:t>Recomendación de ICCAT que enmienda la</w:t>
      </w:r>
      <w:r w:rsidRPr="00B57F12">
        <w:rPr>
          <w:rFonts w:asciiTheme="majorHAnsi" w:hAnsiTheme="majorHAnsi" w:cs="Times New Roman"/>
          <w:sz w:val="20"/>
          <w:szCs w:val="20"/>
        </w:rPr>
        <w:t xml:space="preserve"> </w:t>
      </w:r>
      <w:r w:rsidRPr="00B57F12">
        <w:rPr>
          <w:rFonts w:asciiTheme="majorHAnsi" w:hAnsiTheme="majorHAnsi" w:cs="Times New Roman"/>
          <w:i/>
          <w:sz w:val="20"/>
          <w:szCs w:val="20"/>
        </w:rPr>
        <w:t xml:space="preserve">Recomendación </w:t>
      </w:r>
      <w:r w:rsidR="00C32E44" w:rsidRPr="00B57F12">
        <w:rPr>
          <w:rFonts w:asciiTheme="majorHAnsi" w:hAnsiTheme="majorHAnsi" w:cs="Times New Roman"/>
          <w:i/>
          <w:sz w:val="20"/>
          <w:szCs w:val="20"/>
        </w:rPr>
        <w:t>14-14</w:t>
      </w:r>
      <w:r w:rsidRPr="00B57F12">
        <w:rPr>
          <w:rFonts w:asciiTheme="majorHAnsi" w:hAnsiTheme="majorHAnsi" w:cs="Times New Roman"/>
          <w:i/>
          <w:sz w:val="20"/>
          <w:szCs w:val="20"/>
        </w:rPr>
        <w:t xml:space="preserve"> sobre el establecimiento de un Fondo para la participación en reuniones para las Partes contratantes en desarrollo de ICCAT</w:t>
      </w:r>
      <w:r w:rsidRPr="00B57F12">
        <w:rPr>
          <w:rFonts w:asciiTheme="majorHAnsi" w:hAnsiTheme="majorHAnsi" w:cs="Times New Roman"/>
          <w:sz w:val="20"/>
          <w:szCs w:val="20"/>
        </w:rPr>
        <w:t xml:space="preserve"> [Rec. </w:t>
      </w:r>
      <w:r w:rsidR="00C32E44" w:rsidRPr="00B57F12">
        <w:rPr>
          <w:rFonts w:asciiTheme="majorHAnsi" w:hAnsiTheme="majorHAnsi" w:cs="Times New Roman"/>
          <w:sz w:val="20"/>
          <w:szCs w:val="20"/>
        </w:rPr>
        <w:t>20-09</w:t>
      </w:r>
      <w:r w:rsidRPr="00B57F12">
        <w:rPr>
          <w:rFonts w:asciiTheme="majorHAnsi" w:hAnsiTheme="majorHAnsi" w:cs="Times New Roman"/>
          <w:sz w:val="20"/>
          <w:szCs w:val="20"/>
        </w:rPr>
        <w:t>]</w:t>
      </w:r>
      <w:r w:rsidR="00A365DF" w:rsidRPr="00B57F12">
        <w:rPr>
          <w:rFonts w:asciiTheme="majorHAnsi" w:hAnsiTheme="majorHAnsi" w:cs="Times New Roman"/>
          <w:sz w:val="20"/>
          <w:szCs w:val="20"/>
        </w:rPr>
        <w:t>,</w:t>
      </w:r>
      <w:r w:rsidRPr="00B57F12">
        <w:rPr>
          <w:rFonts w:asciiTheme="majorHAnsi" w:hAnsiTheme="majorHAnsi" w:cs="Times New Roman"/>
          <w:sz w:val="20"/>
          <w:szCs w:val="20"/>
        </w:rPr>
        <w:t xml:space="preserve"> que sustituye y deroga la Rec. </w:t>
      </w:r>
      <w:r w:rsidR="00C32E44" w:rsidRPr="00B57F12">
        <w:rPr>
          <w:rFonts w:asciiTheme="majorHAnsi" w:hAnsiTheme="majorHAnsi" w:cs="Times New Roman"/>
          <w:sz w:val="20"/>
          <w:szCs w:val="20"/>
        </w:rPr>
        <w:t>14-14</w:t>
      </w:r>
      <w:r w:rsidRPr="00B57F12">
        <w:rPr>
          <w:rFonts w:asciiTheme="majorHAnsi" w:hAnsiTheme="majorHAnsi" w:cs="Times New Roman"/>
          <w:sz w:val="20"/>
          <w:szCs w:val="20"/>
        </w:rPr>
        <w:t xml:space="preserve"> en su totalidad.</w:t>
      </w:r>
    </w:p>
    <w:p w14:paraId="770E8F19" w14:textId="77777777" w:rsidR="001F0235" w:rsidRPr="00B57F12" w:rsidRDefault="001F0235" w:rsidP="002F4E3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14:paraId="0494A028" w14:textId="26757EDF" w:rsidR="00574154" w:rsidRPr="00B57F12" w:rsidRDefault="001F0235" w:rsidP="002F4E3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B57F12">
        <w:rPr>
          <w:rFonts w:asciiTheme="majorHAnsi" w:hAnsiTheme="majorHAnsi" w:cs="Times New Roman"/>
          <w:sz w:val="20"/>
          <w:szCs w:val="20"/>
        </w:rPr>
        <w:t xml:space="preserve">La </w:t>
      </w:r>
      <w:r w:rsidR="00456B33" w:rsidRPr="00B57F12">
        <w:rPr>
          <w:rFonts w:asciiTheme="majorHAnsi" w:hAnsiTheme="majorHAnsi" w:cs="Times New Roman"/>
          <w:sz w:val="20"/>
          <w:szCs w:val="20"/>
        </w:rPr>
        <w:t xml:space="preserve">Recomendación </w:t>
      </w:r>
      <w:r w:rsidR="00A21EEE" w:rsidRPr="00B57F12">
        <w:rPr>
          <w:rFonts w:asciiTheme="majorHAnsi" w:hAnsiTheme="majorHAnsi" w:cs="Times New Roman"/>
          <w:sz w:val="20"/>
          <w:szCs w:val="20"/>
        </w:rPr>
        <w:t>20-09</w:t>
      </w:r>
      <w:r w:rsidR="00574154" w:rsidRPr="00B57F12">
        <w:rPr>
          <w:rFonts w:asciiTheme="majorHAnsi" w:hAnsiTheme="majorHAnsi" w:cs="Times New Roman"/>
          <w:sz w:val="20"/>
          <w:szCs w:val="20"/>
        </w:rPr>
        <w:t xml:space="preserve"> establec</w:t>
      </w:r>
      <w:r w:rsidRPr="00B57F12">
        <w:rPr>
          <w:rFonts w:asciiTheme="majorHAnsi" w:hAnsiTheme="majorHAnsi" w:cs="Times New Roman"/>
          <w:sz w:val="20"/>
          <w:szCs w:val="20"/>
        </w:rPr>
        <w:t>e</w:t>
      </w:r>
      <w:r w:rsidR="00574154" w:rsidRPr="00B57F12">
        <w:rPr>
          <w:rFonts w:asciiTheme="majorHAnsi" w:hAnsiTheme="majorHAnsi" w:cs="Times New Roman"/>
          <w:sz w:val="20"/>
          <w:szCs w:val="20"/>
        </w:rPr>
        <w:t xml:space="preserve"> un Fondo para la participación en reuniones (MPF) para apoyar a representantes de aquellas Partes contratantes de ICCAT que sean Estados en desarrollo con el fin de que participen y/o contribuyan al trabajo de la Comisión y otros organismos subsidiarios.</w:t>
      </w:r>
      <w:r w:rsidR="009238D5" w:rsidRPr="00B57F12">
        <w:rPr>
          <w:rFonts w:asciiTheme="majorHAnsi" w:hAnsiTheme="majorHAnsi" w:cs="Times New Roman"/>
          <w:sz w:val="20"/>
          <w:szCs w:val="20"/>
        </w:rPr>
        <w:t xml:space="preserve"> Este fondo fue aprovisionado inicialmente con 60.000,00 euros procedentes del </w:t>
      </w:r>
      <w:r w:rsidR="009E5294" w:rsidRPr="00B57F12">
        <w:rPr>
          <w:rFonts w:asciiTheme="majorHAnsi" w:hAnsiTheme="majorHAnsi" w:cs="Times New Roman"/>
          <w:sz w:val="20"/>
          <w:szCs w:val="20"/>
        </w:rPr>
        <w:t>f</w:t>
      </w:r>
      <w:r w:rsidR="009238D5" w:rsidRPr="00B57F12">
        <w:rPr>
          <w:rFonts w:asciiTheme="majorHAnsi" w:hAnsiTheme="majorHAnsi" w:cs="Times New Roman"/>
          <w:sz w:val="20"/>
          <w:szCs w:val="20"/>
        </w:rPr>
        <w:t xml:space="preserve">ondo de operaciones. </w:t>
      </w:r>
    </w:p>
    <w:p w14:paraId="54D0CB90" w14:textId="77777777" w:rsidR="00574154" w:rsidRPr="00B57F12" w:rsidRDefault="00574154" w:rsidP="002F4E3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14:paraId="691E3385" w14:textId="154631E5" w:rsidR="001F0235" w:rsidRPr="00B57F12" w:rsidRDefault="001F0235" w:rsidP="002F4E3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B57F12">
        <w:rPr>
          <w:rFonts w:asciiTheme="majorHAnsi" w:hAnsiTheme="majorHAnsi" w:cs="Times New Roman"/>
          <w:sz w:val="20"/>
          <w:szCs w:val="20"/>
        </w:rPr>
        <w:t xml:space="preserve">La nueva recomendación difiere de la anterior en que se </w:t>
      </w:r>
      <w:r w:rsidR="00480DDC" w:rsidRPr="00B57F12">
        <w:rPr>
          <w:rFonts w:asciiTheme="majorHAnsi" w:hAnsiTheme="majorHAnsi" w:cs="Times New Roman"/>
          <w:sz w:val="20"/>
          <w:szCs w:val="20"/>
        </w:rPr>
        <w:t>tendrán que cumplir unos criterios mínimos para controlar costes y minimizar cargas administrativas</w:t>
      </w:r>
      <w:r w:rsidR="00A365DF" w:rsidRPr="00B57F12">
        <w:rPr>
          <w:rFonts w:asciiTheme="majorHAnsi" w:hAnsiTheme="majorHAnsi" w:cs="Times New Roman"/>
          <w:sz w:val="20"/>
          <w:szCs w:val="20"/>
        </w:rPr>
        <w:t>. Estos criterios mínimos consisten en lo siguiente</w:t>
      </w:r>
      <w:r w:rsidR="00480DDC" w:rsidRPr="00B57F12">
        <w:rPr>
          <w:rFonts w:asciiTheme="majorHAnsi" w:hAnsiTheme="majorHAnsi" w:cs="Times New Roman"/>
          <w:sz w:val="20"/>
          <w:szCs w:val="20"/>
        </w:rPr>
        <w:t xml:space="preserve">: </w:t>
      </w:r>
      <w:r w:rsidR="00A365DF" w:rsidRPr="00B57F12">
        <w:rPr>
          <w:rFonts w:asciiTheme="majorHAnsi" w:hAnsiTheme="majorHAnsi" w:cs="Times New Roman"/>
          <w:sz w:val="20"/>
          <w:szCs w:val="20"/>
        </w:rPr>
        <w:t>que las</w:t>
      </w:r>
      <w:r w:rsidR="00480DDC" w:rsidRPr="00B57F12">
        <w:rPr>
          <w:rFonts w:asciiTheme="majorHAnsi" w:hAnsiTheme="majorHAnsi" w:cs="Times New Roman"/>
          <w:sz w:val="20"/>
          <w:szCs w:val="20"/>
        </w:rPr>
        <w:t xml:space="preserve"> Parte</w:t>
      </w:r>
      <w:r w:rsidR="00A365DF" w:rsidRPr="00B57F12">
        <w:rPr>
          <w:rFonts w:asciiTheme="majorHAnsi" w:hAnsiTheme="majorHAnsi" w:cs="Times New Roman"/>
          <w:sz w:val="20"/>
          <w:szCs w:val="20"/>
        </w:rPr>
        <w:t>s</w:t>
      </w:r>
      <w:r w:rsidR="00480DDC" w:rsidRPr="00B57F12">
        <w:rPr>
          <w:rFonts w:asciiTheme="majorHAnsi" w:hAnsiTheme="majorHAnsi" w:cs="Times New Roman"/>
          <w:sz w:val="20"/>
          <w:szCs w:val="20"/>
        </w:rPr>
        <w:t xml:space="preserve"> contratante</w:t>
      </w:r>
      <w:r w:rsidR="00A365DF" w:rsidRPr="00B57F12">
        <w:rPr>
          <w:rFonts w:asciiTheme="majorHAnsi" w:hAnsiTheme="majorHAnsi" w:cs="Times New Roman"/>
          <w:sz w:val="20"/>
          <w:szCs w:val="20"/>
        </w:rPr>
        <w:t>s</w:t>
      </w:r>
      <w:r w:rsidR="00480DDC" w:rsidRPr="00B57F12">
        <w:rPr>
          <w:rFonts w:asciiTheme="majorHAnsi" w:hAnsiTheme="majorHAnsi" w:cs="Times New Roman"/>
          <w:sz w:val="20"/>
          <w:szCs w:val="20"/>
        </w:rPr>
        <w:t xml:space="preserve"> en desarrollo </w:t>
      </w:r>
      <w:r w:rsidR="00A365DF" w:rsidRPr="00B57F12">
        <w:rPr>
          <w:rFonts w:asciiTheme="majorHAnsi" w:hAnsiTheme="majorHAnsi" w:cs="Times New Roman"/>
          <w:sz w:val="20"/>
          <w:szCs w:val="20"/>
        </w:rPr>
        <w:t>que envíen</w:t>
      </w:r>
      <w:r w:rsidR="00480DDC" w:rsidRPr="00B57F12">
        <w:rPr>
          <w:rFonts w:asciiTheme="majorHAnsi" w:hAnsiTheme="majorHAnsi" w:cs="Times New Roman"/>
          <w:sz w:val="20"/>
          <w:szCs w:val="20"/>
        </w:rPr>
        <w:t xml:space="preserve"> a más de seis delegados oficiales a una reunión de la Comisión o más de cuatro a una reunión de un organismo subsidiario </w:t>
      </w:r>
      <w:r w:rsidR="00A365DF" w:rsidRPr="00B57F12">
        <w:rPr>
          <w:rFonts w:asciiTheme="majorHAnsi" w:hAnsiTheme="majorHAnsi" w:cs="Times New Roman"/>
          <w:sz w:val="20"/>
          <w:szCs w:val="20"/>
        </w:rPr>
        <w:t>costeando la participación con sus propios</w:t>
      </w:r>
      <w:r w:rsidR="00480DDC" w:rsidRPr="00B57F12">
        <w:rPr>
          <w:rFonts w:asciiTheme="majorHAnsi" w:hAnsiTheme="majorHAnsi" w:cs="Times New Roman"/>
          <w:sz w:val="20"/>
          <w:szCs w:val="20"/>
        </w:rPr>
        <w:t xml:space="preserve"> medios no tendrá</w:t>
      </w:r>
      <w:r w:rsidR="00A365DF" w:rsidRPr="00B57F12">
        <w:rPr>
          <w:rFonts w:asciiTheme="majorHAnsi" w:hAnsiTheme="majorHAnsi" w:cs="Times New Roman"/>
          <w:sz w:val="20"/>
          <w:szCs w:val="20"/>
        </w:rPr>
        <w:t>n</w:t>
      </w:r>
      <w:r w:rsidR="00480DDC" w:rsidRPr="00B57F12">
        <w:rPr>
          <w:rFonts w:asciiTheme="majorHAnsi" w:hAnsiTheme="majorHAnsi" w:cs="Times New Roman"/>
          <w:sz w:val="20"/>
          <w:szCs w:val="20"/>
        </w:rPr>
        <w:t xml:space="preserve"> derecho a recibir apoyo financiero del MPF; </w:t>
      </w:r>
      <w:r w:rsidR="00A365DF" w:rsidRPr="00B57F12">
        <w:rPr>
          <w:rFonts w:asciiTheme="majorHAnsi" w:hAnsiTheme="majorHAnsi" w:cs="Times New Roman"/>
          <w:sz w:val="20"/>
          <w:szCs w:val="20"/>
        </w:rPr>
        <w:t>que los viajes financiados se realizaran en la clase</w:t>
      </w:r>
      <w:r w:rsidR="00480DDC" w:rsidRPr="00B57F12">
        <w:rPr>
          <w:rFonts w:asciiTheme="majorHAnsi" w:hAnsiTheme="majorHAnsi" w:cs="Times New Roman"/>
          <w:sz w:val="20"/>
          <w:szCs w:val="20"/>
        </w:rPr>
        <w:t xml:space="preserve"> turista más económica u otra de menor coste, </w:t>
      </w:r>
      <w:r w:rsidR="00A365DF" w:rsidRPr="00B57F12">
        <w:rPr>
          <w:rFonts w:asciiTheme="majorHAnsi" w:hAnsiTheme="majorHAnsi" w:cs="Times New Roman"/>
          <w:sz w:val="20"/>
          <w:szCs w:val="20"/>
        </w:rPr>
        <w:t xml:space="preserve">y </w:t>
      </w:r>
      <w:r w:rsidR="00480DDC" w:rsidRPr="00B57F12">
        <w:rPr>
          <w:rFonts w:asciiTheme="majorHAnsi" w:hAnsiTheme="majorHAnsi" w:cs="Times New Roman"/>
          <w:sz w:val="20"/>
          <w:szCs w:val="20"/>
        </w:rPr>
        <w:t xml:space="preserve"> </w:t>
      </w:r>
      <w:r w:rsidR="00A365DF" w:rsidRPr="00B57F12">
        <w:rPr>
          <w:rFonts w:asciiTheme="majorHAnsi" w:hAnsiTheme="majorHAnsi" w:cs="Times New Roman"/>
          <w:sz w:val="20"/>
          <w:szCs w:val="20"/>
        </w:rPr>
        <w:t>que</w:t>
      </w:r>
      <w:r w:rsidR="00480DDC" w:rsidRPr="00B57F12">
        <w:rPr>
          <w:rFonts w:asciiTheme="majorHAnsi" w:hAnsiTheme="majorHAnsi" w:cs="Times New Roman"/>
          <w:sz w:val="20"/>
          <w:szCs w:val="20"/>
        </w:rPr>
        <w:t xml:space="preserve"> el itinerario de vuelos </w:t>
      </w:r>
      <w:r w:rsidR="00A365DF" w:rsidRPr="00B57F12">
        <w:rPr>
          <w:rFonts w:asciiTheme="majorHAnsi" w:hAnsiTheme="majorHAnsi" w:cs="Times New Roman"/>
          <w:sz w:val="20"/>
          <w:szCs w:val="20"/>
        </w:rPr>
        <w:t xml:space="preserve">deberá definirse </w:t>
      </w:r>
      <w:r w:rsidR="00480DDC" w:rsidRPr="00B57F12">
        <w:rPr>
          <w:rFonts w:asciiTheme="majorHAnsi" w:hAnsiTheme="majorHAnsi" w:cs="Times New Roman"/>
          <w:sz w:val="20"/>
          <w:szCs w:val="20"/>
        </w:rPr>
        <w:t>como mínimo 30 días antes del inicio de la reunión.</w:t>
      </w:r>
    </w:p>
    <w:p w14:paraId="46AB57D9" w14:textId="77777777" w:rsidR="001C7281" w:rsidRPr="00B57F12" w:rsidRDefault="001C7281" w:rsidP="002F4E3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14:paraId="549A5DF6" w14:textId="2F22C5F3" w:rsidR="007B59D5" w:rsidRPr="00B57F12" w:rsidRDefault="000772DF" w:rsidP="002F4E3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B57F12">
        <w:rPr>
          <w:rFonts w:asciiTheme="majorHAnsi" w:hAnsiTheme="majorHAnsi" w:cs="Times New Roman"/>
          <w:sz w:val="20"/>
          <w:szCs w:val="20"/>
        </w:rPr>
        <w:t xml:space="preserve">La financiación de este fondo se ha realizado </w:t>
      </w:r>
      <w:r w:rsidR="005B2D38" w:rsidRPr="00B57F12">
        <w:rPr>
          <w:rFonts w:asciiTheme="majorHAnsi" w:hAnsiTheme="majorHAnsi" w:cs="Times New Roman"/>
          <w:sz w:val="20"/>
          <w:szCs w:val="20"/>
        </w:rPr>
        <w:t xml:space="preserve">en </w:t>
      </w:r>
      <w:r w:rsidR="005B2D38" w:rsidRPr="00B57F12">
        <w:rPr>
          <w:rFonts w:asciiTheme="majorHAnsi" w:hAnsiTheme="majorHAnsi"/>
          <w:sz w:val="20"/>
        </w:rPr>
        <w:t>20</w:t>
      </w:r>
      <w:r w:rsidR="00C47765" w:rsidRPr="00B57F12">
        <w:rPr>
          <w:rFonts w:asciiTheme="majorHAnsi" w:hAnsiTheme="majorHAnsi"/>
          <w:sz w:val="20"/>
        </w:rPr>
        <w:t>2</w:t>
      </w:r>
      <w:r w:rsidR="00970EFB" w:rsidRPr="00B57F12">
        <w:rPr>
          <w:rFonts w:asciiTheme="majorHAnsi" w:hAnsiTheme="majorHAnsi"/>
          <w:sz w:val="20"/>
        </w:rPr>
        <w:t>5</w:t>
      </w:r>
      <w:r w:rsidR="005B2D38" w:rsidRPr="00B57F12">
        <w:rPr>
          <w:rFonts w:asciiTheme="majorHAnsi" w:hAnsiTheme="majorHAnsi" w:cs="Times New Roman"/>
          <w:sz w:val="20"/>
          <w:szCs w:val="20"/>
        </w:rPr>
        <w:t xml:space="preserve"> con una asignación de </w:t>
      </w:r>
      <w:r w:rsidR="00B32FC7" w:rsidRPr="00B57F12">
        <w:rPr>
          <w:rFonts w:asciiTheme="majorHAnsi" w:hAnsiTheme="majorHAnsi" w:cs="Times New Roman"/>
          <w:sz w:val="20"/>
          <w:szCs w:val="20"/>
        </w:rPr>
        <w:t>25</w:t>
      </w:r>
      <w:r w:rsidR="005F4009" w:rsidRPr="00B57F12">
        <w:rPr>
          <w:rFonts w:asciiTheme="majorHAnsi" w:hAnsiTheme="majorHAnsi" w:cs="Times New Roman"/>
          <w:sz w:val="20"/>
          <w:szCs w:val="20"/>
        </w:rPr>
        <w:t>0</w:t>
      </w:r>
      <w:r w:rsidR="007C239A" w:rsidRPr="00B57F12">
        <w:rPr>
          <w:rFonts w:asciiTheme="majorHAnsi" w:hAnsiTheme="majorHAnsi" w:cs="Times New Roman"/>
          <w:sz w:val="20"/>
          <w:szCs w:val="20"/>
        </w:rPr>
        <w:t xml:space="preserve">.000,00 euros con cargo al </w:t>
      </w:r>
      <w:r w:rsidR="006609F7" w:rsidRPr="00B57F12">
        <w:rPr>
          <w:rFonts w:asciiTheme="majorHAnsi" w:hAnsiTheme="majorHAnsi" w:cs="Times New Roman"/>
          <w:sz w:val="20"/>
          <w:szCs w:val="20"/>
        </w:rPr>
        <w:t>c</w:t>
      </w:r>
      <w:r w:rsidR="007C239A" w:rsidRPr="00B57F12">
        <w:rPr>
          <w:rFonts w:asciiTheme="majorHAnsi" w:hAnsiTheme="majorHAnsi" w:cs="Times New Roman"/>
          <w:sz w:val="20"/>
          <w:szCs w:val="20"/>
        </w:rPr>
        <w:t xml:space="preserve">apítulo 13.b) del </w:t>
      </w:r>
      <w:r w:rsidR="006609F7" w:rsidRPr="00B57F12">
        <w:rPr>
          <w:rFonts w:asciiTheme="majorHAnsi" w:hAnsiTheme="majorHAnsi" w:cs="Times New Roman"/>
          <w:sz w:val="20"/>
          <w:szCs w:val="20"/>
        </w:rPr>
        <w:t>p</w:t>
      </w:r>
      <w:r w:rsidR="007C239A" w:rsidRPr="00B57F12">
        <w:rPr>
          <w:rFonts w:asciiTheme="majorHAnsi" w:hAnsiTheme="majorHAnsi" w:cs="Times New Roman"/>
          <w:sz w:val="20"/>
          <w:szCs w:val="20"/>
        </w:rPr>
        <w:t>resupuesto de ICCAT</w:t>
      </w:r>
      <w:r w:rsidR="005B2D38" w:rsidRPr="00B57F12">
        <w:rPr>
          <w:rFonts w:asciiTheme="majorHAnsi" w:hAnsiTheme="majorHAnsi" w:cs="Times New Roman"/>
          <w:sz w:val="20"/>
          <w:szCs w:val="20"/>
        </w:rPr>
        <w:t xml:space="preserve">, tal y como aprobó la Comisión </w:t>
      </w:r>
      <w:r w:rsidR="003F4C43" w:rsidRPr="00B57F12">
        <w:rPr>
          <w:rFonts w:asciiTheme="majorHAnsi" w:hAnsiTheme="majorHAnsi" w:cs="Times New Roman"/>
          <w:sz w:val="20"/>
          <w:szCs w:val="20"/>
        </w:rPr>
        <w:t xml:space="preserve">en </w:t>
      </w:r>
      <w:r w:rsidR="003F4C43" w:rsidRPr="00B57F12">
        <w:rPr>
          <w:rFonts w:asciiTheme="majorHAnsi" w:hAnsiTheme="majorHAnsi"/>
          <w:sz w:val="20"/>
        </w:rPr>
        <w:t>20</w:t>
      </w:r>
      <w:r w:rsidR="00480DDC" w:rsidRPr="00B57F12">
        <w:rPr>
          <w:rFonts w:asciiTheme="majorHAnsi" w:hAnsiTheme="majorHAnsi"/>
          <w:sz w:val="20"/>
        </w:rPr>
        <w:t>2</w:t>
      </w:r>
      <w:r w:rsidR="00970EFB" w:rsidRPr="00B57F12">
        <w:rPr>
          <w:rFonts w:asciiTheme="majorHAnsi" w:hAnsiTheme="majorHAnsi"/>
          <w:sz w:val="20"/>
        </w:rPr>
        <w:t>4</w:t>
      </w:r>
      <w:r w:rsidR="003F4C43" w:rsidRPr="00B57F12">
        <w:rPr>
          <w:rFonts w:asciiTheme="majorHAnsi" w:hAnsiTheme="majorHAnsi"/>
          <w:sz w:val="20"/>
        </w:rPr>
        <w:t>.</w:t>
      </w:r>
    </w:p>
    <w:p w14:paraId="1A86369A" w14:textId="77777777" w:rsidR="005B2D38" w:rsidRPr="00B57F12" w:rsidRDefault="005B2D38" w:rsidP="002F4E3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14:paraId="29E95EE7" w14:textId="608B23BA" w:rsidR="005B2D38" w:rsidRPr="00B57F12" w:rsidRDefault="00143369" w:rsidP="002F4E3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B57F12">
        <w:rPr>
          <w:rFonts w:asciiTheme="majorHAnsi" w:hAnsiTheme="majorHAnsi" w:cs="Times New Roman"/>
          <w:sz w:val="20"/>
          <w:szCs w:val="20"/>
        </w:rPr>
        <w:t>A estos fondos</w:t>
      </w:r>
      <w:r w:rsidR="005B2D38" w:rsidRPr="00B57F12">
        <w:rPr>
          <w:rFonts w:asciiTheme="majorHAnsi" w:hAnsiTheme="majorHAnsi" w:cs="Times New Roman"/>
          <w:sz w:val="20"/>
          <w:szCs w:val="20"/>
        </w:rPr>
        <w:t xml:space="preserve"> hay que añadir el saldo remanente del ejercicio 2</w:t>
      </w:r>
      <w:r w:rsidR="005B2D38" w:rsidRPr="00B57F12">
        <w:rPr>
          <w:rFonts w:asciiTheme="majorHAnsi" w:hAnsiTheme="majorHAnsi"/>
          <w:sz w:val="20"/>
        </w:rPr>
        <w:t>0</w:t>
      </w:r>
      <w:r w:rsidR="00C02779" w:rsidRPr="00B57F12">
        <w:rPr>
          <w:rFonts w:asciiTheme="majorHAnsi" w:hAnsiTheme="majorHAnsi"/>
          <w:sz w:val="20"/>
        </w:rPr>
        <w:t>2</w:t>
      </w:r>
      <w:r w:rsidR="00970EFB" w:rsidRPr="00B57F12">
        <w:rPr>
          <w:rFonts w:asciiTheme="majorHAnsi" w:hAnsiTheme="majorHAnsi"/>
          <w:sz w:val="20"/>
        </w:rPr>
        <w:t>4</w:t>
      </w:r>
      <w:r w:rsidR="005B2D38" w:rsidRPr="00B57F12">
        <w:rPr>
          <w:rFonts w:asciiTheme="majorHAnsi" w:hAnsiTheme="majorHAnsi" w:cs="Times New Roman"/>
          <w:sz w:val="20"/>
          <w:szCs w:val="20"/>
        </w:rPr>
        <w:t xml:space="preserve"> </w:t>
      </w:r>
      <w:r w:rsidRPr="00B57F12">
        <w:rPr>
          <w:rFonts w:asciiTheme="majorHAnsi" w:hAnsiTheme="majorHAnsi" w:cs="Times New Roman"/>
          <w:sz w:val="20"/>
          <w:szCs w:val="20"/>
        </w:rPr>
        <w:t xml:space="preserve">que </w:t>
      </w:r>
      <w:r w:rsidR="005B2D38" w:rsidRPr="00B57F12">
        <w:rPr>
          <w:rFonts w:asciiTheme="majorHAnsi" w:hAnsiTheme="majorHAnsi" w:cs="Times New Roman"/>
          <w:sz w:val="20"/>
          <w:szCs w:val="20"/>
        </w:rPr>
        <w:t xml:space="preserve">ascendía </w:t>
      </w:r>
      <w:r w:rsidR="005B2D38" w:rsidRPr="00B57F12">
        <w:rPr>
          <w:rFonts w:asciiTheme="majorHAnsi" w:hAnsiTheme="majorHAnsi"/>
          <w:sz w:val="20"/>
        </w:rPr>
        <w:t xml:space="preserve">a </w:t>
      </w:r>
      <w:r w:rsidR="00970EFB" w:rsidRPr="00B57F12">
        <w:rPr>
          <w:rFonts w:asciiTheme="majorHAnsi" w:hAnsiTheme="majorHAnsi"/>
          <w:sz w:val="20"/>
        </w:rPr>
        <w:t>205.497,81</w:t>
      </w:r>
      <w:r w:rsidR="008D186D" w:rsidRPr="00B57F12">
        <w:rPr>
          <w:rFonts w:asciiTheme="majorHAnsi" w:hAnsiTheme="majorHAnsi" w:cs="Times New Roman"/>
          <w:sz w:val="20"/>
          <w:szCs w:val="20"/>
        </w:rPr>
        <w:t xml:space="preserve"> euros</w:t>
      </w:r>
      <w:r w:rsidR="003F4C43" w:rsidRPr="00B57F12">
        <w:rPr>
          <w:rFonts w:asciiTheme="majorHAnsi" w:hAnsiTheme="majorHAnsi" w:cs="Times New Roman"/>
          <w:sz w:val="20"/>
          <w:szCs w:val="20"/>
        </w:rPr>
        <w:t>. Po</w:t>
      </w:r>
      <w:r w:rsidR="005B2D38" w:rsidRPr="00B57F12">
        <w:rPr>
          <w:rFonts w:asciiTheme="majorHAnsi" w:hAnsiTheme="majorHAnsi" w:cs="Times New Roman"/>
          <w:sz w:val="20"/>
          <w:szCs w:val="20"/>
        </w:rPr>
        <w:t>r tanto</w:t>
      </w:r>
      <w:r w:rsidR="003F4C43" w:rsidRPr="00B57F12">
        <w:rPr>
          <w:rFonts w:asciiTheme="majorHAnsi" w:hAnsiTheme="majorHAnsi" w:cs="Times New Roman"/>
          <w:sz w:val="20"/>
          <w:szCs w:val="20"/>
        </w:rPr>
        <w:t>,</w:t>
      </w:r>
      <w:r w:rsidR="005B2D38" w:rsidRPr="00B57F12">
        <w:rPr>
          <w:rFonts w:asciiTheme="majorHAnsi" w:hAnsiTheme="majorHAnsi" w:cs="Times New Roman"/>
          <w:sz w:val="20"/>
          <w:szCs w:val="20"/>
        </w:rPr>
        <w:t xml:space="preserve"> el importe </w:t>
      </w:r>
      <w:r w:rsidR="003F4C43" w:rsidRPr="00B57F12">
        <w:rPr>
          <w:rFonts w:asciiTheme="majorHAnsi" w:hAnsiTheme="majorHAnsi" w:cs="Times New Roman"/>
          <w:sz w:val="20"/>
          <w:szCs w:val="20"/>
        </w:rPr>
        <w:t>disponible</w:t>
      </w:r>
      <w:r w:rsidR="005B2D38" w:rsidRPr="00B57F12">
        <w:rPr>
          <w:rFonts w:asciiTheme="majorHAnsi" w:hAnsiTheme="majorHAnsi" w:cs="Times New Roman"/>
          <w:sz w:val="20"/>
          <w:szCs w:val="20"/>
        </w:rPr>
        <w:t xml:space="preserve"> en </w:t>
      </w:r>
      <w:r w:rsidR="005B2D38" w:rsidRPr="00B57F12">
        <w:rPr>
          <w:rFonts w:asciiTheme="majorHAnsi" w:hAnsiTheme="majorHAnsi"/>
          <w:sz w:val="20"/>
        </w:rPr>
        <w:t>20</w:t>
      </w:r>
      <w:r w:rsidR="00C47765" w:rsidRPr="00B57F12">
        <w:rPr>
          <w:rFonts w:asciiTheme="majorHAnsi" w:hAnsiTheme="majorHAnsi"/>
          <w:sz w:val="20"/>
        </w:rPr>
        <w:t>2</w:t>
      </w:r>
      <w:r w:rsidR="00970EFB" w:rsidRPr="00B57F12">
        <w:rPr>
          <w:rFonts w:asciiTheme="majorHAnsi" w:hAnsiTheme="majorHAnsi"/>
          <w:sz w:val="20"/>
        </w:rPr>
        <w:t>5</w:t>
      </w:r>
      <w:r w:rsidR="005B2D38" w:rsidRPr="00B57F12">
        <w:rPr>
          <w:rFonts w:asciiTheme="majorHAnsi" w:hAnsiTheme="majorHAnsi" w:cs="Times New Roman"/>
          <w:sz w:val="20"/>
          <w:szCs w:val="20"/>
        </w:rPr>
        <w:t xml:space="preserve"> ha sido de </w:t>
      </w:r>
      <w:bookmarkStart w:id="0" w:name="_Hlk118393609"/>
      <w:r w:rsidR="00970EFB" w:rsidRPr="00B57F12">
        <w:rPr>
          <w:rFonts w:asciiTheme="majorHAnsi" w:hAnsiTheme="majorHAnsi" w:cs="Times New Roman"/>
          <w:sz w:val="20"/>
          <w:szCs w:val="20"/>
        </w:rPr>
        <w:t>455.497,81</w:t>
      </w:r>
      <w:r w:rsidR="005B2D38" w:rsidRPr="00B57F12">
        <w:rPr>
          <w:rFonts w:asciiTheme="majorHAnsi" w:hAnsiTheme="majorHAnsi" w:cs="Times New Roman"/>
          <w:sz w:val="20"/>
          <w:szCs w:val="20"/>
        </w:rPr>
        <w:t xml:space="preserve"> </w:t>
      </w:r>
      <w:bookmarkEnd w:id="0"/>
      <w:r w:rsidR="005B2D38" w:rsidRPr="00B57F12">
        <w:rPr>
          <w:rFonts w:asciiTheme="majorHAnsi" w:hAnsiTheme="majorHAnsi" w:cs="Times New Roman"/>
          <w:sz w:val="20"/>
          <w:szCs w:val="20"/>
        </w:rPr>
        <w:t>euros.</w:t>
      </w:r>
    </w:p>
    <w:p w14:paraId="78EA9D28" w14:textId="75A8DAAA" w:rsidR="00CD4F9A" w:rsidRPr="00B57F12" w:rsidRDefault="00CD4F9A" w:rsidP="002F4E3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14:paraId="2EE84B7C" w14:textId="42438AC3" w:rsidR="00767AE3" w:rsidRPr="00B57F12" w:rsidRDefault="00767AE3" w:rsidP="002F4E3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B57F12">
        <w:rPr>
          <w:rFonts w:asciiTheme="majorHAnsi" w:hAnsiTheme="majorHAnsi"/>
          <w:sz w:val="20"/>
          <w:szCs w:val="20"/>
        </w:rPr>
        <w:t>En 202</w:t>
      </w:r>
      <w:r w:rsidR="00970EFB" w:rsidRPr="00B57F12">
        <w:rPr>
          <w:rFonts w:asciiTheme="majorHAnsi" w:hAnsiTheme="majorHAnsi"/>
          <w:sz w:val="20"/>
          <w:szCs w:val="20"/>
        </w:rPr>
        <w:t>5</w:t>
      </w:r>
      <w:r w:rsidRPr="00B57F12">
        <w:rPr>
          <w:rFonts w:asciiTheme="majorHAnsi" w:hAnsiTheme="majorHAnsi"/>
          <w:sz w:val="20"/>
          <w:szCs w:val="20"/>
        </w:rPr>
        <w:t xml:space="preserve"> se han gestionado </w:t>
      </w:r>
      <w:r w:rsidR="00970EFB" w:rsidRPr="00B57F12">
        <w:rPr>
          <w:rFonts w:asciiTheme="majorHAnsi" w:hAnsiTheme="majorHAnsi"/>
          <w:sz w:val="20"/>
          <w:szCs w:val="20"/>
        </w:rPr>
        <w:t>118</w:t>
      </w:r>
      <w:r w:rsidRPr="00B57F12">
        <w:rPr>
          <w:rFonts w:asciiTheme="majorHAnsi" w:hAnsiTheme="majorHAnsi"/>
          <w:sz w:val="20"/>
          <w:szCs w:val="20"/>
        </w:rPr>
        <w:t xml:space="preserve"> viajes y se han beneficiado </w:t>
      </w:r>
      <w:r w:rsidR="00970EFB" w:rsidRPr="00B57F12">
        <w:rPr>
          <w:rFonts w:asciiTheme="majorHAnsi" w:hAnsiTheme="majorHAnsi"/>
          <w:sz w:val="20"/>
          <w:szCs w:val="20"/>
        </w:rPr>
        <w:t>31</w:t>
      </w:r>
      <w:r w:rsidRPr="00B57F12">
        <w:rPr>
          <w:rFonts w:asciiTheme="majorHAnsi" w:hAnsiTheme="majorHAnsi"/>
          <w:sz w:val="20"/>
          <w:szCs w:val="20"/>
        </w:rPr>
        <w:t xml:space="preserve"> </w:t>
      </w:r>
      <w:r w:rsidR="005E0CE6" w:rsidRPr="00B57F12">
        <w:rPr>
          <w:rFonts w:asciiTheme="majorHAnsi" w:hAnsiTheme="majorHAnsi"/>
          <w:sz w:val="20"/>
          <w:szCs w:val="20"/>
        </w:rPr>
        <w:t>Partes contratantes</w:t>
      </w:r>
      <w:r w:rsidRPr="00B57F12">
        <w:rPr>
          <w:rFonts w:asciiTheme="majorHAnsi" w:hAnsiTheme="majorHAnsi"/>
          <w:sz w:val="20"/>
          <w:szCs w:val="20"/>
        </w:rPr>
        <w:t>.</w:t>
      </w:r>
    </w:p>
    <w:p w14:paraId="395C95A6" w14:textId="3ABC400D" w:rsidR="007452FF" w:rsidRPr="00B57F12" w:rsidRDefault="007452FF" w:rsidP="002F4E3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14:paraId="62F208E3" w14:textId="6ED07B03" w:rsidR="007452FF" w:rsidRPr="00B57F12" w:rsidRDefault="007452FF" w:rsidP="002F4E3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B57F12">
        <w:rPr>
          <w:rFonts w:asciiTheme="majorHAnsi" w:hAnsiTheme="majorHAnsi"/>
          <w:sz w:val="20"/>
          <w:szCs w:val="20"/>
        </w:rPr>
        <w:t>Para 202</w:t>
      </w:r>
      <w:r w:rsidR="00970EFB" w:rsidRPr="00B57F12">
        <w:rPr>
          <w:rFonts w:asciiTheme="majorHAnsi" w:hAnsiTheme="majorHAnsi"/>
          <w:sz w:val="20"/>
          <w:szCs w:val="20"/>
        </w:rPr>
        <w:t>6</w:t>
      </w:r>
      <w:r w:rsidRPr="00B57F12">
        <w:rPr>
          <w:rFonts w:asciiTheme="majorHAnsi" w:hAnsiTheme="majorHAnsi"/>
          <w:sz w:val="20"/>
          <w:szCs w:val="20"/>
        </w:rPr>
        <w:t xml:space="preserve">, este fondo contará con </w:t>
      </w:r>
      <w:r w:rsidR="00423E92" w:rsidRPr="00B57F12">
        <w:rPr>
          <w:rFonts w:asciiTheme="majorHAnsi" w:hAnsiTheme="majorHAnsi"/>
          <w:sz w:val="20"/>
          <w:szCs w:val="20"/>
        </w:rPr>
        <w:t>el</w:t>
      </w:r>
      <w:r w:rsidRPr="00B57F12">
        <w:rPr>
          <w:rFonts w:asciiTheme="majorHAnsi" w:hAnsiTheme="majorHAnsi"/>
          <w:sz w:val="20"/>
          <w:szCs w:val="20"/>
        </w:rPr>
        <w:t xml:space="preserve"> saldo </w:t>
      </w:r>
      <w:r w:rsidR="00154BBF" w:rsidRPr="00B57F12">
        <w:rPr>
          <w:rFonts w:asciiTheme="majorHAnsi" w:hAnsiTheme="majorHAnsi"/>
          <w:sz w:val="20"/>
          <w:szCs w:val="20"/>
        </w:rPr>
        <w:t xml:space="preserve">remanente </w:t>
      </w:r>
      <w:r w:rsidRPr="00B57F12">
        <w:rPr>
          <w:rFonts w:asciiTheme="majorHAnsi" w:hAnsiTheme="majorHAnsi"/>
          <w:sz w:val="20"/>
          <w:szCs w:val="20"/>
        </w:rPr>
        <w:t>de</w:t>
      </w:r>
      <w:r w:rsidR="00123895" w:rsidRPr="00B57F12">
        <w:rPr>
          <w:rFonts w:asciiTheme="majorHAnsi" w:hAnsiTheme="majorHAnsi"/>
          <w:sz w:val="20"/>
          <w:szCs w:val="20"/>
        </w:rPr>
        <w:t xml:space="preserve"> </w:t>
      </w:r>
      <w:r w:rsidR="00423E92" w:rsidRPr="00B57F12">
        <w:rPr>
          <w:rFonts w:asciiTheme="majorHAnsi" w:hAnsiTheme="majorHAnsi"/>
          <w:sz w:val="20"/>
          <w:szCs w:val="20"/>
        </w:rPr>
        <w:t>202</w:t>
      </w:r>
      <w:r w:rsidR="00970EFB" w:rsidRPr="00B57F12">
        <w:rPr>
          <w:rFonts w:asciiTheme="majorHAnsi" w:hAnsiTheme="majorHAnsi"/>
          <w:sz w:val="20"/>
          <w:szCs w:val="20"/>
        </w:rPr>
        <w:t>5</w:t>
      </w:r>
      <w:r w:rsidR="00423E92" w:rsidRPr="00B57F12">
        <w:rPr>
          <w:rFonts w:asciiTheme="majorHAnsi" w:hAnsiTheme="majorHAnsi"/>
          <w:sz w:val="20"/>
          <w:szCs w:val="20"/>
        </w:rPr>
        <w:t xml:space="preserve"> que </w:t>
      </w:r>
      <w:r w:rsidR="00970EFB" w:rsidRPr="00B57F12">
        <w:rPr>
          <w:rFonts w:asciiTheme="majorHAnsi" w:hAnsiTheme="majorHAnsi"/>
          <w:sz w:val="20"/>
          <w:szCs w:val="20"/>
        </w:rPr>
        <w:t xml:space="preserve">se estima </w:t>
      </w:r>
      <w:r w:rsidR="00027367" w:rsidRPr="00B57F12">
        <w:rPr>
          <w:rFonts w:asciiTheme="majorHAnsi" w:hAnsiTheme="majorHAnsi"/>
          <w:sz w:val="20"/>
          <w:szCs w:val="20"/>
        </w:rPr>
        <w:t xml:space="preserve">que sea </w:t>
      </w:r>
      <w:r w:rsidR="00423E92" w:rsidRPr="00B57F12">
        <w:rPr>
          <w:rFonts w:asciiTheme="majorHAnsi" w:hAnsiTheme="majorHAnsi"/>
          <w:sz w:val="20"/>
          <w:szCs w:val="20"/>
        </w:rPr>
        <w:t xml:space="preserve">de </w:t>
      </w:r>
      <w:r w:rsidR="00E75E8D" w:rsidRPr="00B57F12">
        <w:rPr>
          <w:rFonts w:asciiTheme="majorHAnsi" w:hAnsiTheme="majorHAnsi"/>
          <w:sz w:val="20"/>
          <w:szCs w:val="20"/>
        </w:rPr>
        <w:t xml:space="preserve">54.868,52 </w:t>
      </w:r>
      <w:r w:rsidR="00123895" w:rsidRPr="00B57F12">
        <w:rPr>
          <w:rFonts w:asciiTheme="majorHAnsi" w:hAnsiTheme="majorHAnsi"/>
          <w:sz w:val="20"/>
          <w:szCs w:val="20"/>
        </w:rPr>
        <w:t>euros.</w:t>
      </w:r>
      <w:r w:rsidR="00154BBF" w:rsidRPr="00B57F12">
        <w:rPr>
          <w:rFonts w:asciiTheme="majorHAnsi" w:hAnsiTheme="majorHAnsi"/>
          <w:sz w:val="20"/>
          <w:szCs w:val="20"/>
        </w:rPr>
        <w:t xml:space="preserve"> </w:t>
      </w:r>
      <w:r w:rsidR="003B7250" w:rsidRPr="00B57F12">
        <w:rPr>
          <w:rFonts w:asciiTheme="majorHAnsi" w:hAnsiTheme="majorHAnsi"/>
          <w:sz w:val="20"/>
          <w:szCs w:val="20"/>
        </w:rPr>
        <w:t>Se ha realizado un</w:t>
      </w:r>
      <w:r w:rsidR="00027367" w:rsidRPr="00B57F12">
        <w:rPr>
          <w:rFonts w:asciiTheme="majorHAnsi" w:hAnsiTheme="majorHAnsi"/>
          <w:sz w:val="20"/>
          <w:szCs w:val="20"/>
        </w:rPr>
        <w:t>a</w:t>
      </w:r>
      <w:r w:rsidR="003B7250" w:rsidRPr="00B57F12">
        <w:rPr>
          <w:rFonts w:asciiTheme="majorHAnsi" w:hAnsiTheme="majorHAnsi"/>
          <w:sz w:val="20"/>
          <w:szCs w:val="20"/>
        </w:rPr>
        <w:t xml:space="preserve"> estimación de las posibles solicitudes </w:t>
      </w:r>
      <w:r w:rsidR="00027367" w:rsidRPr="00B57F12">
        <w:rPr>
          <w:rFonts w:asciiTheme="majorHAnsi" w:hAnsiTheme="majorHAnsi"/>
          <w:sz w:val="20"/>
          <w:szCs w:val="20"/>
        </w:rPr>
        <w:t>de</w:t>
      </w:r>
      <w:r w:rsidR="003B7250" w:rsidRPr="00B57F12">
        <w:rPr>
          <w:rFonts w:asciiTheme="majorHAnsi" w:hAnsiTheme="majorHAnsi"/>
          <w:sz w:val="20"/>
          <w:szCs w:val="20"/>
        </w:rPr>
        <w:t xml:space="preserve"> 2026</w:t>
      </w:r>
      <w:r w:rsidR="00027367" w:rsidRPr="00B57F12">
        <w:rPr>
          <w:rFonts w:asciiTheme="majorHAnsi" w:hAnsiTheme="majorHAnsi"/>
          <w:sz w:val="20"/>
          <w:szCs w:val="20"/>
        </w:rPr>
        <w:t>,</w:t>
      </w:r>
      <w:r w:rsidR="003B7250" w:rsidRPr="00B57F12">
        <w:rPr>
          <w:rFonts w:asciiTheme="majorHAnsi" w:hAnsiTheme="majorHAnsi"/>
          <w:sz w:val="20"/>
          <w:szCs w:val="20"/>
        </w:rPr>
        <w:t xml:space="preserve"> teniendo en cuenta las reuniones </w:t>
      </w:r>
      <w:r w:rsidR="00027367" w:rsidRPr="00B57F12">
        <w:rPr>
          <w:rFonts w:asciiTheme="majorHAnsi" w:hAnsiTheme="majorHAnsi"/>
          <w:sz w:val="20"/>
          <w:szCs w:val="20"/>
        </w:rPr>
        <w:t xml:space="preserve">previstas, y el gasto </w:t>
      </w:r>
      <w:r w:rsidR="009632A5" w:rsidRPr="00B57F12">
        <w:rPr>
          <w:rFonts w:asciiTheme="majorHAnsi" w:hAnsiTheme="majorHAnsi"/>
          <w:sz w:val="20"/>
          <w:szCs w:val="20"/>
        </w:rPr>
        <w:t>en 2026 se calcula que sea de</w:t>
      </w:r>
      <w:r w:rsidR="00027367" w:rsidRPr="00B57F12">
        <w:rPr>
          <w:rFonts w:asciiTheme="majorHAnsi" w:hAnsiTheme="majorHAnsi"/>
          <w:sz w:val="20"/>
          <w:szCs w:val="20"/>
        </w:rPr>
        <w:t xml:space="preserve"> 441.725,34 euros. Por ello, </w:t>
      </w:r>
      <w:r w:rsidR="004E0B08" w:rsidRPr="00B57F12">
        <w:rPr>
          <w:rFonts w:asciiTheme="majorHAnsi" w:hAnsiTheme="majorHAnsi"/>
          <w:sz w:val="20"/>
          <w:szCs w:val="20"/>
        </w:rPr>
        <w:t>se</w:t>
      </w:r>
      <w:r w:rsidR="0096057A" w:rsidRPr="00B57F12">
        <w:rPr>
          <w:rFonts w:asciiTheme="majorHAnsi" w:hAnsiTheme="majorHAnsi"/>
          <w:sz w:val="20"/>
          <w:szCs w:val="20"/>
        </w:rPr>
        <w:t>rá</w:t>
      </w:r>
      <w:r w:rsidR="004E0B08" w:rsidRPr="00B57F12">
        <w:rPr>
          <w:rFonts w:asciiTheme="majorHAnsi" w:hAnsiTheme="majorHAnsi"/>
          <w:sz w:val="20"/>
          <w:szCs w:val="20"/>
        </w:rPr>
        <w:t xml:space="preserve"> necesario destinar </w:t>
      </w:r>
      <w:r w:rsidR="00423E92" w:rsidRPr="00B57F12">
        <w:rPr>
          <w:rFonts w:asciiTheme="majorHAnsi" w:hAnsiTheme="majorHAnsi"/>
          <w:sz w:val="20"/>
          <w:szCs w:val="20"/>
        </w:rPr>
        <w:t>a</w:t>
      </w:r>
      <w:r w:rsidR="0096057A" w:rsidRPr="00B57F12">
        <w:rPr>
          <w:rFonts w:asciiTheme="majorHAnsi" w:hAnsiTheme="majorHAnsi"/>
          <w:sz w:val="20"/>
          <w:szCs w:val="20"/>
        </w:rPr>
        <w:t xml:space="preserve"> este fondo al</w:t>
      </w:r>
      <w:r w:rsidR="00423E92" w:rsidRPr="00B57F12">
        <w:rPr>
          <w:rFonts w:asciiTheme="majorHAnsi" w:hAnsiTheme="majorHAnsi"/>
          <w:sz w:val="20"/>
          <w:szCs w:val="20"/>
        </w:rPr>
        <w:t xml:space="preserve"> menos </w:t>
      </w:r>
      <w:r w:rsidR="00027367" w:rsidRPr="00B57F12">
        <w:rPr>
          <w:rFonts w:asciiTheme="majorHAnsi" w:hAnsiTheme="majorHAnsi"/>
          <w:sz w:val="20"/>
          <w:szCs w:val="20"/>
        </w:rPr>
        <w:t>400</w:t>
      </w:r>
      <w:r w:rsidR="004E0B08" w:rsidRPr="00B57F12">
        <w:rPr>
          <w:rFonts w:asciiTheme="majorHAnsi" w:hAnsiTheme="majorHAnsi"/>
          <w:sz w:val="20"/>
          <w:szCs w:val="20"/>
        </w:rPr>
        <w:t>.000,00 euros</w:t>
      </w:r>
      <w:r w:rsidR="00FF3552" w:rsidRPr="00B57F12">
        <w:rPr>
          <w:rFonts w:asciiTheme="majorHAnsi" w:hAnsiTheme="majorHAnsi"/>
          <w:sz w:val="20"/>
          <w:szCs w:val="20"/>
        </w:rPr>
        <w:t xml:space="preserve">, para </w:t>
      </w:r>
      <w:r w:rsidR="0096057A" w:rsidRPr="00B57F12">
        <w:rPr>
          <w:rFonts w:asciiTheme="majorHAnsi" w:hAnsiTheme="majorHAnsi"/>
          <w:sz w:val="20"/>
          <w:szCs w:val="20"/>
        </w:rPr>
        <w:t>alcanzar</w:t>
      </w:r>
      <w:r w:rsidR="00FF3552" w:rsidRPr="00B57F12">
        <w:rPr>
          <w:rFonts w:asciiTheme="majorHAnsi" w:hAnsiTheme="majorHAnsi"/>
          <w:sz w:val="20"/>
          <w:szCs w:val="20"/>
        </w:rPr>
        <w:t xml:space="preserve"> un saldo </w:t>
      </w:r>
      <w:r w:rsidR="00482CF1" w:rsidRPr="00B57F12">
        <w:rPr>
          <w:rFonts w:asciiTheme="majorHAnsi" w:hAnsiTheme="majorHAnsi"/>
          <w:sz w:val="20"/>
          <w:szCs w:val="20"/>
        </w:rPr>
        <w:t>de</w:t>
      </w:r>
      <w:r w:rsidR="00FF3552" w:rsidRPr="00B57F12">
        <w:rPr>
          <w:rFonts w:asciiTheme="majorHAnsi" w:hAnsiTheme="majorHAnsi"/>
          <w:sz w:val="20"/>
          <w:szCs w:val="20"/>
        </w:rPr>
        <w:t xml:space="preserve"> </w:t>
      </w:r>
      <w:r w:rsidR="00027367" w:rsidRPr="00B57F12">
        <w:rPr>
          <w:rFonts w:asciiTheme="majorHAnsi" w:hAnsiTheme="majorHAnsi"/>
          <w:sz w:val="20"/>
          <w:szCs w:val="20"/>
        </w:rPr>
        <w:t>4</w:t>
      </w:r>
      <w:r w:rsidR="00E75E8D" w:rsidRPr="00B57F12">
        <w:rPr>
          <w:rFonts w:asciiTheme="majorHAnsi" w:hAnsiTheme="majorHAnsi"/>
          <w:sz w:val="20"/>
          <w:szCs w:val="20"/>
        </w:rPr>
        <w:t>54.868,52</w:t>
      </w:r>
      <w:r w:rsidR="00027367" w:rsidRPr="00B57F12">
        <w:rPr>
          <w:rFonts w:asciiTheme="majorHAnsi" w:hAnsiTheme="majorHAnsi"/>
          <w:sz w:val="20"/>
          <w:szCs w:val="20"/>
        </w:rPr>
        <w:t xml:space="preserve"> euros</w:t>
      </w:r>
      <w:r w:rsidR="00423E92" w:rsidRPr="00B57F12">
        <w:rPr>
          <w:rFonts w:asciiTheme="majorHAnsi" w:hAnsiTheme="majorHAnsi"/>
          <w:sz w:val="20"/>
          <w:szCs w:val="20"/>
        </w:rPr>
        <w:t>.</w:t>
      </w:r>
      <w:r w:rsidR="005603C4" w:rsidRPr="00B57F12">
        <w:rPr>
          <w:rFonts w:asciiTheme="majorHAnsi" w:hAnsiTheme="majorHAnsi"/>
          <w:sz w:val="20"/>
          <w:szCs w:val="20"/>
        </w:rPr>
        <w:t xml:space="preserve"> </w:t>
      </w:r>
      <w:r w:rsidR="00024950" w:rsidRPr="00B57F12">
        <w:rPr>
          <w:rFonts w:asciiTheme="majorHAnsi" w:hAnsiTheme="majorHAnsi"/>
          <w:sz w:val="20"/>
          <w:szCs w:val="20"/>
        </w:rPr>
        <w:t xml:space="preserve"> No obstante, de seguir esta tendencia, habrá que </w:t>
      </w:r>
      <w:r w:rsidR="00814209" w:rsidRPr="00B57F12">
        <w:rPr>
          <w:rFonts w:asciiTheme="majorHAnsi" w:hAnsiTheme="majorHAnsi"/>
          <w:sz w:val="20"/>
          <w:szCs w:val="20"/>
        </w:rPr>
        <w:t xml:space="preserve">incrementar esta partida </w:t>
      </w:r>
      <w:r w:rsidR="00024950" w:rsidRPr="00B57F12">
        <w:rPr>
          <w:rFonts w:asciiTheme="majorHAnsi" w:hAnsiTheme="majorHAnsi"/>
          <w:sz w:val="20"/>
          <w:szCs w:val="20"/>
        </w:rPr>
        <w:t>para las siguientes anualidades, puesto que</w:t>
      </w:r>
      <w:r w:rsidR="00814209" w:rsidRPr="00B57F12">
        <w:rPr>
          <w:rFonts w:asciiTheme="majorHAnsi" w:hAnsiTheme="majorHAnsi"/>
          <w:sz w:val="20"/>
          <w:szCs w:val="20"/>
        </w:rPr>
        <w:t>,</w:t>
      </w:r>
      <w:r w:rsidR="00024950" w:rsidRPr="00B57F12">
        <w:rPr>
          <w:rFonts w:asciiTheme="majorHAnsi" w:hAnsiTheme="majorHAnsi"/>
          <w:sz w:val="20"/>
          <w:szCs w:val="20"/>
        </w:rPr>
        <w:t xml:space="preserve"> </w:t>
      </w:r>
      <w:r w:rsidR="00814209" w:rsidRPr="00B57F12">
        <w:rPr>
          <w:rFonts w:asciiTheme="majorHAnsi" w:hAnsiTheme="majorHAnsi"/>
          <w:sz w:val="20"/>
          <w:szCs w:val="20"/>
        </w:rPr>
        <w:t>de no ser así,</w:t>
      </w:r>
      <w:r w:rsidR="00024950" w:rsidRPr="00B57F12">
        <w:rPr>
          <w:rFonts w:asciiTheme="majorHAnsi" w:hAnsiTheme="majorHAnsi"/>
          <w:sz w:val="20"/>
          <w:szCs w:val="20"/>
        </w:rPr>
        <w:t xml:space="preserve"> no se </w:t>
      </w:r>
      <w:r w:rsidR="00814209" w:rsidRPr="00B57F12">
        <w:rPr>
          <w:rFonts w:asciiTheme="majorHAnsi" w:hAnsiTheme="majorHAnsi"/>
          <w:sz w:val="20"/>
          <w:szCs w:val="20"/>
        </w:rPr>
        <w:t>podrá cubrir</w:t>
      </w:r>
      <w:r w:rsidR="00024950" w:rsidRPr="00B57F12">
        <w:rPr>
          <w:rFonts w:asciiTheme="majorHAnsi" w:hAnsiTheme="majorHAnsi"/>
          <w:sz w:val="20"/>
          <w:szCs w:val="20"/>
        </w:rPr>
        <w:t xml:space="preserve"> la totalidad del gasto.</w:t>
      </w:r>
    </w:p>
    <w:p w14:paraId="58328CC8" w14:textId="77777777" w:rsidR="00970EFB" w:rsidRPr="00B57F12" w:rsidRDefault="00970EFB" w:rsidP="00970EFB">
      <w:pPr>
        <w:jc w:val="right"/>
        <w:rPr>
          <w:rFonts w:asciiTheme="majorHAnsi" w:hAnsiTheme="majorHAnsi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6"/>
        <w:gridCol w:w="2011"/>
      </w:tblGrid>
      <w:tr w:rsidR="00970EFB" w:rsidRPr="00B57F12" w14:paraId="5A2DEC93" w14:textId="77777777" w:rsidTr="00055D05">
        <w:trPr>
          <w:trHeight w:val="294"/>
          <w:jc w:val="center"/>
        </w:trPr>
        <w:tc>
          <w:tcPr>
            <w:tcW w:w="8647" w:type="dxa"/>
            <w:gridSpan w:val="2"/>
            <w:tcBorders>
              <w:bottom w:val="single" w:sz="4" w:space="0" w:color="auto"/>
            </w:tcBorders>
            <w:vAlign w:val="center"/>
          </w:tcPr>
          <w:p w14:paraId="264FB05F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B57F12">
              <w:rPr>
                <w:rFonts w:asciiTheme="majorHAnsi" w:hAnsiTheme="majorHAnsi" w:cs="Times New Roman"/>
                <w:b/>
                <w:sz w:val="20"/>
                <w:szCs w:val="20"/>
              </w:rPr>
              <w:t>Fondo especial para la participación en reuniones (MPF)</w:t>
            </w:r>
          </w:p>
        </w:tc>
      </w:tr>
      <w:tr w:rsidR="00970EFB" w:rsidRPr="00B57F12" w14:paraId="13ABE59C" w14:textId="77777777" w:rsidTr="00055D05">
        <w:trPr>
          <w:trHeight w:val="587"/>
          <w:jc w:val="center"/>
        </w:trPr>
        <w:tc>
          <w:tcPr>
            <w:tcW w:w="6636" w:type="dxa"/>
            <w:tcBorders>
              <w:top w:val="single" w:sz="4" w:space="0" w:color="auto"/>
            </w:tcBorders>
            <w:vAlign w:val="center"/>
          </w:tcPr>
          <w:p w14:paraId="2ED9A8DB" w14:textId="77777777" w:rsidR="00970EFB" w:rsidRPr="00B57F12" w:rsidRDefault="00970EFB" w:rsidP="00055D05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57F12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Saldo a la apertura del ejercicio </w:t>
            </w:r>
            <w:r w:rsidRPr="00B57F12">
              <w:rPr>
                <w:rFonts w:asciiTheme="majorHAnsi" w:hAnsiTheme="majorHAnsi"/>
                <w:b/>
                <w:sz w:val="20"/>
              </w:rPr>
              <w:t>2025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vAlign w:val="center"/>
          </w:tcPr>
          <w:p w14:paraId="6F2FB126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57F12">
              <w:rPr>
                <w:rFonts w:asciiTheme="majorHAnsi" w:hAnsiTheme="majorHAnsi"/>
                <w:b/>
                <w:sz w:val="20"/>
              </w:rPr>
              <w:t>205.497,81 €</w:t>
            </w:r>
          </w:p>
        </w:tc>
      </w:tr>
      <w:tr w:rsidR="00970EFB" w:rsidRPr="00B57F12" w14:paraId="005A91E8" w14:textId="77777777" w:rsidTr="00055D05">
        <w:trPr>
          <w:trHeight w:val="294"/>
          <w:jc w:val="center"/>
        </w:trPr>
        <w:tc>
          <w:tcPr>
            <w:tcW w:w="6636" w:type="dxa"/>
            <w:tcBorders>
              <w:bottom w:val="single" w:sz="4" w:space="0" w:color="auto"/>
            </w:tcBorders>
          </w:tcPr>
          <w:p w14:paraId="44944D3D" w14:textId="77777777" w:rsidR="00970EFB" w:rsidRPr="00B57F12" w:rsidRDefault="00970EFB" w:rsidP="00055D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57F12">
              <w:rPr>
                <w:rFonts w:asciiTheme="majorHAnsi" w:hAnsiTheme="majorHAnsi" w:cs="Times New Roman"/>
                <w:b/>
                <w:sz w:val="20"/>
                <w:szCs w:val="20"/>
              </w:rPr>
              <w:t>INGRESOS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08640683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57F12">
              <w:rPr>
                <w:rFonts w:asciiTheme="majorHAnsi" w:hAnsiTheme="majorHAnsi"/>
                <w:b/>
                <w:sz w:val="20"/>
              </w:rPr>
              <w:t>250.0</w:t>
            </w:r>
            <w:r w:rsidRPr="00B57F12">
              <w:rPr>
                <w:rFonts w:asciiTheme="majorHAnsi" w:hAnsiTheme="majorHAnsi" w:cs="Times New Roman"/>
                <w:b/>
                <w:sz w:val="20"/>
                <w:szCs w:val="20"/>
              </w:rPr>
              <w:t>00,00 €</w:t>
            </w:r>
          </w:p>
        </w:tc>
      </w:tr>
      <w:tr w:rsidR="00970EFB" w:rsidRPr="00B57F12" w14:paraId="6E602977" w14:textId="77777777" w:rsidTr="00055D05">
        <w:trPr>
          <w:trHeight w:val="238"/>
          <w:jc w:val="center"/>
        </w:trPr>
        <w:tc>
          <w:tcPr>
            <w:tcW w:w="6636" w:type="dxa"/>
            <w:tcBorders>
              <w:top w:val="single" w:sz="4" w:space="0" w:color="auto"/>
              <w:bottom w:val="dotted" w:sz="4" w:space="0" w:color="auto"/>
            </w:tcBorders>
          </w:tcPr>
          <w:p w14:paraId="2D9C1B3E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B57F12">
              <w:rPr>
                <w:rFonts w:asciiTheme="majorHAnsi" w:hAnsiTheme="majorHAnsi" w:cs="Times New Roman"/>
                <w:sz w:val="20"/>
                <w:szCs w:val="20"/>
              </w:rPr>
              <w:t>Financiado por ICCAT</w:t>
            </w:r>
          </w:p>
        </w:tc>
        <w:tc>
          <w:tcPr>
            <w:tcW w:w="2011" w:type="dxa"/>
            <w:tcBorders>
              <w:top w:val="single" w:sz="4" w:space="0" w:color="auto"/>
              <w:bottom w:val="dotted" w:sz="4" w:space="0" w:color="auto"/>
            </w:tcBorders>
          </w:tcPr>
          <w:p w14:paraId="58CDE893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B57F12">
              <w:rPr>
                <w:rFonts w:asciiTheme="majorHAnsi" w:hAnsiTheme="majorHAnsi" w:cs="Times New Roman"/>
                <w:sz w:val="20"/>
                <w:szCs w:val="20"/>
              </w:rPr>
              <w:t>250.000,00 €</w:t>
            </w:r>
          </w:p>
        </w:tc>
      </w:tr>
      <w:tr w:rsidR="00970EFB" w:rsidRPr="00B57F12" w14:paraId="3B952E37" w14:textId="77777777" w:rsidTr="00055D05">
        <w:trPr>
          <w:trHeight w:val="238"/>
          <w:jc w:val="center"/>
        </w:trPr>
        <w:tc>
          <w:tcPr>
            <w:tcW w:w="6636" w:type="dxa"/>
            <w:tcBorders>
              <w:top w:val="single" w:sz="4" w:space="0" w:color="auto"/>
              <w:bottom w:val="dotted" w:sz="4" w:space="0" w:color="auto"/>
            </w:tcBorders>
          </w:tcPr>
          <w:p w14:paraId="7A23A0CE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  <w:p w14:paraId="43DCF24D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B57F12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Saldo disponible para el primer semestre</w:t>
            </w:r>
          </w:p>
        </w:tc>
        <w:tc>
          <w:tcPr>
            <w:tcW w:w="2011" w:type="dxa"/>
            <w:tcBorders>
              <w:top w:val="single" w:sz="4" w:space="0" w:color="auto"/>
              <w:bottom w:val="dotted" w:sz="4" w:space="0" w:color="auto"/>
            </w:tcBorders>
          </w:tcPr>
          <w:p w14:paraId="0E484A5E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  <w:p w14:paraId="0659BC30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B57F12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227.748,91 €</w:t>
            </w:r>
          </w:p>
        </w:tc>
      </w:tr>
      <w:tr w:rsidR="00970EFB" w:rsidRPr="00B57F12" w14:paraId="6070B8DF" w14:textId="77777777" w:rsidTr="00055D05">
        <w:trPr>
          <w:trHeight w:val="237"/>
          <w:jc w:val="center"/>
        </w:trPr>
        <w:tc>
          <w:tcPr>
            <w:tcW w:w="66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1AD755" w14:textId="77777777" w:rsidR="00970EFB" w:rsidRPr="00B57F12" w:rsidRDefault="00970EFB" w:rsidP="00055D05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sz w:val="20"/>
              </w:rPr>
            </w:pPr>
            <w:r w:rsidRPr="00B57F12">
              <w:rPr>
                <w:rFonts w:asciiTheme="majorHAnsi" w:hAnsiTheme="majorHAnsi"/>
                <w:bCs/>
                <w:sz w:val="20"/>
              </w:rPr>
              <w:t>Gastos reuniones científicas</w:t>
            </w: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C3D289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bCs/>
                <w:sz w:val="20"/>
              </w:rPr>
            </w:pPr>
            <w:r w:rsidRPr="00B57F12">
              <w:rPr>
                <w:rFonts w:asciiTheme="majorHAnsi" w:hAnsiTheme="majorHAnsi" w:cs="Times New Roman"/>
                <w:bCs/>
                <w:sz w:val="20"/>
                <w:szCs w:val="20"/>
              </w:rPr>
              <w:t>109.764,43 €</w:t>
            </w:r>
          </w:p>
        </w:tc>
      </w:tr>
      <w:tr w:rsidR="00970EFB" w:rsidRPr="00B57F12" w14:paraId="2811155F" w14:textId="77777777" w:rsidTr="00055D05">
        <w:trPr>
          <w:trHeight w:val="238"/>
          <w:jc w:val="center"/>
        </w:trPr>
        <w:tc>
          <w:tcPr>
            <w:tcW w:w="66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F711A74" w14:textId="6567DE4D" w:rsidR="00970EFB" w:rsidRPr="00B57F12" w:rsidRDefault="00970EFB" w:rsidP="00055D05">
            <w:pPr>
              <w:autoSpaceDE w:val="0"/>
              <w:autoSpaceDN w:val="0"/>
              <w:adjustRightInd w:val="0"/>
              <w:ind w:left="708"/>
              <w:rPr>
                <w:rFonts w:asciiTheme="majorHAnsi" w:hAnsiTheme="majorHAnsi"/>
                <w:i/>
                <w:sz w:val="20"/>
              </w:rPr>
            </w:pPr>
            <w:r w:rsidRPr="00B57F12">
              <w:rPr>
                <w:rFonts w:asciiTheme="majorHAnsi" w:hAnsiTheme="majorHAnsi"/>
                <w:i/>
                <w:sz w:val="20"/>
              </w:rPr>
              <w:t>Reunión del Grupo de trabajo sobre métodos de evaluación de stock (WGSAM) (formato híbrido, Madrid, España, del 10</w:t>
            </w:r>
            <w:r w:rsidR="009B754A" w:rsidRPr="00B57F12">
              <w:rPr>
                <w:rFonts w:asciiTheme="majorHAnsi" w:hAnsiTheme="majorHAnsi"/>
                <w:i/>
                <w:sz w:val="20"/>
              </w:rPr>
              <w:t xml:space="preserve"> al </w:t>
            </w:r>
            <w:r w:rsidRPr="00B57F12">
              <w:rPr>
                <w:rFonts w:asciiTheme="majorHAnsi" w:hAnsiTheme="majorHAnsi"/>
                <w:i/>
                <w:sz w:val="20"/>
              </w:rPr>
              <w:t>13 de febrero de 2025)</w:t>
            </w:r>
          </w:p>
        </w:tc>
        <w:tc>
          <w:tcPr>
            <w:tcW w:w="20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10AD02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i/>
                <w:sz w:val="20"/>
              </w:rPr>
            </w:pPr>
          </w:p>
          <w:p w14:paraId="47C9E989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i/>
                <w:sz w:val="20"/>
              </w:rPr>
            </w:pPr>
            <w:r w:rsidRPr="00B57F12">
              <w:rPr>
                <w:rFonts w:asciiTheme="majorHAnsi" w:hAnsiTheme="majorHAnsi"/>
                <w:i/>
                <w:sz w:val="20"/>
              </w:rPr>
              <w:t>6.176,60 €</w:t>
            </w:r>
          </w:p>
        </w:tc>
      </w:tr>
      <w:tr w:rsidR="00970EFB" w:rsidRPr="00B57F12" w14:paraId="0B2933C1" w14:textId="77777777" w:rsidTr="00055D05">
        <w:trPr>
          <w:trHeight w:val="238"/>
          <w:jc w:val="center"/>
        </w:trPr>
        <w:tc>
          <w:tcPr>
            <w:tcW w:w="66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6DA6DE" w14:textId="77777777" w:rsidR="00970EFB" w:rsidRPr="00B57F12" w:rsidRDefault="00970EFB" w:rsidP="00055D05">
            <w:pPr>
              <w:autoSpaceDE w:val="0"/>
              <w:autoSpaceDN w:val="0"/>
              <w:adjustRightInd w:val="0"/>
              <w:ind w:left="708"/>
              <w:rPr>
                <w:rFonts w:asciiTheme="majorHAnsi" w:hAnsiTheme="majorHAnsi"/>
                <w:i/>
                <w:sz w:val="20"/>
              </w:rPr>
            </w:pPr>
            <w:r w:rsidRPr="00B57F12">
              <w:rPr>
                <w:rFonts w:asciiTheme="majorHAnsi" w:hAnsiTheme="majorHAnsi"/>
                <w:i/>
                <w:sz w:val="20"/>
              </w:rPr>
              <w:t>Reunión de preparación de datos de marrajo dientuso (formato híbrido, Madrid, España, del 10 al 14 de marzo de 2025)</w:t>
            </w:r>
          </w:p>
        </w:tc>
        <w:tc>
          <w:tcPr>
            <w:tcW w:w="20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A765D2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i/>
                <w:sz w:val="20"/>
              </w:rPr>
            </w:pPr>
          </w:p>
          <w:p w14:paraId="37F9F498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i/>
                <w:sz w:val="20"/>
              </w:rPr>
            </w:pPr>
            <w:r w:rsidRPr="00B57F12">
              <w:rPr>
                <w:rFonts w:asciiTheme="majorHAnsi" w:hAnsiTheme="majorHAnsi"/>
                <w:i/>
                <w:sz w:val="20"/>
              </w:rPr>
              <w:t>9.378,72 €</w:t>
            </w:r>
          </w:p>
        </w:tc>
      </w:tr>
      <w:tr w:rsidR="00970EFB" w:rsidRPr="00B57F12" w14:paraId="6E0C62B4" w14:textId="77777777" w:rsidTr="00055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  <w:jc w:val="center"/>
        </w:trPr>
        <w:tc>
          <w:tcPr>
            <w:tcW w:w="66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6B31FFF" w14:textId="77777777" w:rsidR="00970EFB" w:rsidRPr="00B57F12" w:rsidRDefault="00970EFB" w:rsidP="00055D05">
            <w:pPr>
              <w:autoSpaceDE w:val="0"/>
              <w:autoSpaceDN w:val="0"/>
              <w:adjustRightInd w:val="0"/>
              <w:ind w:left="708"/>
              <w:rPr>
                <w:rFonts w:asciiTheme="majorHAnsi" w:hAnsiTheme="majorHAnsi"/>
                <w:i/>
                <w:sz w:val="20"/>
              </w:rPr>
            </w:pPr>
            <w:r w:rsidRPr="00B57F12">
              <w:rPr>
                <w:rFonts w:asciiTheme="majorHAnsi" w:hAnsiTheme="majorHAnsi"/>
                <w:i/>
                <w:sz w:val="20"/>
              </w:rPr>
              <w:t>Reunión de preparación de datos de aguja blanca (formato híbrido, Madrid, España, del 24 al 28 de marzo de 2025)</w:t>
            </w:r>
          </w:p>
        </w:tc>
        <w:tc>
          <w:tcPr>
            <w:tcW w:w="20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0DF4BE8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i/>
                <w:sz w:val="20"/>
              </w:rPr>
            </w:pPr>
          </w:p>
          <w:p w14:paraId="716FEE0D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i/>
                <w:sz w:val="20"/>
              </w:rPr>
            </w:pPr>
            <w:r w:rsidRPr="00B57F12">
              <w:rPr>
                <w:rFonts w:asciiTheme="majorHAnsi" w:hAnsiTheme="majorHAnsi"/>
                <w:i/>
                <w:sz w:val="20"/>
              </w:rPr>
              <w:t>17.627,42 €</w:t>
            </w:r>
          </w:p>
        </w:tc>
      </w:tr>
      <w:tr w:rsidR="00970EFB" w:rsidRPr="00B57F12" w14:paraId="0AF0C953" w14:textId="77777777" w:rsidTr="00055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  <w:jc w:val="center"/>
        </w:trPr>
        <w:tc>
          <w:tcPr>
            <w:tcW w:w="66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C338880" w14:textId="77777777" w:rsidR="00970EFB" w:rsidRPr="00B57F12" w:rsidRDefault="00970EFB" w:rsidP="00055D05">
            <w:pPr>
              <w:autoSpaceDE w:val="0"/>
              <w:autoSpaceDN w:val="0"/>
              <w:adjustRightInd w:val="0"/>
              <w:ind w:left="708"/>
              <w:rPr>
                <w:rFonts w:asciiTheme="majorHAnsi" w:hAnsiTheme="majorHAnsi"/>
                <w:i/>
                <w:sz w:val="20"/>
              </w:rPr>
            </w:pPr>
            <w:r w:rsidRPr="00B57F12">
              <w:rPr>
                <w:rFonts w:asciiTheme="majorHAnsi" w:hAnsiTheme="majorHAnsi"/>
                <w:i/>
                <w:sz w:val="20"/>
              </w:rPr>
              <w:t>Reunión intersesiones del Grupo de especies de atún rojo (formato híbrido, Sète, Francia, del 8 al 11 de abril de 2025)</w:t>
            </w:r>
          </w:p>
        </w:tc>
        <w:tc>
          <w:tcPr>
            <w:tcW w:w="20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008931C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i/>
                <w:sz w:val="20"/>
              </w:rPr>
            </w:pPr>
          </w:p>
          <w:p w14:paraId="34004F59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i/>
                <w:sz w:val="20"/>
              </w:rPr>
            </w:pPr>
            <w:r w:rsidRPr="00B57F12">
              <w:rPr>
                <w:rFonts w:asciiTheme="majorHAnsi" w:hAnsiTheme="majorHAnsi"/>
                <w:i/>
                <w:sz w:val="20"/>
              </w:rPr>
              <w:t>2.013,93 €</w:t>
            </w:r>
          </w:p>
        </w:tc>
      </w:tr>
      <w:tr w:rsidR="00970EFB" w:rsidRPr="00B57F12" w14:paraId="27223B52" w14:textId="77777777" w:rsidTr="00055D05">
        <w:trPr>
          <w:trHeight w:val="238"/>
          <w:jc w:val="center"/>
        </w:trPr>
        <w:tc>
          <w:tcPr>
            <w:tcW w:w="66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2682D46" w14:textId="77777777" w:rsidR="00970EFB" w:rsidRPr="00B57F12" w:rsidRDefault="00970EFB" w:rsidP="00055D05">
            <w:pPr>
              <w:autoSpaceDE w:val="0"/>
              <w:autoSpaceDN w:val="0"/>
              <w:adjustRightInd w:val="0"/>
              <w:ind w:left="708"/>
              <w:rPr>
                <w:rFonts w:asciiTheme="majorHAnsi" w:hAnsiTheme="majorHAnsi"/>
                <w:i/>
                <w:sz w:val="20"/>
              </w:rPr>
            </w:pPr>
            <w:r w:rsidRPr="00B57F12">
              <w:rPr>
                <w:rFonts w:asciiTheme="majorHAnsi" w:hAnsiTheme="majorHAnsi"/>
                <w:i/>
                <w:sz w:val="20"/>
              </w:rPr>
              <w:t>Reunión de preparación de datos de patudo (formato híbrido, San Sebastián, España, del 21 al 25 de abril de 2025)</w:t>
            </w:r>
          </w:p>
        </w:tc>
        <w:tc>
          <w:tcPr>
            <w:tcW w:w="20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19DB225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i/>
                <w:sz w:val="20"/>
              </w:rPr>
            </w:pPr>
          </w:p>
          <w:p w14:paraId="19C7F582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i/>
                <w:sz w:val="20"/>
              </w:rPr>
            </w:pPr>
            <w:r w:rsidRPr="00B57F12">
              <w:rPr>
                <w:rFonts w:asciiTheme="majorHAnsi" w:hAnsiTheme="majorHAnsi"/>
                <w:i/>
                <w:sz w:val="20"/>
              </w:rPr>
              <w:t>29.039,11 €</w:t>
            </w:r>
          </w:p>
        </w:tc>
      </w:tr>
      <w:tr w:rsidR="00970EFB" w:rsidRPr="00B57F12" w14:paraId="6B9ABF56" w14:textId="77777777" w:rsidTr="00055D05">
        <w:trPr>
          <w:trHeight w:val="238"/>
          <w:jc w:val="center"/>
        </w:trPr>
        <w:tc>
          <w:tcPr>
            <w:tcW w:w="66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4A7584" w14:textId="77777777" w:rsidR="00970EFB" w:rsidRPr="00B57F12" w:rsidRDefault="00970EFB" w:rsidP="00055D05">
            <w:pPr>
              <w:autoSpaceDE w:val="0"/>
              <w:autoSpaceDN w:val="0"/>
              <w:adjustRightInd w:val="0"/>
              <w:ind w:left="708"/>
              <w:rPr>
                <w:rFonts w:asciiTheme="majorHAnsi" w:hAnsiTheme="majorHAnsi"/>
                <w:i/>
                <w:sz w:val="20"/>
              </w:rPr>
            </w:pPr>
            <w:r w:rsidRPr="00B57F12">
              <w:rPr>
                <w:rFonts w:asciiTheme="majorHAnsi" w:hAnsiTheme="majorHAnsi"/>
                <w:i/>
                <w:sz w:val="20"/>
              </w:rPr>
              <w:lastRenderedPageBreak/>
              <w:t>Reunión intersesiones del Subcomité de ecosistemas y captura fortuita (formato híbrido, Madrid, España, del 12 al 16 de mayo de 2025)</w:t>
            </w:r>
          </w:p>
        </w:tc>
        <w:tc>
          <w:tcPr>
            <w:tcW w:w="20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E8B3E68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i/>
                <w:sz w:val="20"/>
              </w:rPr>
            </w:pPr>
          </w:p>
          <w:p w14:paraId="2EE5D7BA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i/>
                <w:sz w:val="20"/>
              </w:rPr>
            </w:pPr>
          </w:p>
          <w:p w14:paraId="4291BA09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i/>
                <w:sz w:val="20"/>
              </w:rPr>
            </w:pPr>
            <w:r w:rsidRPr="00B57F12">
              <w:rPr>
                <w:rFonts w:asciiTheme="majorHAnsi" w:hAnsiTheme="majorHAnsi"/>
                <w:i/>
                <w:sz w:val="20"/>
              </w:rPr>
              <w:t>5.869,71 €</w:t>
            </w:r>
          </w:p>
        </w:tc>
      </w:tr>
      <w:tr w:rsidR="00970EFB" w:rsidRPr="00B57F12" w14:paraId="0063210A" w14:textId="77777777" w:rsidTr="00055D05">
        <w:trPr>
          <w:trHeight w:val="238"/>
          <w:jc w:val="center"/>
        </w:trPr>
        <w:tc>
          <w:tcPr>
            <w:tcW w:w="66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AB3ECE" w14:textId="6DD5AF06" w:rsidR="00970EFB" w:rsidRPr="00B57F12" w:rsidRDefault="00970EFB" w:rsidP="00055D05">
            <w:pPr>
              <w:autoSpaceDE w:val="0"/>
              <w:autoSpaceDN w:val="0"/>
              <w:adjustRightInd w:val="0"/>
              <w:ind w:left="708"/>
              <w:rPr>
                <w:rFonts w:asciiTheme="majorHAnsi" w:hAnsiTheme="majorHAnsi"/>
                <w:i/>
                <w:sz w:val="20"/>
              </w:rPr>
            </w:pPr>
            <w:r w:rsidRPr="00B57F12">
              <w:rPr>
                <w:rFonts w:asciiTheme="majorHAnsi" w:hAnsiTheme="majorHAnsi"/>
                <w:i/>
                <w:sz w:val="20"/>
              </w:rPr>
              <w:t xml:space="preserve">Reunión intersesiones del Grupo de especies de pequeños túnidos (formato híbrido, </w:t>
            </w:r>
            <w:r w:rsidR="00504AEC" w:rsidRPr="00B57F12">
              <w:rPr>
                <w:rFonts w:asciiTheme="majorHAnsi" w:hAnsiTheme="majorHAnsi"/>
                <w:i/>
                <w:sz w:val="20"/>
              </w:rPr>
              <w:t>Olhão</w:t>
            </w:r>
            <w:r w:rsidRPr="00B57F12">
              <w:rPr>
                <w:rFonts w:asciiTheme="majorHAnsi" w:hAnsiTheme="majorHAnsi"/>
                <w:i/>
                <w:sz w:val="20"/>
              </w:rPr>
              <w:t>, Portugal, del 26 al 28 de mayo de 2025)</w:t>
            </w:r>
          </w:p>
        </w:tc>
        <w:tc>
          <w:tcPr>
            <w:tcW w:w="20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695225B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i/>
                <w:sz w:val="20"/>
              </w:rPr>
            </w:pPr>
          </w:p>
          <w:p w14:paraId="2253B568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i/>
                <w:sz w:val="20"/>
              </w:rPr>
            </w:pPr>
            <w:r w:rsidRPr="00B57F12">
              <w:rPr>
                <w:rFonts w:asciiTheme="majorHAnsi" w:hAnsiTheme="majorHAnsi"/>
                <w:i/>
                <w:sz w:val="20"/>
              </w:rPr>
              <w:t>13.239,26 €</w:t>
            </w:r>
          </w:p>
        </w:tc>
      </w:tr>
      <w:tr w:rsidR="00970EFB" w:rsidRPr="00B57F12" w14:paraId="44BAC3CC" w14:textId="77777777" w:rsidTr="00055D05">
        <w:trPr>
          <w:trHeight w:val="238"/>
          <w:jc w:val="center"/>
        </w:trPr>
        <w:tc>
          <w:tcPr>
            <w:tcW w:w="66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5F73055" w14:textId="77777777" w:rsidR="00970EFB" w:rsidRPr="00B57F12" w:rsidRDefault="00970EFB" w:rsidP="00055D05">
            <w:pPr>
              <w:autoSpaceDE w:val="0"/>
              <w:autoSpaceDN w:val="0"/>
              <w:adjustRightInd w:val="0"/>
              <w:ind w:left="708"/>
              <w:rPr>
                <w:rFonts w:asciiTheme="majorHAnsi" w:hAnsiTheme="majorHAnsi"/>
                <w:i/>
                <w:sz w:val="20"/>
              </w:rPr>
            </w:pPr>
            <w:r w:rsidRPr="00B57F12">
              <w:rPr>
                <w:rFonts w:asciiTheme="majorHAnsi" w:hAnsiTheme="majorHAnsi"/>
                <w:i/>
                <w:sz w:val="20"/>
              </w:rPr>
              <w:t>Reunión de evaluación de stock de marrajo dientuso (formato híbrido, Madrid, España, del 9 al 13 de junio de 2025)</w:t>
            </w:r>
          </w:p>
        </w:tc>
        <w:tc>
          <w:tcPr>
            <w:tcW w:w="20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061376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i/>
                <w:sz w:val="20"/>
              </w:rPr>
            </w:pPr>
          </w:p>
          <w:p w14:paraId="2F254AFE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i/>
                <w:sz w:val="20"/>
              </w:rPr>
            </w:pPr>
            <w:r w:rsidRPr="00B57F12">
              <w:rPr>
                <w:rFonts w:asciiTheme="majorHAnsi" w:hAnsiTheme="majorHAnsi"/>
                <w:i/>
                <w:sz w:val="20"/>
              </w:rPr>
              <w:t>15.194,27 €</w:t>
            </w:r>
          </w:p>
        </w:tc>
      </w:tr>
      <w:tr w:rsidR="00970EFB" w:rsidRPr="00B57F12" w14:paraId="4F573B6A" w14:textId="77777777" w:rsidTr="00055D05">
        <w:trPr>
          <w:trHeight w:val="238"/>
          <w:jc w:val="center"/>
        </w:trPr>
        <w:tc>
          <w:tcPr>
            <w:tcW w:w="66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BF63490" w14:textId="77777777" w:rsidR="00970EFB" w:rsidRPr="00B57F12" w:rsidRDefault="00970EFB" w:rsidP="00055D05">
            <w:pPr>
              <w:autoSpaceDE w:val="0"/>
              <w:autoSpaceDN w:val="0"/>
              <w:adjustRightInd w:val="0"/>
              <w:ind w:left="708"/>
              <w:rPr>
                <w:rFonts w:asciiTheme="majorHAnsi" w:hAnsiTheme="majorHAnsi"/>
                <w:i/>
                <w:sz w:val="20"/>
              </w:rPr>
            </w:pPr>
            <w:r w:rsidRPr="00B57F12">
              <w:rPr>
                <w:rFonts w:asciiTheme="majorHAnsi" w:hAnsiTheme="majorHAnsi"/>
                <w:i/>
                <w:sz w:val="20"/>
              </w:rPr>
              <w:t>Reunión de evaluación de stock de aguja blanca (formato híbrido, Madrid, España, del 23 al 27 de junio de 2025)</w:t>
            </w:r>
          </w:p>
        </w:tc>
        <w:tc>
          <w:tcPr>
            <w:tcW w:w="201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F4B4EC8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i/>
                <w:sz w:val="20"/>
              </w:rPr>
            </w:pPr>
          </w:p>
          <w:p w14:paraId="471A19A9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i/>
                <w:sz w:val="20"/>
              </w:rPr>
            </w:pPr>
            <w:r w:rsidRPr="00B57F12">
              <w:rPr>
                <w:rFonts w:asciiTheme="majorHAnsi" w:hAnsiTheme="majorHAnsi"/>
                <w:i/>
                <w:sz w:val="20"/>
              </w:rPr>
              <w:t>11.225,41 €</w:t>
            </w:r>
          </w:p>
        </w:tc>
      </w:tr>
      <w:tr w:rsidR="00970EFB" w:rsidRPr="00B57F12" w14:paraId="49F3E452" w14:textId="77777777" w:rsidTr="00055D05">
        <w:trPr>
          <w:trHeight w:val="238"/>
          <w:jc w:val="center"/>
        </w:trPr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8F353C" w14:textId="77777777" w:rsidR="00970EFB" w:rsidRPr="00B57F12" w:rsidRDefault="00970EFB" w:rsidP="00055D05">
            <w:pPr>
              <w:autoSpaceDE w:val="0"/>
              <w:autoSpaceDN w:val="0"/>
              <w:adjustRightInd w:val="0"/>
              <w:rPr>
                <w:rFonts w:asciiTheme="majorHAnsi" w:hAnsiTheme="majorHAnsi"/>
                <w:iCs/>
                <w:sz w:val="20"/>
              </w:rPr>
            </w:pPr>
            <w:r w:rsidRPr="00B57F12">
              <w:rPr>
                <w:rFonts w:asciiTheme="majorHAnsi" w:hAnsiTheme="majorHAnsi"/>
                <w:iCs/>
                <w:sz w:val="20"/>
              </w:rPr>
              <w:t>Reunión intersesiones de la Subcomisión 2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A35EE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iCs/>
                <w:sz w:val="20"/>
              </w:rPr>
            </w:pPr>
            <w:r w:rsidRPr="00B57F12">
              <w:rPr>
                <w:rFonts w:asciiTheme="majorHAnsi" w:hAnsiTheme="majorHAnsi"/>
                <w:iCs/>
                <w:sz w:val="20"/>
              </w:rPr>
              <w:t>12.682,32 €</w:t>
            </w:r>
          </w:p>
        </w:tc>
      </w:tr>
      <w:tr w:rsidR="00970EFB" w:rsidRPr="00B57F12" w14:paraId="25E5DF9E" w14:textId="77777777" w:rsidTr="00055D05">
        <w:trPr>
          <w:trHeight w:val="238"/>
          <w:jc w:val="center"/>
        </w:trPr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8AF72E" w14:textId="77777777" w:rsidR="00970EFB" w:rsidRPr="00B57F12" w:rsidRDefault="00970EFB" w:rsidP="00055D05">
            <w:pPr>
              <w:autoSpaceDE w:val="0"/>
              <w:autoSpaceDN w:val="0"/>
              <w:adjustRightInd w:val="0"/>
              <w:rPr>
                <w:rFonts w:asciiTheme="majorHAnsi" w:hAnsiTheme="majorHAnsi"/>
                <w:iCs/>
                <w:sz w:val="20"/>
              </w:rPr>
            </w:pPr>
            <w:r w:rsidRPr="00B57F12">
              <w:rPr>
                <w:rFonts w:asciiTheme="majorHAnsi" w:hAnsiTheme="majorHAnsi"/>
                <w:iCs/>
                <w:sz w:val="20"/>
              </w:rPr>
              <w:t>Reunión del Grupo de trabajo sobre sistemas de seguimiento electrónico (EMS WG)/Segunda reunión del Grupo de trabajo permanente sobre sistemas de documentación de capturas (CDS WG)/ 18ª reunión del Grupo de trabajo sobre medidas de seguimiento integradas (IMM)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96DEF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iCs/>
                <w:sz w:val="20"/>
              </w:rPr>
            </w:pPr>
          </w:p>
          <w:p w14:paraId="383B5BF1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iCs/>
                <w:sz w:val="20"/>
              </w:rPr>
            </w:pPr>
          </w:p>
          <w:p w14:paraId="5842F887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iCs/>
                <w:sz w:val="20"/>
              </w:rPr>
            </w:pPr>
          </w:p>
          <w:p w14:paraId="1C4533EE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iCs/>
                <w:sz w:val="20"/>
              </w:rPr>
            </w:pPr>
            <w:r w:rsidRPr="00B57F12">
              <w:rPr>
                <w:rFonts w:asciiTheme="majorHAnsi" w:hAnsiTheme="majorHAnsi"/>
                <w:iCs/>
                <w:sz w:val="20"/>
              </w:rPr>
              <w:t>25.897,62 €</w:t>
            </w:r>
          </w:p>
        </w:tc>
      </w:tr>
      <w:tr w:rsidR="00970EFB" w:rsidRPr="00B57F12" w14:paraId="1AA16C9E" w14:textId="77777777" w:rsidTr="00055D05">
        <w:trPr>
          <w:trHeight w:val="238"/>
          <w:jc w:val="center"/>
        </w:trPr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C0860A" w14:textId="77777777" w:rsidR="00970EFB" w:rsidRPr="00B57F12" w:rsidRDefault="00970EFB" w:rsidP="00055D05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iCs/>
                <w:sz w:val="20"/>
              </w:rPr>
            </w:pPr>
          </w:p>
          <w:p w14:paraId="3AE31F13" w14:textId="77777777" w:rsidR="00970EFB" w:rsidRPr="00B57F12" w:rsidRDefault="00970EFB" w:rsidP="00055D05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iCs/>
                <w:sz w:val="20"/>
              </w:rPr>
            </w:pPr>
            <w:r w:rsidRPr="00B57F12">
              <w:rPr>
                <w:rFonts w:asciiTheme="majorHAnsi" w:hAnsiTheme="majorHAnsi"/>
                <w:b/>
                <w:bCs/>
                <w:iCs/>
                <w:sz w:val="20"/>
              </w:rPr>
              <w:t>Saldo del primer semestre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2BF60B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b/>
                <w:bCs/>
                <w:iCs/>
                <w:sz w:val="20"/>
              </w:rPr>
            </w:pPr>
          </w:p>
          <w:p w14:paraId="4F8ACB2D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b/>
                <w:bCs/>
                <w:iCs/>
                <w:sz w:val="20"/>
              </w:rPr>
            </w:pPr>
            <w:r w:rsidRPr="00B57F12">
              <w:rPr>
                <w:rFonts w:asciiTheme="majorHAnsi" w:hAnsiTheme="majorHAnsi"/>
                <w:b/>
                <w:bCs/>
                <w:iCs/>
                <w:sz w:val="20"/>
              </w:rPr>
              <w:t>79.404,54 €</w:t>
            </w:r>
          </w:p>
        </w:tc>
      </w:tr>
      <w:tr w:rsidR="00970EFB" w:rsidRPr="00B57F12" w14:paraId="33430988" w14:textId="77777777" w:rsidTr="00055D05">
        <w:trPr>
          <w:trHeight w:val="238"/>
          <w:jc w:val="center"/>
        </w:trPr>
        <w:tc>
          <w:tcPr>
            <w:tcW w:w="66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DD0B91F" w14:textId="77777777" w:rsidR="00970EFB" w:rsidRPr="00B57F12" w:rsidRDefault="00970EFB" w:rsidP="00055D05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iCs/>
                <w:sz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B5ABE4B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b/>
                <w:bCs/>
                <w:iCs/>
                <w:sz w:val="20"/>
              </w:rPr>
            </w:pPr>
          </w:p>
        </w:tc>
      </w:tr>
      <w:tr w:rsidR="00970EFB" w:rsidRPr="00B57F12" w14:paraId="268BD3CB" w14:textId="77777777" w:rsidTr="00055D05">
        <w:trPr>
          <w:trHeight w:val="238"/>
          <w:jc w:val="center"/>
        </w:trPr>
        <w:tc>
          <w:tcPr>
            <w:tcW w:w="66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D1686B" w14:textId="77777777" w:rsidR="00970EFB" w:rsidRPr="00B57F12" w:rsidRDefault="00970EFB" w:rsidP="00055D05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iCs/>
                <w:sz w:val="20"/>
              </w:rPr>
            </w:pPr>
            <w:r w:rsidRPr="00B57F12">
              <w:rPr>
                <w:rFonts w:asciiTheme="majorHAnsi" w:hAnsiTheme="majorHAnsi"/>
                <w:b/>
                <w:bCs/>
                <w:iCs/>
                <w:sz w:val="20"/>
              </w:rPr>
              <w:t>Traspaso del saldo del primer semestre</w:t>
            </w:r>
          </w:p>
          <w:p w14:paraId="559FABAF" w14:textId="77777777" w:rsidR="00970EFB" w:rsidRPr="00B57F12" w:rsidRDefault="00970EFB" w:rsidP="00055D05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iCs/>
                <w:sz w:val="20"/>
              </w:rPr>
            </w:pPr>
            <w:r w:rsidRPr="00B57F12">
              <w:rPr>
                <w:rFonts w:asciiTheme="majorHAnsi" w:hAnsiTheme="majorHAnsi"/>
                <w:b/>
                <w:bCs/>
                <w:iCs/>
                <w:sz w:val="20"/>
              </w:rPr>
              <w:t>Saldo disponible para el segundo semestre</w:t>
            </w:r>
          </w:p>
        </w:tc>
        <w:tc>
          <w:tcPr>
            <w:tcW w:w="20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8A381B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b/>
                <w:bCs/>
                <w:iCs/>
                <w:sz w:val="20"/>
              </w:rPr>
            </w:pPr>
            <w:r w:rsidRPr="00B57F12">
              <w:rPr>
                <w:rFonts w:asciiTheme="majorHAnsi" w:hAnsiTheme="majorHAnsi"/>
                <w:b/>
                <w:bCs/>
                <w:iCs/>
                <w:sz w:val="20"/>
              </w:rPr>
              <w:t>79.404,54 €</w:t>
            </w:r>
          </w:p>
          <w:p w14:paraId="76975459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b/>
                <w:bCs/>
                <w:iCs/>
                <w:sz w:val="20"/>
              </w:rPr>
            </w:pPr>
            <w:r w:rsidRPr="00B57F12">
              <w:rPr>
                <w:rFonts w:asciiTheme="majorHAnsi" w:hAnsiTheme="majorHAnsi"/>
                <w:b/>
                <w:bCs/>
                <w:iCs/>
                <w:sz w:val="20"/>
              </w:rPr>
              <w:t>227.748,91 €</w:t>
            </w:r>
          </w:p>
        </w:tc>
      </w:tr>
      <w:tr w:rsidR="00970EFB" w:rsidRPr="00B57F12" w14:paraId="261D33A1" w14:textId="77777777" w:rsidTr="00055D05">
        <w:trPr>
          <w:trHeight w:val="238"/>
          <w:jc w:val="center"/>
        </w:trPr>
        <w:tc>
          <w:tcPr>
            <w:tcW w:w="66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D48D727" w14:textId="77777777" w:rsidR="00970EFB" w:rsidRPr="00B57F12" w:rsidRDefault="00970EFB" w:rsidP="00055D05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iCs/>
                <w:sz w:val="20"/>
              </w:rPr>
            </w:pPr>
          </w:p>
          <w:p w14:paraId="4E72ED27" w14:textId="77777777" w:rsidR="00970EFB" w:rsidRPr="00B57F12" w:rsidRDefault="00970EFB" w:rsidP="00055D05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iCs/>
                <w:sz w:val="20"/>
              </w:rPr>
            </w:pPr>
            <w:r w:rsidRPr="00B57F12">
              <w:rPr>
                <w:rFonts w:asciiTheme="majorHAnsi" w:hAnsiTheme="majorHAnsi"/>
                <w:b/>
                <w:bCs/>
                <w:iCs/>
                <w:sz w:val="20"/>
              </w:rPr>
              <w:t>Total disponible para el segundo semestre</w:t>
            </w:r>
          </w:p>
        </w:tc>
        <w:tc>
          <w:tcPr>
            <w:tcW w:w="201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A00BFEB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b/>
                <w:bCs/>
                <w:iCs/>
                <w:sz w:val="20"/>
              </w:rPr>
            </w:pPr>
          </w:p>
          <w:p w14:paraId="79CF7089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b/>
                <w:bCs/>
                <w:iCs/>
                <w:sz w:val="20"/>
              </w:rPr>
            </w:pPr>
            <w:r w:rsidRPr="00B57F12">
              <w:rPr>
                <w:rFonts w:asciiTheme="majorHAnsi" w:hAnsiTheme="majorHAnsi"/>
                <w:b/>
                <w:bCs/>
                <w:iCs/>
                <w:sz w:val="20"/>
              </w:rPr>
              <w:t>307.153,44 €</w:t>
            </w:r>
          </w:p>
        </w:tc>
      </w:tr>
      <w:tr w:rsidR="00970EFB" w:rsidRPr="00B57F12" w14:paraId="7F3A3130" w14:textId="77777777" w:rsidTr="00055D05">
        <w:trPr>
          <w:trHeight w:val="238"/>
          <w:jc w:val="center"/>
        </w:trPr>
        <w:tc>
          <w:tcPr>
            <w:tcW w:w="66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95264B4" w14:textId="77777777" w:rsidR="00970EFB" w:rsidRPr="00B57F12" w:rsidRDefault="00970EFB" w:rsidP="00055D05">
            <w:pPr>
              <w:autoSpaceDE w:val="0"/>
              <w:autoSpaceDN w:val="0"/>
              <w:adjustRightInd w:val="0"/>
              <w:rPr>
                <w:rFonts w:asciiTheme="majorHAnsi" w:hAnsiTheme="majorHAnsi"/>
                <w:iCs/>
                <w:sz w:val="20"/>
              </w:rPr>
            </w:pPr>
          </w:p>
          <w:p w14:paraId="78EE3696" w14:textId="77777777" w:rsidR="00970EFB" w:rsidRPr="00B57F12" w:rsidRDefault="00970EFB" w:rsidP="00055D05">
            <w:pPr>
              <w:autoSpaceDE w:val="0"/>
              <w:autoSpaceDN w:val="0"/>
              <w:adjustRightInd w:val="0"/>
              <w:rPr>
                <w:rFonts w:asciiTheme="majorHAnsi" w:hAnsiTheme="majorHAnsi"/>
                <w:iCs/>
                <w:sz w:val="20"/>
              </w:rPr>
            </w:pPr>
            <w:r w:rsidRPr="00B57F12">
              <w:rPr>
                <w:rFonts w:asciiTheme="majorHAnsi" w:hAnsiTheme="majorHAnsi"/>
                <w:iCs/>
                <w:sz w:val="20"/>
              </w:rPr>
              <w:t>Gastos reuniones científicas</w:t>
            </w:r>
          </w:p>
        </w:tc>
        <w:tc>
          <w:tcPr>
            <w:tcW w:w="20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5B11997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iCs/>
                <w:sz w:val="20"/>
              </w:rPr>
            </w:pPr>
          </w:p>
          <w:p w14:paraId="562FB4DC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iCs/>
                <w:sz w:val="20"/>
              </w:rPr>
            </w:pPr>
            <w:r w:rsidRPr="00B57F12">
              <w:rPr>
                <w:rFonts w:asciiTheme="majorHAnsi" w:hAnsiTheme="majorHAnsi"/>
                <w:iCs/>
                <w:sz w:val="20"/>
              </w:rPr>
              <w:t>135.068,55 €</w:t>
            </w:r>
          </w:p>
        </w:tc>
      </w:tr>
      <w:tr w:rsidR="00970EFB" w:rsidRPr="00B57F12" w14:paraId="2651A027" w14:textId="77777777" w:rsidTr="00055D05">
        <w:trPr>
          <w:trHeight w:val="238"/>
          <w:jc w:val="center"/>
        </w:trPr>
        <w:tc>
          <w:tcPr>
            <w:tcW w:w="66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67DF366" w14:textId="77777777" w:rsidR="00970EFB" w:rsidRPr="00B57F12" w:rsidRDefault="00970EFB" w:rsidP="00055D05">
            <w:pPr>
              <w:autoSpaceDE w:val="0"/>
              <w:autoSpaceDN w:val="0"/>
              <w:adjustRightInd w:val="0"/>
              <w:ind w:left="708"/>
              <w:rPr>
                <w:rFonts w:asciiTheme="majorHAnsi" w:hAnsiTheme="majorHAnsi"/>
                <w:i/>
                <w:sz w:val="20"/>
              </w:rPr>
            </w:pPr>
            <w:r w:rsidRPr="00B57F12">
              <w:rPr>
                <w:rFonts w:asciiTheme="majorHAnsi" w:hAnsiTheme="majorHAnsi"/>
                <w:i/>
                <w:sz w:val="20"/>
              </w:rPr>
              <w:t>Reunión sobre el Plan estratégico para la ciencia del SCRS (formato híbrido, Madrid, España, del 9 al 11 de julio de 2025)</w:t>
            </w:r>
          </w:p>
        </w:tc>
        <w:tc>
          <w:tcPr>
            <w:tcW w:w="20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EF7EB9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i/>
                <w:sz w:val="20"/>
              </w:rPr>
            </w:pPr>
          </w:p>
          <w:p w14:paraId="76DD63FC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i/>
                <w:sz w:val="20"/>
              </w:rPr>
            </w:pPr>
            <w:r w:rsidRPr="00B57F12">
              <w:rPr>
                <w:rFonts w:asciiTheme="majorHAnsi" w:hAnsiTheme="majorHAnsi"/>
                <w:i/>
                <w:sz w:val="20"/>
              </w:rPr>
              <w:t>18.232,85 €</w:t>
            </w:r>
          </w:p>
        </w:tc>
      </w:tr>
      <w:tr w:rsidR="00970EFB" w:rsidRPr="00B57F12" w14:paraId="52265D87" w14:textId="77777777" w:rsidTr="00055D05">
        <w:trPr>
          <w:trHeight w:val="238"/>
          <w:jc w:val="center"/>
        </w:trPr>
        <w:tc>
          <w:tcPr>
            <w:tcW w:w="66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79B756" w14:textId="77777777" w:rsidR="00970EFB" w:rsidRPr="00B57F12" w:rsidRDefault="00970EFB" w:rsidP="00055D05">
            <w:pPr>
              <w:autoSpaceDE w:val="0"/>
              <w:autoSpaceDN w:val="0"/>
              <w:adjustRightInd w:val="0"/>
              <w:ind w:left="708"/>
              <w:rPr>
                <w:rFonts w:asciiTheme="majorHAnsi" w:hAnsiTheme="majorHAnsi"/>
                <w:i/>
                <w:sz w:val="20"/>
              </w:rPr>
            </w:pPr>
            <w:r w:rsidRPr="00B57F12">
              <w:rPr>
                <w:rFonts w:asciiTheme="majorHAnsi" w:hAnsiTheme="majorHAnsi"/>
                <w:i/>
                <w:sz w:val="20"/>
              </w:rPr>
              <w:t>Reunión de evaluación de stock de patudo (formato híbrido, Madrid, España, del 14 al 18 de julio de 2025)</w:t>
            </w:r>
          </w:p>
        </w:tc>
        <w:tc>
          <w:tcPr>
            <w:tcW w:w="20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C7B1670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i/>
                <w:sz w:val="20"/>
              </w:rPr>
            </w:pPr>
          </w:p>
          <w:p w14:paraId="4918A95E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i/>
                <w:sz w:val="20"/>
              </w:rPr>
            </w:pPr>
            <w:r w:rsidRPr="00B57F12">
              <w:rPr>
                <w:rFonts w:asciiTheme="majorHAnsi" w:hAnsiTheme="majorHAnsi"/>
                <w:i/>
                <w:sz w:val="20"/>
              </w:rPr>
              <w:t>17.613,30 €</w:t>
            </w:r>
          </w:p>
        </w:tc>
      </w:tr>
      <w:tr w:rsidR="00970EFB" w:rsidRPr="00B57F12" w14:paraId="4FC23A90" w14:textId="77777777" w:rsidTr="00055D05">
        <w:trPr>
          <w:trHeight w:val="238"/>
          <w:jc w:val="center"/>
        </w:trPr>
        <w:tc>
          <w:tcPr>
            <w:tcW w:w="66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4DEF0D7" w14:textId="77777777" w:rsidR="00970EFB" w:rsidRPr="00B57F12" w:rsidRDefault="00970EFB" w:rsidP="00055D05">
            <w:pPr>
              <w:autoSpaceDE w:val="0"/>
              <w:autoSpaceDN w:val="0"/>
              <w:adjustRightInd w:val="0"/>
              <w:ind w:left="708"/>
              <w:rPr>
                <w:rFonts w:asciiTheme="majorHAnsi" w:hAnsiTheme="majorHAnsi"/>
                <w:i/>
                <w:sz w:val="20"/>
              </w:rPr>
            </w:pPr>
            <w:r w:rsidRPr="00B57F12">
              <w:rPr>
                <w:rFonts w:asciiTheme="majorHAnsi" w:hAnsiTheme="majorHAnsi"/>
                <w:i/>
                <w:sz w:val="20"/>
              </w:rPr>
              <w:t>Reuniones de los Grupos de especies del SCRS y/o plenaria del SCRS (formato híbrido/Madrid, España, del 22 de septiembre al 3 de octubre de 2025)</w:t>
            </w:r>
          </w:p>
        </w:tc>
        <w:tc>
          <w:tcPr>
            <w:tcW w:w="201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7CA380F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i/>
                <w:sz w:val="20"/>
              </w:rPr>
            </w:pPr>
          </w:p>
          <w:p w14:paraId="43D543A8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i/>
                <w:sz w:val="20"/>
              </w:rPr>
            </w:pPr>
          </w:p>
          <w:p w14:paraId="67916450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i/>
                <w:sz w:val="20"/>
              </w:rPr>
            </w:pPr>
            <w:r w:rsidRPr="00B57F12">
              <w:rPr>
                <w:rFonts w:asciiTheme="majorHAnsi" w:hAnsiTheme="majorHAnsi"/>
                <w:i/>
                <w:sz w:val="20"/>
              </w:rPr>
              <w:t>99.222,40</w:t>
            </w:r>
          </w:p>
        </w:tc>
      </w:tr>
      <w:tr w:rsidR="00970EFB" w:rsidRPr="00B57F12" w14:paraId="3ECC1A68" w14:textId="77777777" w:rsidTr="00C52DB5">
        <w:trPr>
          <w:trHeight w:val="238"/>
          <w:jc w:val="center"/>
        </w:trPr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4D768F" w14:textId="6FF335AD" w:rsidR="00970EFB" w:rsidRPr="00B57F12" w:rsidRDefault="00970EFB" w:rsidP="00055D05">
            <w:pPr>
              <w:autoSpaceDE w:val="0"/>
              <w:autoSpaceDN w:val="0"/>
              <w:adjustRightInd w:val="0"/>
              <w:rPr>
                <w:rFonts w:asciiTheme="majorHAnsi" w:hAnsiTheme="majorHAnsi"/>
                <w:iCs/>
                <w:sz w:val="20"/>
              </w:rPr>
            </w:pPr>
            <w:r w:rsidRPr="00B57F12">
              <w:rPr>
                <w:rFonts w:asciiTheme="majorHAnsi" w:hAnsiTheme="majorHAnsi"/>
                <w:iCs/>
                <w:sz w:val="20"/>
              </w:rPr>
              <w:t xml:space="preserve">Reunión del Grupo de trabajo permanente </w:t>
            </w:r>
            <w:r w:rsidR="00991389" w:rsidRPr="00B57F12">
              <w:rPr>
                <w:rFonts w:asciiTheme="majorHAnsi" w:hAnsiTheme="majorHAnsi"/>
                <w:iCs/>
                <w:sz w:val="20"/>
              </w:rPr>
              <w:t>sobre</w:t>
            </w:r>
            <w:r w:rsidRPr="00B57F12">
              <w:rPr>
                <w:rFonts w:asciiTheme="majorHAnsi" w:hAnsiTheme="majorHAnsi"/>
                <w:iCs/>
                <w:sz w:val="20"/>
              </w:rPr>
              <w:t xml:space="preserve"> </w:t>
            </w:r>
            <w:r w:rsidR="00646F18" w:rsidRPr="00B57F12">
              <w:rPr>
                <w:rFonts w:asciiTheme="majorHAnsi" w:hAnsiTheme="majorHAnsi"/>
                <w:iCs/>
                <w:sz w:val="20"/>
              </w:rPr>
              <w:t xml:space="preserve">el </w:t>
            </w:r>
            <w:r w:rsidRPr="00B57F12">
              <w:rPr>
                <w:rFonts w:asciiTheme="majorHAnsi" w:hAnsiTheme="majorHAnsi"/>
                <w:iCs/>
                <w:sz w:val="20"/>
              </w:rPr>
              <w:t>diálogo entre los gestores y los científicos pesqueros (SWGSM)</w:t>
            </w:r>
            <w:r w:rsidR="00C61952" w:rsidRPr="00B57F12">
              <w:rPr>
                <w:rFonts w:asciiTheme="majorHAnsi" w:hAnsiTheme="majorHAnsi"/>
                <w:iCs/>
                <w:sz w:val="20"/>
              </w:rPr>
              <w:t xml:space="preserve"> (formato </w:t>
            </w:r>
            <w:r w:rsidR="00F5456E" w:rsidRPr="00B57F12">
              <w:rPr>
                <w:rFonts w:asciiTheme="majorHAnsi" w:hAnsiTheme="majorHAnsi"/>
                <w:iCs/>
                <w:sz w:val="20"/>
              </w:rPr>
              <w:t>híbrido, Madrid, España, 8 de julio de 2025)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CA3A64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iCs/>
                <w:sz w:val="20"/>
              </w:rPr>
            </w:pPr>
          </w:p>
          <w:p w14:paraId="782F047D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iCs/>
                <w:sz w:val="20"/>
              </w:rPr>
            </w:pPr>
            <w:r w:rsidRPr="00B57F12">
              <w:rPr>
                <w:rFonts w:asciiTheme="majorHAnsi" w:hAnsiTheme="majorHAnsi"/>
                <w:iCs/>
                <w:sz w:val="20"/>
              </w:rPr>
              <w:t>10.929,88 €</w:t>
            </w:r>
          </w:p>
        </w:tc>
      </w:tr>
      <w:tr w:rsidR="00970EFB" w:rsidRPr="00B57F12" w14:paraId="24055ED5" w14:textId="77777777" w:rsidTr="00C52DB5">
        <w:trPr>
          <w:trHeight w:val="238"/>
          <w:jc w:val="center"/>
        </w:trPr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DF04F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</w:rPr>
            </w:pPr>
            <w:r w:rsidRPr="00B57F12">
              <w:rPr>
                <w:rFonts w:asciiTheme="majorHAnsi" w:hAnsiTheme="majorHAnsi"/>
                <w:sz w:val="20"/>
              </w:rPr>
              <w:t>Reunión del Comité de Cumplimiento y/o 29ª reunión ordinaria de la Comisión (formato híbrido, Sevilla, España, del 15 al 24 de noviembre de 2025)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8C917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 w:val="20"/>
              </w:rPr>
            </w:pPr>
          </w:p>
          <w:p w14:paraId="0A67284A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 w:val="20"/>
              </w:rPr>
            </w:pPr>
          </w:p>
          <w:p w14:paraId="32814373" w14:textId="262AF53C" w:rsidR="00970EFB" w:rsidRPr="00B57F12" w:rsidRDefault="0069031D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 w:val="20"/>
              </w:rPr>
            </w:pPr>
            <w:r w:rsidRPr="00B57F12">
              <w:rPr>
                <w:rFonts w:asciiTheme="majorHAnsi" w:hAnsiTheme="majorHAnsi"/>
                <w:sz w:val="20"/>
              </w:rPr>
              <w:t>21.526,75 €</w:t>
            </w:r>
          </w:p>
        </w:tc>
      </w:tr>
      <w:tr w:rsidR="00970EFB" w:rsidRPr="00B57F12" w14:paraId="0852BE42" w14:textId="77777777" w:rsidTr="00C52DB5">
        <w:trPr>
          <w:trHeight w:val="238"/>
          <w:jc w:val="center"/>
        </w:trPr>
        <w:tc>
          <w:tcPr>
            <w:tcW w:w="6636" w:type="dxa"/>
            <w:tcBorders>
              <w:top w:val="single" w:sz="4" w:space="0" w:color="auto"/>
              <w:left w:val="nil"/>
              <w:right w:val="nil"/>
            </w:tcBorders>
          </w:tcPr>
          <w:p w14:paraId="7D13D2DD" w14:textId="6C7D6F08" w:rsidR="00970EFB" w:rsidRPr="00B57F12" w:rsidRDefault="00970EFB" w:rsidP="00055D0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</w:rPr>
            </w:pPr>
            <w:r w:rsidRPr="00B57F12">
              <w:rPr>
                <w:rFonts w:asciiTheme="majorHAnsi" w:hAnsiTheme="majorHAnsi"/>
                <w:sz w:val="20"/>
              </w:rPr>
              <w:t>Estimación de gastos pendientes - Reunión del Comité de Cumplimiento y/o 29ª reunión ordinaria de la Comisión (formato híbrido, Sevilla, España, del 15 al 24 de noviembre de 2025)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right w:val="nil"/>
            </w:tcBorders>
          </w:tcPr>
          <w:p w14:paraId="7C8D5F0B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 w:val="20"/>
              </w:rPr>
            </w:pPr>
          </w:p>
          <w:p w14:paraId="56842573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 w:val="20"/>
              </w:rPr>
            </w:pPr>
          </w:p>
          <w:p w14:paraId="269DA1BE" w14:textId="6DE74665" w:rsidR="00970EFB" w:rsidRPr="00B57F12" w:rsidRDefault="00E75E8D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 w:val="20"/>
              </w:rPr>
            </w:pPr>
            <w:r w:rsidRPr="00B57F12">
              <w:rPr>
                <w:rFonts w:asciiTheme="majorHAnsi" w:hAnsiTheme="majorHAnsi"/>
                <w:sz w:val="20"/>
              </w:rPr>
              <w:t>84.759,74 €</w:t>
            </w:r>
          </w:p>
        </w:tc>
      </w:tr>
      <w:tr w:rsidR="00970EFB" w:rsidRPr="00B57F12" w14:paraId="5A495344" w14:textId="77777777" w:rsidTr="00055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  <w:jc w:val="center"/>
        </w:trPr>
        <w:tc>
          <w:tcPr>
            <w:tcW w:w="6636" w:type="dxa"/>
            <w:tcBorders>
              <w:top w:val="single" w:sz="4" w:space="0" w:color="auto"/>
              <w:left w:val="nil"/>
              <w:right w:val="nil"/>
            </w:tcBorders>
          </w:tcPr>
          <w:p w14:paraId="6959A159" w14:textId="77777777" w:rsidR="00970EFB" w:rsidRPr="00B57F12" w:rsidRDefault="00970EFB" w:rsidP="00055D05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right w:val="nil"/>
            </w:tcBorders>
          </w:tcPr>
          <w:p w14:paraId="2E8FB617" w14:textId="77777777" w:rsidR="00970EFB" w:rsidRPr="00B57F12" w:rsidRDefault="00970EFB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970EFB" w:rsidRPr="00B57F12" w14:paraId="62918087" w14:textId="77777777" w:rsidTr="00055D05">
        <w:trPr>
          <w:trHeight w:val="411"/>
          <w:jc w:val="center"/>
        </w:trPr>
        <w:tc>
          <w:tcPr>
            <w:tcW w:w="66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0C3969" w14:textId="77777777" w:rsidR="00970EFB" w:rsidRPr="00B57F12" w:rsidRDefault="00970EFB" w:rsidP="00055D05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57F12">
              <w:rPr>
                <w:rFonts w:asciiTheme="majorHAnsi" w:hAnsiTheme="majorHAnsi" w:cs="Times New Roman"/>
                <w:b/>
                <w:sz w:val="20"/>
                <w:szCs w:val="20"/>
              </w:rPr>
              <w:t>Saldo estimado disponible a 27 de octubre de 2025</w:t>
            </w: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034597" w14:textId="5512DD77" w:rsidR="00970EFB" w:rsidRPr="00B57F12" w:rsidRDefault="00E75E8D" w:rsidP="00055D0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b/>
                <w:sz w:val="20"/>
              </w:rPr>
            </w:pPr>
            <w:r w:rsidRPr="00B57F12">
              <w:rPr>
                <w:rFonts w:asciiTheme="majorHAnsi" w:hAnsiTheme="majorHAnsi" w:cs="Times New Roman"/>
                <w:b/>
                <w:sz w:val="20"/>
                <w:szCs w:val="20"/>
              </w:rPr>
              <w:t>54.868,52 €</w:t>
            </w:r>
          </w:p>
        </w:tc>
      </w:tr>
    </w:tbl>
    <w:p w14:paraId="18271918" w14:textId="77777777" w:rsidR="00365C67" w:rsidRPr="00B57F12" w:rsidRDefault="00365C67" w:rsidP="002F4E3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</w:rPr>
      </w:pPr>
    </w:p>
    <w:p w14:paraId="046F9E39" w14:textId="77777777" w:rsidR="00365C67" w:rsidRPr="00B57F12" w:rsidRDefault="00365C67" w:rsidP="002F4E3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</w:rPr>
      </w:pPr>
    </w:p>
    <w:p w14:paraId="2F6C3707" w14:textId="77777777" w:rsidR="00365C67" w:rsidRPr="00B57F12" w:rsidRDefault="00365C67" w:rsidP="002F4E3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</w:rPr>
      </w:pPr>
    </w:p>
    <w:p w14:paraId="11F1395C" w14:textId="1EAE015B" w:rsidR="001E6839" w:rsidRPr="00B57F12" w:rsidRDefault="001E6839" w:rsidP="00970E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i/>
          <w:iCs/>
          <w:sz w:val="20"/>
        </w:rPr>
      </w:pPr>
    </w:p>
    <w:p w14:paraId="677F2B6D" w14:textId="77777777" w:rsidR="00970EFB" w:rsidRPr="00B57F12" w:rsidRDefault="00970EFB" w:rsidP="00970E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i/>
          <w:iCs/>
          <w:sz w:val="20"/>
        </w:rPr>
      </w:pPr>
    </w:p>
    <w:p w14:paraId="111380E7" w14:textId="77777777" w:rsidR="00970EFB" w:rsidRPr="00B57F12" w:rsidRDefault="00970EFB" w:rsidP="00970E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i/>
          <w:iCs/>
          <w:sz w:val="20"/>
        </w:rPr>
      </w:pPr>
    </w:p>
    <w:p w14:paraId="271AA255" w14:textId="77777777" w:rsidR="00970EFB" w:rsidRPr="00B57F12" w:rsidRDefault="00970EFB" w:rsidP="00970E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i/>
          <w:iCs/>
          <w:sz w:val="20"/>
        </w:rPr>
      </w:pPr>
    </w:p>
    <w:p w14:paraId="30D3BFE0" w14:textId="77777777" w:rsidR="00970EFB" w:rsidRPr="00B57F12" w:rsidRDefault="00970EFB" w:rsidP="00970E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i/>
          <w:iCs/>
          <w:sz w:val="20"/>
        </w:rPr>
      </w:pPr>
    </w:p>
    <w:p w14:paraId="726CF60C" w14:textId="77777777" w:rsidR="00970EFB" w:rsidRPr="00B57F12" w:rsidRDefault="00970EFB" w:rsidP="00970E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i/>
          <w:iCs/>
          <w:sz w:val="20"/>
        </w:rPr>
      </w:pPr>
    </w:p>
    <w:p w14:paraId="2F435501" w14:textId="77777777" w:rsidR="00970EFB" w:rsidRPr="00B57F12" w:rsidRDefault="00970EFB" w:rsidP="00970E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i/>
          <w:iCs/>
          <w:sz w:val="20"/>
        </w:rPr>
      </w:pPr>
    </w:p>
    <w:p w14:paraId="3F76D1D2" w14:textId="77777777" w:rsidR="00970EFB" w:rsidRPr="00B57F12" w:rsidRDefault="00970EFB" w:rsidP="00970E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i/>
          <w:iCs/>
          <w:sz w:val="20"/>
        </w:rPr>
      </w:pPr>
    </w:p>
    <w:p w14:paraId="63B8FE35" w14:textId="77777777" w:rsidR="00970EFB" w:rsidRPr="00B57F12" w:rsidRDefault="00970EFB" w:rsidP="00970E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i/>
          <w:iCs/>
          <w:sz w:val="20"/>
        </w:rPr>
      </w:pPr>
    </w:p>
    <w:p w14:paraId="55121207" w14:textId="77777777" w:rsidR="00970EFB" w:rsidRPr="00B57F12" w:rsidRDefault="00970EFB" w:rsidP="00970E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i/>
          <w:iCs/>
          <w:sz w:val="20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7"/>
        <w:gridCol w:w="475"/>
        <w:gridCol w:w="1231"/>
        <w:gridCol w:w="411"/>
        <w:gridCol w:w="1143"/>
        <w:gridCol w:w="377"/>
        <w:gridCol w:w="1231"/>
        <w:gridCol w:w="411"/>
        <w:gridCol w:w="1353"/>
        <w:gridCol w:w="426"/>
        <w:gridCol w:w="1264"/>
      </w:tblGrid>
      <w:tr w:rsidR="008E6EC6" w:rsidRPr="00B57F12" w14:paraId="377618B8" w14:textId="77777777" w:rsidTr="00C52DB5">
        <w:trPr>
          <w:trHeight w:val="3808"/>
          <w:tblHeader/>
          <w:jc w:val="center"/>
        </w:trPr>
        <w:tc>
          <w:tcPr>
            <w:tcW w:w="13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A715C9" w14:textId="77777777" w:rsidR="008E6EC6" w:rsidRPr="00B57F12" w:rsidRDefault="008E6EC6" w:rsidP="00055D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</w:rPr>
            </w:pPr>
            <w:r w:rsidRPr="00B57F12">
              <w:rPr>
                <w:rFonts w:ascii="Cambria" w:eastAsia="Times New Roman" w:hAnsi="Cambria" w:cs="Calibri"/>
                <w:b/>
                <w:bCs/>
                <w:color w:val="000000"/>
                <w:sz w:val="20"/>
              </w:rPr>
              <w:lastRenderedPageBreak/>
              <w:t>Resumen de gastos</w:t>
            </w:r>
          </w:p>
          <w:p w14:paraId="50331BAA" w14:textId="77777777" w:rsidR="008E6EC6" w:rsidRPr="00B57F12" w:rsidRDefault="008E6EC6" w:rsidP="00055D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  <w:p w14:paraId="0D9155DF" w14:textId="77777777" w:rsidR="008E6EC6" w:rsidRPr="00B57F12" w:rsidRDefault="008E6EC6" w:rsidP="00055D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  <w:p w14:paraId="2B2F4A19" w14:textId="77777777" w:rsidR="008E6EC6" w:rsidRPr="00B57F12" w:rsidRDefault="008E6EC6" w:rsidP="00055D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  <w:p w14:paraId="31A3C720" w14:textId="77777777" w:rsidR="008E6EC6" w:rsidRPr="00B57F12" w:rsidRDefault="008E6EC6" w:rsidP="00055D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  <w:p w14:paraId="369A1793" w14:textId="77777777" w:rsidR="008E6EC6" w:rsidRPr="00B57F12" w:rsidRDefault="008E6EC6" w:rsidP="00055D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  <w:p w14:paraId="171548AB" w14:textId="77777777" w:rsidR="008E6EC6" w:rsidRPr="00B57F12" w:rsidRDefault="008E6EC6" w:rsidP="00055D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  <w:p w14:paraId="4435AAD0" w14:textId="77777777" w:rsidR="008E6EC6" w:rsidRPr="00B57F12" w:rsidRDefault="008E6EC6" w:rsidP="00055D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  <w:p w14:paraId="7F2414ED" w14:textId="08270A99" w:rsidR="008E6EC6" w:rsidRPr="00B57F12" w:rsidRDefault="008E6EC6" w:rsidP="00055D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B57F12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CPC</w:t>
            </w:r>
          </w:p>
        </w:tc>
        <w:tc>
          <w:tcPr>
            <w:tcW w:w="17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643BCC3" w14:textId="77777777" w:rsidR="008E6EC6" w:rsidRPr="00B57F12" w:rsidRDefault="008E6EC6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 xml:space="preserve">Reuniones científicas 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AD57A4" w14:textId="77777777" w:rsidR="008E6EC6" w:rsidRPr="00B57F12" w:rsidRDefault="008E6EC6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Reunión intersesiones de la Subcomisión 2</w:t>
            </w:r>
          </w:p>
        </w:tc>
        <w:tc>
          <w:tcPr>
            <w:tcW w:w="160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07D70B" w14:textId="77777777" w:rsidR="008E6EC6" w:rsidRPr="00B57F12" w:rsidRDefault="008E6EC6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Reunión del Grupo de trabajo sobre sistemas de seguimiento electrónico (EMS WG)/Segunda reunión del Grupo de trabajo permanente sobre sistemas de documentación de capturas (CDS WG)/ 18ª reunión del Grupo de trabajo sobre medidas de seguimiento integradas (IMM)</w:t>
            </w:r>
          </w:p>
        </w:tc>
        <w:tc>
          <w:tcPr>
            <w:tcW w:w="17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FD177C5" w14:textId="77777777" w:rsidR="008E6EC6" w:rsidRPr="00B57F12" w:rsidRDefault="008E6EC6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  <w:p w14:paraId="11EC91F1" w14:textId="68764E92" w:rsidR="008E6EC6" w:rsidRPr="00B57F12" w:rsidRDefault="008E6EC6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 xml:space="preserve">Reunión del Grupo de trabajo permanente </w:t>
            </w:r>
            <w:r w:rsidR="009060E7" w:rsidRPr="00B57F12">
              <w:rPr>
                <w:rFonts w:ascii="Cambria" w:eastAsia="Times New Roman" w:hAnsi="Cambria" w:cs="Calibri"/>
                <w:color w:val="000000"/>
                <w:sz w:val="18"/>
              </w:rPr>
              <w:t xml:space="preserve">sobre </w:t>
            </w: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el diálogo entre los gestores y los científicos pesqueros (SWGSM)</w:t>
            </w:r>
          </w:p>
          <w:p w14:paraId="3BA78811" w14:textId="77777777" w:rsidR="008E6EC6" w:rsidRPr="00B57F12" w:rsidRDefault="008E6EC6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1BD2E3" w14:textId="5ABFA8E6" w:rsidR="008E6EC6" w:rsidRPr="00B57F12" w:rsidRDefault="008E6EC6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 xml:space="preserve">Reunión del Comité de </w:t>
            </w:r>
            <w:r w:rsidR="006A2986" w:rsidRPr="00B57F12">
              <w:rPr>
                <w:rFonts w:ascii="Cambria" w:eastAsia="Times New Roman" w:hAnsi="Cambria" w:cs="Calibri"/>
                <w:color w:val="000000"/>
                <w:sz w:val="18"/>
              </w:rPr>
              <w:t>c</w:t>
            </w: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umplimiento / 29ª reunión ordinaria de la Comisión de la Comisión</w:t>
            </w:r>
          </w:p>
        </w:tc>
      </w:tr>
      <w:tr w:rsidR="00970EFB" w:rsidRPr="00B57F12" w14:paraId="30C7F4ED" w14:textId="77777777" w:rsidTr="00C52DB5">
        <w:trPr>
          <w:trHeight w:val="290"/>
          <w:jc w:val="center"/>
        </w:trPr>
        <w:tc>
          <w:tcPr>
            <w:tcW w:w="1317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4F873924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Angola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1A80108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753C5968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73EF241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34E06AAD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0693821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7F9B1630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BAF2539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0933EA3B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7AD89EA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X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dotted" w:sz="4" w:space="0" w:color="auto"/>
            </w:tcBorders>
            <w:noWrap/>
            <w:vAlign w:val="center"/>
          </w:tcPr>
          <w:p w14:paraId="3D51C520" w14:textId="77777777" w:rsidR="00970EFB" w:rsidRPr="00B57F12" w:rsidRDefault="00250F9E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888,32 €</w:t>
            </w:r>
          </w:p>
          <w:p w14:paraId="47909D7D" w14:textId="209E4DF3" w:rsidR="00250F9E" w:rsidRPr="00B57F12" w:rsidRDefault="00250F9E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  <w:t>2.914,00 €</w:t>
            </w:r>
          </w:p>
        </w:tc>
      </w:tr>
      <w:tr w:rsidR="00970EFB" w:rsidRPr="00B57F12" w14:paraId="3195016D" w14:textId="77777777" w:rsidTr="00055D05">
        <w:trPr>
          <w:trHeight w:val="290"/>
          <w:jc w:val="center"/>
        </w:trPr>
        <w:tc>
          <w:tcPr>
            <w:tcW w:w="1317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3EC57C0A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Argelia</w:t>
            </w: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39347129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l)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BE61075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3.021,17 €</w:t>
            </w:r>
          </w:p>
        </w:tc>
        <w:tc>
          <w:tcPr>
            <w:tcW w:w="411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341214D2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X</w:t>
            </w:r>
          </w:p>
        </w:tc>
        <w:tc>
          <w:tcPr>
            <w:tcW w:w="1143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34B59E99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2.608,51 €</w:t>
            </w:r>
          </w:p>
        </w:tc>
        <w:tc>
          <w:tcPr>
            <w:tcW w:w="377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3692130C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1CF1876E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78E55927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119A3757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6449B5FB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</w:rPr>
              <w:t>X</w:t>
            </w:r>
          </w:p>
        </w:tc>
        <w:tc>
          <w:tcPr>
            <w:tcW w:w="1264" w:type="dxa"/>
            <w:vMerge w:val="restart"/>
            <w:tcBorders>
              <w:top w:val="dotted" w:sz="4" w:space="0" w:color="auto"/>
              <w:left w:val="nil"/>
            </w:tcBorders>
            <w:noWrap/>
            <w:vAlign w:val="center"/>
          </w:tcPr>
          <w:p w14:paraId="0487887E" w14:textId="77777777" w:rsidR="00970EFB" w:rsidRPr="00B57F12" w:rsidRDefault="00250F9E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  <w:t>370,05 €</w:t>
            </w:r>
          </w:p>
          <w:p w14:paraId="7AD752EB" w14:textId="0BF26FD1" w:rsidR="00250F9E" w:rsidRPr="00B57F12" w:rsidDel="00B3099B" w:rsidRDefault="00250F9E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  <w:t>2.666,00 €</w:t>
            </w:r>
          </w:p>
        </w:tc>
      </w:tr>
      <w:tr w:rsidR="00970EFB" w:rsidRPr="00B57F12" w14:paraId="1F735202" w14:textId="77777777" w:rsidTr="00055D05">
        <w:trPr>
          <w:trHeight w:val="290"/>
          <w:jc w:val="center"/>
        </w:trPr>
        <w:tc>
          <w:tcPr>
            <w:tcW w:w="1317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3C647669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751F5C61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l)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F27E4F5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2.706,40 €</w:t>
            </w:r>
          </w:p>
        </w:tc>
        <w:tc>
          <w:tcPr>
            <w:tcW w:w="411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48875E40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0C378F86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4A89CC17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236761FA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50268292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706BF134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781153BE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64" w:type="dxa"/>
            <w:vMerge/>
            <w:tcBorders>
              <w:left w:val="nil"/>
            </w:tcBorders>
            <w:noWrap/>
            <w:vAlign w:val="center"/>
          </w:tcPr>
          <w:p w14:paraId="4BC6A9F7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4230432E" w14:textId="77777777" w:rsidTr="00055D05">
        <w:trPr>
          <w:trHeight w:val="290"/>
          <w:jc w:val="center"/>
        </w:trPr>
        <w:tc>
          <w:tcPr>
            <w:tcW w:w="131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1DD212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Belice</w:t>
            </w: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110D0FB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5D2E2238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DE3B3E8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3379A4E6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CB7C852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118CD78B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335BC98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1F910FE7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B1BCDFD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X</w:t>
            </w:r>
          </w:p>
        </w:tc>
        <w:tc>
          <w:tcPr>
            <w:tcW w:w="126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5AD940A3" w14:textId="77777777" w:rsidR="00250F9E" w:rsidRPr="00B57F12" w:rsidRDefault="00250F9E" w:rsidP="00250F9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1.775,57 €</w:t>
            </w:r>
          </w:p>
          <w:p w14:paraId="14BA17D0" w14:textId="44FF6AF3" w:rsidR="00970EFB" w:rsidRPr="00B57F12" w:rsidRDefault="00250F9E" w:rsidP="00250F9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  <w:t>3.176,40 €</w:t>
            </w:r>
          </w:p>
        </w:tc>
      </w:tr>
      <w:tr w:rsidR="00970EFB" w:rsidRPr="00B57F12" w14:paraId="61153ECE" w14:textId="77777777" w:rsidTr="00055D05">
        <w:trPr>
          <w:trHeight w:val="290"/>
          <w:jc w:val="center"/>
        </w:trPr>
        <w:tc>
          <w:tcPr>
            <w:tcW w:w="1317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508E1387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Brasil</w:t>
            </w: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758FF762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b)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F126689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3.308,86 €</w:t>
            </w:r>
          </w:p>
        </w:tc>
        <w:tc>
          <w:tcPr>
            <w:tcW w:w="411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6FF45A07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0C2EAA98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755339FF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14E4CEFF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28E5BAB8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53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1038F386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1.208,35 €</w:t>
            </w:r>
          </w:p>
        </w:tc>
        <w:tc>
          <w:tcPr>
            <w:tcW w:w="426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73E30483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4" w:type="dxa"/>
            <w:vMerge w:val="restart"/>
            <w:tcBorders>
              <w:top w:val="dotted" w:sz="4" w:space="0" w:color="auto"/>
              <w:left w:val="nil"/>
            </w:tcBorders>
            <w:noWrap/>
            <w:vAlign w:val="center"/>
          </w:tcPr>
          <w:p w14:paraId="02487051" w14:textId="77777777" w:rsidR="00250F9E" w:rsidRPr="00B57F12" w:rsidRDefault="00250F9E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1.127,11 €</w:t>
            </w:r>
          </w:p>
          <w:p w14:paraId="67311591" w14:textId="5E09722F" w:rsidR="00970EFB" w:rsidRPr="00B57F12" w:rsidRDefault="00250F9E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  <w:t>2.852,00 €</w:t>
            </w:r>
          </w:p>
        </w:tc>
      </w:tr>
      <w:tr w:rsidR="00970EFB" w:rsidRPr="00B57F12" w14:paraId="7EE559D8" w14:textId="77777777" w:rsidTr="00055D05">
        <w:trPr>
          <w:trHeight w:val="290"/>
          <w:jc w:val="center"/>
        </w:trPr>
        <w:tc>
          <w:tcPr>
            <w:tcW w:w="1317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07174A98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23954FF5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e)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2294053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5.196,37 €</w:t>
            </w:r>
          </w:p>
        </w:tc>
        <w:tc>
          <w:tcPr>
            <w:tcW w:w="411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73956D37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468BD89B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7E01956F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1DCECF71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21F8EF4E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6601413A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59302942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top w:val="dotted" w:sz="4" w:space="0" w:color="auto"/>
              <w:left w:val="nil"/>
            </w:tcBorders>
            <w:noWrap/>
            <w:vAlign w:val="center"/>
          </w:tcPr>
          <w:p w14:paraId="27ABA4FE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76F4C9EC" w14:textId="77777777" w:rsidTr="00055D05">
        <w:trPr>
          <w:trHeight w:val="290"/>
          <w:jc w:val="center"/>
        </w:trPr>
        <w:tc>
          <w:tcPr>
            <w:tcW w:w="1317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3FB4AECD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11A2C7B7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f) C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CD477C5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18,00 €</w:t>
            </w:r>
          </w:p>
        </w:tc>
        <w:tc>
          <w:tcPr>
            <w:tcW w:w="411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6E03948F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1A67238B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01CB4D10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6F580FD0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206396D4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279DFB97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72C988A6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top w:val="dotted" w:sz="4" w:space="0" w:color="auto"/>
              <w:left w:val="nil"/>
            </w:tcBorders>
            <w:noWrap/>
            <w:vAlign w:val="center"/>
          </w:tcPr>
          <w:p w14:paraId="388C3C5F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19259F8F" w14:textId="77777777" w:rsidTr="00055D05">
        <w:trPr>
          <w:trHeight w:val="290"/>
          <w:jc w:val="center"/>
        </w:trPr>
        <w:tc>
          <w:tcPr>
            <w:tcW w:w="1317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27F35287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3CB1DF2F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g)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ECBD542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1.944,91 €</w:t>
            </w:r>
          </w:p>
        </w:tc>
        <w:tc>
          <w:tcPr>
            <w:tcW w:w="411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3CC10DE2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553E66D3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55FB90AE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2EEA4FDC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6E066CEE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078DE7A4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69FC37BF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top w:val="dotted" w:sz="4" w:space="0" w:color="auto"/>
              <w:left w:val="nil"/>
            </w:tcBorders>
            <w:noWrap/>
            <w:vAlign w:val="center"/>
          </w:tcPr>
          <w:p w14:paraId="0BF38AEF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6AF41978" w14:textId="77777777" w:rsidTr="00055D05">
        <w:trPr>
          <w:trHeight w:val="290"/>
          <w:jc w:val="center"/>
        </w:trPr>
        <w:tc>
          <w:tcPr>
            <w:tcW w:w="1317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5366F548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2FDCBE2C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h)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27870DB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2.896,28 €</w:t>
            </w:r>
          </w:p>
        </w:tc>
        <w:tc>
          <w:tcPr>
            <w:tcW w:w="411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218E575B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6CB9F0B5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345447DD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2055C9B8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162868EB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274DC761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6DE69D11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top w:val="dotted" w:sz="4" w:space="0" w:color="auto"/>
              <w:left w:val="nil"/>
            </w:tcBorders>
            <w:noWrap/>
            <w:vAlign w:val="center"/>
          </w:tcPr>
          <w:p w14:paraId="4324844B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300002D5" w14:textId="77777777" w:rsidTr="00055D05">
        <w:trPr>
          <w:trHeight w:val="290"/>
          <w:jc w:val="center"/>
        </w:trPr>
        <w:tc>
          <w:tcPr>
            <w:tcW w:w="1317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318203D6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63D9EA4D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i)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9FE89B4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3.623,92 €</w:t>
            </w:r>
          </w:p>
        </w:tc>
        <w:tc>
          <w:tcPr>
            <w:tcW w:w="411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74F59049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0BAD2ED1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0DE9C9CB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5CEF1742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5B5C26C0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7947838A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478E45A2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top w:val="dotted" w:sz="4" w:space="0" w:color="auto"/>
              <w:left w:val="nil"/>
            </w:tcBorders>
            <w:noWrap/>
            <w:vAlign w:val="center"/>
          </w:tcPr>
          <w:p w14:paraId="38124579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6D060429" w14:textId="77777777" w:rsidTr="00055D05">
        <w:trPr>
          <w:trHeight w:val="290"/>
          <w:jc w:val="center"/>
        </w:trPr>
        <w:tc>
          <w:tcPr>
            <w:tcW w:w="1317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0B7970FC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4CF03196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j)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5AB309E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2.335,35 €</w:t>
            </w:r>
          </w:p>
        </w:tc>
        <w:tc>
          <w:tcPr>
            <w:tcW w:w="411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0374F12C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3854DB4F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2A6E33A0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60BF575E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27878D9D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1650790F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2840F0B1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64" w:type="dxa"/>
            <w:vMerge/>
            <w:tcBorders>
              <w:left w:val="nil"/>
            </w:tcBorders>
            <w:noWrap/>
            <w:vAlign w:val="center"/>
          </w:tcPr>
          <w:p w14:paraId="5E5E91A3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64DCFFD9" w14:textId="77777777" w:rsidTr="00055D05">
        <w:trPr>
          <w:trHeight w:val="290"/>
          <w:jc w:val="center"/>
        </w:trPr>
        <w:tc>
          <w:tcPr>
            <w:tcW w:w="1317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1ADA92F5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4E44706F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k)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29A2B57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3.390,81 €</w:t>
            </w:r>
          </w:p>
        </w:tc>
        <w:tc>
          <w:tcPr>
            <w:tcW w:w="411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5F7D7A5A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6BCBAF0D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00077632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394E0201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00AFAFCB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6EF7AE2C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2EE1CD5D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64" w:type="dxa"/>
            <w:vMerge/>
            <w:tcBorders>
              <w:left w:val="nil"/>
            </w:tcBorders>
            <w:noWrap/>
            <w:vAlign w:val="center"/>
          </w:tcPr>
          <w:p w14:paraId="27904613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52291B88" w14:textId="77777777" w:rsidTr="00055D05">
        <w:trPr>
          <w:trHeight w:val="290"/>
          <w:jc w:val="center"/>
        </w:trPr>
        <w:tc>
          <w:tcPr>
            <w:tcW w:w="1317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0D500379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51A1F20D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l)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CCFC64C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4.161,81 €</w:t>
            </w:r>
          </w:p>
        </w:tc>
        <w:tc>
          <w:tcPr>
            <w:tcW w:w="411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59F728D3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79E610F9" w14:textId="77777777" w:rsidR="00970EFB" w:rsidRPr="00B57F12" w:rsidDel="005E48B0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0A2616FF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724CF5E6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0D825A6A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5CD350AC" w14:textId="77777777" w:rsidR="00970EFB" w:rsidRPr="00B57F12" w:rsidDel="005E48B0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31CAD138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64" w:type="dxa"/>
            <w:vMerge/>
            <w:tcBorders>
              <w:left w:val="nil"/>
            </w:tcBorders>
            <w:noWrap/>
            <w:vAlign w:val="center"/>
          </w:tcPr>
          <w:p w14:paraId="4CC9190D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6CE43993" w14:textId="77777777" w:rsidTr="00055D05">
        <w:trPr>
          <w:trHeight w:val="290"/>
          <w:jc w:val="center"/>
        </w:trPr>
        <w:tc>
          <w:tcPr>
            <w:tcW w:w="1317" w:type="dxa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092A0E3D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Cabo Verde</w:t>
            </w: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D70FA73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g)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6244E1C5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1.732,94 €</w:t>
            </w:r>
          </w:p>
        </w:tc>
        <w:tc>
          <w:tcPr>
            <w:tcW w:w="411" w:type="dxa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07963429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285BCA75" w14:textId="77777777" w:rsidR="00970EFB" w:rsidRPr="00B57F12" w:rsidDel="005E48B0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6472C1DE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218459E9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6D7A0793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7D817AA0" w14:textId="77777777" w:rsidR="00970EFB" w:rsidRPr="00B57F12" w:rsidDel="005E48B0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6B4A3F70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64" w:type="dxa"/>
            <w:tcBorders>
              <w:top w:val="dotted" w:sz="4" w:space="0" w:color="auto"/>
              <w:left w:val="nil"/>
            </w:tcBorders>
            <w:noWrap/>
            <w:vAlign w:val="center"/>
          </w:tcPr>
          <w:p w14:paraId="1A709A82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4A4B46AD" w14:textId="77777777" w:rsidTr="00055D05">
        <w:trPr>
          <w:trHeight w:val="290"/>
          <w:jc w:val="center"/>
        </w:trPr>
        <w:tc>
          <w:tcPr>
            <w:tcW w:w="1317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0A81C021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Costa Rica</w:t>
            </w: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EB4720E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j)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5B88422D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2.311,04 €</w:t>
            </w:r>
          </w:p>
        </w:tc>
        <w:tc>
          <w:tcPr>
            <w:tcW w:w="411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155F8FF1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0E21D0FE" w14:textId="77777777" w:rsidR="00970EFB" w:rsidRPr="00B57F12" w:rsidDel="005E48B0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425B5BD7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31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45DF3074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3.400,00 €</w:t>
            </w:r>
          </w:p>
        </w:tc>
        <w:tc>
          <w:tcPr>
            <w:tcW w:w="411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1E52BAD1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X</w:t>
            </w:r>
          </w:p>
        </w:tc>
        <w:tc>
          <w:tcPr>
            <w:tcW w:w="1353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66D5B43F" w14:textId="77777777" w:rsidR="00970EFB" w:rsidRPr="00B57F12" w:rsidDel="005E48B0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1.184,03 €</w:t>
            </w:r>
          </w:p>
        </w:tc>
        <w:tc>
          <w:tcPr>
            <w:tcW w:w="426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2F70CA4D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X</w:t>
            </w:r>
          </w:p>
        </w:tc>
        <w:tc>
          <w:tcPr>
            <w:tcW w:w="1264" w:type="dxa"/>
            <w:vMerge w:val="restart"/>
            <w:tcBorders>
              <w:top w:val="dotted" w:sz="4" w:space="0" w:color="auto"/>
              <w:left w:val="nil"/>
            </w:tcBorders>
            <w:noWrap/>
            <w:vAlign w:val="center"/>
          </w:tcPr>
          <w:p w14:paraId="438F64B3" w14:textId="77777777" w:rsidR="00250F9E" w:rsidRPr="00B57F12" w:rsidRDefault="00250F9E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1.163,58 €</w:t>
            </w:r>
          </w:p>
          <w:p w14:paraId="150DB7A7" w14:textId="38E3EB72" w:rsidR="00970EFB" w:rsidRPr="00B57F12" w:rsidDel="005E48B0" w:rsidRDefault="00250F9E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  <w:t>2.914,00 €</w:t>
            </w:r>
          </w:p>
        </w:tc>
      </w:tr>
      <w:tr w:rsidR="00970EFB" w:rsidRPr="00B57F12" w14:paraId="6D45150F" w14:textId="77777777" w:rsidTr="00055D05">
        <w:trPr>
          <w:trHeight w:val="290"/>
          <w:jc w:val="center"/>
        </w:trPr>
        <w:tc>
          <w:tcPr>
            <w:tcW w:w="1317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44E33FDA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D156257" w14:textId="77777777" w:rsidR="00970EFB" w:rsidRPr="00B57F12" w:rsidDel="00A35D2E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l)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186A7CC6" w14:textId="77777777" w:rsidR="00970EFB" w:rsidRPr="00B57F12" w:rsidDel="00A35D2E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6.640,57 €</w:t>
            </w:r>
          </w:p>
        </w:tc>
        <w:tc>
          <w:tcPr>
            <w:tcW w:w="411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48417140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11A27C5E" w14:textId="77777777" w:rsidR="00970EFB" w:rsidRPr="00B57F12" w:rsidDel="005E48B0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2189ED01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43560473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55F57562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44A526FD" w14:textId="77777777" w:rsidR="00970EFB" w:rsidRPr="00B57F12" w:rsidDel="005E48B0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0ED59174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64" w:type="dxa"/>
            <w:vMerge/>
            <w:tcBorders>
              <w:left w:val="nil"/>
            </w:tcBorders>
            <w:noWrap/>
            <w:vAlign w:val="center"/>
          </w:tcPr>
          <w:p w14:paraId="3239C4F1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7637142F" w14:textId="77777777" w:rsidTr="00055D05">
        <w:trPr>
          <w:trHeight w:val="290"/>
          <w:jc w:val="center"/>
        </w:trPr>
        <w:tc>
          <w:tcPr>
            <w:tcW w:w="1317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  <w:hideMark/>
          </w:tcPr>
          <w:p w14:paraId="0E45D38B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Côte d’Ivoire</w:t>
            </w: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7D12EF9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c)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1F03D822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3.276,39 €</w:t>
            </w:r>
          </w:p>
        </w:tc>
        <w:tc>
          <w:tcPr>
            <w:tcW w:w="411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71874360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6D30AE76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7FA1D6FB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31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7EC14D98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3.898,94 €</w:t>
            </w:r>
          </w:p>
        </w:tc>
        <w:tc>
          <w:tcPr>
            <w:tcW w:w="411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58CACE82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776128AA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656200FC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X</w:t>
            </w:r>
          </w:p>
        </w:tc>
        <w:tc>
          <w:tcPr>
            <w:tcW w:w="1264" w:type="dxa"/>
            <w:vMerge w:val="restart"/>
            <w:tcBorders>
              <w:top w:val="dotted" w:sz="4" w:space="0" w:color="auto"/>
              <w:left w:val="nil"/>
            </w:tcBorders>
            <w:noWrap/>
            <w:vAlign w:val="center"/>
          </w:tcPr>
          <w:p w14:paraId="6DC578CE" w14:textId="77777777" w:rsidR="00970EFB" w:rsidRPr="00B57F12" w:rsidRDefault="00250F9E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663,37 €</w:t>
            </w:r>
          </w:p>
          <w:p w14:paraId="7BCCADDE" w14:textId="2085CF7F" w:rsidR="00250F9E" w:rsidRPr="00B57F12" w:rsidRDefault="00250F9E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  <w:t>2.914,00 €</w:t>
            </w:r>
          </w:p>
        </w:tc>
      </w:tr>
      <w:tr w:rsidR="00970EFB" w:rsidRPr="00B57F12" w14:paraId="1949FE03" w14:textId="77777777" w:rsidTr="00055D05">
        <w:trPr>
          <w:trHeight w:val="290"/>
          <w:jc w:val="center"/>
        </w:trPr>
        <w:tc>
          <w:tcPr>
            <w:tcW w:w="1317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3A0E36B3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E5552F5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e)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3A5C6A5B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4.382,25 €</w:t>
            </w:r>
          </w:p>
        </w:tc>
        <w:tc>
          <w:tcPr>
            <w:tcW w:w="411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0668E760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0180F7D7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4BB09BCB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5155866D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5912D412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425E9386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414E657B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left w:val="nil"/>
            </w:tcBorders>
            <w:noWrap/>
            <w:vAlign w:val="center"/>
          </w:tcPr>
          <w:p w14:paraId="7797E570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0A0BCC08" w14:textId="77777777" w:rsidTr="00055D05">
        <w:trPr>
          <w:trHeight w:val="290"/>
          <w:jc w:val="center"/>
        </w:trPr>
        <w:tc>
          <w:tcPr>
            <w:tcW w:w="1317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46A28A89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4A9949E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l)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58B74BFC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784,00 €</w:t>
            </w:r>
          </w:p>
        </w:tc>
        <w:tc>
          <w:tcPr>
            <w:tcW w:w="411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0AEAF38B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728DCBAC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44CB7DD2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4DA6B057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0EC7C549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20E84688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09E68E0D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left w:val="nil"/>
            </w:tcBorders>
            <w:noWrap/>
            <w:vAlign w:val="center"/>
          </w:tcPr>
          <w:p w14:paraId="6CE43680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616411F6" w14:textId="77777777" w:rsidTr="00055D05">
        <w:trPr>
          <w:trHeight w:val="290"/>
          <w:jc w:val="center"/>
        </w:trPr>
        <w:tc>
          <w:tcPr>
            <w:tcW w:w="1317" w:type="dxa"/>
            <w:vMerge/>
            <w:tcBorders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019F0861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D1130ED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l)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278EDD13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3.603,80 €</w:t>
            </w:r>
          </w:p>
        </w:tc>
        <w:tc>
          <w:tcPr>
            <w:tcW w:w="411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EC3F333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/>
            <w:tcBorders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2E55C871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BF75385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4A4BDF32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BBE5EC0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vMerge/>
            <w:tcBorders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3145C092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BF96C31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left w:val="nil"/>
              <w:bottom w:val="dotted" w:sz="4" w:space="0" w:color="auto"/>
            </w:tcBorders>
            <w:noWrap/>
            <w:vAlign w:val="center"/>
          </w:tcPr>
          <w:p w14:paraId="0AB874C3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57B7BB28" w14:textId="77777777" w:rsidTr="00055D05">
        <w:trPr>
          <w:trHeight w:val="290"/>
          <w:jc w:val="center"/>
        </w:trPr>
        <w:tc>
          <w:tcPr>
            <w:tcW w:w="1317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  <w:hideMark/>
          </w:tcPr>
          <w:p w14:paraId="57120240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Egipto</w:t>
            </w: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8ED4310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f)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7132B9A4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3.353,81 €</w:t>
            </w:r>
          </w:p>
        </w:tc>
        <w:tc>
          <w:tcPr>
            <w:tcW w:w="411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4208B9F2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63D24C02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15BAD36D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31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3B4DC940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2.921,26 €</w:t>
            </w:r>
          </w:p>
        </w:tc>
        <w:tc>
          <w:tcPr>
            <w:tcW w:w="411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322E6F1F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53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3A69CE0E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897,56 €</w:t>
            </w:r>
          </w:p>
        </w:tc>
        <w:tc>
          <w:tcPr>
            <w:tcW w:w="426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0812C81B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  <w:t>X</w:t>
            </w:r>
          </w:p>
        </w:tc>
        <w:tc>
          <w:tcPr>
            <w:tcW w:w="1264" w:type="dxa"/>
            <w:vMerge w:val="restart"/>
            <w:tcBorders>
              <w:top w:val="dotted" w:sz="4" w:space="0" w:color="auto"/>
              <w:left w:val="nil"/>
            </w:tcBorders>
            <w:noWrap/>
            <w:vAlign w:val="center"/>
          </w:tcPr>
          <w:p w14:paraId="2ED83799" w14:textId="47626B95" w:rsidR="00970EFB" w:rsidRPr="00B57F12" w:rsidRDefault="00E75E8D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  <w:t>715,48</w:t>
            </w:r>
            <w:r w:rsidR="00250F9E" w:rsidRPr="00B57F12"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  <w:t xml:space="preserve"> €</w:t>
            </w:r>
          </w:p>
          <w:p w14:paraId="53935F31" w14:textId="738FC4E0" w:rsidR="00250F9E" w:rsidRPr="00B57F12" w:rsidRDefault="00250F9E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  <w:t>2.</w:t>
            </w:r>
            <w:r w:rsidR="00E75E8D" w:rsidRPr="00B57F12"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  <w:t>914</w:t>
            </w:r>
            <w:r w:rsidRPr="00B57F12"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  <w:t>,00 €</w:t>
            </w:r>
          </w:p>
        </w:tc>
      </w:tr>
      <w:tr w:rsidR="00970EFB" w:rsidRPr="00B57F12" w14:paraId="43BCE65A" w14:textId="77777777" w:rsidTr="00055D05">
        <w:trPr>
          <w:trHeight w:val="290"/>
          <w:jc w:val="center"/>
        </w:trPr>
        <w:tc>
          <w:tcPr>
            <w:tcW w:w="1317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3E93DE00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9B87220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g)</w:t>
            </w:r>
          </w:p>
        </w:tc>
        <w:tc>
          <w:tcPr>
            <w:tcW w:w="12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43FF2472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1.447,01 €</w:t>
            </w:r>
          </w:p>
        </w:tc>
        <w:tc>
          <w:tcPr>
            <w:tcW w:w="411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2E25F5B1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014F5DB2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5CCA39B3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55145F2B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993E372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09893255" w14:textId="77777777" w:rsidR="00970EFB" w:rsidRPr="00B57F12" w:rsidDel="005E48B0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6F5C96E8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left w:val="nil"/>
            </w:tcBorders>
            <w:noWrap/>
            <w:vAlign w:val="center"/>
          </w:tcPr>
          <w:p w14:paraId="4E162CAE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53773A5E" w14:textId="77777777" w:rsidTr="00055D05">
        <w:trPr>
          <w:trHeight w:val="290"/>
          <w:jc w:val="center"/>
        </w:trPr>
        <w:tc>
          <w:tcPr>
            <w:tcW w:w="1317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40DDEE0D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D023D05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i)</w:t>
            </w:r>
          </w:p>
        </w:tc>
        <w:tc>
          <w:tcPr>
            <w:tcW w:w="12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79EBA98D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1.975,55 €</w:t>
            </w:r>
          </w:p>
        </w:tc>
        <w:tc>
          <w:tcPr>
            <w:tcW w:w="411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60D48407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53D9D97B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677934D3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2FEC6722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1B3D4D15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53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19C2EE48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1.692,90 €</w:t>
            </w:r>
          </w:p>
        </w:tc>
        <w:tc>
          <w:tcPr>
            <w:tcW w:w="426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663BF6DA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left w:val="nil"/>
            </w:tcBorders>
            <w:noWrap/>
            <w:vAlign w:val="center"/>
          </w:tcPr>
          <w:p w14:paraId="2579F9F7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295C22F4" w14:textId="77777777" w:rsidTr="00055D05">
        <w:trPr>
          <w:trHeight w:val="290"/>
          <w:jc w:val="center"/>
        </w:trPr>
        <w:tc>
          <w:tcPr>
            <w:tcW w:w="1317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2007067C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89090D2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l)</w:t>
            </w:r>
          </w:p>
        </w:tc>
        <w:tc>
          <w:tcPr>
            <w:tcW w:w="12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6D10B6F5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3.574,04 €</w:t>
            </w:r>
          </w:p>
        </w:tc>
        <w:tc>
          <w:tcPr>
            <w:tcW w:w="411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3547B9B5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1BAC3364" w14:textId="77777777" w:rsidR="00970EFB" w:rsidRPr="00B57F12" w:rsidDel="005E48B0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383C469D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7B6DD337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noWrap/>
            <w:vAlign w:val="center"/>
          </w:tcPr>
          <w:p w14:paraId="3F4CF18C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05DB5869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4ADB71BC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64" w:type="dxa"/>
            <w:vMerge/>
            <w:tcBorders>
              <w:left w:val="nil"/>
            </w:tcBorders>
            <w:noWrap/>
            <w:vAlign w:val="center"/>
          </w:tcPr>
          <w:p w14:paraId="5FA71EF9" w14:textId="77777777" w:rsidR="00970EFB" w:rsidRPr="00B57F12" w:rsidDel="005E48B0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078034AC" w14:textId="77777777" w:rsidTr="00055D05">
        <w:trPr>
          <w:trHeight w:val="290"/>
          <w:jc w:val="center"/>
        </w:trPr>
        <w:tc>
          <w:tcPr>
            <w:tcW w:w="1317" w:type="dxa"/>
            <w:vMerge/>
            <w:tcBorders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4EB5C514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E567352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l)</w:t>
            </w:r>
          </w:p>
        </w:tc>
        <w:tc>
          <w:tcPr>
            <w:tcW w:w="12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4592EF93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3.271,12 €</w:t>
            </w:r>
          </w:p>
        </w:tc>
        <w:tc>
          <w:tcPr>
            <w:tcW w:w="411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0FDABA0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/>
            <w:tcBorders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0EADEF12" w14:textId="77777777" w:rsidR="00970EFB" w:rsidRPr="00B57F12" w:rsidDel="005E48B0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1B94621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7BC4297D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F78A7E2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42CD4C2A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8EFB089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64" w:type="dxa"/>
            <w:vMerge/>
            <w:tcBorders>
              <w:left w:val="nil"/>
              <w:bottom w:val="dotted" w:sz="4" w:space="0" w:color="auto"/>
            </w:tcBorders>
            <w:noWrap/>
            <w:vAlign w:val="center"/>
          </w:tcPr>
          <w:p w14:paraId="7E546A55" w14:textId="77777777" w:rsidR="00970EFB" w:rsidRPr="00B57F12" w:rsidDel="005E48B0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491FAC44" w14:textId="77777777" w:rsidTr="00055D05">
        <w:trPr>
          <w:trHeight w:val="290"/>
          <w:jc w:val="center"/>
        </w:trPr>
        <w:tc>
          <w:tcPr>
            <w:tcW w:w="131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714C47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El Salvador</w:t>
            </w: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1881690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5CD652D3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534518E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63297EEA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9F6B80A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18FF3A17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26451C2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2DA14B4E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FD2C249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X</w:t>
            </w:r>
          </w:p>
        </w:tc>
        <w:tc>
          <w:tcPr>
            <w:tcW w:w="126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073EC424" w14:textId="77777777" w:rsidR="00970EFB" w:rsidRPr="00B57F12" w:rsidRDefault="00250F9E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2.818,17 €</w:t>
            </w:r>
          </w:p>
          <w:p w14:paraId="737420EA" w14:textId="2986C67A" w:rsidR="00250F9E" w:rsidRPr="00B57F12" w:rsidRDefault="00250F9E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  <w:t>2.914,00 €</w:t>
            </w:r>
          </w:p>
        </w:tc>
      </w:tr>
      <w:tr w:rsidR="00970EFB" w:rsidRPr="00B57F12" w14:paraId="277CE5E1" w14:textId="77777777" w:rsidTr="00055D05">
        <w:trPr>
          <w:trHeight w:val="290"/>
          <w:jc w:val="center"/>
        </w:trPr>
        <w:tc>
          <w:tcPr>
            <w:tcW w:w="1317" w:type="dxa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  <w:hideMark/>
          </w:tcPr>
          <w:p w14:paraId="5F207EE6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Gabón</w:t>
            </w: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CB1215B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g)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32599E2A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2.361,87 €</w:t>
            </w:r>
          </w:p>
        </w:tc>
        <w:tc>
          <w:tcPr>
            <w:tcW w:w="411" w:type="dxa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33157FB5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5AD12369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24485920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068FDC46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58020D05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61BA5D5E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459CD636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X</w:t>
            </w:r>
          </w:p>
        </w:tc>
        <w:tc>
          <w:tcPr>
            <w:tcW w:w="1264" w:type="dxa"/>
            <w:tcBorders>
              <w:top w:val="dotted" w:sz="4" w:space="0" w:color="auto"/>
              <w:left w:val="nil"/>
            </w:tcBorders>
            <w:noWrap/>
            <w:vAlign w:val="center"/>
          </w:tcPr>
          <w:p w14:paraId="734CE129" w14:textId="77777777" w:rsidR="00970EFB" w:rsidRPr="00B57F12" w:rsidRDefault="00250F9E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1.352,52 €</w:t>
            </w:r>
          </w:p>
          <w:p w14:paraId="2CD2A125" w14:textId="1EA3E799" w:rsidR="00250F9E" w:rsidRPr="00B57F12" w:rsidRDefault="00250F9E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  <w:t>3.162,00 €</w:t>
            </w:r>
          </w:p>
        </w:tc>
      </w:tr>
      <w:tr w:rsidR="00970EFB" w:rsidRPr="00B57F12" w14:paraId="0D5F727D" w14:textId="77777777" w:rsidTr="00055D05">
        <w:trPr>
          <w:trHeight w:val="290"/>
          <w:jc w:val="center"/>
        </w:trPr>
        <w:tc>
          <w:tcPr>
            <w:tcW w:w="1317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7D8BAF9E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Gambia</w:t>
            </w: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2DD3A27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a)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2C0CF0D1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3.157,47 €</w:t>
            </w:r>
          </w:p>
        </w:tc>
        <w:tc>
          <w:tcPr>
            <w:tcW w:w="411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077F4524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388C26EF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73BE62C8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69E08931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65FC046D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1042AB75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68B86385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</w:rPr>
              <w:t>X</w:t>
            </w:r>
          </w:p>
        </w:tc>
        <w:tc>
          <w:tcPr>
            <w:tcW w:w="1264" w:type="dxa"/>
            <w:vMerge w:val="restart"/>
            <w:tcBorders>
              <w:top w:val="dotted" w:sz="4" w:space="0" w:color="auto"/>
              <w:left w:val="nil"/>
            </w:tcBorders>
            <w:noWrap/>
            <w:vAlign w:val="center"/>
          </w:tcPr>
          <w:p w14:paraId="635414EA" w14:textId="2BAF9EFF" w:rsidR="00970EFB" w:rsidRPr="00B57F12" w:rsidRDefault="00E75E8D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  <w:t>795,72</w:t>
            </w:r>
            <w:r w:rsidR="00250F9E" w:rsidRPr="00B57F12"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  <w:t xml:space="preserve"> €</w:t>
            </w:r>
          </w:p>
          <w:p w14:paraId="04CED21E" w14:textId="1098C7E9" w:rsidR="00250F9E" w:rsidRPr="00B57F12" w:rsidDel="00B3099B" w:rsidRDefault="00250F9E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  <w:t>2.914,00 €</w:t>
            </w:r>
          </w:p>
        </w:tc>
      </w:tr>
      <w:tr w:rsidR="00970EFB" w:rsidRPr="00B57F12" w14:paraId="1EA29EB2" w14:textId="77777777" w:rsidTr="00055D05">
        <w:trPr>
          <w:trHeight w:val="290"/>
          <w:jc w:val="center"/>
        </w:trPr>
        <w:tc>
          <w:tcPr>
            <w:tcW w:w="1317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21B7D19F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3F17AAF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j)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01FC4EB7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2.804,67 €</w:t>
            </w:r>
          </w:p>
        </w:tc>
        <w:tc>
          <w:tcPr>
            <w:tcW w:w="411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47646C5E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729E1A3B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3661303C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49844FBA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73F37BEB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5EE5CF0B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3144CFC2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64" w:type="dxa"/>
            <w:vMerge/>
            <w:tcBorders>
              <w:left w:val="nil"/>
            </w:tcBorders>
            <w:noWrap/>
            <w:vAlign w:val="center"/>
          </w:tcPr>
          <w:p w14:paraId="37E31B7F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126D2044" w14:textId="77777777" w:rsidTr="00C52DB5">
        <w:trPr>
          <w:trHeight w:val="290"/>
          <w:jc w:val="center"/>
        </w:trPr>
        <w:tc>
          <w:tcPr>
            <w:tcW w:w="1317" w:type="dxa"/>
            <w:vMerge/>
            <w:tcBorders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5FAED80C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1A325D7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l)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7AEF8F01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3.257,73 €</w:t>
            </w:r>
          </w:p>
        </w:tc>
        <w:tc>
          <w:tcPr>
            <w:tcW w:w="411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34E1AC3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/>
            <w:tcBorders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76659F5A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39F2AD8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vMerge/>
            <w:tcBorders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7C3B70B7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F600AEE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vMerge/>
            <w:tcBorders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728FF60B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7DEFCEF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64" w:type="dxa"/>
            <w:vMerge/>
            <w:tcBorders>
              <w:left w:val="nil"/>
              <w:bottom w:val="dotted" w:sz="4" w:space="0" w:color="auto"/>
            </w:tcBorders>
            <w:noWrap/>
            <w:vAlign w:val="center"/>
          </w:tcPr>
          <w:p w14:paraId="609A16E4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437E03FE" w14:textId="77777777" w:rsidTr="00C52DB5">
        <w:trPr>
          <w:trHeight w:val="290"/>
          <w:jc w:val="center"/>
        </w:trPr>
        <w:tc>
          <w:tcPr>
            <w:tcW w:w="1317" w:type="dxa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7F7B98B5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Ghana</w:t>
            </w:r>
          </w:p>
        </w:tc>
        <w:tc>
          <w:tcPr>
            <w:tcW w:w="475" w:type="dxa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439E46F3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a)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2A14A109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3.019,13 €</w:t>
            </w:r>
          </w:p>
        </w:tc>
        <w:tc>
          <w:tcPr>
            <w:tcW w:w="411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7472980E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6B403D5B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1A7EB808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0A66DB02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26EC95DF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5D3E640D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3D9130F9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</w:rPr>
              <w:t>X</w:t>
            </w:r>
          </w:p>
        </w:tc>
        <w:tc>
          <w:tcPr>
            <w:tcW w:w="1264" w:type="dxa"/>
            <w:vMerge w:val="restart"/>
            <w:tcBorders>
              <w:top w:val="dotted" w:sz="4" w:space="0" w:color="auto"/>
              <w:left w:val="nil"/>
            </w:tcBorders>
            <w:noWrap/>
            <w:vAlign w:val="center"/>
          </w:tcPr>
          <w:p w14:paraId="37A394CF" w14:textId="77777777" w:rsidR="00970EFB" w:rsidRPr="00B57F12" w:rsidRDefault="00DC6A2C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  <w:t>1.094,09 €</w:t>
            </w:r>
          </w:p>
          <w:p w14:paraId="061089AA" w14:textId="06C7FAB0" w:rsidR="00DC6A2C" w:rsidRPr="00B57F12" w:rsidDel="00B3099B" w:rsidRDefault="00DC6A2C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  <w:t>3.206,25 €</w:t>
            </w:r>
          </w:p>
        </w:tc>
      </w:tr>
      <w:tr w:rsidR="00970EFB" w:rsidRPr="00B57F12" w14:paraId="5290A4E4" w14:textId="77777777" w:rsidTr="00C52DB5">
        <w:trPr>
          <w:trHeight w:val="290"/>
          <w:jc w:val="center"/>
        </w:trPr>
        <w:tc>
          <w:tcPr>
            <w:tcW w:w="1317" w:type="dxa"/>
            <w:tcBorders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546BFAD1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D821212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l)</w:t>
            </w:r>
          </w:p>
        </w:tc>
        <w:tc>
          <w:tcPr>
            <w:tcW w:w="1231" w:type="dxa"/>
            <w:tcBorders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11FC16D5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5.657,73 €</w:t>
            </w:r>
          </w:p>
        </w:tc>
        <w:tc>
          <w:tcPr>
            <w:tcW w:w="411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F049823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/>
            <w:tcBorders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3E4D3761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35254B6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vMerge/>
            <w:tcBorders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7888A71A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D7F7A3F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vMerge/>
            <w:tcBorders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0E8188A6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A63FFE7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64" w:type="dxa"/>
            <w:vMerge/>
            <w:tcBorders>
              <w:left w:val="nil"/>
              <w:bottom w:val="dotted" w:sz="4" w:space="0" w:color="auto"/>
            </w:tcBorders>
            <w:noWrap/>
            <w:vAlign w:val="center"/>
          </w:tcPr>
          <w:p w14:paraId="095D1238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0731F80F" w14:textId="77777777" w:rsidTr="00C52DB5">
        <w:trPr>
          <w:trHeight w:val="290"/>
          <w:jc w:val="center"/>
        </w:trPr>
        <w:tc>
          <w:tcPr>
            <w:tcW w:w="1317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  <w:hideMark/>
          </w:tcPr>
          <w:p w14:paraId="1212A1A9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Guatemala</w:t>
            </w: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FD09A45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j)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30BB4D04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2.227,30 €</w:t>
            </w:r>
          </w:p>
        </w:tc>
        <w:tc>
          <w:tcPr>
            <w:tcW w:w="411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1C866759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6B379373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4E20A5FA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558C43C2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noWrap/>
            <w:vAlign w:val="center"/>
          </w:tcPr>
          <w:p w14:paraId="01103E73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53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67387480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1.073,08 €</w:t>
            </w:r>
          </w:p>
        </w:tc>
        <w:tc>
          <w:tcPr>
            <w:tcW w:w="426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7BDA5194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sz w:val="18"/>
                <w:szCs w:val="18"/>
              </w:rPr>
              <w:t>X</w:t>
            </w:r>
          </w:p>
        </w:tc>
        <w:tc>
          <w:tcPr>
            <w:tcW w:w="1264" w:type="dxa"/>
            <w:vMerge w:val="restart"/>
            <w:tcBorders>
              <w:top w:val="dotted" w:sz="4" w:space="0" w:color="auto"/>
              <w:left w:val="nil"/>
              <w:right w:val="nil"/>
            </w:tcBorders>
            <w:noWrap/>
            <w:vAlign w:val="center"/>
          </w:tcPr>
          <w:p w14:paraId="577B6473" w14:textId="08C4DB43" w:rsidR="00DC6A2C" w:rsidRPr="00B57F12" w:rsidRDefault="00DC6A2C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1.654,72 €</w:t>
            </w:r>
          </w:p>
          <w:p w14:paraId="01788278" w14:textId="51BDF8D3" w:rsidR="00970EFB" w:rsidRPr="00B57F12" w:rsidRDefault="00DC6A2C" w:rsidP="00DC6A2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  <w:t>2.914,00 €</w:t>
            </w:r>
          </w:p>
        </w:tc>
      </w:tr>
      <w:tr w:rsidR="00970EFB" w:rsidRPr="00B57F12" w14:paraId="153D9DC2" w14:textId="77777777" w:rsidTr="00055D05">
        <w:trPr>
          <w:trHeight w:val="290"/>
          <w:jc w:val="center"/>
        </w:trPr>
        <w:tc>
          <w:tcPr>
            <w:tcW w:w="1317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23060F59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A879BA4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k)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7F6ABDA6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3.381,55 €</w:t>
            </w:r>
          </w:p>
        </w:tc>
        <w:tc>
          <w:tcPr>
            <w:tcW w:w="411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3CFA945F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741ADF25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45EF7817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0EDEE8B2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8" w:space="0" w:color="auto"/>
              <w:right w:val="dotted" w:sz="4" w:space="0" w:color="auto"/>
            </w:tcBorders>
            <w:noWrap/>
            <w:vAlign w:val="center"/>
          </w:tcPr>
          <w:p w14:paraId="18919C14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251D7393" w14:textId="77777777" w:rsidR="00970EFB" w:rsidRPr="00B57F12" w:rsidDel="005E48B0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75E78CBD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64" w:type="dxa"/>
            <w:vMerge/>
            <w:tcBorders>
              <w:left w:val="nil"/>
              <w:right w:val="nil"/>
            </w:tcBorders>
            <w:noWrap/>
            <w:vAlign w:val="center"/>
          </w:tcPr>
          <w:p w14:paraId="4F0F33A8" w14:textId="77777777" w:rsidR="00970EFB" w:rsidRPr="00B57F12" w:rsidDel="005E48B0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4B03AEB8" w14:textId="77777777" w:rsidTr="00055D05">
        <w:trPr>
          <w:trHeight w:val="290"/>
          <w:jc w:val="center"/>
        </w:trPr>
        <w:tc>
          <w:tcPr>
            <w:tcW w:w="1317" w:type="dxa"/>
            <w:vMerge/>
            <w:tcBorders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77D9DA43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B9744C8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l)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7536A404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4.370,36 €</w:t>
            </w:r>
          </w:p>
        </w:tc>
        <w:tc>
          <w:tcPr>
            <w:tcW w:w="411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C3F14EE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/>
            <w:tcBorders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2B12C275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9BACDBC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vMerge/>
            <w:tcBorders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5E7366DC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C3DDD4B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vMerge/>
            <w:tcBorders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3C5F31C8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B058D97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64" w:type="dxa"/>
            <w:vMerge/>
            <w:tcBorders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0F159BB9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36FDF8A8" w14:textId="77777777" w:rsidTr="00055D05">
        <w:trPr>
          <w:trHeight w:val="290"/>
          <w:jc w:val="center"/>
        </w:trPr>
        <w:tc>
          <w:tcPr>
            <w:tcW w:w="1317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6752B09E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Rep. Guinea</w:t>
            </w: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A4E8D30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e)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628B6AF0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4.726,69 €</w:t>
            </w:r>
          </w:p>
        </w:tc>
        <w:tc>
          <w:tcPr>
            <w:tcW w:w="411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199266BC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207C0334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5093B19D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4D11B810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noWrap/>
            <w:vAlign w:val="center"/>
          </w:tcPr>
          <w:p w14:paraId="3BCF2A76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159CB2E2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dotted" w:sz="4" w:space="0" w:color="auto"/>
            </w:tcBorders>
            <w:noWrap/>
            <w:vAlign w:val="center"/>
          </w:tcPr>
          <w:p w14:paraId="37873C8D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</w:rPr>
              <w:t>X</w:t>
            </w:r>
          </w:p>
        </w:tc>
        <w:tc>
          <w:tcPr>
            <w:tcW w:w="1264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1B219D18" w14:textId="77777777" w:rsidR="00970EFB" w:rsidRPr="00B57F12" w:rsidRDefault="00577860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  <w:t>1.278,51 €</w:t>
            </w:r>
          </w:p>
          <w:p w14:paraId="5A2ACCC1" w14:textId="773E382F" w:rsidR="00577860" w:rsidRPr="00B57F12" w:rsidDel="00B3099B" w:rsidRDefault="00577860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  <w:t>2.992,97 €</w:t>
            </w:r>
          </w:p>
        </w:tc>
      </w:tr>
      <w:tr w:rsidR="00970EFB" w:rsidRPr="00B57F12" w14:paraId="4641D007" w14:textId="77777777" w:rsidTr="00055D05">
        <w:trPr>
          <w:trHeight w:val="290"/>
          <w:jc w:val="center"/>
        </w:trPr>
        <w:tc>
          <w:tcPr>
            <w:tcW w:w="1317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48391820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15F6E52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l)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551832CE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6.899,98 €</w:t>
            </w:r>
          </w:p>
        </w:tc>
        <w:tc>
          <w:tcPr>
            <w:tcW w:w="411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1C61DBB6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7136848B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5387C7E0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1B0BAE20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8" w:space="0" w:color="auto"/>
              <w:right w:val="dotted" w:sz="4" w:space="0" w:color="auto"/>
            </w:tcBorders>
            <w:noWrap/>
            <w:vAlign w:val="center"/>
          </w:tcPr>
          <w:p w14:paraId="2A23BB9F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37E18CDE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62E5ECC6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64" w:type="dxa"/>
            <w:vMerge/>
            <w:tcBorders>
              <w:left w:val="nil"/>
              <w:right w:val="nil"/>
            </w:tcBorders>
            <w:noWrap/>
            <w:vAlign w:val="center"/>
          </w:tcPr>
          <w:p w14:paraId="29B956C0" w14:textId="77777777" w:rsidR="00970EFB" w:rsidRPr="00B57F12" w:rsidDel="005E48B0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75B75F06" w14:textId="77777777" w:rsidTr="00055D05">
        <w:trPr>
          <w:trHeight w:val="290"/>
          <w:jc w:val="center"/>
        </w:trPr>
        <w:tc>
          <w:tcPr>
            <w:tcW w:w="131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D672EF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Honduras</w:t>
            </w: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F042538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0D14D2DA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2E9B242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0A688F9B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859EA13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5C75C0A7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C6CBA22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622D80AB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6AE038E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2C56A415" w14:textId="77777777" w:rsidR="00970EFB" w:rsidRPr="00B57F12" w:rsidRDefault="00542D35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1.344,08 €</w:t>
            </w:r>
          </w:p>
          <w:p w14:paraId="5CCB137C" w14:textId="4ADED440" w:rsidR="00542D35" w:rsidRPr="00B57F12" w:rsidRDefault="00542D35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  <w:t>3.083,51 €</w:t>
            </w:r>
          </w:p>
        </w:tc>
      </w:tr>
      <w:tr w:rsidR="00970EFB" w:rsidRPr="00B57F12" w14:paraId="696B23DA" w14:textId="77777777" w:rsidTr="00055D05">
        <w:trPr>
          <w:trHeight w:val="290"/>
          <w:jc w:val="center"/>
        </w:trPr>
        <w:tc>
          <w:tcPr>
            <w:tcW w:w="131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16C5675D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 xml:space="preserve">Libia </w:t>
            </w: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2E1B09C4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E5279C5" w14:textId="77777777" w:rsidR="00970EFB" w:rsidRPr="00B57F12" w:rsidDel="005E48B0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11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1D16650B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F2F0EBD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B556E42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2773AEB9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11" w:type="dxa"/>
            <w:tcBorders>
              <w:top w:val="dotted" w:sz="4" w:space="0" w:color="auto"/>
              <w:left w:val="single" w:sz="8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1C02B365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EA8E868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0E8B8E5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</w:rPr>
              <w:t>X</w:t>
            </w:r>
          </w:p>
        </w:tc>
        <w:tc>
          <w:tcPr>
            <w:tcW w:w="126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668F1583" w14:textId="77777777" w:rsidR="00970EFB" w:rsidRPr="00B57F12" w:rsidRDefault="002220C9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EE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</w:rPr>
              <w:t>761,23 €</w:t>
            </w:r>
          </w:p>
          <w:p w14:paraId="1B09FE3D" w14:textId="455530CB" w:rsidR="002220C9" w:rsidRPr="00B57F12" w:rsidDel="00B3099B" w:rsidRDefault="002220C9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EE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</w:rPr>
              <w:t>3.162,00 €</w:t>
            </w:r>
          </w:p>
        </w:tc>
      </w:tr>
      <w:tr w:rsidR="00970EFB" w:rsidRPr="00B57F12" w14:paraId="5CDD81E2" w14:textId="77777777" w:rsidTr="00055D05">
        <w:trPr>
          <w:trHeight w:val="290"/>
          <w:jc w:val="center"/>
        </w:trPr>
        <w:tc>
          <w:tcPr>
            <w:tcW w:w="13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4B5D27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Mauritania</w:t>
            </w: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C417DC8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l)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3783289D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5.584,24 €</w:t>
            </w:r>
          </w:p>
        </w:tc>
        <w:tc>
          <w:tcPr>
            <w:tcW w:w="4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DB9E966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4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203BCA25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2.834,38 €</w:t>
            </w:r>
          </w:p>
        </w:tc>
        <w:tc>
          <w:tcPr>
            <w:tcW w:w="37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0C6A9FC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5073F965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3.030,60 €</w:t>
            </w:r>
          </w:p>
        </w:tc>
        <w:tc>
          <w:tcPr>
            <w:tcW w:w="41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C337129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2C88E0BA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A220734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267B223F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4E81869D" w14:textId="77777777" w:rsidTr="00055D05">
        <w:trPr>
          <w:trHeight w:val="290"/>
          <w:jc w:val="center"/>
        </w:trPr>
        <w:tc>
          <w:tcPr>
            <w:tcW w:w="131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38CCA161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México</w:t>
            </w: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D57DDC2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j)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4EE314F2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2.664,04 €</w:t>
            </w:r>
          </w:p>
        </w:tc>
        <w:tc>
          <w:tcPr>
            <w:tcW w:w="4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8A76DF7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4A3285B4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F4036AA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2D7DDD4B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09F4F4D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X</w:t>
            </w:r>
          </w:p>
        </w:tc>
        <w:tc>
          <w:tcPr>
            <w:tcW w:w="135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0AB21AA3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1.488,03 €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DB494A3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6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43B71E9C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7F83CDCD" w14:textId="77777777" w:rsidTr="00055D05">
        <w:trPr>
          <w:trHeight w:val="290"/>
          <w:jc w:val="center"/>
        </w:trPr>
        <w:tc>
          <w:tcPr>
            <w:tcW w:w="1317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16F18655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Namibia</w:t>
            </w: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ABB27CC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b)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08F28A70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3.398,98 €</w:t>
            </w:r>
          </w:p>
        </w:tc>
        <w:tc>
          <w:tcPr>
            <w:tcW w:w="411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5BB5AF8C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641C64ED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3058B47C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5610D176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noWrap/>
            <w:vAlign w:val="center"/>
          </w:tcPr>
          <w:p w14:paraId="5E408298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6BDEDC2E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5FB1BE2E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</w:rPr>
              <w:t>X</w:t>
            </w:r>
          </w:p>
        </w:tc>
        <w:tc>
          <w:tcPr>
            <w:tcW w:w="1264" w:type="dxa"/>
            <w:vMerge w:val="restart"/>
            <w:tcBorders>
              <w:top w:val="dotted" w:sz="4" w:space="0" w:color="auto"/>
              <w:left w:val="nil"/>
              <w:right w:val="nil"/>
            </w:tcBorders>
            <w:noWrap/>
            <w:vAlign w:val="center"/>
          </w:tcPr>
          <w:p w14:paraId="40D9D316" w14:textId="51F80283" w:rsidR="00970EFB" w:rsidRPr="00B57F12" w:rsidDel="005E48B0" w:rsidRDefault="00585C39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  <w:t>3.268,25</w:t>
            </w:r>
            <w:r w:rsidR="00970EFB" w:rsidRPr="00B57F12"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  <w:t xml:space="preserve"> €</w:t>
            </w:r>
          </w:p>
        </w:tc>
      </w:tr>
      <w:tr w:rsidR="00970EFB" w:rsidRPr="00B57F12" w14:paraId="0DFE51F4" w14:textId="77777777" w:rsidTr="00055D05">
        <w:trPr>
          <w:trHeight w:val="290"/>
          <w:jc w:val="center"/>
        </w:trPr>
        <w:tc>
          <w:tcPr>
            <w:tcW w:w="1317" w:type="dxa"/>
            <w:vMerge/>
            <w:tcBorders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7E7B375E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80801C4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e)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46389658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6.171,91 €</w:t>
            </w:r>
          </w:p>
        </w:tc>
        <w:tc>
          <w:tcPr>
            <w:tcW w:w="411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03EC7528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21572213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26C302A1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22489828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8" w:space="0" w:color="auto"/>
              <w:right w:val="dotted" w:sz="4" w:space="0" w:color="auto"/>
            </w:tcBorders>
            <w:noWrap/>
            <w:vAlign w:val="center"/>
          </w:tcPr>
          <w:p w14:paraId="5601FCD0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254C9FF1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07A09501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64" w:type="dxa"/>
            <w:vMerge/>
            <w:tcBorders>
              <w:left w:val="nil"/>
              <w:right w:val="nil"/>
            </w:tcBorders>
            <w:noWrap/>
            <w:vAlign w:val="center"/>
          </w:tcPr>
          <w:p w14:paraId="36810089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6BA3D8D6" w14:textId="77777777" w:rsidTr="00055D05">
        <w:trPr>
          <w:trHeight w:val="290"/>
          <w:jc w:val="center"/>
        </w:trPr>
        <w:tc>
          <w:tcPr>
            <w:tcW w:w="1317" w:type="dxa"/>
            <w:vMerge/>
            <w:tcBorders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709AAA5F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886E935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h)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6AAD8944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4.289,10 €</w:t>
            </w:r>
          </w:p>
        </w:tc>
        <w:tc>
          <w:tcPr>
            <w:tcW w:w="411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1E77EF04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7A1922D9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315ADA17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056D768E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369E307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20375B49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6B5CDE6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64" w:type="dxa"/>
            <w:vMerge/>
            <w:tcBorders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07A8A3E2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5EC9A0EF" w14:textId="77777777" w:rsidTr="00055D05">
        <w:trPr>
          <w:trHeight w:val="290"/>
          <w:jc w:val="center"/>
        </w:trPr>
        <w:tc>
          <w:tcPr>
            <w:tcW w:w="131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C26B61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Nicaragua</w:t>
            </w: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89E0F6D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72C2A25C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FDB947D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15DC5D00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1E87775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0E3B8EA9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DDCA3FE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348BFC66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95EA693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1A2D5AC6" w14:textId="77777777" w:rsidR="00970EFB" w:rsidRPr="00B57F12" w:rsidRDefault="002A771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1.693,34 €</w:t>
            </w:r>
          </w:p>
          <w:p w14:paraId="3F294738" w14:textId="7EE4B976" w:rsidR="002A771B" w:rsidRPr="00B57F12" w:rsidRDefault="002A771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  <w:t>3.083,51 €</w:t>
            </w:r>
          </w:p>
        </w:tc>
      </w:tr>
      <w:tr w:rsidR="00970EFB" w:rsidRPr="00B57F12" w14:paraId="5FB081BD" w14:textId="77777777" w:rsidTr="00055D05">
        <w:trPr>
          <w:trHeight w:val="290"/>
          <w:jc w:val="center"/>
        </w:trPr>
        <w:tc>
          <w:tcPr>
            <w:tcW w:w="1317" w:type="dxa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2254A770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 xml:space="preserve">Nigeria </w:t>
            </w: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4A84297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660F5898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11" w:type="dxa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75C6B2D5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62C779A2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19921731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14907664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noWrap/>
            <w:vAlign w:val="center"/>
          </w:tcPr>
          <w:p w14:paraId="051A87AA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65D3341C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2830E94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</w:rPr>
              <w:t>X</w:t>
            </w:r>
          </w:p>
        </w:tc>
        <w:tc>
          <w:tcPr>
            <w:tcW w:w="126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31F84703" w14:textId="77777777" w:rsidR="00970EFB" w:rsidRPr="00B57F12" w:rsidRDefault="002A771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  <w:t>763,19 €</w:t>
            </w:r>
          </w:p>
          <w:p w14:paraId="28D34000" w14:textId="7F682B7D" w:rsidR="002A771B" w:rsidRPr="00B57F12" w:rsidDel="00B3099B" w:rsidRDefault="002A771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  <w:t>3.221,23 €</w:t>
            </w:r>
          </w:p>
        </w:tc>
      </w:tr>
      <w:tr w:rsidR="00970EFB" w:rsidRPr="00B57F12" w14:paraId="680CBAA6" w14:textId="77777777" w:rsidTr="00055D05">
        <w:trPr>
          <w:trHeight w:val="290"/>
          <w:jc w:val="center"/>
        </w:trPr>
        <w:tc>
          <w:tcPr>
            <w:tcW w:w="1317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  <w:hideMark/>
          </w:tcPr>
          <w:p w14:paraId="165CD622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Panamá</w:t>
            </w: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028F887C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k)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7739E04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3.629,64 €</w:t>
            </w:r>
          </w:p>
        </w:tc>
        <w:tc>
          <w:tcPr>
            <w:tcW w:w="411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0981D64D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55070018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089B746F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31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4ECE8663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3.270,81 €</w:t>
            </w:r>
          </w:p>
        </w:tc>
        <w:tc>
          <w:tcPr>
            <w:tcW w:w="411" w:type="dxa"/>
            <w:vMerge w:val="restart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noWrap/>
            <w:vAlign w:val="center"/>
          </w:tcPr>
          <w:p w14:paraId="6406696A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65070576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96966AB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X</w:t>
            </w:r>
          </w:p>
        </w:tc>
        <w:tc>
          <w:tcPr>
            <w:tcW w:w="1264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4A1D503B" w14:textId="77777777" w:rsidR="00970EFB" w:rsidRPr="00B57F12" w:rsidRDefault="002A771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1.205,64 €</w:t>
            </w:r>
          </w:p>
          <w:p w14:paraId="3B94900E" w14:textId="189219C0" w:rsidR="002A771B" w:rsidRPr="00B57F12" w:rsidRDefault="002A771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  <w:t>1.699,08 €</w:t>
            </w:r>
          </w:p>
        </w:tc>
      </w:tr>
      <w:tr w:rsidR="00970EFB" w:rsidRPr="00B57F12" w14:paraId="05A62D0D" w14:textId="77777777" w:rsidTr="00055D05">
        <w:trPr>
          <w:trHeight w:val="290"/>
          <w:jc w:val="center"/>
        </w:trPr>
        <w:tc>
          <w:tcPr>
            <w:tcW w:w="1317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0A129738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063FE94F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l)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CE62462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6.838,36 €</w:t>
            </w:r>
          </w:p>
        </w:tc>
        <w:tc>
          <w:tcPr>
            <w:tcW w:w="411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040EB5A5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435B3FF3" w14:textId="77777777" w:rsidR="00970EFB" w:rsidRPr="00B57F12" w:rsidDel="005E48B0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1EB13248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0EE2C84E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8" w:space="0" w:color="auto"/>
              <w:right w:val="dotted" w:sz="4" w:space="0" w:color="auto"/>
            </w:tcBorders>
            <w:noWrap/>
            <w:vAlign w:val="center"/>
          </w:tcPr>
          <w:p w14:paraId="2D2B0B24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67571D65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40FAA2C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64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380024D7" w14:textId="77777777" w:rsidR="00970EFB" w:rsidRPr="00B57F12" w:rsidDel="005E48B0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54BBCF4B" w14:textId="77777777" w:rsidTr="00055D05">
        <w:trPr>
          <w:trHeight w:val="290"/>
          <w:jc w:val="center"/>
        </w:trPr>
        <w:tc>
          <w:tcPr>
            <w:tcW w:w="1317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  <w:hideMark/>
          </w:tcPr>
          <w:p w14:paraId="16AA4A69" w14:textId="77777777" w:rsidR="00970EFB" w:rsidRPr="00B57F12" w:rsidRDefault="00970EFB" w:rsidP="00055D05">
            <w:pPr>
              <w:spacing w:line="240" w:lineRule="auto"/>
              <w:rPr>
                <w:rFonts w:ascii="Cambria" w:eastAsia="Times New Roman" w:hAnsi="Cambria" w:cs="Calibri"/>
                <w:color w:val="000000"/>
                <w:sz w:val="18"/>
                <w:lang w:val="en-GB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S</w:t>
            </w:r>
            <w:r w:rsidRPr="00B57F12">
              <w:rPr>
                <w:rFonts w:ascii="Cambria" w:eastAsia="Times New Roman" w:hAnsi="Cambria" w:cs="Calibri"/>
                <w:color w:val="000000"/>
                <w:sz w:val="18"/>
                <w:lang w:val="en-GB"/>
              </w:rPr>
              <w:t>ã</w:t>
            </w: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 xml:space="preserve">o Tomé </w:t>
            </w:r>
            <w:proofErr w:type="spellStart"/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e</w:t>
            </w:r>
            <w:proofErr w:type="spellEnd"/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 xml:space="preserve"> Príncipe</w:t>
            </w: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1DF56E3F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c)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B932107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3.648,24 €</w:t>
            </w:r>
          </w:p>
        </w:tc>
        <w:tc>
          <w:tcPr>
            <w:tcW w:w="411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066707F3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39A8B93D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18D72956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1159895C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noWrap/>
            <w:vAlign w:val="center"/>
          </w:tcPr>
          <w:p w14:paraId="32F73BFB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51C4D071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067D6B1A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4" w:type="dxa"/>
            <w:vMerge w:val="restart"/>
            <w:tcBorders>
              <w:top w:val="dotted" w:sz="4" w:space="0" w:color="auto"/>
              <w:left w:val="nil"/>
              <w:right w:val="nil"/>
            </w:tcBorders>
            <w:noWrap/>
            <w:vAlign w:val="center"/>
          </w:tcPr>
          <w:p w14:paraId="506D8FAA" w14:textId="77777777" w:rsidR="00970EFB" w:rsidRPr="00B57F12" w:rsidRDefault="002A771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1.092,24 €</w:t>
            </w:r>
          </w:p>
          <w:p w14:paraId="14827514" w14:textId="30DCE9CF" w:rsidR="002A771B" w:rsidRPr="00B57F12" w:rsidRDefault="002A771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  <w:t>3.436,00 €</w:t>
            </w:r>
          </w:p>
        </w:tc>
      </w:tr>
      <w:tr w:rsidR="00970EFB" w:rsidRPr="00B57F12" w14:paraId="6FF661BD" w14:textId="77777777" w:rsidTr="00055D05">
        <w:trPr>
          <w:trHeight w:val="290"/>
          <w:jc w:val="center"/>
        </w:trPr>
        <w:tc>
          <w:tcPr>
            <w:tcW w:w="1317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796E3953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49A0B95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g)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74BB124A" w14:textId="77777777" w:rsidR="00970EFB" w:rsidRPr="00B57F12" w:rsidDel="005E48B0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2.001,47 €</w:t>
            </w:r>
          </w:p>
        </w:tc>
        <w:tc>
          <w:tcPr>
            <w:tcW w:w="411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47B9A5CE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381AB2AB" w14:textId="77777777" w:rsidR="00970EFB" w:rsidRPr="00B57F12" w:rsidDel="005E48B0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734513FF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3C1D2196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8" w:space="0" w:color="auto"/>
              <w:right w:val="dotted" w:sz="4" w:space="0" w:color="auto"/>
            </w:tcBorders>
            <w:noWrap/>
            <w:vAlign w:val="center"/>
          </w:tcPr>
          <w:p w14:paraId="449E4C63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07E54417" w14:textId="77777777" w:rsidR="00970EFB" w:rsidRPr="00B57F12" w:rsidDel="005E48B0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0171DCD5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left w:val="nil"/>
              <w:right w:val="nil"/>
            </w:tcBorders>
            <w:noWrap/>
            <w:vAlign w:val="center"/>
          </w:tcPr>
          <w:p w14:paraId="08318CE2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657D6CD4" w14:textId="77777777" w:rsidTr="00055D05">
        <w:trPr>
          <w:trHeight w:val="290"/>
          <w:jc w:val="center"/>
        </w:trPr>
        <w:tc>
          <w:tcPr>
            <w:tcW w:w="1317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5A10785F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4E6BB8A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l)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62B56D9B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6.881,30 €</w:t>
            </w:r>
          </w:p>
        </w:tc>
        <w:tc>
          <w:tcPr>
            <w:tcW w:w="411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653AB04B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178A170C" w14:textId="77777777" w:rsidR="00970EFB" w:rsidRPr="00B57F12" w:rsidDel="005E48B0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27A2ED1F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306F75DC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8" w:space="0" w:color="auto"/>
              <w:right w:val="dotted" w:sz="4" w:space="0" w:color="auto"/>
            </w:tcBorders>
            <w:noWrap/>
            <w:vAlign w:val="center"/>
          </w:tcPr>
          <w:p w14:paraId="3F094A38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62712341" w14:textId="77777777" w:rsidR="00970EFB" w:rsidRPr="00B57F12" w:rsidDel="005E48B0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29625772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left w:val="nil"/>
              <w:right w:val="nil"/>
            </w:tcBorders>
            <w:noWrap/>
            <w:vAlign w:val="center"/>
          </w:tcPr>
          <w:p w14:paraId="3CC17A4B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3133382A" w14:textId="77777777" w:rsidTr="00055D05">
        <w:trPr>
          <w:trHeight w:val="290"/>
          <w:jc w:val="center"/>
        </w:trPr>
        <w:tc>
          <w:tcPr>
            <w:tcW w:w="1317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  <w:hideMark/>
          </w:tcPr>
          <w:p w14:paraId="17C4FC33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Senegal</w:t>
            </w: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B0BFBAD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c)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15C3232C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3.270,67 €</w:t>
            </w:r>
          </w:p>
        </w:tc>
        <w:tc>
          <w:tcPr>
            <w:tcW w:w="411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7A290441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X</w:t>
            </w:r>
          </w:p>
        </w:tc>
        <w:tc>
          <w:tcPr>
            <w:tcW w:w="1143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12953770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2.584,67 €</w:t>
            </w:r>
          </w:p>
        </w:tc>
        <w:tc>
          <w:tcPr>
            <w:tcW w:w="377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017C870D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31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2155BC84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3.047,15 €</w:t>
            </w:r>
          </w:p>
        </w:tc>
        <w:tc>
          <w:tcPr>
            <w:tcW w:w="411" w:type="dxa"/>
            <w:vMerge w:val="restart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noWrap/>
            <w:vAlign w:val="center"/>
          </w:tcPr>
          <w:p w14:paraId="712DCFAB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0584D5EA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540F1466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vMerge w:val="restart"/>
            <w:tcBorders>
              <w:top w:val="dotted" w:sz="4" w:space="0" w:color="auto"/>
              <w:left w:val="nil"/>
              <w:right w:val="nil"/>
            </w:tcBorders>
            <w:noWrap/>
            <w:vAlign w:val="center"/>
          </w:tcPr>
          <w:p w14:paraId="618E7534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57492994" w14:textId="77777777" w:rsidTr="00055D05">
        <w:trPr>
          <w:trHeight w:val="290"/>
          <w:jc w:val="center"/>
        </w:trPr>
        <w:tc>
          <w:tcPr>
            <w:tcW w:w="1317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14FE68CB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F06FCCC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e)</w:t>
            </w:r>
          </w:p>
        </w:tc>
        <w:tc>
          <w:tcPr>
            <w:tcW w:w="12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4A1D2222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4.327,28 €</w:t>
            </w:r>
          </w:p>
        </w:tc>
        <w:tc>
          <w:tcPr>
            <w:tcW w:w="411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5AB34E4A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2BCF41DA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491E2149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23EFC63D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11" w:type="dxa"/>
            <w:vMerge/>
            <w:tcBorders>
              <w:left w:val="single" w:sz="8" w:space="0" w:color="auto"/>
              <w:right w:val="dotted" w:sz="4" w:space="0" w:color="auto"/>
            </w:tcBorders>
            <w:noWrap/>
            <w:vAlign w:val="center"/>
          </w:tcPr>
          <w:p w14:paraId="4094C809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26CACBC0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4CF74D5B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64" w:type="dxa"/>
            <w:vMerge/>
            <w:tcBorders>
              <w:left w:val="nil"/>
              <w:right w:val="nil"/>
            </w:tcBorders>
            <w:noWrap/>
            <w:vAlign w:val="center"/>
          </w:tcPr>
          <w:p w14:paraId="465F7646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</w:tr>
      <w:tr w:rsidR="00970EFB" w:rsidRPr="00B57F12" w14:paraId="7192F70A" w14:textId="77777777" w:rsidTr="00055D05">
        <w:trPr>
          <w:trHeight w:val="290"/>
          <w:jc w:val="center"/>
        </w:trPr>
        <w:tc>
          <w:tcPr>
            <w:tcW w:w="1317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2CCCFDEA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F35CA1B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i)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5D974E51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3.684,99 €</w:t>
            </w:r>
          </w:p>
        </w:tc>
        <w:tc>
          <w:tcPr>
            <w:tcW w:w="411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10A45178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0AD62C7B" w14:textId="77777777" w:rsidR="00970EFB" w:rsidRPr="00B57F12" w:rsidDel="005E48B0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557533E3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0C547711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11" w:type="dxa"/>
            <w:vMerge/>
            <w:tcBorders>
              <w:left w:val="single" w:sz="8" w:space="0" w:color="auto"/>
              <w:right w:val="dotted" w:sz="4" w:space="0" w:color="auto"/>
            </w:tcBorders>
            <w:noWrap/>
            <w:vAlign w:val="center"/>
          </w:tcPr>
          <w:p w14:paraId="1F68745C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0544B535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37E8662E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64" w:type="dxa"/>
            <w:vMerge/>
            <w:tcBorders>
              <w:left w:val="nil"/>
              <w:right w:val="nil"/>
            </w:tcBorders>
            <w:noWrap/>
            <w:vAlign w:val="center"/>
          </w:tcPr>
          <w:p w14:paraId="69A4C7D4" w14:textId="77777777" w:rsidR="00970EFB" w:rsidRPr="00B57F12" w:rsidDel="005E48B0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GB"/>
              </w:rPr>
            </w:pPr>
          </w:p>
        </w:tc>
      </w:tr>
      <w:tr w:rsidR="00970EFB" w:rsidRPr="00B57F12" w14:paraId="214293C9" w14:textId="77777777" w:rsidTr="00055D05">
        <w:trPr>
          <w:trHeight w:val="290"/>
          <w:jc w:val="center"/>
        </w:trPr>
        <w:tc>
          <w:tcPr>
            <w:tcW w:w="1317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2E1C3178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AA2A5BC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k)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1CBCC84F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3.379,59 €</w:t>
            </w:r>
          </w:p>
        </w:tc>
        <w:tc>
          <w:tcPr>
            <w:tcW w:w="411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115D3C38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40DBE8B1" w14:textId="77777777" w:rsidR="00970EFB" w:rsidRPr="00B57F12" w:rsidDel="005E48B0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4F7A988E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2D3B59A7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11" w:type="dxa"/>
            <w:vMerge/>
            <w:tcBorders>
              <w:left w:val="single" w:sz="8" w:space="0" w:color="auto"/>
              <w:right w:val="dotted" w:sz="4" w:space="0" w:color="auto"/>
            </w:tcBorders>
            <w:noWrap/>
            <w:vAlign w:val="center"/>
          </w:tcPr>
          <w:p w14:paraId="58EB1BE1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4E997A21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70EF1356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64" w:type="dxa"/>
            <w:vMerge/>
            <w:tcBorders>
              <w:left w:val="nil"/>
              <w:right w:val="nil"/>
            </w:tcBorders>
            <w:noWrap/>
            <w:vAlign w:val="center"/>
          </w:tcPr>
          <w:p w14:paraId="1EC5B1CC" w14:textId="77777777" w:rsidR="00970EFB" w:rsidRPr="00B57F12" w:rsidDel="005E48B0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GB"/>
              </w:rPr>
            </w:pPr>
          </w:p>
        </w:tc>
      </w:tr>
      <w:tr w:rsidR="00970EFB" w:rsidRPr="00B57F12" w14:paraId="001A2357" w14:textId="77777777" w:rsidTr="00055D05">
        <w:trPr>
          <w:trHeight w:val="290"/>
          <w:jc w:val="center"/>
        </w:trPr>
        <w:tc>
          <w:tcPr>
            <w:tcW w:w="1317" w:type="dxa"/>
            <w:vMerge/>
            <w:tcBorders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122C5419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9A300E6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l)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0D664BC7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6.032,31 €</w:t>
            </w:r>
          </w:p>
        </w:tc>
        <w:tc>
          <w:tcPr>
            <w:tcW w:w="411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875CB10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/>
            <w:tcBorders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49FC0060" w14:textId="77777777" w:rsidR="00970EFB" w:rsidRPr="00B57F12" w:rsidDel="005E48B0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3A73B5D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vMerge/>
            <w:tcBorders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219D4C7B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11" w:type="dxa"/>
            <w:vMerge/>
            <w:tcBorders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A8BE187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vMerge/>
            <w:tcBorders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5357BF86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85B5C75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64" w:type="dxa"/>
            <w:vMerge/>
            <w:tcBorders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13F6DA1C" w14:textId="77777777" w:rsidR="00970EFB" w:rsidRPr="00B57F12" w:rsidDel="005E48B0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GB"/>
              </w:rPr>
            </w:pPr>
          </w:p>
        </w:tc>
      </w:tr>
      <w:tr w:rsidR="00970EFB" w:rsidRPr="00B57F12" w14:paraId="138B7323" w14:textId="77777777" w:rsidTr="00055D05">
        <w:trPr>
          <w:trHeight w:val="290"/>
          <w:jc w:val="center"/>
        </w:trPr>
        <w:tc>
          <w:tcPr>
            <w:tcW w:w="1317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05CA78CE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Sierra Leona</w:t>
            </w: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3893328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c)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017C4FDA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3.976,65 €</w:t>
            </w:r>
          </w:p>
        </w:tc>
        <w:tc>
          <w:tcPr>
            <w:tcW w:w="411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19100204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162A0030" w14:textId="77777777" w:rsidR="00970EFB" w:rsidRPr="00B57F12" w:rsidDel="005E48B0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64560146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527BB5BB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11" w:type="dxa"/>
            <w:vMerge w:val="restart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noWrap/>
            <w:vAlign w:val="center"/>
          </w:tcPr>
          <w:p w14:paraId="6EF79A40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2BE588DB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1FBFF9ED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X</w:t>
            </w:r>
          </w:p>
        </w:tc>
        <w:tc>
          <w:tcPr>
            <w:tcW w:w="1264" w:type="dxa"/>
            <w:vMerge w:val="restart"/>
            <w:tcBorders>
              <w:top w:val="dotted" w:sz="4" w:space="0" w:color="auto"/>
              <w:left w:val="nil"/>
              <w:right w:val="nil"/>
            </w:tcBorders>
            <w:noWrap/>
            <w:vAlign w:val="center"/>
          </w:tcPr>
          <w:p w14:paraId="42CB4203" w14:textId="77777777" w:rsidR="00970EFB" w:rsidRPr="00B57F12" w:rsidRDefault="002A771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GB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GB"/>
              </w:rPr>
              <w:t>1.809,37 €</w:t>
            </w:r>
          </w:p>
          <w:p w14:paraId="22E3ADB3" w14:textId="486106B4" w:rsidR="002A771B" w:rsidRPr="00B57F12" w:rsidDel="005E48B0" w:rsidRDefault="002A771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GB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  <w:szCs w:val="18"/>
                <w:lang w:val="en-GB"/>
              </w:rPr>
              <w:t>3.162,00 €</w:t>
            </w:r>
          </w:p>
        </w:tc>
      </w:tr>
      <w:tr w:rsidR="00970EFB" w:rsidRPr="00B57F12" w14:paraId="3359B8AB" w14:textId="77777777" w:rsidTr="00055D05">
        <w:trPr>
          <w:trHeight w:val="290"/>
          <w:jc w:val="center"/>
        </w:trPr>
        <w:tc>
          <w:tcPr>
            <w:tcW w:w="1317" w:type="dxa"/>
            <w:vMerge/>
            <w:tcBorders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67CCC7A6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6142583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l)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3DEFF63F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6.691,75 €</w:t>
            </w:r>
          </w:p>
        </w:tc>
        <w:tc>
          <w:tcPr>
            <w:tcW w:w="411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9C698B1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/>
            <w:tcBorders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12DC94EC" w14:textId="77777777" w:rsidR="00970EFB" w:rsidRPr="00B57F12" w:rsidDel="005E48B0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349D450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vMerge/>
            <w:tcBorders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3262CBD8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11" w:type="dxa"/>
            <w:vMerge/>
            <w:tcBorders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332DB96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vMerge/>
            <w:tcBorders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211ED339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69A015B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64" w:type="dxa"/>
            <w:vMerge/>
            <w:tcBorders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4D32DD1E" w14:textId="77777777" w:rsidR="00970EFB" w:rsidRPr="00B57F12" w:rsidDel="005E48B0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GB"/>
              </w:rPr>
            </w:pPr>
          </w:p>
        </w:tc>
      </w:tr>
      <w:tr w:rsidR="00970EFB" w:rsidRPr="00B57F12" w14:paraId="587DE782" w14:textId="77777777" w:rsidTr="00055D05">
        <w:trPr>
          <w:trHeight w:val="290"/>
          <w:jc w:val="center"/>
        </w:trPr>
        <w:tc>
          <w:tcPr>
            <w:tcW w:w="1317" w:type="dxa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140E39C3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 xml:space="preserve">Sudáfrica </w:t>
            </w: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0CAA5D1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j)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7947EA56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2.063,57 €</w:t>
            </w:r>
          </w:p>
        </w:tc>
        <w:tc>
          <w:tcPr>
            <w:tcW w:w="4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6F5D3E9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2FCF81F7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6B99EEC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5A12946E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1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5D531DB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X</w:t>
            </w:r>
          </w:p>
        </w:tc>
        <w:tc>
          <w:tcPr>
            <w:tcW w:w="135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2EE655A2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887,57 €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56FEEBC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X</w:t>
            </w:r>
          </w:p>
        </w:tc>
        <w:tc>
          <w:tcPr>
            <w:tcW w:w="126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16A592CD" w14:textId="77777777" w:rsidR="00970EFB" w:rsidRPr="00B57F12" w:rsidRDefault="002A771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GB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GB"/>
              </w:rPr>
              <w:t>755,60 €</w:t>
            </w:r>
          </w:p>
          <w:p w14:paraId="422675B1" w14:textId="25F78FCC" w:rsidR="002A771B" w:rsidRPr="00B57F12" w:rsidDel="00B3099B" w:rsidRDefault="002A771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GB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  <w:szCs w:val="18"/>
                <w:lang w:val="en-GB"/>
              </w:rPr>
              <w:t>3.162,00 €</w:t>
            </w:r>
          </w:p>
        </w:tc>
      </w:tr>
      <w:tr w:rsidR="00970EFB" w:rsidRPr="00B57F12" w14:paraId="7DD6BA8F" w14:textId="77777777" w:rsidTr="00C52DB5">
        <w:trPr>
          <w:trHeight w:val="290"/>
          <w:jc w:val="center"/>
        </w:trPr>
        <w:tc>
          <w:tcPr>
            <w:tcW w:w="131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712748C1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Siria</w:t>
            </w: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B1F0ED9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418962B0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E9BDB32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4C34DE29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33BB24C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4433DA90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1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4548EB2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0AF307FA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885B5F9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</w:rPr>
              <w:t>X</w:t>
            </w:r>
          </w:p>
        </w:tc>
        <w:tc>
          <w:tcPr>
            <w:tcW w:w="126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37A9A3B9" w14:textId="77777777" w:rsidR="00970EFB" w:rsidRPr="00B57F12" w:rsidRDefault="002A771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EE0000"/>
                <w:sz w:val="18"/>
                <w:szCs w:val="18"/>
                <w:lang w:val="en-GB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  <w:szCs w:val="18"/>
                <w:lang w:val="en-GB"/>
              </w:rPr>
              <w:t>986,58 €</w:t>
            </w:r>
          </w:p>
          <w:p w14:paraId="2CA2D51E" w14:textId="2BFD3BA4" w:rsidR="002A771B" w:rsidRPr="00B57F12" w:rsidRDefault="002A771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GB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  <w:szCs w:val="18"/>
                <w:lang w:val="en-GB"/>
              </w:rPr>
              <w:t>3.221,23 €</w:t>
            </w:r>
          </w:p>
        </w:tc>
      </w:tr>
      <w:tr w:rsidR="00970EFB" w:rsidRPr="00B57F12" w14:paraId="55583618" w14:textId="77777777" w:rsidTr="00C52DB5">
        <w:trPr>
          <w:trHeight w:val="290"/>
          <w:jc w:val="center"/>
        </w:trPr>
        <w:tc>
          <w:tcPr>
            <w:tcW w:w="1317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  <w:hideMark/>
          </w:tcPr>
          <w:p w14:paraId="31BFF7E9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Túnez</w:t>
            </w: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C967824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d)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238BD665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2.013,93 €</w:t>
            </w:r>
          </w:p>
        </w:tc>
        <w:tc>
          <w:tcPr>
            <w:tcW w:w="411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6ACA7F3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43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68B3E526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2.080,71 €</w:t>
            </w:r>
          </w:p>
        </w:tc>
        <w:tc>
          <w:tcPr>
            <w:tcW w:w="377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86AD4C5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X</w:t>
            </w:r>
          </w:p>
        </w:tc>
        <w:tc>
          <w:tcPr>
            <w:tcW w:w="1231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15716DF9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2.556,36 €</w:t>
            </w:r>
          </w:p>
        </w:tc>
        <w:tc>
          <w:tcPr>
            <w:tcW w:w="411" w:type="dxa"/>
            <w:vMerge w:val="restart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noWrap/>
            <w:vAlign w:val="center"/>
          </w:tcPr>
          <w:p w14:paraId="3B94AC38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53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519FB41D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822,33 €</w:t>
            </w:r>
          </w:p>
        </w:tc>
        <w:tc>
          <w:tcPr>
            <w:tcW w:w="426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76CD9938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4" w:type="dxa"/>
            <w:vMerge w:val="restart"/>
            <w:tcBorders>
              <w:top w:val="dotted" w:sz="4" w:space="0" w:color="auto"/>
              <w:left w:val="nil"/>
              <w:right w:val="nil"/>
            </w:tcBorders>
            <w:noWrap/>
            <w:vAlign w:val="center"/>
          </w:tcPr>
          <w:p w14:paraId="34954422" w14:textId="77777777" w:rsidR="00970EFB" w:rsidRPr="00B57F12" w:rsidRDefault="002A771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564,86 €</w:t>
            </w:r>
          </w:p>
          <w:p w14:paraId="487BEDA2" w14:textId="5E1F079D" w:rsidR="002A771B" w:rsidRPr="00B57F12" w:rsidRDefault="002A771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  <w:t>2.966,46 €</w:t>
            </w:r>
          </w:p>
        </w:tc>
      </w:tr>
      <w:tr w:rsidR="00970EFB" w:rsidRPr="00B57F12" w14:paraId="749496E7" w14:textId="77777777" w:rsidTr="00C52DB5">
        <w:trPr>
          <w:trHeight w:val="300"/>
          <w:jc w:val="center"/>
        </w:trPr>
        <w:tc>
          <w:tcPr>
            <w:tcW w:w="1317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3420132E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D8CAB18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f)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288C9A53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2.497,90 €</w:t>
            </w:r>
          </w:p>
        </w:tc>
        <w:tc>
          <w:tcPr>
            <w:tcW w:w="411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35093D7E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3E88CE5C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2161731E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328A1B9E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8" w:space="0" w:color="auto"/>
              <w:right w:val="dotted" w:sz="4" w:space="0" w:color="auto"/>
            </w:tcBorders>
            <w:noWrap/>
            <w:vAlign w:val="center"/>
          </w:tcPr>
          <w:p w14:paraId="77524E71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2B984149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0B0D474B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64" w:type="dxa"/>
            <w:vMerge/>
            <w:tcBorders>
              <w:top w:val="dotted" w:sz="4" w:space="0" w:color="auto"/>
              <w:left w:val="nil"/>
              <w:right w:val="nil"/>
            </w:tcBorders>
            <w:noWrap/>
            <w:vAlign w:val="center"/>
          </w:tcPr>
          <w:p w14:paraId="1774BD73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1EABC4A6" w14:textId="77777777" w:rsidTr="00C52DB5">
        <w:trPr>
          <w:trHeight w:val="300"/>
          <w:jc w:val="center"/>
        </w:trPr>
        <w:tc>
          <w:tcPr>
            <w:tcW w:w="1317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036E099E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2F73A2E1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g)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23C5939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1.327,25 €</w:t>
            </w:r>
          </w:p>
        </w:tc>
        <w:tc>
          <w:tcPr>
            <w:tcW w:w="411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60379E1F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50B9F0DE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085A4AD2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0AF5096C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577315F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vMerge/>
            <w:tcBorders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78AE121A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48F974BE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64" w:type="dxa"/>
            <w:vMerge/>
            <w:tcBorders>
              <w:left w:val="nil"/>
              <w:right w:val="nil"/>
            </w:tcBorders>
            <w:noWrap/>
            <w:vAlign w:val="center"/>
          </w:tcPr>
          <w:p w14:paraId="25007C42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40B2ADDF" w14:textId="77777777" w:rsidTr="00055D05">
        <w:trPr>
          <w:trHeight w:val="300"/>
          <w:jc w:val="center"/>
        </w:trPr>
        <w:tc>
          <w:tcPr>
            <w:tcW w:w="1317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3EA3D186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2DA9C484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j)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4E4D6B0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1.851,33 €</w:t>
            </w:r>
          </w:p>
        </w:tc>
        <w:tc>
          <w:tcPr>
            <w:tcW w:w="411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3A0D1CDE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24193EF3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7790C2FF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07959EDC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noWrap/>
            <w:vAlign w:val="center"/>
          </w:tcPr>
          <w:p w14:paraId="11FC18E5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X</w:t>
            </w:r>
          </w:p>
        </w:tc>
        <w:tc>
          <w:tcPr>
            <w:tcW w:w="1353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0F53BACC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1.676,03 €</w:t>
            </w:r>
          </w:p>
        </w:tc>
        <w:tc>
          <w:tcPr>
            <w:tcW w:w="426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1A31E107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64" w:type="dxa"/>
            <w:vMerge/>
            <w:tcBorders>
              <w:left w:val="nil"/>
              <w:right w:val="nil"/>
            </w:tcBorders>
            <w:noWrap/>
            <w:vAlign w:val="center"/>
          </w:tcPr>
          <w:p w14:paraId="069296DF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1B35C7F0" w14:textId="77777777" w:rsidTr="00055D05">
        <w:trPr>
          <w:trHeight w:val="300"/>
          <w:jc w:val="center"/>
        </w:trPr>
        <w:tc>
          <w:tcPr>
            <w:tcW w:w="1317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21C51B15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21ACAAA8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l)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81BA115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3.169,48 €</w:t>
            </w:r>
          </w:p>
        </w:tc>
        <w:tc>
          <w:tcPr>
            <w:tcW w:w="411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56FF895B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24454319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102BE429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7EDCB6B5" w14:textId="77777777" w:rsidR="00970EFB" w:rsidRPr="00B57F12" w:rsidDel="005E48B0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noWrap/>
            <w:vAlign w:val="center"/>
          </w:tcPr>
          <w:p w14:paraId="745A3855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44301B60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04970D84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64" w:type="dxa"/>
            <w:vMerge/>
            <w:tcBorders>
              <w:left w:val="nil"/>
              <w:right w:val="nil"/>
            </w:tcBorders>
            <w:noWrap/>
            <w:vAlign w:val="center"/>
          </w:tcPr>
          <w:p w14:paraId="31EE3A0D" w14:textId="77777777" w:rsidR="00970EFB" w:rsidRPr="00B57F12" w:rsidDel="005E48B0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4FF3414B" w14:textId="77777777" w:rsidTr="00C52DB5">
        <w:trPr>
          <w:trHeight w:val="300"/>
          <w:jc w:val="center"/>
        </w:trPr>
        <w:tc>
          <w:tcPr>
            <w:tcW w:w="1317" w:type="dxa"/>
            <w:vMerge/>
            <w:tcBorders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7943F30A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ECFB0F5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l)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40C47741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2.900,21 €</w:t>
            </w:r>
          </w:p>
        </w:tc>
        <w:tc>
          <w:tcPr>
            <w:tcW w:w="411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C1FC0B2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/>
            <w:tcBorders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79303C76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A8C65DD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vMerge/>
            <w:tcBorders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072CB7D0" w14:textId="77777777" w:rsidR="00970EFB" w:rsidRPr="00B57F12" w:rsidDel="005E48B0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99468F3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2D8B0992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9FAF0F8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64" w:type="dxa"/>
            <w:vMerge/>
            <w:tcBorders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3AFB2626" w14:textId="77777777" w:rsidR="00970EFB" w:rsidRPr="00B57F12" w:rsidDel="005E48B0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06AE0D66" w14:textId="77777777" w:rsidTr="00C52DB5">
        <w:trPr>
          <w:trHeight w:val="300"/>
          <w:jc w:val="center"/>
        </w:trPr>
        <w:tc>
          <w:tcPr>
            <w:tcW w:w="1317" w:type="dxa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421CAAA5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Türkiye</w:t>
            </w: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60CB51F5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31411EC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11" w:type="dxa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6400767B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43" w:type="dxa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00CE2E52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2.574,05 €</w:t>
            </w:r>
          </w:p>
        </w:tc>
        <w:tc>
          <w:tcPr>
            <w:tcW w:w="377" w:type="dxa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00D3A6E8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52B6BEB7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2.535,02 €</w:t>
            </w:r>
          </w:p>
        </w:tc>
        <w:tc>
          <w:tcPr>
            <w:tcW w:w="41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7BF4CCE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10F24FA8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AE6AB2F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X</w:t>
            </w:r>
          </w:p>
        </w:tc>
        <w:tc>
          <w:tcPr>
            <w:tcW w:w="126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0BC99AB1" w14:textId="77777777" w:rsidR="00970EFB" w:rsidRPr="00B57F12" w:rsidRDefault="002A771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454,22 €</w:t>
            </w:r>
          </w:p>
          <w:p w14:paraId="3E420B08" w14:textId="44023747" w:rsidR="002A771B" w:rsidRPr="00B57F12" w:rsidRDefault="002A771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  <w:t>2.914,00 €</w:t>
            </w:r>
          </w:p>
        </w:tc>
      </w:tr>
      <w:tr w:rsidR="00970EFB" w:rsidRPr="00B57F12" w14:paraId="1207A5CB" w14:textId="77777777" w:rsidTr="00055D05">
        <w:trPr>
          <w:trHeight w:val="300"/>
          <w:jc w:val="center"/>
        </w:trPr>
        <w:tc>
          <w:tcPr>
            <w:tcW w:w="1317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  <w:hideMark/>
          </w:tcPr>
          <w:p w14:paraId="5E44AD36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Uruguay</w:t>
            </w: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0BB5E270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h)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BBC92CA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3.893,03 €</w:t>
            </w:r>
          </w:p>
        </w:tc>
        <w:tc>
          <w:tcPr>
            <w:tcW w:w="411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6C5840BF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10B8D8C6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1E60E14C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05AFF163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noWrap/>
            <w:vAlign w:val="center"/>
          </w:tcPr>
          <w:p w14:paraId="49CC0F19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346C0B66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FFE0F50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X</w:t>
            </w:r>
          </w:p>
        </w:tc>
        <w:tc>
          <w:tcPr>
            <w:tcW w:w="1264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33D9090F" w14:textId="77777777" w:rsidR="00970EFB" w:rsidRPr="00B57F12" w:rsidRDefault="002A771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1.164,04 €</w:t>
            </w:r>
          </w:p>
          <w:p w14:paraId="409E3FF0" w14:textId="53010189" w:rsidR="002A771B" w:rsidRPr="00B57F12" w:rsidRDefault="002A771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EE0000"/>
                <w:sz w:val="18"/>
                <w:szCs w:val="18"/>
              </w:rPr>
              <w:t>3.162,00 €</w:t>
            </w:r>
          </w:p>
        </w:tc>
      </w:tr>
      <w:tr w:rsidR="00970EFB" w:rsidRPr="00B57F12" w14:paraId="0739649F" w14:textId="77777777" w:rsidTr="00055D05">
        <w:trPr>
          <w:trHeight w:val="300"/>
          <w:jc w:val="center"/>
        </w:trPr>
        <w:tc>
          <w:tcPr>
            <w:tcW w:w="1317" w:type="dxa"/>
            <w:vMerge/>
            <w:tcBorders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4A701AC9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49C07A25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l)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81AB135" w14:textId="77777777" w:rsidR="00970EFB" w:rsidRPr="00B57F12" w:rsidDel="005E48B0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4.547,41 €</w:t>
            </w:r>
          </w:p>
        </w:tc>
        <w:tc>
          <w:tcPr>
            <w:tcW w:w="411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330D414E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1E8F1B57" w14:textId="77777777" w:rsidR="00970EFB" w:rsidRPr="00B57F12" w:rsidDel="005E48B0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73188F73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10442D7C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8" w:space="0" w:color="auto"/>
              <w:right w:val="dotted" w:sz="4" w:space="0" w:color="auto"/>
            </w:tcBorders>
            <w:noWrap/>
            <w:vAlign w:val="center"/>
          </w:tcPr>
          <w:p w14:paraId="2291A785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48D45901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5676457" w14:textId="77777777" w:rsidR="00970EFB" w:rsidRPr="00B57F12" w:rsidDel="005E48B0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64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3A812370" w14:textId="77777777" w:rsidR="00970EFB" w:rsidRPr="00B57F12" w:rsidDel="005E48B0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1CAD05A5" w14:textId="77777777" w:rsidTr="00055D05">
        <w:trPr>
          <w:trHeight w:val="300"/>
          <w:jc w:val="center"/>
        </w:trPr>
        <w:tc>
          <w:tcPr>
            <w:tcW w:w="1317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3FD5CE93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Venezuela</w:t>
            </w: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0862BAB1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b)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EA0D13F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2.670,88 €</w:t>
            </w:r>
          </w:p>
        </w:tc>
        <w:tc>
          <w:tcPr>
            <w:tcW w:w="411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0A883987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2713A924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384C8D4A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X</w:t>
            </w:r>
          </w:p>
        </w:tc>
        <w:tc>
          <w:tcPr>
            <w:tcW w:w="1231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6BD52719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1.237,48 €</w:t>
            </w:r>
          </w:p>
        </w:tc>
        <w:tc>
          <w:tcPr>
            <w:tcW w:w="411" w:type="dxa"/>
            <w:vMerge w:val="restart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noWrap/>
            <w:vAlign w:val="center"/>
          </w:tcPr>
          <w:p w14:paraId="6B49D467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0A666A08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15FE7D11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64" w:type="dxa"/>
            <w:vMerge w:val="restart"/>
            <w:tcBorders>
              <w:top w:val="dotted" w:sz="4" w:space="0" w:color="auto"/>
              <w:left w:val="nil"/>
              <w:right w:val="nil"/>
            </w:tcBorders>
            <w:noWrap/>
            <w:vAlign w:val="center"/>
          </w:tcPr>
          <w:p w14:paraId="5F10A594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1721DF83" w14:textId="77777777" w:rsidTr="00055D05">
        <w:trPr>
          <w:trHeight w:val="300"/>
          <w:jc w:val="center"/>
        </w:trPr>
        <w:tc>
          <w:tcPr>
            <w:tcW w:w="1317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34BE4D7B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03AF268D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c)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166B1E8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3.455,47 €</w:t>
            </w:r>
          </w:p>
        </w:tc>
        <w:tc>
          <w:tcPr>
            <w:tcW w:w="411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0BC40473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79EB6A4B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5759BA21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284659A2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noWrap/>
            <w:vAlign w:val="center"/>
          </w:tcPr>
          <w:p w14:paraId="2DE966EE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6E1E9273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right w:val="dotted" w:sz="4" w:space="0" w:color="auto"/>
            </w:tcBorders>
            <w:noWrap/>
            <w:vAlign w:val="center"/>
          </w:tcPr>
          <w:p w14:paraId="25E52563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64" w:type="dxa"/>
            <w:vMerge/>
            <w:tcBorders>
              <w:top w:val="nil"/>
              <w:left w:val="nil"/>
              <w:right w:val="nil"/>
            </w:tcBorders>
            <w:noWrap/>
            <w:vAlign w:val="center"/>
          </w:tcPr>
          <w:p w14:paraId="62D8181C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6A1A4FC7" w14:textId="77777777" w:rsidTr="00055D05">
        <w:trPr>
          <w:trHeight w:val="300"/>
          <w:jc w:val="center"/>
        </w:trPr>
        <w:tc>
          <w:tcPr>
            <w:tcW w:w="1317" w:type="dxa"/>
            <w:vMerge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0988694E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513C781A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e)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7D86214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4.234,61 €</w:t>
            </w:r>
          </w:p>
        </w:tc>
        <w:tc>
          <w:tcPr>
            <w:tcW w:w="411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63374A91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5B348A72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09B0153A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432B156E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noWrap/>
            <w:vAlign w:val="center"/>
          </w:tcPr>
          <w:p w14:paraId="66E2021D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0777F49F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right w:val="dotted" w:sz="4" w:space="0" w:color="auto"/>
            </w:tcBorders>
            <w:noWrap/>
            <w:vAlign w:val="center"/>
          </w:tcPr>
          <w:p w14:paraId="1FF02253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64" w:type="dxa"/>
            <w:vMerge/>
            <w:tcBorders>
              <w:top w:val="nil"/>
              <w:left w:val="nil"/>
              <w:right w:val="nil"/>
            </w:tcBorders>
            <w:noWrap/>
            <w:vAlign w:val="center"/>
          </w:tcPr>
          <w:p w14:paraId="5A618438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1F6B67FF" w14:textId="77777777" w:rsidTr="00055D05">
        <w:trPr>
          <w:trHeight w:val="300"/>
          <w:jc w:val="center"/>
        </w:trPr>
        <w:tc>
          <w:tcPr>
            <w:tcW w:w="1317" w:type="dxa"/>
            <w:vMerge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0E7373AA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7E290996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g)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761AE9D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2.423,81 €</w:t>
            </w:r>
          </w:p>
        </w:tc>
        <w:tc>
          <w:tcPr>
            <w:tcW w:w="411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49747EE6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15350A6F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2EDE05BD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168EED18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noWrap/>
            <w:vAlign w:val="center"/>
          </w:tcPr>
          <w:p w14:paraId="042A6580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69848051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right w:val="dotted" w:sz="4" w:space="0" w:color="auto"/>
            </w:tcBorders>
            <w:noWrap/>
            <w:vAlign w:val="center"/>
          </w:tcPr>
          <w:p w14:paraId="1B3B92B2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64" w:type="dxa"/>
            <w:vMerge/>
            <w:tcBorders>
              <w:top w:val="nil"/>
              <w:left w:val="nil"/>
              <w:right w:val="nil"/>
            </w:tcBorders>
            <w:noWrap/>
            <w:vAlign w:val="center"/>
          </w:tcPr>
          <w:p w14:paraId="57778663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0C837ECF" w14:textId="77777777" w:rsidTr="00055D05">
        <w:trPr>
          <w:trHeight w:val="300"/>
          <w:jc w:val="center"/>
        </w:trPr>
        <w:tc>
          <w:tcPr>
            <w:tcW w:w="1317" w:type="dxa"/>
            <w:vMerge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768167EB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5D7C8ABF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h)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DE39C47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4.115,86 €</w:t>
            </w:r>
          </w:p>
        </w:tc>
        <w:tc>
          <w:tcPr>
            <w:tcW w:w="411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6FEF0FEE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414309E2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43DEF6A6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5BA90616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noWrap/>
            <w:vAlign w:val="center"/>
          </w:tcPr>
          <w:p w14:paraId="7E5B5447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10BD2347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right w:val="dotted" w:sz="4" w:space="0" w:color="auto"/>
            </w:tcBorders>
            <w:noWrap/>
            <w:vAlign w:val="center"/>
          </w:tcPr>
          <w:p w14:paraId="42FF1B75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64" w:type="dxa"/>
            <w:vMerge/>
            <w:tcBorders>
              <w:top w:val="nil"/>
              <w:left w:val="nil"/>
              <w:right w:val="nil"/>
            </w:tcBorders>
            <w:noWrap/>
            <w:vAlign w:val="center"/>
          </w:tcPr>
          <w:p w14:paraId="4FCD27FA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0263F1E2" w14:textId="77777777" w:rsidTr="00055D05">
        <w:trPr>
          <w:trHeight w:val="300"/>
          <w:jc w:val="center"/>
        </w:trPr>
        <w:tc>
          <w:tcPr>
            <w:tcW w:w="1317" w:type="dxa"/>
            <w:vMerge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2BA48EA3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6300C8F9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i)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02AD66B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3.916,50 €</w:t>
            </w:r>
          </w:p>
        </w:tc>
        <w:tc>
          <w:tcPr>
            <w:tcW w:w="411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7670982A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588A8688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5557F23C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29F4D80B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noWrap/>
            <w:vAlign w:val="center"/>
          </w:tcPr>
          <w:p w14:paraId="3110D538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vMerge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6DD09A29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right w:val="dotted" w:sz="4" w:space="0" w:color="auto"/>
            </w:tcBorders>
            <w:noWrap/>
            <w:vAlign w:val="center"/>
          </w:tcPr>
          <w:p w14:paraId="76B70868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64" w:type="dxa"/>
            <w:vMerge/>
            <w:tcBorders>
              <w:top w:val="nil"/>
              <w:left w:val="nil"/>
              <w:right w:val="nil"/>
            </w:tcBorders>
            <w:noWrap/>
            <w:vAlign w:val="center"/>
          </w:tcPr>
          <w:p w14:paraId="66CA852D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6C202A6C" w14:textId="77777777" w:rsidTr="00055D05">
        <w:trPr>
          <w:trHeight w:val="300"/>
          <w:jc w:val="center"/>
        </w:trPr>
        <w:tc>
          <w:tcPr>
            <w:tcW w:w="1317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4F43191B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5C270EE1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k)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172B80F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3.831,71 €</w:t>
            </w:r>
          </w:p>
        </w:tc>
        <w:tc>
          <w:tcPr>
            <w:tcW w:w="411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090C0DFD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2E816406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34E70E1A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1F14BFB5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8" w:space="0" w:color="auto"/>
              <w:right w:val="dotted" w:sz="4" w:space="0" w:color="auto"/>
            </w:tcBorders>
            <w:noWrap/>
            <w:vAlign w:val="center"/>
          </w:tcPr>
          <w:p w14:paraId="7A0B486F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1DE6C7AF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398733B4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64" w:type="dxa"/>
            <w:vMerge/>
            <w:tcBorders>
              <w:left w:val="nil"/>
              <w:right w:val="nil"/>
            </w:tcBorders>
            <w:noWrap/>
            <w:vAlign w:val="center"/>
          </w:tcPr>
          <w:p w14:paraId="12D763E6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217EB72F" w14:textId="77777777" w:rsidTr="00055D05">
        <w:trPr>
          <w:trHeight w:val="300"/>
          <w:jc w:val="center"/>
        </w:trPr>
        <w:tc>
          <w:tcPr>
            <w:tcW w:w="1317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29085018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3EF5810F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l)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B64FC35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4.526,96 €</w:t>
            </w:r>
          </w:p>
        </w:tc>
        <w:tc>
          <w:tcPr>
            <w:tcW w:w="411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1C2C5C57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6CDF3C69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4B1D7AEF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45020727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8" w:space="0" w:color="auto"/>
              <w:right w:val="dotted" w:sz="4" w:space="0" w:color="auto"/>
            </w:tcBorders>
            <w:noWrap/>
            <w:vAlign w:val="center"/>
          </w:tcPr>
          <w:p w14:paraId="79D94552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1F45590C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vMerge/>
            <w:tcBorders>
              <w:left w:val="nil"/>
              <w:right w:val="dotted" w:sz="4" w:space="0" w:color="auto"/>
            </w:tcBorders>
            <w:noWrap/>
            <w:vAlign w:val="center"/>
          </w:tcPr>
          <w:p w14:paraId="4275D762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64" w:type="dxa"/>
            <w:vMerge/>
            <w:tcBorders>
              <w:left w:val="nil"/>
              <w:right w:val="nil"/>
            </w:tcBorders>
            <w:noWrap/>
            <w:vAlign w:val="center"/>
          </w:tcPr>
          <w:p w14:paraId="3DD4A304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08534F7E" w14:textId="77777777" w:rsidTr="00055D05">
        <w:trPr>
          <w:trHeight w:val="300"/>
          <w:jc w:val="center"/>
        </w:trPr>
        <w:tc>
          <w:tcPr>
            <w:tcW w:w="13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463AAD" w14:textId="77777777" w:rsidR="00970EFB" w:rsidRPr="00B57F12" w:rsidRDefault="00970EFB" w:rsidP="00055D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14:paraId="4245C5F4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l)</w:t>
            </w:r>
          </w:p>
        </w:tc>
        <w:tc>
          <w:tcPr>
            <w:tcW w:w="1231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C809F2" w14:textId="77777777" w:rsidR="00970EFB" w:rsidRPr="00B57F12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  <w:r w:rsidRPr="00B57F12">
              <w:rPr>
                <w:rFonts w:ascii="Cambria" w:eastAsia="Times New Roman" w:hAnsi="Cambria" w:cs="Calibri"/>
                <w:color w:val="000000"/>
                <w:sz w:val="18"/>
              </w:rPr>
              <w:t>4.101,67 €</w:t>
            </w:r>
          </w:p>
        </w:tc>
        <w:tc>
          <w:tcPr>
            <w:tcW w:w="411" w:type="dxa"/>
            <w:vMerge/>
            <w:tcBorders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14:paraId="5A323665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1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5DA458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377" w:type="dxa"/>
            <w:vMerge/>
            <w:tcBorders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14:paraId="4A76B423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3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E97955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14:paraId="05E08AD3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3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3A6512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14:paraId="654421A7" w14:textId="77777777" w:rsidR="00970EFB" w:rsidRPr="00B57F12" w:rsidDel="00B3099B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</w:rPr>
            </w:pPr>
          </w:p>
        </w:tc>
        <w:tc>
          <w:tcPr>
            <w:tcW w:w="1264" w:type="dxa"/>
            <w:vMerge/>
            <w:tcBorders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1CBF3C4" w14:textId="77777777" w:rsidR="00970EFB" w:rsidRPr="00B57F12" w:rsidDel="00B3099B" w:rsidRDefault="00970EF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970EFB" w:rsidRPr="00B57F12" w14:paraId="2A7D0EE6" w14:textId="77777777" w:rsidTr="00055D05">
        <w:trPr>
          <w:trHeight w:val="300"/>
          <w:jc w:val="center"/>
        </w:trPr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1D4B78" w14:textId="77777777" w:rsidR="00970EFB" w:rsidRPr="00B57F12" w:rsidRDefault="00970EFB" w:rsidP="00055D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b/>
                <w:bCs/>
                <w:color w:val="000000"/>
                <w:sz w:val="18"/>
              </w:rPr>
              <w:t>Total</w:t>
            </w:r>
          </w:p>
        </w:tc>
        <w:tc>
          <w:tcPr>
            <w:tcW w:w="1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E5425B" w14:textId="2F77F918" w:rsidR="00970EFB" w:rsidRPr="00B57F12" w:rsidRDefault="00585C39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>244.832,98 €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2F6CDB" w14:textId="2C3F1760" w:rsidR="00970EFB" w:rsidRPr="00B57F12" w:rsidRDefault="00585C39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>12.682,32 €</w:t>
            </w:r>
          </w:p>
        </w:tc>
        <w:tc>
          <w:tcPr>
            <w:tcW w:w="16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6FF88E" w14:textId="6EF6CDE9" w:rsidR="00970EFB" w:rsidRPr="00B57F12" w:rsidRDefault="00585C39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>25.897,62 €</w:t>
            </w:r>
          </w:p>
        </w:tc>
        <w:tc>
          <w:tcPr>
            <w:tcW w:w="17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9F481C" w14:textId="04CF64C5" w:rsidR="00970EFB" w:rsidRPr="00B57F12" w:rsidRDefault="00585C39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>10.929,88 €</w:t>
            </w:r>
          </w:p>
        </w:tc>
        <w:tc>
          <w:tcPr>
            <w:tcW w:w="1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</w:tcPr>
          <w:p w14:paraId="681BE6F1" w14:textId="77777777" w:rsidR="002A771B" w:rsidRPr="00B57F12" w:rsidRDefault="002A771B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>21.526,75 €</w:t>
            </w:r>
          </w:p>
          <w:p w14:paraId="389E42FF" w14:textId="08D5D1A6" w:rsidR="00970EFB" w:rsidRPr="00B57F12" w:rsidRDefault="00E75E8D" w:rsidP="00055D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B57F12">
              <w:rPr>
                <w:rFonts w:ascii="Cambria" w:eastAsia="Times New Roman" w:hAnsi="Cambria" w:cs="Calibri"/>
                <w:b/>
                <w:bCs/>
                <w:color w:val="EE0000"/>
                <w:sz w:val="18"/>
                <w:szCs w:val="18"/>
              </w:rPr>
              <w:t>84.759,74 €</w:t>
            </w:r>
          </w:p>
        </w:tc>
      </w:tr>
    </w:tbl>
    <w:p w14:paraId="11B91FF5" w14:textId="77777777" w:rsidR="00970EFB" w:rsidRPr="00B57F12" w:rsidRDefault="00970EFB" w:rsidP="00970E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</w:rPr>
      </w:pPr>
    </w:p>
    <w:p w14:paraId="208A0C7B" w14:textId="77777777" w:rsidR="002A771B" w:rsidRPr="00B57F12" w:rsidRDefault="002A771B" w:rsidP="002A771B">
      <w:pPr>
        <w:pStyle w:val="ListParagraph"/>
        <w:numPr>
          <w:ilvl w:val="0"/>
          <w:numId w:val="11"/>
        </w:numPr>
        <w:spacing w:after="160" w:line="259" w:lineRule="auto"/>
        <w:rPr>
          <w:rFonts w:ascii="Cambria" w:hAnsi="Cambria"/>
          <w:i/>
          <w:iCs/>
          <w:sz w:val="18"/>
          <w:szCs w:val="18"/>
        </w:rPr>
      </w:pPr>
      <w:r w:rsidRPr="00B57F12">
        <w:rPr>
          <w:rFonts w:ascii="Cambria" w:hAnsi="Cambria"/>
          <w:i/>
          <w:iCs/>
          <w:sz w:val="18"/>
          <w:szCs w:val="18"/>
        </w:rPr>
        <w:t>Reunión del Grupo de trabajo sobre métodos de evaluación de stock (WGSAM)</w:t>
      </w:r>
    </w:p>
    <w:p w14:paraId="6B0D9DC7" w14:textId="77777777" w:rsidR="002A771B" w:rsidRPr="00B57F12" w:rsidRDefault="002A771B" w:rsidP="002A771B">
      <w:pPr>
        <w:pStyle w:val="ListParagraph"/>
        <w:numPr>
          <w:ilvl w:val="0"/>
          <w:numId w:val="11"/>
        </w:numPr>
        <w:spacing w:after="160" w:line="259" w:lineRule="auto"/>
        <w:rPr>
          <w:rFonts w:ascii="Cambria" w:hAnsi="Cambria"/>
          <w:i/>
          <w:iCs/>
          <w:sz w:val="18"/>
          <w:szCs w:val="18"/>
        </w:rPr>
      </w:pPr>
      <w:r w:rsidRPr="00B57F12">
        <w:rPr>
          <w:rFonts w:ascii="Cambria" w:hAnsi="Cambria"/>
          <w:i/>
          <w:iCs/>
          <w:sz w:val="18"/>
          <w:szCs w:val="18"/>
        </w:rPr>
        <w:t>Reunión de preparación de datos de marrajo dientuso</w:t>
      </w:r>
    </w:p>
    <w:p w14:paraId="046AC5FF" w14:textId="77777777" w:rsidR="002A771B" w:rsidRPr="00B57F12" w:rsidRDefault="002A771B" w:rsidP="002A771B">
      <w:pPr>
        <w:pStyle w:val="ListParagraph"/>
        <w:numPr>
          <w:ilvl w:val="0"/>
          <w:numId w:val="11"/>
        </w:numPr>
        <w:spacing w:after="160" w:line="259" w:lineRule="auto"/>
        <w:rPr>
          <w:rFonts w:ascii="Cambria" w:hAnsi="Cambria"/>
          <w:i/>
          <w:iCs/>
          <w:sz w:val="18"/>
          <w:szCs w:val="18"/>
        </w:rPr>
      </w:pPr>
      <w:r w:rsidRPr="00B57F12">
        <w:rPr>
          <w:rFonts w:ascii="Cambria" w:hAnsi="Cambria"/>
          <w:i/>
          <w:iCs/>
          <w:sz w:val="18"/>
          <w:szCs w:val="18"/>
        </w:rPr>
        <w:t>Reunión de preparación de datos de aguja blanca</w:t>
      </w:r>
    </w:p>
    <w:p w14:paraId="0F3A6DEE" w14:textId="77777777" w:rsidR="002A771B" w:rsidRPr="00B57F12" w:rsidRDefault="002A771B" w:rsidP="002A771B">
      <w:pPr>
        <w:pStyle w:val="ListParagraph"/>
        <w:numPr>
          <w:ilvl w:val="0"/>
          <w:numId w:val="11"/>
        </w:numPr>
        <w:spacing w:after="160" w:line="259" w:lineRule="auto"/>
        <w:rPr>
          <w:rFonts w:ascii="Cambria" w:hAnsi="Cambria"/>
          <w:i/>
          <w:iCs/>
          <w:sz w:val="18"/>
          <w:szCs w:val="18"/>
        </w:rPr>
      </w:pPr>
      <w:r w:rsidRPr="00B57F12">
        <w:rPr>
          <w:rFonts w:ascii="Cambria" w:hAnsi="Cambria"/>
          <w:i/>
          <w:iCs/>
          <w:sz w:val="18"/>
          <w:szCs w:val="18"/>
        </w:rPr>
        <w:t>Reunión intersesiones del Grupo de especies de atún rojo </w:t>
      </w:r>
    </w:p>
    <w:p w14:paraId="4F97EFF8" w14:textId="77777777" w:rsidR="002A771B" w:rsidRPr="00B57F12" w:rsidRDefault="002A771B" w:rsidP="002A771B">
      <w:pPr>
        <w:pStyle w:val="ListParagraph"/>
        <w:numPr>
          <w:ilvl w:val="0"/>
          <w:numId w:val="11"/>
        </w:numPr>
        <w:spacing w:after="160" w:line="259" w:lineRule="auto"/>
        <w:rPr>
          <w:rFonts w:ascii="Cambria" w:hAnsi="Cambria"/>
          <w:i/>
          <w:iCs/>
          <w:sz w:val="18"/>
          <w:szCs w:val="18"/>
        </w:rPr>
      </w:pPr>
      <w:r w:rsidRPr="00B57F12">
        <w:rPr>
          <w:rFonts w:ascii="Cambria" w:hAnsi="Cambria"/>
          <w:i/>
          <w:iCs/>
          <w:sz w:val="18"/>
          <w:szCs w:val="18"/>
        </w:rPr>
        <w:t>Reunión de preparación de datos de patudo</w:t>
      </w:r>
    </w:p>
    <w:p w14:paraId="12DDD2E4" w14:textId="77777777" w:rsidR="002A771B" w:rsidRPr="00B57F12" w:rsidRDefault="002A771B" w:rsidP="002A771B">
      <w:pPr>
        <w:pStyle w:val="ListParagraph"/>
        <w:numPr>
          <w:ilvl w:val="0"/>
          <w:numId w:val="11"/>
        </w:numPr>
        <w:spacing w:after="160" w:line="259" w:lineRule="auto"/>
        <w:rPr>
          <w:rFonts w:ascii="Cambria" w:hAnsi="Cambria"/>
          <w:i/>
          <w:iCs/>
          <w:sz w:val="18"/>
          <w:szCs w:val="18"/>
        </w:rPr>
      </w:pPr>
      <w:r w:rsidRPr="00B57F12">
        <w:rPr>
          <w:rFonts w:ascii="Cambria" w:hAnsi="Cambria"/>
          <w:i/>
          <w:iCs/>
          <w:sz w:val="18"/>
          <w:szCs w:val="18"/>
        </w:rPr>
        <w:t>Reunión intersesiones del Subcomité de ecosistemas y captura fortuita</w:t>
      </w:r>
    </w:p>
    <w:p w14:paraId="62F0277A" w14:textId="77777777" w:rsidR="002A771B" w:rsidRPr="00B57F12" w:rsidRDefault="002A771B" w:rsidP="002A771B">
      <w:pPr>
        <w:pStyle w:val="ListParagraph"/>
        <w:numPr>
          <w:ilvl w:val="0"/>
          <w:numId w:val="11"/>
        </w:numPr>
        <w:spacing w:after="160" w:line="259" w:lineRule="auto"/>
        <w:rPr>
          <w:rFonts w:ascii="Cambria" w:hAnsi="Cambria"/>
          <w:i/>
          <w:iCs/>
          <w:sz w:val="18"/>
          <w:szCs w:val="18"/>
        </w:rPr>
      </w:pPr>
      <w:r w:rsidRPr="00B57F12">
        <w:rPr>
          <w:rFonts w:ascii="Cambria" w:hAnsi="Cambria"/>
          <w:i/>
          <w:iCs/>
          <w:sz w:val="18"/>
          <w:szCs w:val="18"/>
        </w:rPr>
        <w:t>Reunión intersesiones del Grupo de especies de pequeños túnidos</w:t>
      </w:r>
    </w:p>
    <w:p w14:paraId="32276B6E" w14:textId="77777777" w:rsidR="002A771B" w:rsidRPr="00B57F12" w:rsidRDefault="002A771B" w:rsidP="002A771B">
      <w:pPr>
        <w:pStyle w:val="ListParagraph"/>
        <w:numPr>
          <w:ilvl w:val="0"/>
          <w:numId w:val="11"/>
        </w:numPr>
        <w:spacing w:after="160" w:line="259" w:lineRule="auto"/>
        <w:rPr>
          <w:rFonts w:ascii="Cambria" w:hAnsi="Cambria"/>
          <w:i/>
          <w:iCs/>
          <w:sz w:val="18"/>
          <w:szCs w:val="18"/>
        </w:rPr>
      </w:pPr>
      <w:r w:rsidRPr="00B57F12">
        <w:rPr>
          <w:rFonts w:ascii="Cambria" w:hAnsi="Cambria"/>
          <w:i/>
          <w:iCs/>
          <w:sz w:val="18"/>
          <w:szCs w:val="18"/>
        </w:rPr>
        <w:t>Reunión de evaluación de stock de marrajo dientuso</w:t>
      </w:r>
    </w:p>
    <w:p w14:paraId="2D513B52" w14:textId="77777777" w:rsidR="002A771B" w:rsidRPr="00B57F12" w:rsidRDefault="002A771B" w:rsidP="002A771B">
      <w:pPr>
        <w:pStyle w:val="ListParagraph"/>
        <w:numPr>
          <w:ilvl w:val="0"/>
          <w:numId w:val="11"/>
        </w:numPr>
        <w:spacing w:after="160" w:line="259" w:lineRule="auto"/>
        <w:rPr>
          <w:rFonts w:ascii="Cambria" w:hAnsi="Cambria"/>
          <w:i/>
          <w:iCs/>
          <w:sz w:val="18"/>
          <w:szCs w:val="18"/>
        </w:rPr>
      </w:pPr>
      <w:r w:rsidRPr="00B57F12">
        <w:rPr>
          <w:rFonts w:ascii="Cambria" w:hAnsi="Cambria"/>
          <w:i/>
          <w:iCs/>
          <w:sz w:val="18"/>
          <w:szCs w:val="18"/>
        </w:rPr>
        <w:t>Reunión de evaluación de stock de aguja blanca</w:t>
      </w:r>
    </w:p>
    <w:p w14:paraId="205D82E5" w14:textId="77777777" w:rsidR="002A771B" w:rsidRPr="00B57F12" w:rsidRDefault="002A771B" w:rsidP="002A771B">
      <w:pPr>
        <w:pStyle w:val="ListParagraph"/>
        <w:numPr>
          <w:ilvl w:val="0"/>
          <w:numId w:val="11"/>
        </w:numPr>
        <w:spacing w:after="160" w:line="259" w:lineRule="auto"/>
        <w:rPr>
          <w:rFonts w:ascii="Cambria" w:hAnsi="Cambria"/>
          <w:i/>
          <w:iCs/>
          <w:sz w:val="18"/>
          <w:szCs w:val="18"/>
        </w:rPr>
      </w:pPr>
      <w:r w:rsidRPr="00B57F12">
        <w:rPr>
          <w:rFonts w:ascii="Cambria" w:hAnsi="Cambria"/>
          <w:i/>
          <w:iCs/>
          <w:sz w:val="18"/>
          <w:szCs w:val="18"/>
        </w:rPr>
        <w:t>Reunión sobre el Plan estratégico para la ciencia del SCRS </w:t>
      </w:r>
    </w:p>
    <w:p w14:paraId="3E735752" w14:textId="77777777" w:rsidR="002A771B" w:rsidRPr="00B57F12" w:rsidRDefault="002A771B" w:rsidP="002A771B">
      <w:pPr>
        <w:pStyle w:val="ListParagraph"/>
        <w:numPr>
          <w:ilvl w:val="0"/>
          <w:numId w:val="11"/>
        </w:numPr>
        <w:spacing w:after="160" w:line="259" w:lineRule="auto"/>
        <w:rPr>
          <w:rFonts w:ascii="Cambria" w:hAnsi="Cambria"/>
          <w:i/>
          <w:iCs/>
          <w:sz w:val="18"/>
          <w:szCs w:val="18"/>
        </w:rPr>
      </w:pPr>
      <w:r w:rsidRPr="00B57F12">
        <w:rPr>
          <w:rFonts w:ascii="Cambria" w:hAnsi="Cambria"/>
          <w:i/>
          <w:iCs/>
          <w:sz w:val="18"/>
          <w:szCs w:val="18"/>
        </w:rPr>
        <w:t>Reunión de evaluación de stock de patudo</w:t>
      </w:r>
    </w:p>
    <w:p w14:paraId="69E9AD3E" w14:textId="77777777" w:rsidR="002A771B" w:rsidRPr="00B57F12" w:rsidRDefault="002A771B" w:rsidP="002A771B">
      <w:pPr>
        <w:pStyle w:val="ListParagraph"/>
        <w:numPr>
          <w:ilvl w:val="0"/>
          <w:numId w:val="11"/>
        </w:numPr>
        <w:spacing w:after="160" w:line="259" w:lineRule="auto"/>
        <w:rPr>
          <w:rFonts w:ascii="Cambria" w:hAnsi="Cambria"/>
          <w:i/>
          <w:iCs/>
          <w:sz w:val="18"/>
          <w:szCs w:val="18"/>
        </w:rPr>
      </w:pPr>
      <w:r w:rsidRPr="00B57F12">
        <w:rPr>
          <w:rFonts w:ascii="Cambria" w:hAnsi="Cambria"/>
          <w:i/>
          <w:iCs/>
          <w:sz w:val="18"/>
          <w:szCs w:val="18"/>
        </w:rPr>
        <w:t>Reuniones de los Grupos de especies del SCRS y/o sesiones plenarias del SCRS</w:t>
      </w:r>
    </w:p>
    <w:p w14:paraId="44A8162A" w14:textId="77777777" w:rsidR="002A771B" w:rsidRPr="00B57F12" w:rsidRDefault="002A771B" w:rsidP="002A771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/>
          <w:i/>
          <w:iCs/>
          <w:sz w:val="18"/>
          <w:szCs w:val="18"/>
        </w:rPr>
      </w:pPr>
      <w:r w:rsidRPr="00B57F12">
        <w:rPr>
          <w:rFonts w:ascii="Cambria" w:hAnsi="Cambria"/>
          <w:i/>
          <w:iCs/>
          <w:sz w:val="18"/>
          <w:szCs w:val="18"/>
        </w:rPr>
        <w:t>C: Viaje cancelado</w:t>
      </w:r>
    </w:p>
    <w:p w14:paraId="2FA90502" w14:textId="2F1614BA" w:rsidR="00356D0F" w:rsidRPr="00C52DB5" w:rsidRDefault="004B1FB9" w:rsidP="002A771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/>
          <w:i/>
          <w:iCs/>
          <w:color w:val="EE0000"/>
          <w:sz w:val="18"/>
          <w:szCs w:val="18"/>
        </w:rPr>
      </w:pPr>
      <w:r w:rsidRPr="00B57F12">
        <w:rPr>
          <w:rFonts w:ascii="Cambria" w:hAnsi="Cambria"/>
          <w:i/>
          <w:iCs/>
          <w:color w:val="EE0000"/>
          <w:sz w:val="18"/>
          <w:szCs w:val="18"/>
        </w:rPr>
        <w:t>Costes estimados pendientes a fecha 27 de octubre de 2025</w:t>
      </w:r>
    </w:p>
    <w:p w14:paraId="11EFB241" w14:textId="77777777" w:rsidR="002A771B" w:rsidRPr="00C52DB5" w:rsidRDefault="002A771B" w:rsidP="00C52DB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</w:rPr>
      </w:pPr>
    </w:p>
    <w:sectPr w:rsidR="002A771B" w:rsidRPr="00C52DB5" w:rsidSect="00C52DB5">
      <w:headerReference w:type="default" r:id="rId8"/>
      <w:pgSz w:w="11906" w:h="16838" w:code="9"/>
      <w:pgMar w:top="1418" w:right="1418" w:bottom="1134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E8A37" w14:textId="77777777" w:rsidR="00ED518A" w:rsidRDefault="00ED518A" w:rsidP="007C09E8">
      <w:pPr>
        <w:spacing w:after="0" w:line="240" w:lineRule="auto"/>
      </w:pPr>
      <w:r>
        <w:separator/>
      </w:r>
    </w:p>
  </w:endnote>
  <w:endnote w:type="continuationSeparator" w:id="0">
    <w:p w14:paraId="396F9B87" w14:textId="77777777" w:rsidR="00ED518A" w:rsidRDefault="00ED518A" w:rsidP="007C09E8">
      <w:pPr>
        <w:spacing w:after="0" w:line="240" w:lineRule="auto"/>
      </w:pPr>
      <w:r>
        <w:continuationSeparator/>
      </w:r>
    </w:p>
  </w:endnote>
  <w:endnote w:type="continuationNotice" w:id="1">
    <w:p w14:paraId="7FAB4442" w14:textId="77777777" w:rsidR="00ED518A" w:rsidRDefault="00ED51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7C830" w14:textId="77777777" w:rsidR="00ED518A" w:rsidRDefault="00ED518A" w:rsidP="007C09E8">
      <w:pPr>
        <w:spacing w:after="0" w:line="240" w:lineRule="auto"/>
      </w:pPr>
      <w:r>
        <w:separator/>
      </w:r>
    </w:p>
  </w:footnote>
  <w:footnote w:type="continuationSeparator" w:id="0">
    <w:p w14:paraId="0A2D320D" w14:textId="77777777" w:rsidR="00ED518A" w:rsidRDefault="00ED518A" w:rsidP="007C09E8">
      <w:pPr>
        <w:spacing w:after="0" w:line="240" w:lineRule="auto"/>
      </w:pPr>
      <w:r>
        <w:continuationSeparator/>
      </w:r>
    </w:p>
  </w:footnote>
  <w:footnote w:type="continuationNotice" w:id="1">
    <w:p w14:paraId="472312AC" w14:textId="77777777" w:rsidR="00ED518A" w:rsidRDefault="00ED518A">
      <w:pPr>
        <w:spacing w:after="0" w:line="240" w:lineRule="auto"/>
      </w:pPr>
    </w:p>
  </w:footnote>
  <w:footnote w:id="2">
    <w:p w14:paraId="5A1DD324" w14:textId="2F6B5DF4" w:rsidR="00C47765" w:rsidRPr="00CA364B" w:rsidRDefault="00C47765">
      <w:pPr>
        <w:pStyle w:val="FootnoteText"/>
        <w:rPr>
          <w:rFonts w:ascii="Cambria" w:hAnsi="Cambria" w:cs="Times New Roman"/>
          <w:sz w:val="18"/>
          <w:szCs w:val="18"/>
          <w:lang w:val="es-ES_tradnl"/>
        </w:rPr>
      </w:pPr>
      <w:r w:rsidRPr="00F333F1">
        <w:rPr>
          <w:rStyle w:val="FootnoteReference"/>
          <w:rFonts w:ascii="Cambria" w:hAnsi="Cambria" w:cs="Times New Roman"/>
          <w:sz w:val="18"/>
          <w:szCs w:val="18"/>
        </w:rPr>
        <w:footnoteRef/>
      </w:r>
      <w:r w:rsidRPr="00F333F1">
        <w:rPr>
          <w:rFonts w:ascii="Cambria" w:hAnsi="Cambria" w:cs="Times New Roman"/>
          <w:sz w:val="18"/>
          <w:szCs w:val="18"/>
        </w:rPr>
        <w:t xml:space="preserve"> </w:t>
      </w:r>
      <w:r w:rsidRPr="00F333F1">
        <w:rPr>
          <w:rFonts w:ascii="Cambria" w:hAnsi="Cambria" w:cs="Times New Roman"/>
          <w:sz w:val="18"/>
          <w:szCs w:val="18"/>
          <w:lang w:val="es-ES_tradnl"/>
        </w:rPr>
        <w:t xml:space="preserve">Datos referidos </w:t>
      </w:r>
      <w:r w:rsidRPr="00640751">
        <w:rPr>
          <w:rFonts w:ascii="Cambria" w:hAnsi="Cambria"/>
          <w:sz w:val="18"/>
          <w:lang w:val="es-ES_tradnl"/>
        </w:rPr>
        <w:t xml:space="preserve">a </w:t>
      </w:r>
      <w:r w:rsidR="00E75E8D">
        <w:rPr>
          <w:rFonts w:ascii="Cambria" w:hAnsi="Cambria"/>
          <w:sz w:val="18"/>
          <w:lang w:val="es-ES_tradnl"/>
        </w:rPr>
        <w:t>27 de octubre de 2025</w:t>
      </w:r>
      <w:r w:rsidRPr="00640751">
        <w:rPr>
          <w:rFonts w:ascii="Cambria" w:hAnsi="Cambria"/>
          <w:sz w:val="18"/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10777" w14:textId="2D588EAE" w:rsidR="00E75E8D" w:rsidRPr="00E75E8D" w:rsidRDefault="00E75E8D" w:rsidP="00E75E8D">
    <w:pPr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ascii="Cambria" w:eastAsia="Calibri" w:hAnsi="Cambria" w:cs="Times New Roman"/>
        <w:b/>
        <w:bCs/>
        <w:sz w:val="20"/>
        <w:szCs w:val="20"/>
        <w:lang w:val="en-US" w:eastAsia="en-US"/>
      </w:rPr>
    </w:pPr>
    <w:r w:rsidRPr="00E75E8D">
      <w:rPr>
        <w:rFonts w:ascii="Cambria" w:eastAsia="Times New Roman" w:hAnsi="Cambria" w:cs="Times New Roman"/>
        <w:b/>
        <w:bCs/>
        <w:sz w:val="20"/>
        <w:szCs w:val="20"/>
        <w:lang w:val="en-US" w:eastAsia="en-US"/>
      </w:rPr>
      <w:t>STF_20</w:t>
    </w:r>
    <w:r>
      <w:rPr>
        <w:rFonts w:ascii="Cambria" w:eastAsia="Times New Roman" w:hAnsi="Cambria" w:cs="Times New Roman"/>
        <w:b/>
        <w:bCs/>
        <w:sz w:val="20"/>
        <w:szCs w:val="20"/>
        <w:lang w:val="en-US" w:eastAsia="en-US"/>
      </w:rPr>
      <w:t>6</w:t>
    </w:r>
    <w:r w:rsidRPr="00E75E8D">
      <w:rPr>
        <w:rFonts w:ascii="Cambria" w:eastAsia="Times New Roman" w:hAnsi="Cambria" w:cs="Times New Roman"/>
        <w:b/>
        <w:bCs/>
        <w:sz w:val="20"/>
        <w:szCs w:val="20"/>
        <w:lang w:val="en-US" w:eastAsia="en-US"/>
      </w:rPr>
      <w:t>/2025</w:t>
    </w:r>
  </w:p>
  <w:p w14:paraId="3D2869A6" w14:textId="7E743A4F" w:rsidR="00E75E8D" w:rsidRPr="00E75E8D" w:rsidRDefault="00E75E8D" w:rsidP="00E75E8D">
    <w:pPr>
      <w:tabs>
        <w:tab w:val="left" w:pos="7320"/>
      </w:tabs>
      <w:spacing w:after="0" w:line="240" w:lineRule="exact"/>
      <w:jc w:val="right"/>
      <w:rPr>
        <w:rFonts w:ascii="Times New Roman" w:eastAsia="Times New Roman" w:hAnsi="Times New Roman" w:cs="Times New Roman"/>
        <w:sz w:val="20"/>
        <w:szCs w:val="24"/>
        <w:lang w:eastAsia="en-US"/>
      </w:rPr>
    </w:pPr>
    <w:r w:rsidRPr="00E75E8D">
      <w:rPr>
        <w:rFonts w:ascii="Cambria" w:eastAsia="Times New Roman" w:hAnsi="Cambria" w:cs="Times New Roman"/>
        <w:b/>
        <w:bCs/>
        <w:sz w:val="16"/>
        <w:szCs w:val="16"/>
        <w:lang w:eastAsia="en-US"/>
      </w:rPr>
      <w:fldChar w:fldCharType="begin"/>
    </w:r>
    <w:r w:rsidRPr="00E75E8D">
      <w:rPr>
        <w:rFonts w:ascii="Cambria" w:eastAsia="Times New Roman" w:hAnsi="Cambria" w:cs="Times New Roman"/>
        <w:b/>
        <w:bCs/>
        <w:sz w:val="16"/>
        <w:szCs w:val="16"/>
        <w:lang w:val="en-US" w:eastAsia="en-US"/>
      </w:rPr>
      <w:instrText xml:space="preserve"> TIME \@ "dd/MM/yyyy H:mm" </w:instrText>
    </w:r>
    <w:r w:rsidRPr="00E75E8D">
      <w:rPr>
        <w:rFonts w:ascii="Cambria" w:eastAsia="Times New Roman" w:hAnsi="Cambria" w:cs="Times New Roman"/>
        <w:b/>
        <w:bCs/>
        <w:sz w:val="16"/>
        <w:szCs w:val="16"/>
        <w:lang w:eastAsia="en-US"/>
      </w:rPr>
      <w:fldChar w:fldCharType="separate"/>
    </w:r>
    <w:r w:rsidR="00646F18">
      <w:rPr>
        <w:rFonts w:ascii="Cambria" w:eastAsia="Times New Roman" w:hAnsi="Cambria" w:cs="Times New Roman"/>
        <w:b/>
        <w:bCs/>
        <w:noProof/>
        <w:sz w:val="16"/>
        <w:szCs w:val="16"/>
        <w:lang w:val="en-US" w:eastAsia="en-US"/>
      </w:rPr>
      <w:t>13/11/2025 15:52</w:t>
    </w:r>
    <w:r w:rsidRPr="00E75E8D">
      <w:rPr>
        <w:rFonts w:ascii="Cambria" w:eastAsia="Times New Roman" w:hAnsi="Cambria" w:cs="Times New Roman"/>
        <w:b/>
        <w:bCs/>
        <w:sz w:val="16"/>
        <w:szCs w:val="16"/>
        <w:lang w:val="es-ES_tradnl" w:eastAsia="en-US"/>
      </w:rPr>
      <w:fldChar w:fldCharType="end"/>
    </w:r>
  </w:p>
  <w:p w14:paraId="02607ECA" w14:textId="77777777" w:rsidR="00E75E8D" w:rsidRPr="00E75E8D" w:rsidRDefault="00E75E8D" w:rsidP="00E75E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26F7D"/>
    <w:multiLevelType w:val="hybridMultilevel"/>
    <w:tmpl w:val="F580E9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5648F"/>
    <w:multiLevelType w:val="hybridMultilevel"/>
    <w:tmpl w:val="7C4C02D6"/>
    <w:lvl w:ilvl="0" w:tplc="0C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568224B"/>
    <w:multiLevelType w:val="hybridMultilevel"/>
    <w:tmpl w:val="1E82DA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C55C8"/>
    <w:multiLevelType w:val="hybridMultilevel"/>
    <w:tmpl w:val="F3742DE6"/>
    <w:lvl w:ilvl="0" w:tplc="F02C680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F7DC8"/>
    <w:multiLevelType w:val="hybridMultilevel"/>
    <w:tmpl w:val="C89E0B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00957"/>
    <w:multiLevelType w:val="hybridMultilevel"/>
    <w:tmpl w:val="041C05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B7A5E"/>
    <w:multiLevelType w:val="hybridMultilevel"/>
    <w:tmpl w:val="EC24D0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33727"/>
    <w:multiLevelType w:val="hybridMultilevel"/>
    <w:tmpl w:val="CC9624F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831CB"/>
    <w:multiLevelType w:val="hybridMultilevel"/>
    <w:tmpl w:val="7CC4E9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D139A"/>
    <w:multiLevelType w:val="hybridMultilevel"/>
    <w:tmpl w:val="7B9A4312"/>
    <w:lvl w:ilvl="0" w:tplc="DB9ED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965EF"/>
    <w:multiLevelType w:val="hybridMultilevel"/>
    <w:tmpl w:val="1952BD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116014">
    <w:abstractNumId w:val="10"/>
  </w:num>
  <w:num w:numId="2" w16cid:durableId="1696614624">
    <w:abstractNumId w:val="9"/>
  </w:num>
  <w:num w:numId="3" w16cid:durableId="1474710189">
    <w:abstractNumId w:val="6"/>
  </w:num>
  <w:num w:numId="4" w16cid:durableId="2020699175">
    <w:abstractNumId w:val="3"/>
  </w:num>
  <w:num w:numId="5" w16cid:durableId="2026902728">
    <w:abstractNumId w:val="4"/>
  </w:num>
  <w:num w:numId="6" w16cid:durableId="1210874773">
    <w:abstractNumId w:val="8"/>
  </w:num>
  <w:num w:numId="7" w16cid:durableId="415828608">
    <w:abstractNumId w:val="1"/>
  </w:num>
  <w:num w:numId="8" w16cid:durableId="143161445">
    <w:abstractNumId w:val="0"/>
  </w:num>
  <w:num w:numId="9" w16cid:durableId="867836639">
    <w:abstractNumId w:val="5"/>
  </w:num>
  <w:num w:numId="10" w16cid:durableId="1348286631">
    <w:abstractNumId w:val="2"/>
  </w:num>
  <w:num w:numId="11" w16cid:durableId="17513928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2B"/>
    <w:rsid w:val="00006B37"/>
    <w:rsid w:val="000105F9"/>
    <w:rsid w:val="000108AA"/>
    <w:rsid w:val="000118B5"/>
    <w:rsid w:val="00012F8E"/>
    <w:rsid w:val="000171FD"/>
    <w:rsid w:val="0002259C"/>
    <w:rsid w:val="00024950"/>
    <w:rsid w:val="00027367"/>
    <w:rsid w:val="00027FA0"/>
    <w:rsid w:val="0003256E"/>
    <w:rsid w:val="00034E3A"/>
    <w:rsid w:val="00037AB0"/>
    <w:rsid w:val="00040378"/>
    <w:rsid w:val="00050FC7"/>
    <w:rsid w:val="00054089"/>
    <w:rsid w:val="00056D0F"/>
    <w:rsid w:val="00057DFC"/>
    <w:rsid w:val="0006109A"/>
    <w:rsid w:val="000650C5"/>
    <w:rsid w:val="000660F7"/>
    <w:rsid w:val="0006706F"/>
    <w:rsid w:val="000709C6"/>
    <w:rsid w:val="00070CAE"/>
    <w:rsid w:val="00072089"/>
    <w:rsid w:val="0007585C"/>
    <w:rsid w:val="000772DF"/>
    <w:rsid w:val="00080667"/>
    <w:rsid w:val="000811A7"/>
    <w:rsid w:val="00081568"/>
    <w:rsid w:val="00082C71"/>
    <w:rsid w:val="00087AC1"/>
    <w:rsid w:val="000907C3"/>
    <w:rsid w:val="000A1C06"/>
    <w:rsid w:val="000A7A79"/>
    <w:rsid w:val="000B04FB"/>
    <w:rsid w:val="000B1D8C"/>
    <w:rsid w:val="000B2841"/>
    <w:rsid w:val="000B3081"/>
    <w:rsid w:val="000B4E58"/>
    <w:rsid w:val="000B6C8C"/>
    <w:rsid w:val="000C47D7"/>
    <w:rsid w:val="000C5501"/>
    <w:rsid w:val="000D0243"/>
    <w:rsid w:val="000D3DEF"/>
    <w:rsid w:val="000E178A"/>
    <w:rsid w:val="000E5351"/>
    <w:rsid w:val="000F3052"/>
    <w:rsid w:val="000F3F24"/>
    <w:rsid w:val="000F54E5"/>
    <w:rsid w:val="00100A96"/>
    <w:rsid w:val="00102C75"/>
    <w:rsid w:val="00105ABD"/>
    <w:rsid w:val="00107411"/>
    <w:rsid w:val="00110BEE"/>
    <w:rsid w:val="001128B0"/>
    <w:rsid w:val="0011292A"/>
    <w:rsid w:val="00115E88"/>
    <w:rsid w:val="00116FDB"/>
    <w:rsid w:val="00123895"/>
    <w:rsid w:val="00134456"/>
    <w:rsid w:val="001344E3"/>
    <w:rsid w:val="00136D8E"/>
    <w:rsid w:val="0014188E"/>
    <w:rsid w:val="00142333"/>
    <w:rsid w:val="00143369"/>
    <w:rsid w:val="0014417F"/>
    <w:rsid w:val="00144A76"/>
    <w:rsid w:val="00147CF8"/>
    <w:rsid w:val="001502EA"/>
    <w:rsid w:val="0015422E"/>
    <w:rsid w:val="0015433F"/>
    <w:rsid w:val="00154BBF"/>
    <w:rsid w:val="00154EB6"/>
    <w:rsid w:val="00160B06"/>
    <w:rsid w:val="001620DF"/>
    <w:rsid w:val="0017217F"/>
    <w:rsid w:val="00180755"/>
    <w:rsid w:val="00181A1B"/>
    <w:rsid w:val="00182542"/>
    <w:rsid w:val="00187CD6"/>
    <w:rsid w:val="00192E8A"/>
    <w:rsid w:val="001A4F34"/>
    <w:rsid w:val="001A5B52"/>
    <w:rsid w:val="001A79FC"/>
    <w:rsid w:val="001B0760"/>
    <w:rsid w:val="001B0B71"/>
    <w:rsid w:val="001B6F39"/>
    <w:rsid w:val="001B78DF"/>
    <w:rsid w:val="001B7BE8"/>
    <w:rsid w:val="001C010E"/>
    <w:rsid w:val="001C036F"/>
    <w:rsid w:val="001C2A2A"/>
    <w:rsid w:val="001C5229"/>
    <w:rsid w:val="001C7219"/>
    <w:rsid w:val="001C7281"/>
    <w:rsid w:val="001D0C71"/>
    <w:rsid w:val="001D1799"/>
    <w:rsid w:val="001D2090"/>
    <w:rsid w:val="001D283D"/>
    <w:rsid w:val="001D4565"/>
    <w:rsid w:val="001E6839"/>
    <w:rsid w:val="001E6B29"/>
    <w:rsid w:val="001E6E12"/>
    <w:rsid w:val="001F0235"/>
    <w:rsid w:val="001F24D6"/>
    <w:rsid w:val="001F65DB"/>
    <w:rsid w:val="00200D04"/>
    <w:rsid w:val="00206FC0"/>
    <w:rsid w:val="002121EE"/>
    <w:rsid w:val="002179E3"/>
    <w:rsid w:val="002220C9"/>
    <w:rsid w:val="0023120B"/>
    <w:rsid w:val="002458FE"/>
    <w:rsid w:val="00250F9E"/>
    <w:rsid w:val="00253631"/>
    <w:rsid w:val="00255477"/>
    <w:rsid w:val="00261650"/>
    <w:rsid w:val="00262A28"/>
    <w:rsid w:val="002642A4"/>
    <w:rsid w:val="00267024"/>
    <w:rsid w:val="00267D1E"/>
    <w:rsid w:val="00270359"/>
    <w:rsid w:val="00271BDB"/>
    <w:rsid w:val="00273BEF"/>
    <w:rsid w:val="00273E15"/>
    <w:rsid w:val="00274A4A"/>
    <w:rsid w:val="002762AA"/>
    <w:rsid w:val="00281114"/>
    <w:rsid w:val="00281115"/>
    <w:rsid w:val="00281909"/>
    <w:rsid w:val="00281F97"/>
    <w:rsid w:val="002829F4"/>
    <w:rsid w:val="00282F18"/>
    <w:rsid w:val="0028492C"/>
    <w:rsid w:val="0028709E"/>
    <w:rsid w:val="002922AA"/>
    <w:rsid w:val="00293798"/>
    <w:rsid w:val="00293D79"/>
    <w:rsid w:val="0029494D"/>
    <w:rsid w:val="002A1C0E"/>
    <w:rsid w:val="002A2012"/>
    <w:rsid w:val="002A771B"/>
    <w:rsid w:val="002A77DB"/>
    <w:rsid w:val="002B3AC7"/>
    <w:rsid w:val="002B5FB4"/>
    <w:rsid w:val="002B755A"/>
    <w:rsid w:val="002C1D9A"/>
    <w:rsid w:val="002C383E"/>
    <w:rsid w:val="002C48F7"/>
    <w:rsid w:val="002D0436"/>
    <w:rsid w:val="002D13CF"/>
    <w:rsid w:val="002D2AB0"/>
    <w:rsid w:val="002D4621"/>
    <w:rsid w:val="002D5972"/>
    <w:rsid w:val="002D69F0"/>
    <w:rsid w:val="002E06FB"/>
    <w:rsid w:val="002E66BA"/>
    <w:rsid w:val="002E70C8"/>
    <w:rsid w:val="002E7197"/>
    <w:rsid w:val="002F0E44"/>
    <w:rsid w:val="002F2141"/>
    <w:rsid w:val="002F4BED"/>
    <w:rsid w:val="002F4E3B"/>
    <w:rsid w:val="002F5A7D"/>
    <w:rsid w:val="002F789A"/>
    <w:rsid w:val="003013AF"/>
    <w:rsid w:val="0030157C"/>
    <w:rsid w:val="003038E4"/>
    <w:rsid w:val="0030453E"/>
    <w:rsid w:val="00315F27"/>
    <w:rsid w:val="00316E14"/>
    <w:rsid w:val="00324361"/>
    <w:rsid w:val="00326404"/>
    <w:rsid w:val="003276BD"/>
    <w:rsid w:val="00330D01"/>
    <w:rsid w:val="003322EE"/>
    <w:rsid w:val="00337239"/>
    <w:rsid w:val="00340AA7"/>
    <w:rsid w:val="003415E4"/>
    <w:rsid w:val="0034272B"/>
    <w:rsid w:val="00346B5F"/>
    <w:rsid w:val="003504B1"/>
    <w:rsid w:val="00350EC7"/>
    <w:rsid w:val="0035327C"/>
    <w:rsid w:val="00354B09"/>
    <w:rsid w:val="003557AF"/>
    <w:rsid w:val="00356D0F"/>
    <w:rsid w:val="00357E77"/>
    <w:rsid w:val="00361EBC"/>
    <w:rsid w:val="003622C5"/>
    <w:rsid w:val="00363047"/>
    <w:rsid w:val="003632D3"/>
    <w:rsid w:val="003636FA"/>
    <w:rsid w:val="0036488A"/>
    <w:rsid w:val="00365C67"/>
    <w:rsid w:val="00367649"/>
    <w:rsid w:val="00373D60"/>
    <w:rsid w:val="003745C3"/>
    <w:rsid w:val="00374A92"/>
    <w:rsid w:val="00375923"/>
    <w:rsid w:val="003868FE"/>
    <w:rsid w:val="00393961"/>
    <w:rsid w:val="00394256"/>
    <w:rsid w:val="00395628"/>
    <w:rsid w:val="00397B41"/>
    <w:rsid w:val="003A4CFF"/>
    <w:rsid w:val="003A5BFD"/>
    <w:rsid w:val="003B0C87"/>
    <w:rsid w:val="003B1DF8"/>
    <w:rsid w:val="003B2CAC"/>
    <w:rsid w:val="003B7250"/>
    <w:rsid w:val="003C20DC"/>
    <w:rsid w:val="003C2C3B"/>
    <w:rsid w:val="003C3157"/>
    <w:rsid w:val="003C3B62"/>
    <w:rsid w:val="003C4EDD"/>
    <w:rsid w:val="003C5E95"/>
    <w:rsid w:val="003C7469"/>
    <w:rsid w:val="003D0248"/>
    <w:rsid w:val="003E0F1C"/>
    <w:rsid w:val="003E3E15"/>
    <w:rsid w:val="003E5750"/>
    <w:rsid w:val="003E7EBD"/>
    <w:rsid w:val="003F239C"/>
    <w:rsid w:val="003F2686"/>
    <w:rsid w:val="003F4C43"/>
    <w:rsid w:val="003F692E"/>
    <w:rsid w:val="00403A40"/>
    <w:rsid w:val="00410A7B"/>
    <w:rsid w:val="004113ED"/>
    <w:rsid w:val="00411634"/>
    <w:rsid w:val="004238AC"/>
    <w:rsid w:val="00423E92"/>
    <w:rsid w:val="00424649"/>
    <w:rsid w:val="00425023"/>
    <w:rsid w:val="00436633"/>
    <w:rsid w:val="00436EAF"/>
    <w:rsid w:val="0044279D"/>
    <w:rsid w:val="00443EED"/>
    <w:rsid w:val="0045266D"/>
    <w:rsid w:val="00453FB2"/>
    <w:rsid w:val="00454071"/>
    <w:rsid w:val="004561AC"/>
    <w:rsid w:val="00456B33"/>
    <w:rsid w:val="0046137F"/>
    <w:rsid w:val="00461C53"/>
    <w:rsid w:val="0047329A"/>
    <w:rsid w:val="004737F4"/>
    <w:rsid w:val="00480DDC"/>
    <w:rsid w:val="00482CF1"/>
    <w:rsid w:val="004845B4"/>
    <w:rsid w:val="00484B61"/>
    <w:rsid w:val="00487B80"/>
    <w:rsid w:val="00487CC2"/>
    <w:rsid w:val="00491985"/>
    <w:rsid w:val="00494A80"/>
    <w:rsid w:val="00497701"/>
    <w:rsid w:val="004A1E4A"/>
    <w:rsid w:val="004A77BC"/>
    <w:rsid w:val="004B1FB9"/>
    <w:rsid w:val="004B41EA"/>
    <w:rsid w:val="004B4F37"/>
    <w:rsid w:val="004C0755"/>
    <w:rsid w:val="004D3665"/>
    <w:rsid w:val="004D7A71"/>
    <w:rsid w:val="004E0B08"/>
    <w:rsid w:val="004E35B4"/>
    <w:rsid w:val="004E6A8F"/>
    <w:rsid w:val="004E6EA3"/>
    <w:rsid w:val="004F02FC"/>
    <w:rsid w:val="004F7C14"/>
    <w:rsid w:val="004F7D47"/>
    <w:rsid w:val="00504AEC"/>
    <w:rsid w:val="00504B9B"/>
    <w:rsid w:val="00505572"/>
    <w:rsid w:val="00511529"/>
    <w:rsid w:val="00511AB7"/>
    <w:rsid w:val="00512CAB"/>
    <w:rsid w:val="00513481"/>
    <w:rsid w:val="005178B1"/>
    <w:rsid w:val="00521A8D"/>
    <w:rsid w:val="00521BE6"/>
    <w:rsid w:val="00522C20"/>
    <w:rsid w:val="00523745"/>
    <w:rsid w:val="0053053B"/>
    <w:rsid w:val="00531C8A"/>
    <w:rsid w:val="0053601A"/>
    <w:rsid w:val="00537EE0"/>
    <w:rsid w:val="0054146F"/>
    <w:rsid w:val="00542D35"/>
    <w:rsid w:val="00544B0F"/>
    <w:rsid w:val="00551989"/>
    <w:rsid w:val="00554BF4"/>
    <w:rsid w:val="00555E21"/>
    <w:rsid w:val="005603C4"/>
    <w:rsid w:val="005632B9"/>
    <w:rsid w:val="00563AA4"/>
    <w:rsid w:val="0056434C"/>
    <w:rsid w:val="00570B9F"/>
    <w:rsid w:val="00574154"/>
    <w:rsid w:val="00577860"/>
    <w:rsid w:val="0058005E"/>
    <w:rsid w:val="0058109A"/>
    <w:rsid w:val="00581523"/>
    <w:rsid w:val="005820B7"/>
    <w:rsid w:val="00585C39"/>
    <w:rsid w:val="00592D5E"/>
    <w:rsid w:val="00593651"/>
    <w:rsid w:val="005946CD"/>
    <w:rsid w:val="005A0BA2"/>
    <w:rsid w:val="005A449A"/>
    <w:rsid w:val="005A7721"/>
    <w:rsid w:val="005A7FF6"/>
    <w:rsid w:val="005B1573"/>
    <w:rsid w:val="005B2203"/>
    <w:rsid w:val="005B261C"/>
    <w:rsid w:val="005B2D38"/>
    <w:rsid w:val="005B4EBA"/>
    <w:rsid w:val="005B4FDC"/>
    <w:rsid w:val="005B5F44"/>
    <w:rsid w:val="005C22E9"/>
    <w:rsid w:val="005C3CB7"/>
    <w:rsid w:val="005C70A7"/>
    <w:rsid w:val="005C7456"/>
    <w:rsid w:val="005D2356"/>
    <w:rsid w:val="005D260F"/>
    <w:rsid w:val="005D3DB6"/>
    <w:rsid w:val="005D7F09"/>
    <w:rsid w:val="005E0CE6"/>
    <w:rsid w:val="005E4502"/>
    <w:rsid w:val="005E48B0"/>
    <w:rsid w:val="005E4F69"/>
    <w:rsid w:val="005F1A78"/>
    <w:rsid w:val="005F20C0"/>
    <w:rsid w:val="005F3924"/>
    <w:rsid w:val="005F4009"/>
    <w:rsid w:val="005F692D"/>
    <w:rsid w:val="00600B9A"/>
    <w:rsid w:val="00601B70"/>
    <w:rsid w:val="00602A6D"/>
    <w:rsid w:val="00603F4C"/>
    <w:rsid w:val="006043D1"/>
    <w:rsid w:val="006067DA"/>
    <w:rsid w:val="00611517"/>
    <w:rsid w:val="00612903"/>
    <w:rsid w:val="006172C6"/>
    <w:rsid w:val="006219E6"/>
    <w:rsid w:val="00621C0F"/>
    <w:rsid w:val="00622E50"/>
    <w:rsid w:val="00624504"/>
    <w:rsid w:val="00626056"/>
    <w:rsid w:val="00631C54"/>
    <w:rsid w:val="006346D1"/>
    <w:rsid w:val="00636010"/>
    <w:rsid w:val="00640751"/>
    <w:rsid w:val="00641808"/>
    <w:rsid w:val="006424E5"/>
    <w:rsid w:val="00643007"/>
    <w:rsid w:val="00644D6C"/>
    <w:rsid w:val="00646F18"/>
    <w:rsid w:val="0064701F"/>
    <w:rsid w:val="00647E3E"/>
    <w:rsid w:val="00656D0C"/>
    <w:rsid w:val="006573BD"/>
    <w:rsid w:val="0066091C"/>
    <w:rsid w:val="006609F7"/>
    <w:rsid w:val="00661F5B"/>
    <w:rsid w:val="00662A89"/>
    <w:rsid w:val="00662DE2"/>
    <w:rsid w:val="00663EA8"/>
    <w:rsid w:val="0067516B"/>
    <w:rsid w:val="00675906"/>
    <w:rsid w:val="006778C4"/>
    <w:rsid w:val="0068255F"/>
    <w:rsid w:val="00683816"/>
    <w:rsid w:val="00684305"/>
    <w:rsid w:val="00684BA7"/>
    <w:rsid w:val="00686DD1"/>
    <w:rsid w:val="0069031D"/>
    <w:rsid w:val="0069622F"/>
    <w:rsid w:val="006A093B"/>
    <w:rsid w:val="006A1672"/>
    <w:rsid w:val="006A2986"/>
    <w:rsid w:val="006A397A"/>
    <w:rsid w:val="006A5F87"/>
    <w:rsid w:val="006A6145"/>
    <w:rsid w:val="006A7BFA"/>
    <w:rsid w:val="006B31D3"/>
    <w:rsid w:val="006B74C9"/>
    <w:rsid w:val="006C2786"/>
    <w:rsid w:val="006C2C89"/>
    <w:rsid w:val="006C3F33"/>
    <w:rsid w:val="006C629E"/>
    <w:rsid w:val="006C7EE5"/>
    <w:rsid w:val="006D2C12"/>
    <w:rsid w:val="006D6ACB"/>
    <w:rsid w:val="006E0E73"/>
    <w:rsid w:val="006E306A"/>
    <w:rsid w:val="006E6602"/>
    <w:rsid w:val="006F25D2"/>
    <w:rsid w:val="006F4C64"/>
    <w:rsid w:val="006F7EB7"/>
    <w:rsid w:val="007003F2"/>
    <w:rsid w:val="00700E64"/>
    <w:rsid w:val="007017E5"/>
    <w:rsid w:val="00701FB1"/>
    <w:rsid w:val="007034CE"/>
    <w:rsid w:val="00704462"/>
    <w:rsid w:val="00704FC2"/>
    <w:rsid w:val="00710089"/>
    <w:rsid w:val="007148F5"/>
    <w:rsid w:val="00714F6B"/>
    <w:rsid w:val="0071671F"/>
    <w:rsid w:val="00721C0E"/>
    <w:rsid w:val="00724B2F"/>
    <w:rsid w:val="007318A4"/>
    <w:rsid w:val="00733B41"/>
    <w:rsid w:val="00734101"/>
    <w:rsid w:val="00734CDF"/>
    <w:rsid w:val="007365D2"/>
    <w:rsid w:val="0073702B"/>
    <w:rsid w:val="00741195"/>
    <w:rsid w:val="00741796"/>
    <w:rsid w:val="007452FF"/>
    <w:rsid w:val="00745D81"/>
    <w:rsid w:val="00746709"/>
    <w:rsid w:val="007547A1"/>
    <w:rsid w:val="007559D4"/>
    <w:rsid w:val="00755AD2"/>
    <w:rsid w:val="00756B4B"/>
    <w:rsid w:val="00766D1C"/>
    <w:rsid w:val="00767868"/>
    <w:rsid w:val="00767AE3"/>
    <w:rsid w:val="00777CCA"/>
    <w:rsid w:val="0078510D"/>
    <w:rsid w:val="00787524"/>
    <w:rsid w:val="00787DDB"/>
    <w:rsid w:val="0079223E"/>
    <w:rsid w:val="00794B2A"/>
    <w:rsid w:val="007A298C"/>
    <w:rsid w:val="007A3581"/>
    <w:rsid w:val="007A5959"/>
    <w:rsid w:val="007A5B17"/>
    <w:rsid w:val="007A5C09"/>
    <w:rsid w:val="007B1397"/>
    <w:rsid w:val="007B218F"/>
    <w:rsid w:val="007B2196"/>
    <w:rsid w:val="007B2D35"/>
    <w:rsid w:val="007B59D5"/>
    <w:rsid w:val="007C09E8"/>
    <w:rsid w:val="007C1B6F"/>
    <w:rsid w:val="007C239A"/>
    <w:rsid w:val="007D04E8"/>
    <w:rsid w:val="007D07B3"/>
    <w:rsid w:val="007D5C3E"/>
    <w:rsid w:val="007E0E24"/>
    <w:rsid w:val="007E3997"/>
    <w:rsid w:val="007E3AD4"/>
    <w:rsid w:val="007E3D12"/>
    <w:rsid w:val="007E5836"/>
    <w:rsid w:val="007E645A"/>
    <w:rsid w:val="007F3BDD"/>
    <w:rsid w:val="007F594F"/>
    <w:rsid w:val="007F62E7"/>
    <w:rsid w:val="007F6311"/>
    <w:rsid w:val="00800BD8"/>
    <w:rsid w:val="00801593"/>
    <w:rsid w:val="00802DCB"/>
    <w:rsid w:val="00807A91"/>
    <w:rsid w:val="008116EF"/>
    <w:rsid w:val="00813AC8"/>
    <w:rsid w:val="00813D7F"/>
    <w:rsid w:val="00814209"/>
    <w:rsid w:val="00822396"/>
    <w:rsid w:val="008232D4"/>
    <w:rsid w:val="00823D48"/>
    <w:rsid w:val="008265F4"/>
    <w:rsid w:val="008353CE"/>
    <w:rsid w:val="00835733"/>
    <w:rsid w:val="00841104"/>
    <w:rsid w:val="00844C57"/>
    <w:rsid w:val="00844F9D"/>
    <w:rsid w:val="008456C5"/>
    <w:rsid w:val="00846C61"/>
    <w:rsid w:val="00854228"/>
    <w:rsid w:val="008550F7"/>
    <w:rsid w:val="0085559A"/>
    <w:rsid w:val="0085587C"/>
    <w:rsid w:val="00857A97"/>
    <w:rsid w:val="0086071D"/>
    <w:rsid w:val="0086247A"/>
    <w:rsid w:val="00867ECB"/>
    <w:rsid w:val="008717D2"/>
    <w:rsid w:val="00872BC8"/>
    <w:rsid w:val="0087311C"/>
    <w:rsid w:val="00873728"/>
    <w:rsid w:val="00881BC7"/>
    <w:rsid w:val="00882C42"/>
    <w:rsid w:val="00885F1B"/>
    <w:rsid w:val="00890F85"/>
    <w:rsid w:val="00891F55"/>
    <w:rsid w:val="008A6D24"/>
    <w:rsid w:val="008B515A"/>
    <w:rsid w:val="008B573F"/>
    <w:rsid w:val="008B5EF3"/>
    <w:rsid w:val="008B6F00"/>
    <w:rsid w:val="008B72CC"/>
    <w:rsid w:val="008C0479"/>
    <w:rsid w:val="008C4BBD"/>
    <w:rsid w:val="008C54F2"/>
    <w:rsid w:val="008D13F2"/>
    <w:rsid w:val="008D186D"/>
    <w:rsid w:val="008D68D1"/>
    <w:rsid w:val="008D7AD9"/>
    <w:rsid w:val="008E4EE0"/>
    <w:rsid w:val="008E6EC6"/>
    <w:rsid w:val="008F1BA0"/>
    <w:rsid w:val="008F23F4"/>
    <w:rsid w:val="008F2B7A"/>
    <w:rsid w:val="008F34D3"/>
    <w:rsid w:val="00902232"/>
    <w:rsid w:val="00903258"/>
    <w:rsid w:val="00905C76"/>
    <w:rsid w:val="009060E7"/>
    <w:rsid w:val="009070D3"/>
    <w:rsid w:val="00911844"/>
    <w:rsid w:val="009133C3"/>
    <w:rsid w:val="00915EDF"/>
    <w:rsid w:val="00917747"/>
    <w:rsid w:val="009216F7"/>
    <w:rsid w:val="00921D33"/>
    <w:rsid w:val="009238D5"/>
    <w:rsid w:val="00923CF7"/>
    <w:rsid w:val="00923E0E"/>
    <w:rsid w:val="00931AAE"/>
    <w:rsid w:val="00931C7E"/>
    <w:rsid w:val="009366ED"/>
    <w:rsid w:val="00937A0C"/>
    <w:rsid w:val="009478B5"/>
    <w:rsid w:val="009519D0"/>
    <w:rsid w:val="009601F0"/>
    <w:rsid w:val="0096057A"/>
    <w:rsid w:val="00961621"/>
    <w:rsid w:val="009632A5"/>
    <w:rsid w:val="00967412"/>
    <w:rsid w:val="00970EFB"/>
    <w:rsid w:val="00981C67"/>
    <w:rsid w:val="0098223F"/>
    <w:rsid w:val="00983183"/>
    <w:rsid w:val="00983645"/>
    <w:rsid w:val="009875E9"/>
    <w:rsid w:val="00990736"/>
    <w:rsid w:val="0099116B"/>
    <w:rsid w:val="00991324"/>
    <w:rsid w:val="00991389"/>
    <w:rsid w:val="009914A9"/>
    <w:rsid w:val="009A49A3"/>
    <w:rsid w:val="009B03A4"/>
    <w:rsid w:val="009B1438"/>
    <w:rsid w:val="009B5D22"/>
    <w:rsid w:val="009B61D4"/>
    <w:rsid w:val="009B754A"/>
    <w:rsid w:val="009C24EF"/>
    <w:rsid w:val="009C34E0"/>
    <w:rsid w:val="009C6156"/>
    <w:rsid w:val="009C6252"/>
    <w:rsid w:val="009C7D13"/>
    <w:rsid w:val="009C7E62"/>
    <w:rsid w:val="009D272F"/>
    <w:rsid w:val="009D2809"/>
    <w:rsid w:val="009E0D86"/>
    <w:rsid w:val="009E2708"/>
    <w:rsid w:val="009E5294"/>
    <w:rsid w:val="009E7FCD"/>
    <w:rsid w:val="009F117C"/>
    <w:rsid w:val="009F1336"/>
    <w:rsid w:val="009F22F8"/>
    <w:rsid w:val="009F5FCC"/>
    <w:rsid w:val="00A103B4"/>
    <w:rsid w:val="00A10935"/>
    <w:rsid w:val="00A151A3"/>
    <w:rsid w:val="00A21EEE"/>
    <w:rsid w:val="00A22EAE"/>
    <w:rsid w:val="00A24256"/>
    <w:rsid w:val="00A365DF"/>
    <w:rsid w:val="00A42285"/>
    <w:rsid w:val="00A433A4"/>
    <w:rsid w:val="00A44C74"/>
    <w:rsid w:val="00A44DE7"/>
    <w:rsid w:val="00A455A0"/>
    <w:rsid w:val="00A45621"/>
    <w:rsid w:val="00A514D3"/>
    <w:rsid w:val="00A52993"/>
    <w:rsid w:val="00A52EB0"/>
    <w:rsid w:val="00A53055"/>
    <w:rsid w:val="00A54EB9"/>
    <w:rsid w:val="00A60DA2"/>
    <w:rsid w:val="00A62FD9"/>
    <w:rsid w:val="00A63CB4"/>
    <w:rsid w:val="00A649DF"/>
    <w:rsid w:val="00A70F25"/>
    <w:rsid w:val="00A71E8E"/>
    <w:rsid w:val="00A74F36"/>
    <w:rsid w:val="00A759F7"/>
    <w:rsid w:val="00A76A8B"/>
    <w:rsid w:val="00A84094"/>
    <w:rsid w:val="00A87D5F"/>
    <w:rsid w:val="00A90D49"/>
    <w:rsid w:val="00A92C95"/>
    <w:rsid w:val="00AA06D7"/>
    <w:rsid w:val="00AA0BB6"/>
    <w:rsid w:val="00AA17A0"/>
    <w:rsid w:val="00AA2901"/>
    <w:rsid w:val="00AA3B8D"/>
    <w:rsid w:val="00AA52B7"/>
    <w:rsid w:val="00AC2A48"/>
    <w:rsid w:val="00AD0490"/>
    <w:rsid w:val="00AD28A1"/>
    <w:rsid w:val="00AD2A8D"/>
    <w:rsid w:val="00AD4160"/>
    <w:rsid w:val="00AD4D02"/>
    <w:rsid w:val="00AD5652"/>
    <w:rsid w:val="00AE18EB"/>
    <w:rsid w:val="00AE1B92"/>
    <w:rsid w:val="00AF5794"/>
    <w:rsid w:val="00B00065"/>
    <w:rsid w:val="00B0262F"/>
    <w:rsid w:val="00B0785E"/>
    <w:rsid w:val="00B1053F"/>
    <w:rsid w:val="00B111C1"/>
    <w:rsid w:val="00B15A76"/>
    <w:rsid w:val="00B204B5"/>
    <w:rsid w:val="00B250C4"/>
    <w:rsid w:val="00B27812"/>
    <w:rsid w:val="00B3099B"/>
    <w:rsid w:val="00B31060"/>
    <w:rsid w:val="00B32FC7"/>
    <w:rsid w:val="00B35384"/>
    <w:rsid w:val="00B36B3D"/>
    <w:rsid w:val="00B50BA6"/>
    <w:rsid w:val="00B57775"/>
    <w:rsid w:val="00B57F12"/>
    <w:rsid w:val="00B622EF"/>
    <w:rsid w:val="00B623C7"/>
    <w:rsid w:val="00B63502"/>
    <w:rsid w:val="00B64CAF"/>
    <w:rsid w:val="00B70170"/>
    <w:rsid w:val="00B73180"/>
    <w:rsid w:val="00B73390"/>
    <w:rsid w:val="00B767C3"/>
    <w:rsid w:val="00B76891"/>
    <w:rsid w:val="00B77553"/>
    <w:rsid w:val="00B77B14"/>
    <w:rsid w:val="00B8135E"/>
    <w:rsid w:val="00B831D5"/>
    <w:rsid w:val="00B85DF0"/>
    <w:rsid w:val="00B86545"/>
    <w:rsid w:val="00B87B77"/>
    <w:rsid w:val="00B9350D"/>
    <w:rsid w:val="00B95D2A"/>
    <w:rsid w:val="00BA0041"/>
    <w:rsid w:val="00BA2C93"/>
    <w:rsid w:val="00BA5E47"/>
    <w:rsid w:val="00BB0B4F"/>
    <w:rsid w:val="00BB15C4"/>
    <w:rsid w:val="00BB1975"/>
    <w:rsid w:val="00BB6431"/>
    <w:rsid w:val="00BB6DA1"/>
    <w:rsid w:val="00BC0A31"/>
    <w:rsid w:val="00BC3F11"/>
    <w:rsid w:val="00BC63E9"/>
    <w:rsid w:val="00BD343F"/>
    <w:rsid w:val="00BD47C7"/>
    <w:rsid w:val="00BE4A13"/>
    <w:rsid w:val="00BE610C"/>
    <w:rsid w:val="00BF323B"/>
    <w:rsid w:val="00BF57F6"/>
    <w:rsid w:val="00BF772F"/>
    <w:rsid w:val="00C00145"/>
    <w:rsid w:val="00C00CFE"/>
    <w:rsid w:val="00C01764"/>
    <w:rsid w:val="00C02779"/>
    <w:rsid w:val="00C05EB1"/>
    <w:rsid w:val="00C069D1"/>
    <w:rsid w:val="00C11A93"/>
    <w:rsid w:val="00C1390F"/>
    <w:rsid w:val="00C166DE"/>
    <w:rsid w:val="00C22A9C"/>
    <w:rsid w:val="00C22B69"/>
    <w:rsid w:val="00C22C78"/>
    <w:rsid w:val="00C2373C"/>
    <w:rsid w:val="00C26234"/>
    <w:rsid w:val="00C30393"/>
    <w:rsid w:val="00C32E44"/>
    <w:rsid w:val="00C41154"/>
    <w:rsid w:val="00C4168B"/>
    <w:rsid w:val="00C446AB"/>
    <w:rsid w:val="00C47765"/>
    <w:rsid w:val="00C51863"/>
    <w:rsid w:val="00C52DB5"/>
    <w:rsid w:val="00C55BD8"/>
    <w:rsid w:val="00C56F43"/>
    <w:rsid w:val="00C61952"/>
    <w:rsid w:val="00C61DD7"/>
    <w:rsid w:val="00C61E06"/>
    <w:rsid w:val="00C72D78"/>
    <w:rsid w:val="00C72F9D"/>
    <w:rsid w:val="00C84564"/>
    <w:rsid w:val="00C8642C"/>
    <w:rsid w:val="00C86539"/>
    <w:rsid w:val="00C87E92"/>
    <w:rsid w:val="00C93738"/>
    <w:rsid w:val="00C96218"/>
    <w:rsid w:val="00CA1C07"/>
    <w:rsid w:val="00CA364B"/>
    <w:rsid w:val="00CA676F"/>
    <w:rsid w:val="00CB067B"/>
    <w:rsid w:val="00CB3CFB"/>
    <w:rsid w:val="00CB7C4E"/>
    <w:rsid w:val="00CC4D97"/>
    <w:rsid w:val="00CC79E1"/>
    <w:rsid w:val="00CC7A25"/>
    <w:rsid w:val="00CD12A2"/>
    <w:rsid w:val="00CD13D6"/>
    <w:rsid w:val="00CD4F9A"/>
    <w:rsid w:val="00CE0072"/>
    <w:rsid w:val="00CF5DB2"/>
    <w:rsid w:val="00D01D2B"/>
    <w:rsid w:val="00D026CE"/>
    <w:rsid w:val="00D0755C"/>
    <w:rsid w:val="00D10B9E"/>
    <w:rsid w:val="00D12D29"/>
    <w:rsid w:val="00D13351"/>
    <w:rsid w:val="00D13B87"/>
    <w:rsid w:val="00D162F4"/>
    <w:rsid w:val="00D17BB4"/>
    <w:rsid w:val="00D20A5C"/>
    <w:rsid w:val="00D22B82"/>
    <w:rsid w:val="00D22F35"/>
    <w:rsid w:val="00D23FEE"/>
    <w:rsid w:val="00D25336"/>
    <w:rsid w:val="00D26B94"/>
    <w:rsid w:val="00D30071"/>
    <w:rsid w:val="00D30F6A"/>
    <w:rsid w:val="00D34BF5"/>
    <w:rsid w:val="00D35026"/>
    <w:rsid w:val="00D41FC9"/>
    <w:rsid w:val="00D447BD"/>
    <w:rsid w:val="00D466B0"/>
    <w:rsid w:val="00D54C33"/>
    <w:rsid w:val="00D6335F"/>
    <w:rsid w:val="00D65361"/>
    <w:rsid w:val="00D70DF6"/>
    <w:rsid w:val="00D71D1B"/>
    <w:rsid w:val="00D74193"/>
    <w:rsid w:val="00D75E6D"/>
    <w:rsid w:val="00D76E16"/>
    <w:rsid w:val="00D818F8"/>
    <w:rsid w:val="00D87EF5"/>
    <w:rsid w:val="00D90C9C"/>
    <w:rsid w:val="00D93D81"/>
    <w:rsid w:val="00D95737"/>
    <w:rsid w:val="00D96C2C"/>
    <w:rsid w:val="00DA11B2"/>
    <w:rsid w:val="00DA1A9A"/>
    <w:rsid w:val="00DA4945"/>
    <w:rsid w:val="00DB148D"/>
    <w:rsid w:val="00DB251C"/>
    <w:rsid w:val="00DB3055"/>
    <w:rsid w:val="00DB4392"/>
    <w:rsid w:val="00DC24F0"/>
    <w:rsid w:val="00DC480E"/>
    <w:rsid w:val="00DC61FF"/>
    <w:rsid w:val="00DC6A11"/>
    <w:rsid w:val="00DC6A2C"/>
    <w:rsid w:val="00DD0561"/>
    <w:rsid w:val="00DD6776"/>
    <w:rsid w:val="00DD6EC9"/>
    <w:rsid w:val="00DE0DFA"/>
    <w:rsid w:val="00DE1718"/>
    <w:rsid w:val="00DE19D7"/>
    <w:rsid w:val="00DE5E9D"/>
    <w:rsid w:val="00DF0968"/>
    <w:rsid w:val="00DF2336"/>
    <w:rsid w:val="00DF4D8A"/>
    <w:rsid w:val="00E00642"/>
    <w:rsid w:val="00E00BF5"/>
    <w:rsid w:val="00E02AC0"/>
    <w:rsid w:val="00E059EE"/>
    <w:rsid w:val="00E05AB0"/>
    <w:rsid w:val="00E177B1"/>
    <w:rsid w:val="00E27FFA"/>
    <w:rsid w:val="00E3074F"/>
    <w:rsid w:val="00E30F6C"/>
    <w:rsid w:val="00E3133F"/>
    <w:rsid w:val="00E33DBC"/>
    <w:rsid w:val="00E4135D"/>
    <w:rsid w:val="00E41471"/>
    <w:rsid w:val="00E47BC9"/>
    <w:rsid w:val="00E51283"/>
    <w:rsid w:val="00E51E12"/>
    <w:rsid w:val="00E5322A"/>
    <w:rsid w:val="00E57663"/>
    <w:rsid w:val="00E60AC0"/>
    <w:rsid w:val="00E648F0"/>
    <w:rsid w:val="00E65504"/>
    <w:rsid w:val="00E65C85"/>
    <w:rsid w:val="00E664AE"/>
    <w:rsid w:val="00E70774"/>
    <w:rsid w:val="00E7363E"/>
    <w:rsid w:val="00E75AF8"/>
    <w:rsid w:val="00E75E8D"/>
    <w:rsid w:val="00E75F82"/>
    <w:rsid w:val="00E77B4F"/>
    <w:rsid w:val="00E81455"/>
    <w:rsid w:val="00E81541"/>
    <w:rsid w:val="00E82DDB"/>
    <w:rsid w:val="00E83DE0"/>
    <w:rsid w:val="00E90805"/>
    <w:rsid w:val="00E977A0"/>
    <w:rsid w:val="00E97F6E"/>
    <w:rsid w:val="00EA089B"/>
    <w:rsid w:val="00EA1E48"/>
    <w:rsid w:val="00EA433F"/>
    <w:rsid w:val="00EA53A6"/>
    <w:rsid w:val="00EA5B13"/>
    <w:rsid w:val="00EA7255"/>
    <w:rsid w:val="00EB2FD8"/>
    <w:rsid w:val="00EB6C60"/>
    <w:rsid w:val="00EB74EF"/>
    <w:rsid w:val="00EB75A6"/>
    <w:rsid w:val="00EC0CFE"/>
    <w:rsid w:val="00EC49D4"/>
    <w:rsid w:val="00ED1AE8"/>
    <w:rsid w:val="00ED4EDD"/>
    <w:rsid w:val="00ED518A"/>
    <w:rsid w:val="00EE0CAB"/>
    <w:rsid w:val="00EE6DE4"/>
    <w:rsid w:val="00EE74BF"/>
    <w:rsid w:val="00EF029B"/>
    <w:rsid w:val="00EF111E"/>
    <w:rsid w:val="00EF2530"/>
    <w:rsid w:val="00EF4544"/>
    <w:rsid w:val="00EF79D7"/>
    <w:rsid w:val="00EF7AA0"/>
    <w:rsid w:val="00F00D58"/>
    <w:rsid w:val="00F030DA"/>
    <w:rsid w:val="00F2188F"/>
    <w:rsid w:val="00F22316"/>
    <w:rsid w:val="00F2694A"/>
    <w:rsid w:val="00F27FA5"/>
    <w:rsid w:val="00F31C4E"/>
    <w:rsid w:val="00F333F1"/>
    <w:rsid w:val="00F35950"/>
    <w:rsid w:val="00F3609E"/>
    <w:rsid w:val="00F37138"/>
    <w:rsid w:val="00F371AC"/>
    <w:rsid w:val="00F37234"/>
    <w:rsid w:val="00F410D5"/>
    <w:rsid w:val="00F42BE4"/>
    <w:rsid w:val="00F44D6B"/>
    <w:rsid w:val="00F5456E"/>
    <w:rsid w:val="00F5503F"/>
    <w:rsid w:val="00F633CB"/>
    <w:rsid w:val="00F638DF"/>
    <w:rsid w:val="00F661DF"/>
    <w:rsid w:val="00F725D2"/>
    <w:rsid w:val="00F72EC5"/>
    <w:rsid w:val="00F74AC9"/>
    <w:rsid w:val="00F74BCD"/>
    <w:rsid w:val="00F750BA"/>
    <w:rsid w:val="00F76772"/>
    <w:rsid w:val="00F809C9"/>
    <w:rsid w:val="00F90D30"/>
    <w:rsid w:val="00F910A2"/>
    <w:rsid w:val="00F95247"/>
    <w:rsid w:val="00F95EEA"/>
    <w:rsid w:val="00F97AC9"/>
    <w:rsid w:val="00F97CE9"/>
    <w:rsid w:val="00FA17F5"/>
    <w:rsid w:val="00FA26B8"/>
    <w:rsid w:val="00FA4958"/>
    <w:rsid w:val="00FA5030"/>
    <w:rsid w:val="00FA5B50"/>
    <w:rsid w:val="00FA7E6B"/>
    <w:rsid w:val="00FB133F"/>
    <w:rsid w:val="00FB24C6"/>
    <w:rsid w:val="00FB6804"/>
    <w:rsid w:val="00FB7CDE"/>
    <w:rsid w:val="00FC060B"/>
    <w:rsid w:val="00FC0DC6"/>
    <w:rsid w:val="00FC45CB"/>
    <w:rsid w:val="00FD30CD"/>
    <w:rsid w:val="00FD56BE"/>
    <w:rsid w:val="00FD68F3"/>
    <w:rsid w:val="00FD6E10"/>
    <w:rsid w:val="00FE1CB2"/>
    <w:rsid w:val="00FE42D1"/>
    <w:rsid w:val="00FE49BF"/>
    <w:rsid w:val="00FF107D"/>
    <w:rsid w:val="00FF2616"/>
    <w:rsid w:val="00FF3552"/>
    <w:rsid w:val="00FF5679"/>
    <w:rsid w:val="00FF6844"/>
    <w:rsid w:val="00FF7016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763F1"/>
  <w15:docId w15:val="{FD05B120-C4DD-4A00-BB86-2B863154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9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C09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09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09E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31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AAE"/>
  </w:style>
  <w:style w:type="paragraph" w:styleId="Footer">
    <w:name w:val="footer"/>
    <w:basedOn w:val="Normal"/>
    <w:link w:val="FooterChar"/>
    <w:uiPriority w:val="99"/>
    <w:unhideWhenUsed/>
    <w:rsid w:val="00931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AAE"/>
  </w:style>
  <w:style w:type="paragraph" w:styleId="BalloonText">
    <w:name w:val="Balloon Text"/>
    <w:basedOn w:val="Normal"/>
    <w:link w:val="BalloonTextChar"/>
    <w:uiPriority w:val="99"/>
    <w:semiHidden/>
    <w:unhideWhenUsed/>
    <w:rsid w:val="00931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A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7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31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13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13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33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13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A7A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059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42289-8C8E-47D3-9DEE-9DA43846B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1498</Words>
  <Characters>8239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Africa Martín</dc:creator>
  <cp:lastModifiedBy>Author</cp:lastModifiedBy>
  <cp:revision>19</cp:revision>
  <dcterms:created xsi:type="dcterms:W3CDTF">2025-10-27T14:56:00Z</dcterms:created>
  <dcterms:modified xsi:type="dcterms:W3CDTF">2025-11-13T15:05:00Z</dcterms:modified>
</cp:coreProperties>
</file>