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0C2E" w14:textId="714B6578" w:rsidR="00931AAE" w:rsidRPr="001546E2" w:rsidRDefault="00C01764" w:rsidP="009E0D86">
      <w:pPr>
        <w:spacing w:after="0"/>
        <w:jc w:val="right"/>
        <w:rPr>
          <w:rFonts w:asciiTheme="majorHAnsi" w:hAnsiTheme="majorHAnsi" w:cs="Times New Roman"/>
          <w:b/>
          <w:bCs/>
          <w:sz w:val="20"/>
          <w:szCs w:val="20"/>
        </w:rPr>
      </w:pPr>
      <w:r w:rsidRPr="001546E2">
        <w:rPr>
          <w:rFonts w:asciiTheme="majorHAnsi" w:hAnsiTheme="majorHAnsi"/>
          <w:b/>
          <w:bCs/>
          <w:sz w:val="20"/>
          <w:szCs w:val="20"/>
        </w:rPr>
        <w:t>Original</w:t>
      </w:r>
      <w:r w:rsidRPr="001546E2">
        <w:rPr>
          <w:rFonts w:asciiTheme="majorHAnsi" w:hAnsiTheme="majorHAnsi"/>
          <w:b/>
          <w:sz w:val="20"/>
          <w:szCs w:val="20"/>
        </w:rPr>
        <w:t xml:space="preserve"> : espagnol</w:t>
      </w:r>
    </w:p>
    <w:p w14:paraId="74809BDC" w14:textId="77777777" w:rsidR="009E0D86" w:rsidRPr="001546E2" w:rsidRDefault="009E0D86" w:rsidP="00A365DF">
      <w:pPr>
        <w:spacing w:after="0"/>
        <w:jc w:val="right"/>
        <w:rPr>
          <w:rFonts w:asciiTheme="majorHAnsi" w:hAnsiTheme="majorHAnsi" w:cs="Times New Roman"/>
          <w:bCs/>
          <w:sz w:val="20"/>
          <w:szCs w:val="20"/>
        </w:rPr>
      </w:pPr>
    </w:p>
    <w:p w14:paraId="7BA2EDBD" w14:textId="3FDE7374" w:rsidR="00574154" w:rsidRPr="001546E2" w:rsidRDefault="00F97AC9" w:rsidP="009E0D86">
      <w:pPr>
        <w:autoSpaceDE w:val="0"/>
        <w:autoSpaceDN w:val="0"/>
        <w:adjustRightInd w:val="0"/>
        <w:spacing w:after="0" w:line="240" w:lineRule="auto"/>
        <w:jc w:val="center"/>
        <w:rPr>
          <w:rFonts w:asciiTheme="majorHAnsi" w:hAnsiTheme="majorHAnsi" w:cs="Times New Roman"/>
          <w:b/>
          <w:bCs/>
          <w:sz w:val="20"/>
          <w:szCs w:val="20"/>
        </w:rPr>
      </w:pPr>
      <w:r w:rsidRPr="001546E2">
        <w:rPr>
          <w:rFonts w:asciiTheme="majorHAnsi" w:hAnsiTheme="majorHAnsi"/>
          <w:b/>
          <w:sz w:val="20"/>
          <w:szCs w:val="20"/>
        </w:rPr>
        <w:t>Fonds pour la participation aux réunions</w:t>
      </w:r>
      <w:r w:rsidR="00297345" w:rsidRPr="001546E2">
        <w:rPr>
          <w:rStyle w:val="Appelnotedebasdep"/>
          <w:rFonts w:asciiTheme="majorHAnsi" w:hAnsiTheme="majorHAnsi"/>
          <w:b/>
          <w:sz w:val="20"/>
          <w:szCs w:val="20"/>
        </w:rPr>
        <w:footnoteReference w:id="2"/>
      </w:r>
    </w:p>
    <w:p w14:paraId="3487723B" w14:textId="77777777" w:rsidR="00E5322A" w:rsidRPr="001546E2" w:rsidRDefault="00E5322A" w:rsidP="00574154">
      <w:pPr>
        <w:autoSpaceDE w:val="0"/>
        <w:autoSpaceDN w:val="0"/>
        <w:adjustRightInd w:val="0"/>
        <w:spacing w:after="0" w:line="240" w:lineRule="auto"/>
        <w:jc w:val="center"/>
        <w:rPr>
          <w:rFonts w:asciiTheme="majorHAnsi" w:hAnsiTheme="majorHAnsi" w:cs="Times New Roman"/>
          <w:b/>
          <w:bCs/>
          <w:sz w:val="20"/>
          <w:szCs w:val="20"/>
        </w:rPr>
      </w:pPr>
    </w:p>
    <w:p w14:paraId="4B3623F7" w14:textId="5E5F6529" w:rsidR="001F0235" w:rsidRPr="001546E2" w:rsidRDefault="001F0235" w:rsidP="00574154">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 xml:space="preserve">En 2020, la Commission a adopté la </w:t>
      </w:r>
      <w:r w:rsidRPr="001546E2">
        <w:rPr>
          <w:rFonts w:asciiTheme="majorHAnsi" w:hAnsiTheme="majorHAnsi"/>
          <w:i/>
          <w:iCs/>
          <w:sz w:val="20"/>
          <w:szCs w:val="20"/>
        </w:rPr>
        <w:t>Recommandation de l'</w:t>
      </w:r>
      <w:proofErr w:type="spellStart"/>
      <w:r w:rsidRPr="001546E2">
        <w:rPr>
          <w:rFonts w:asciiTheme="majorHAnsi" w:hAnsiTheme="majorHAnsi"/>
          <w:i/>
          <w:iCs/>
          <w:sz w:val="20"/>
          <w:szCs w:val="20"/>
        </w:rPr>
        <w:t>ICCAT</w:t>
      </w:r>
      <w:proofErr w:type="spellEnd"/>
      <w:r w:rsidRPr="001546E2">
        <w:rPr>
          <w:rFonts w:asciiTheme="majorHAnsi" w:hAnsiTheme="majorHAnsi"/>
          <w:i/>
          <w:iCs/>
          <w:sz w:val="20"/>
          <w:szCs w:val="20"/>
        </w:rPr>
        <w:t xml:space="preserve"> amendant la Recommandation 14</w:t>
      </w:r>
      <w:r w:rsidR="00627986" w:rsidRPr="001546E2">
        <w:rPr>
          <w:rFonts w:asciiTheme="majorHAnsi" w:hAnsiTheme="majorHAnsi"/>
          <w:i/>
          <w:iCs/>
          <w:sz w:val="20"/>
          <w:szCs w:val="20"/>
        </w:rPr>
        <w:t>-</w:t>
      </w:r>
      <w:r w:rsidRPr="001546E2">
        <w:rPr>
          <w:rFonts w:asciiTheme="majorHAnsi" w:hAnsiTheme="majorHAnsi"/>
          <w:i/>
          <w:iCs/>
          <w:sz w:val="20"/>
          <w:szCs w:val="20"/>
        </w:rPr>
        <w:t>14 sur l’établissement d'un fonds de participation aux réunions destiné aux Parties contractantes en développement de l’</w:t>
      </w:r>
      <w:proofErr w:type="spellStart"/>
      <w:r w:rsidRPr="001546E2">
        <w:rPr>
          <w:rFonts w:asciiTheme="majorHAnsi" w:hAnsiTheme="majorHAnsi"/>
          <w:i/>
          <w:iCs/>
          <w:sz w:val="20"/>
          <w:szCs w:val="20"/>
        </w:rPr>
        <w:t>ICCAT</w:t>
      </w:r>
      <w:proofErr w:type="spellEnd"/>
      <w:r w:rsidRPr="001546E2">
        <w:rPr>
          <w:rFonts w:asciiTheme="majorHAnsi" w:hAnsiTheme="majorHAnsi"/>
          <w:sz w:val="20"/>
          <w:szCs w:val="20"/>
        </w:rPr>
        <w:t xml:space="preserve"> (Rec. 20-09), qui remplace et abroge la Rec. 14-14 dans sa totalité.</w:t>
      </w:r>
    </w:p>
    <w:p w14:paraId="770E8F19" w14:textId="77777777" w:rsidR="001F0235" w:rsidRPr="001546E2" w:rsidRDefault="001F0235" w:rsidP="00574154">
      <w:pPr>
        <w:autoSpaceDE w:val="0"/>
        <w:autoSpaceDN w:val="0"/>
        <w:adjustRightInd w:val="0"/>
        <w:spacing w:after="0" w:line="240" w:lineRule="auto"/>
        <w:jc w:val="both"/>
        <w:rPr>
          <w:rFonts w:asciiTheme="majorHAnsi" w:hAnsiTheme="majorHAnsi" w:cs="Times New Roman"/>
          <w:sz w:val="20"/>
          <w:szCs w:val="20"/>
        </w:rPr>
      </w:pPr>
    </w:p>
    <w:p w14:paraId="0494A028" w14:textId="3746B1B5" w:rsidR="00574154" w:rsidRPr="001546E2" w:rsidRDefault="001F0235" w:rsidP="00574154">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La Recommandation 2009 établit un fonds pour la participation aux réunions (</w:t>
      </w:r>
      <w:proofErr w:type="spellStart"/>
      <w:r w:rsidRPr="001546E2">
        <w:rPr>
          <w:rFonts w:asciiTheme="majorHAnsi" w:hAnsiTheme="majorHAnsi"/>
          <w:sz w:val="20"/>
          <w:szCs w:val="20"/>
        </w:rPr>
        <w:t>MPF</w:t>
      </w:r>
      <w:proofErr w:type="spellEnd"/>
      <w:r w:rsidRPr="001546E2">
        <w:rPr>
          <w:rFonts w:asciiTheme="majorHAnsi" w:hAnsiTheme="majorHAnsi"/>
          <w:sz w:val="20"/>
          <w:szCs w:val="20"/>
        </w:rPr>
        <w:t>) dans le but d’aider les représentants des Parties contractantes de l’</w:t>
      </w:r>
      <w:proofErr w:type="spellStart"/>
      <w:r w:rsidRPr="001546E2">
        <w:rPr>
          <w:rFonts w:asciiTheme="majorHAnsi" w:hAnsiTheme="majorHAnsi"/>
          <w:sz w:val="20"/>
          <w:szCs w:val="20"/>
        </w:rPr>
        <w:t>ICCAT</w:t>
      </w:r>
      <w:proofErr w:type="spellEnd"/>
      <w:r w:rsidRPr="001546E2">
        <w:rPr>
          <w:rFonts w:asciiTheme="majorHAnsi" w:hAnsiTheme="majorHAnsi"/>
          <w:sz w:val="20"/>
          <w:szCs w:val="20"/>
        </w:rPr>
        <w:t xml:space="preserve"> en développement à participer et/ou à contribuer aux travaux de la Commission et d'autres organes subsidiaires. Ce fonds a été initialement approvisionné avec 60.000,00 euros provenant du fonds de roulement. </w:t>
      </w:r>
    </w:p>
    <w:p w14:paraId="54D0CB90" w14:textId="77777777" w:rsidR="00574154" w:rsidRPr="001546E2" w:rsidRDefault="00574154" w:rsidP="00574154">
      <w:pPr>
        <w:autoSpaceDE w:val="0"/>
        <w:autoSpaceDN w:val="0"/>
        <w:adjustRightInd w:val="0"/>
        <w:spacing w:after="0" w:line="240" w:lineRule="auto"/>
        <w:jc w:val="both"/>
        <w:rPr>
          <w:rFonts w:asciiTheme="majorHAnsi" w:hAnsiTheme="majorHAnsi" w:cs="Times New Roman"/>
          <w:sz w:val="20"/>
          <w:szCs w:val="20"/>
        </w:rPr>
      </w:pPr>
    </w:p>
    <w:p w14:paraId="691E3385" w14:textId="3CE1C4AB" w:rsidR="001F0235" w:rsidRPr="001546E2" w:rsidRDefault="001F0235" w:rsidP="00574154">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 xml:space="preserve">La nouvelle Recommandation diffère de la précédente en ce que certains critères minimaux devront être remplis afin de contrôler les coûts et de minimiser la charge administrative. Ces critères minimaux sont les suivants : une Partie contractante en développement qui envoie plus de six délégués officiels à une réunion de la Commission ou plus de quatre à une réunion d’un de ses organismes subsidiaires en utilisant ses propres moyens n’est pas habilitée à recevoir un soutien financier du </w:t>
      </w:r>
      <w:proofErr w:type="spellStart"/>
      <w:r w:rsidRPr="001546E2">
        <w:rPr>
          <w:rFonts w:asciiTheme="majorHAnsi" w:hAnsiTheme="majorHAnsi"/>
          <w:sz w:val="20"/>
          <w:szCs w:val="20"/>
        </w:rPr>
        <w:t>MPF</w:t>
      </w:r>
      <w:proofErr w:type="spellEnd"/>
      <w:r w:rsidRPr="001546E2">
        <w:rPr>
          <w:rFonts w:asciiTheme="majorHAnsi" w:hAnsiTheme="majorHAnsi"/>
          <w:sz w:val="20"/>
          <w:szCs w:val="20"/>
        </w:rPr>
        <w:t xml:space="preserve"> pour couvrir les frais de voyage de cette réunion ; les voyages financés seront réalisés en utilisant le tarif le plus bas de la classe économique</w:t>
      </w:r>
      <w:r w:rsidR="00627986" w:rsidRPr="001546E2">
        <w:rPr>
          <w:rFonts w:asciiTheme="majorHAnsi" w:hAnsiTheme="majorHAnsi"/>
          <w:sz w:val="20"/>
          <w:szCs w:val="20"/>
        </w:rPr>
        <w:t> ;</w:t>
      </w:r>
      <w:r w:rsidRPr="001546E2">
        <w:rPr>
          <w:rFonts w:asciiTheme="majorHAnsi" w:hAnsiTheme="majorHAnsi"/>
          <w:sz w:val="20"/>
          <w:szCs w:val="20"/>
        </w:rPr>
        <w:t xml:space="preserve"> et l’itinéraire de vol devra être défini au moins 30 jours avant le début de la réunion.</w:t>
      </w:r>
    </w:p>
    <w:p w14:paraId="46AB57D9" w14:textId="77777777" w:rsidR="001C7281" w:rsidRPr="001546E2" w:rsidRDefault="001C7281" w:rsidP="00574154">
      <w:pPr>
        <w:autoSpaceDE w:val="0"/>
        <w:autoSpaceDN w:val="0"/>
        <w:adjustRightInd w:val="0"/>
        <w:spacing w:after="0" w:line="240" w:lineRule="auto"/>
        <w:jc w:val="both"/>
        <w:rPr>
          <w:rFonts w:asciiTheme="majorHAnsi" w:hAnsiTheme="majorHAnsi" w:cs="Times New Roman"/>
          <w:sz w:val="20"/>
          <w:szCs w:val="20"/>
        </w:rPr>
      </w:pPr>
    </w:p>
    <w:p w14:paraId="549A5DF6" w14:textId="4EF425AE" w:rsidR="007B59D5" w:rsidRPr="001546E2" w:rsidRDefault="000772DF" w:rsidP="007B59D5">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Le financement de ce fonds a été réalisé en 202</w:t>
      </w:r>
      <w:r w:rsidR="00627986" w:rsidRPr="001546E2">
        <w:rPr>
          <w:rFonts w:asciiTheme="majorHAnsi" w:hAnsiTheme="majorHAnsi"/>
          <w:sz w:val="20"/>
          <w:szCs w:val="20"/>
        </w:rPr>
        <w:t>5</w:t>
      </w:r>
      <w:r w:rsidRPr="001546E2">
        <w:rPr>
          <w:rFonts w:asciiTheme="majorHAnsi" w:hAnsiTheme="majorHAnsi"/>
          <w:sz w:val="20"/>
          <w:szCs w:val="20"/>
        </w:rPr>
        <w:t xml:space="preserve"> avec une allocation de 250.000,00 euros à charge du chapitre 13.b) du budget de l’</w:t>
      </w:r>
      <w:proofErr w:type="spellStart"/>
      <w:r w:rsidRPr="001546E2">
        <w:rPr>
          <w:rFonts w:asciiTheme="majorHAnsi" w:hAnsiTheme="majorHAnsi"/>
          <w:sz w:val="20"/>
          <w:szCs w:val="20"/>
        </w:rPr>
        <w:t>ICCAT</w:t>
      </w:r>
      <w:proofErr w:type="spellEnd"/>
      <w:r w:rsidRPr="001546E2">
        <w:rPr>
          <w:rFonts w:asciiTheme="majorHAnsi" w:hAnsiTheme="majorHAnsi"/>
          <w:sz w:val="20"/>
          <w:szCs w:val="20"/>
        </w:rPr>
        <w:t>, comme l'a approuvé la Commission en 202</w:t>
      </w:r>
      <w:r w:rsidR="00627986" w:rsidRPr="001546E2">
        <w:rPr>
          <w:rFonts w:asciiTheme="majorHAnsi" w:hAnsiTheme="majorHAnsi"/>
          <w:sz w:val="20"/>
          <w:szCs w:val="20"/>
        </w:rPr>
        <w:t>4</w:t>
      </w:r>
      <w:r w:rsidRPr="001546E2">
        <w:rPr>
          <w:rFonts w:asciiTheme="majorHAnsi" w:hAnsiTheme="majorHAnsi"/>
          <w:sz w:val="20"/>
          <w:szCs w:val="20"/>
        </w:rPr>
        <w:t>.</w:t>
      </w:r>
    </w:p>
    <w:p w14:paraId="1A86369A" w14:textId="77777777" w:rsidR="005B2D38" w:rsidRPr="001546E2" w:rsidRDefault="005B2D38" w:rsidP="00574154">
      <w:pPr>
        <w:autoSpaceDE w:val="0"/>
        <w:autoSpaceDN w:val="0"/>
        <w:adjustRightInd w:val="0"/>
        <w:spacing w:after="0" w:line="240" w:lineRule="auto"/>
        <w:jc w:val="both"/>
        <w:rPr>
          <w:rFonts w:asciiTheme="majorHAnsi" w:hAnsiTheme="majorHAnsi" w:cs="Times New Roman"/>
          <w:sz w:val="20"/>
          <w:szCs w:val="20"/>
        </w:rPr>
      </w:pPr>
    </w:p>
    <w:p w14:paraId="29E95EE7" w14:textId="52DA9860" w:rsidR="005B2D38" w:rsidRPr="001546E2" w:rsidRDefault="00143369" w:rsidP="00574154">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Le reliquat de l'exercice 202</w:t>
      </w:r>
      <w:r w:rsidR="00627986" w:rsidRPr="001546E2">
        <w:rPr>
          <w:rFonts w:asciiTheme="majorHAnsi" w:hAnsiTheme="majorHAnsi"/>
          <w:sz w:val="20"/>
          <w:szCs w:val="20"/>
        </w:rPr>
        <w:t>4</w:t>
      </w:r>
      <w:r w:rsidRPr="001546E2">
        <w:rPr>
          <w:rFonts w:asciiTheme="majorHAnsi" w:hAnsiTheme="majorHAnsi"/>
          <w:sz w:val="20"/>
          <w:szCs w:val="20"/>
        </w:rPr>
        <w:t xml:space="preserve"> se chiffrant à </w:t>
      </w:r>
      <w:r w:rsidR="00627986" w:rsidRPr="001546E2">
        <w:rPr>
          <w:rFonts w:asciiTheme="majorHAnsi" w:hAnsiTheme="majorHAnsi"/>
          <w:sz w:val="20"/>
        </w:rPr>
        <w:t>205.497,81</w:t>
      </w:r>
      <w:r w:rsidR="00627986" w:rsidRPr="001546E2">
        <w:rPr>
          <w:rFonts w:asciiTheme="majorHAnsi" w:hAnsiTheme="majorHAnsi" w:cs="Times New Roman"/>
          <w:sz w:val="20"/>
          <w:szCs w:val="20"/>
        </w:rPr>
        <w:t xml:space="preserve"> </w:t>
      </w:r>
      <w:r w:rsidRPr="001546E2">
        <w:rPr>
          <w:rFonts w:asciiTheme="majorHAnsi" w:hAnsiTheme="majorHAnsi"/>
          <w:sz w:val="20"/>
          <w:szCs w:val="20"/>
        </w:rPr>
        <w:t>euros doit également être ajouté à ce fonds. Par conséquent, le solde disponible en 202</w:t>
      </w:r>
      <w:r w:rsidR="00627986" w:rsidRPr="001546E2">
        <w:rPr>
          <w:rFonts w:asciiTheme="majorHAnsi" w:hAnsiTheme="majorHAnsi"/>
          <w:sz w:val="20"/>
          <w:szCs w:val="20"/>
        </w:rPr>
        <w:t>5</w:t>
      </w:r>
      <w:r w:rsidRPr="001546E2">
        <w:rPr>
          <w:rFonts w:asciiTheme="majorHAnsi" w:hAnsiTheme="majorHAnsi"/>
          <w:sz w:val="20"/>
          <w:szCs w:val="20"/>
        </w:rPr>
        <w:t xml:space="preserve"> s'élevait à </w:t>
      </w:r>
      <w:r w:rsidR="00627986" w:rsidRPr="001546E2">
        <w:rPr>
          <w:rFonts w:asciiTheme="majorHAnsi" w:hAnsiTheme="majorHAnsi" w:cs="Times New Roman"/>
          <w:sz w:val="20"/>
          <w:szCs w:val="20"/>
        </w:rPr>
        <w:t>455.497,81</w:t>
      </w:r>
      <w:r w:rsidRPr="001546E2">
        <w:rPr>
          <w:rFonts w:asciiTheme="majorHAnsi" w:hAnsiTheme="majorHAnsi"/>
          <w:sz w:val="20"/>
          <w:szCs w:val="20"/>
        </w:rPr>
        <w:t xml:space="preserve"> euros.</w:t>
      </w:r>
    </w:p>
    <w:p w14:paraId="78EA9D28" w14:textId="75A8DAAA" w:rsidR="00CD4F9A" w:rsidRPr="001546E2" w:rsidRDefault="00CD4F9A" w:rsidP="00CD4F9A">
      <w:pPr>
        <w:autoSpaceDE w:val="0"/>
        <w:autoSpaceDN w:val="0"/>
        <w:adjustRightInd w:val="0"/>
        <w:spacing w:after="0" w:line="240" w:lineRule="auto"/>
        <w:jc w:val="both"/>
        <w:rPr>
          <w:rFonts w:asciiTheme="majorHAnsi" w:hAnsiTheme="majorHAnsi" w:cs="Times New Roman"/>
          <w:sz w:val="20"/>
          <w:szCs w:val="20"/>
        </w:rPr>
      </w:pPr>
    </w:p>
    <w:p w14:paraId="2EE84B7C" w14:textId="21E92F7D" w:rsidR="00767AE3" w:rsidRPr="001546E2" w:rsidRDefault="00767AE3" w:rsidP="00CD4F9A">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En 202</w:t>
      </w:r>
      <w:r w:rsidR="00627986" w:rsidRPr="001546E2">
        <w:rPr>
          <w:rFonts w:asciiTheme="majorHAnsi" w:hAnsiTheme="majorHAnsi"/>
          <w:sz w:val="20"/>
          <w:szCs w:val="20"/>
        </w:rPr>
        <w:t>5</w:t>
      </w:r>
      <w:r w:rsidRPr="001546E2">
        <w:rPr>
          <w:rFonts w:asciiTheme="majorHAnsi" w:hAnsiTheme="majorHAnsi"/>
          <w:sz w:val="20"/>
          <w:szCs w:val="20"/>
        </w:rPr>
        <w:t>, 1</w:t>
      </w:r>
      <w:r w:rsidR="00627986" w:rsidRPr="001546E2">
        <w:rPr>
          <w:rFonts w:asciiTheme="majorHAnsi" w:hAnsiTheme="majorHAnsi"/>
          <w:sz w:val="20"/>
          <w:szCs w:val="20"/>
        </w:rPr>
        <w:t>18</w:t>
      </w:r>
      <w:r w:rsidRPr="001546E2">
        <w:rPr>
          <w:rFonts w:asciiTheme="majorHAnsi" w:hAnsiTheme="majorHAnsi"/>
          <w:sz w:val="20"/>
          <w:szCs w:val="20"/>
        </w:rPr>
        <w:t xml:space="preserve"> voyages ont été gérés et 3</w:t>
      </w:r>
      <w:r w:rsidR="00627986" w:rsidRPr="001546E2">
        <w:rPr>
          <w:rFonts w:asciiTheme="majorHAnsi" w:hAnsiTheme="majorHAnsi"/>
          <w:sz w:val="20"/>
          <w:szCs w:val="20"/>
        </w:rPr>
        <w:t xml:space="preserve">1 </w:t>
      </w:r>
      <w:r w:rsidR="00677729" w:rsidRPr="001546E2">
        <w:rPr>
          <w:rFonts w:asciiTheme="majorHAnsi" w:hAnsiTheme="majorHAnsi"/>
          <w:sz w:val="20"/>
          <w:szCs w:val="20"/>
        </w:rPr>
        <w:t xml:space="preserve">Parties contractantes </w:t>
      </w:r>
      <w:r w:rsidRPr="001546E2">
        <w:rPr>
          <w:rFonts w:asciiTheme="majorHAnsi" w:hAnsiTheme="majorHAnsi"/>
          <w:sz w:val="20"/>
          <w:szCs w:val="20"/>
        </w:rPr>
        <w:t>en ont bénéficié.</w:t>
      </w:r>
    </w:p>
    <w:p w14:paraId="395C95A6" w14:textId="3ABC400D" w:rsidR="007452FF" w:rsidRPr="001546E2" w:rsidRDefault="007452FF" w:rsidP="00CD4F9A">
      <w:pPr>
        <w:autoSpaceDE w:val="0"/>
        <w:autoSpaceDN w:val="0"/>
        <w:adjustRightInd w:val="0"/>
        <w:spacing w:after="0" w:line="240" w:lineRule="auto"/>
        <w:jc w:val="both"/>
        <w:rPr>
          <w:rFonts w:asciiTheme="majorHAnsi" w:hAnsiTheme="majorHAnsi" w:cs="Times New Roman"/>
          <w:sz w:val="20"/>
          <w:szCs w:val="20"/>
        </w:rPr>
      </w:pPr>
    </w:p>
    <w:p w14:paraId="62F208E3" w14:textId="02673C59" w:rsidR="007452FF" w:rsidRPr="001546E2" w:rsidRDefault="007452FF" w:rsidP="00CD4F9A">
      <w:pPr>
        <w:autoSpaceDE w:val="0"/>
        <w:autoSpaceDN w:val="0"/>
        <w:adjustRightInd w:val="0"/>
        <w:spacing w:after="0" w:line="240" w:lineRule="auto"/>
        <w:jc w:val="both"/>
        <w:rPr>
          <w:rFonts w:asciiTheme="majorHAnsi" w:hAnsiTheme="majorHAnsi" w:cs="Times New Roman"/>
          <w:sz w:val="20"/>
          <w:szCs w:val="20"/>
        </w:rPr>
      </w:pPr>
      <w:r w:rsidRPr="001546E2">
        <w:rPr>
          <w:rFonts w:asciiTheme="majorHAnsi" w:hAnsiTheme="majorHAnsi"/>
          <w:sz w:val="20"/>
          <w:szCs w:val="20"/>
        </w:rPr>
        <w:t>Pour 202</w:t>
      </w:r>
      <w:r w:rsidR="004328E6" w:rsidRPr="001546E2">
        <w:rPr>
          <w:rFonts w:asciiTheme="majorHAnsi" w:hAnsiTheme="majorHAnsi"/>
          <w:sz w:val="20"/>
          <w:szCs w:val="20"/>
        </w:rPr>
        <w:t>6</w:t>
      </w:r>
      <w:r w:rsidRPr="001546E2">
        <w:rPr>
          <w:rFonts w:asciiTheme="majorHAnsi" w:hAnsiTheme="majorHAnsi"/>
          <w:sz w:val="20"/>
          <w:szCs w:val="20"/>
        </w:rPr>
        <w:t>, ce fonds disposera du reliquat de 202</w:t>
      </w:r>
      <w:r w:rsidR="004328E6" w:rsidRPr="001546E2">
        <w:rPr>
          <w:rFonts w:asciiTheme="majorHAnsi" w:hAnsiTheme="majorHAnsi"/>
          <w:sz w:val="20"/>
          <w:szCs w:val="20"/>
        </w:rPr>
        <w:t>5 qui est estimé être de 54.868,52 euros. Une estimation des éventuelles demandes en 2026 a été réalisée, en tenant compte des réunion prévues. Le coût calculé pour 2026 est de 441.725,34 euros</w:t>
      </w:r>
      <w:r w:rsidR="00092B09" w:rsidRPr="001546E2">
        <w:rPr>
          <w:rFonts w:asciiTheme="majorHAnsi" w:hAnsiTheme="majorHAnsi"/>
          <w:sz w:val="20"/>
          <w:szCs w:val="20"/>
        </w:rPr>
        <w:t>. Par conséquent,</w:t>
      </w:r>
      <w:r w:rsidRPr="001546E2">
        <w:rPr>
          <w:rFonts w:asciiTheme="majorHAnsi" w:hAnsiTheme="majorHAnsi"/>
          <w:sz w:val="20"/>
          <w:szCs w:val="20"/>
        </w:rPr>
        <w:t xml:space="preserve"> il sera nécessaire d'allouer au moins </w:t>
      </w:r>
      <w:r w:rsidR="00092B09" w:rsidRPr="001546E2">
        <w:rPr>
          <w:rFonts w:asciiTheme="majorHAnsi" w:hAnsiTheme="majorHAnsi"/>
          <w:sz w:val="20"/>
          <w:szCs w:val="20"/>
        </w:rPr>
        <w:t xml:space="preserve">400.000,00 </w:t>
      </w:r>
      <w:r w:rsidRPr="001546E2">
        <w:rPr>
          <w:rFonts w:asciiTheme="majorHAnsi" w:hAnsiTheme="majorHAnsi"/>
          <w:sz w:val="20"/>
          <w:szCs w:val="20"/>
        </w:rPr>
        <w:t xml:space="preserve">euros à ce fonds, pour atteindre un solde de </w:t>
      </w:r>
      <w:r w:rsidR="002E4D69" w:rsidRPr="001546E2">
        <w:rPr>
          <w:rFonts w:asciiTheme="majorHAnsi" w:hAnsiTheme="majorHAnsi"/>
          <w:sz w:val="20"/>
          <w:szCs w:val="20"/>
        </w:rPr>
        <w:t>454.868,52 euros</w:t>
      </w:r>
      <w:r w:rsidRPr="001546E2">
        <w:rPr>
          <w:rFonts w:asciiTheme="majorHAnsi" w:hAnsiTheme="majorHAnsi"/>
          <w:sz w:val="20"/>
          <w:szCs w:val="20"/>
        </w:rPr>
        <w:t>. Toutefois, si cette tendance se poursuit, il sera nécessaire d'augmenter ce poste pour les années suivantes, faute de quoi il ne sera pas possible de couvrir toutes les dépenses.</w:t>
      </w:r>
    </w:p>
    <w:p w14:paraId="2A49A31F" w14:textId="5F2B356A" w:rsidR="009E2708" w:rsidRPr="001546E2" w:rsidRDefault="009E2708" w:rsidP="007365D2">
      <w:pPr>
        <w:jc w:val="right"/>
        <w:rPr>
          <w:rFonts w:asciiTheme="majorHAnsi" w:hAnsiTheme="majorHAnsi" w:cs="Times New Roman"/>
          <w:sz w:val="20"/>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6"/>
        <w:gridCol w:w="2011"/>
      </w:tblGrid>
      <w:tr w:rsidR="00356D15" w:rsidRPr="001546E2" w14:paraId="6573B571" w14:textId="77777777">
        <w:trPr>
          <w:trHeight w:val="294"/>
          <w:jc w:val="center"/>
        </w:trPr>
        <w:tc>
          <w:tcPr>
            <w:tcW w:w="8647" w:type="dxa"/>
            <w:gridSpan w:val="2"/>
            <w:tcBorders>
              <w:top w:val="nil"/>
              <w:left w:val="nil"/>
              <w:bottom w:val="single" w:sz="4" w:space="0" w:color="auto"/>
              <w:right w:val="nil"/>
            </w:tcBorders>
            <w:vAlign w:val="center"/>
            <w:hideMark/>
          </w:tcPr>
          <w:p w14:paraId="1CD6547B" w14:textId="77777777" w:rsidR="00356D15" w:rsidRPr="001546E2" w:rsidRDefault="00356D15" w:rsidP="000740E6">
            <w:pPr>
              <w:autoSpaceDE w:val="0"/>
              <w:autoSpaceDN w:val="0"/>
              <w:adjustRightInd w:val="0"/>
              <w:jc w:val="center"/>
              <w:rPr>
                <w:rFonts w:ascii="Cambria" w:hAnsi="Cambria"/>
                <w:sz w:val="20"/>
                <w:szCs w:val="20"/>
              </w:rPr>
            </w:pPr>
            <w:r w:rsidRPr="001546E2">
              <w:rPr>
                <w:rFonts w:ascii="Cambria" w:hAnsi="Cambria"/>
                <w:b/>
                <w:sz w:val="20"/>
                <w:szCs w:val="20"/>
              </w:rPr>
              <w:t>Fonds spécial pour la participation aux réunions (</w:t>
            </w:r>
            <w:proofErr w:type="spellStart"/>
            <w:r w:rsidRPr="001546E2">
              <w:rPr>
                <w:rFonts w:ascii="Cambria" w:hAnsi="Cambria"/>
                <w:b/>
                <w:sz w:val="20"/>
                <w:szCs w:val="20"/>
              </w:rPr>
              <w:t>MPF</w:t>
            </w:r>
            <w:proofErr w:type="spellEnd"/>
            <w:r w:rsidRPr="001546E2">
              <w:rPr>
                <w:rFonts w:ascii="Cambria" w:hAnsi="Cambria"/>
                <w:b/>
                <w:sz w:val="20"/>
                <w:szCs w:val="20"/>
              </w:rPr>
              <w:t>)</w:t>
            </w:r>
          </w:p>
        </w:tc>
      </w:tr>
      <w:tr w:rsidR="00356D15" w:rsidRPr="001546E2" w14:paraId="2BDA6BC4" w14:textId="77777777">
        <w:trPr>
          <w:trHeight w:val="587"/>
          <w:jc w:val="center"/>
        </w:trPr>
        <w:tc>
          <w:tcPr>
            <w:tcW w:w="6636" w:type="dxa"/>
            <w:tcBorders>
              <w:top w:val="single" w:sz="4" w:space="0" w:color="auto"/>
              <w:left w:val="nil"/>
              <w:bottom w:val="nil"/>
              <w:right w:val="nil"/>
            </w:tcBorders>
            <w:vAlign w:val="center"/>
            <w:hideMark/>
          </w:tcPr>
          <w:p w14:paraId="2304AA30" w14:textId="77777777" w:rsidR="00356D15" w:rsidRPr="001546E2" w:rsidRDefault="00356D15" w:rsidP="00356D15">
            <w:pPr>
              <w:autoSpaceDE w:val="0"/>
              <w:autoSpaceDN w:val="0"/>
              <w:adjustRightInd w:val="0"/>
              <w:jc w:val="both"/>
              <w:rPr>
                <w:rFonts w:ascii="Cambria" w:hAnsi="Cambria"/>
                <w:b/>
                <w:sz w:val="20"/>
                <w:szCs w:val="20"/>
              </w:rPr>
            </w:pPr>
            <w:r w:rsidRPr="001546E2">
              <w:rPr>
                <w:rFonts w:ascii="Cambria" w:hAnsi="Cambria"/>
                <w:b/>
                <w:sz w:val="20"/>
                <w:szCs w:val="20"/>
              </w:rPr>
              <w:t>Solde à l’ouverture de l’exercice 2025</w:t>
            </w:r>
          </w:p>
        </w:tc>
        <w:tc>
          <w:tcPr>
            <w:tcW w:w="2011" w:type="dxa"/>
            <w:tcBorders>
              <w:top w:val="single" w:sz="4" w:space="0" w:color="auto"/>
              <w:left w:val="nil"/>
              <w:bottom w:val="nil"/>
              <w:right w:val="nil"/>
            </w:tcBorders>
            <w:vAlign w:val="center"/>
            <w:hideMark/>
          </w:tcPr>
          <w:p w14:paraId="0501A9C4" w14:textId="77777777" w:rsidR="00356D15" w:rsidRPr="001546E2" w:rsidRDefault="00356D15" w:rsidP="00CE7EC7">
            <w:pPr>
              <w:autoSpaceDE w:val="0"/>
              <w:autoSpaceDN w:val="0"/>
              <w:adjustRightInd w:val="0"/>
              <w:jc w:val="right"/>
              <w:rPr>
                <w:rFonts w:ascii="Cambria" w:hAnsi="Cambria"/>
                <w:b/>
                <w:sz w:val="20"/>
                <w:szCs w:val="20"/>
              </w:rPr>
            </w:pPr>
            <w:r w:rsidRPr="001546E2">
              <w:rPr>
                <w:rFonts w:ascii="Cambria" w:hAnsi="Cambria"/>
                <w:b/>
                <w:sz w:val="20"/>
                <w:szCs w:val="20"/>
              </w:rPr>
              <w:t>205.497,81 €</w:t>
            </w:r>
          </w:p>
        </w:tc>
      </w:tr>
      <w:tr w:rsidR="00356D15" w:rsidRPr="001546E2" w14:paraId="1EF5B1E9" w14:textId="77777777">
        <w:trPr>
          <w:trHeight w:val="294"/>
          <w:jc w:val="center"/>
        </w:trPr>
        <w:tc>
          <w:tcPr>
            <w:tcW w:w="6636" w:type="dxa"/>
            <w:tcBorders>
              <w:top w:val="nil"/>
              <w:left w:val="nil"/>
              <w:bottom w:val="single" w:sz="4" w:space="0" w:color="auto"/>
              <w:right w:val="nil"/>
            </w:tcBorders>
            <w:hideMark/>
          </w:tcPr>
          <w:p w14:paraId="75651471" w14:textId="77777777" w:rsidR="00356D15" w:rsidRPr="001546E2" w:rsidRDefault="00356D15" w:rsidP="00356D15">
            <w:pPr>
              <w:autoSpaceDE w:val="0"/>
              <w:autoSpaceDN w:val="0"/>
              <w:adjustRightInd w:val="0"/>
              <w:jc w:val="both"/>
              <w:rPr>
                <w:rFonts w:ascii="Cambria" w:hAnsi="Cambria"/>
                <w:b/>
                <w:sz w:val="20"/>
                <w:szCs w:val="20"/>
              </w:rPr>
            </w:pPr>
            <w:r w:rsidRPr="001546E2">
              <w:rPr>
                <w:rFonts w:ascii="Cambria" w:hAnsi="Cambria"/>
                <w:b/>
                <w:sz w:val="20"/>
                <w:szCs w:val="20"/>
              </w:rPr>
              <w:t>REVENUS</w:t>
            </w:r>
          </w:p>
        </w:tc>
        <w:tc>
          <w:tcPr>
            <w:tcW w:w="2011" w:type="dxa"/>
            <w:tcBorders>
              <w:top w:val="nil"/>
              <w:left w:val="nil"/>
              <w:bottom w:val="single" w:sz="4" w:space="0" w:color="auto"/>
              <w:right w:val="nil"/>
            </w:tcBorders>
            <w:hideMark/>
          </w:tcPr>
          <w:p w14:paraId="41CE35E0" w14:textId="77777777" w:rsidR="00356D15" w:rsidRPr="001546E2" w:rsidRDefault="00356D15" w:rsidP="00CE7EC7">
            <w:pPr>
              <w:autoSpaceDE w:val="0"/>
              <w:autoSpaceDN w:val="0"/>
              <w:adjustRightInd w:val="0"/>
              <w:jc w:val="right"/>
              <w:rPr>
                <w:rFonts w:ascii="Cambria" w:hAnsi="Cambria"/>
                <w:b/>
                <w:sz w:val="20"/>
                <w:szCs w:val="20"/>
              </w:rPr>
            </w:pPr>
            <w:r w:rsidRPr="001546E2">
              <w:rPr>
                <w:rFonts w:ascii="Cambria" w:hAnsi="Cambria"/>
                <w:b/>
                <w:sz w:val="20"/>
                <w:szCs w:val="20"/>
              </w:rPr>
              <w:t>250.000,00 €</w:t>
            </w:r>
          </w:p>
        </w:tc>
      </w:tr>
      <w:tr w:rsidR="00356D15" w:rsidRPr="001546E2" w14:paraId="5F816015" w14:textId="77777777">
        <w:trPr>
          <w:trHeight w:val="238"/>
          <w:jc w:val="center"/>
        </w:trPr>
        <w:tc>
          <w:tcPr>
            <w:tcW w:w="6636" w:type="dxa"/>
            <w:tcBorders>
              <w:top w:val="single" w:sz="4" w:space="0" w:color="auto"/>
              <w:left w:val="nil"/>
              <w:bottom w:val="dotted" w:sz="4" w:space="0" w:color="auto"/>
              <w:right w:val="nil"/>
            </w:tcBorders>
            <w:hideMark/>
          </w:tcPr>
          <w:p w14:paraId="52B701D3" w14:textId="77777777" w:rsidR="00356D15" w:rsidRPr="001546E2" w:rsidRDefault="00356D15" w:rsidP="00356D15">
            <w:pPr>
              <w:autoSpaceDE w:val="0"/>
              <w:autoSpaceDN w:val="0"/>
              <w:adjustRightInd w:val="0"/>
              <w:jc w:val="both"/>
              <w:rPr>
                <w:rFonts w:ascii="Cambria" w:hAnsi="Cambria"/>
                <w:sz w:val="20"/>
                <w:szCs w:val="20"/>
              </w:rPr>
            </w:pPr>
            <w:r w:rsidRPr="001546E2">
              <w:rPr>
                <w:rFonts w:ascii="Cambria" w:hAnsi="Cambria"/>
                <w:sz w:val="20"/>
                <w:szCs w:val="20"/>
              </w:rPr>
              <w:t>Financé par l’</w:t>
            </w:r>
            <w:proofErr w:type="spellStart"/>
            <w:r w:rsidRPr="001546E2">
              <w:rPr>
                <w:rFonts w:ascii="Cambria" w:hAnsi="Cambria"/>
                <w:sz w:val="20"/>
                <w:szCs w:val="20"/>
              </w:rPr>
              <w:t>ICCAT</w:t>
            </w:r>
            <w:proofErr w:type="spellEnd"/>
          </w:p>
        </w:tc>
        <w:tc>
          <w:tcPr>
            <w:tcW w:w="2011" w:type="dxa"/>
            <w:tcBorders>
              <w:top w:val="single" w:sz="4" w:space="0" w:color="auto"/>
              <w:left w:val="nil"/>
              <w:bottom w:val="dotted" w:sz="4" w:space="0" w:color="auto"/>
              <w:right w:val="nil"/>
            </w:tcBorders>
            <w:hideMark/>
          </w:tcPr>
          <w:p w14:paraId="51CDCEBF" w14:textId="77777777" w:rsidR="00356D15" w:rsidRPr="001546E2" w:rsidRDefault="00356D15" w:rsidP="00CE7EC7">
            <w:pPr>
              <w:autoSpaceDE w:val="0"/>
              <w:autoSpaceDN w:val="0"/>
              <w:adjustRightInd w:val="0"/>
              <w:jc w:val="right"/>
              <w:rPr>
                <w:rFonts w:ascii="Cambria" w:hAnsi="Cambria"/>
                <w:sz w:val="20"/>
                <w:szCs w:val="20"/>
              </w:rPr>
            </w:pPr>
            <w:r w:rsidRPr="001546E2">
              <w:rPr>
                <w:rFonts w:ascii="Cambria" w:hAnsi="Cambria"/>
                <w:sz w:val="20"/>
                <w:szCs w:val="20"/>
              </w:rPr>
              <w:t>250.000,00 €</w:t>
            </w:r>
          </w:p>
        </w:tc>
      </w:tr>
      <w:tr w:rsidR="00356D15" w:rsidRPr="001546E2" w14:paraId="754B3F9A" w14:textId="77777777">
        <w:trPr>
          <w:trHeight w:val="238"/>
          <w:jc w:val="center"/>
        </w:trPr>
        <w:tc>
          <w:tcPr>
            <w:tcW w:w="6636" w:type="dxa"/>
            <w:tcBorders>
              <w:top w:val="single" w:sz="4" w:space="0" w:color="auto"/>
              <w:left w:val="nil"/>
              <w:bottom w:val="dotted" w:sz="4" w:space="0" w:color="auto"/>
              <w:right w:val="nil"/>
            </w:tcBorders>
          </w:tcPr>
          <w:p w14:paraId="014FF8A6" w14:textId="77777777" w:rsidR="00356D15" w:rsidRPr="001546E2" w:rsidRDefault="00356D15" w:rsidP="00356D15">
            <w:pPr>
              <w:autoSpaceDE w:val="0"/>
              <w:autoSpaceDN w:val="0"/>
              <w:adjustRightInd w:val="0"/>
              <w:jc w:val="both"/>
              <w:rPr>
                <w:rFonts w:ascii="Cambria" w:hAnsi="Cambria"/>
                <w:b/>
                <w:bCs/>
                <w:sz w:val="20"/>
                <w:szCs w:val="20"/>
              </w:rPr>
            </w:pPr>
          </w:p>
          <w:p w14:paraId="7402A4CF" w14:textId="77777777" w:rsidR="00356D15" w:rsidRPr="001546E2" w:rsidRDefault="00356D15" w:rsidP="00356D15">
            <w:pPr>
              <w:autoSpaceDE w:val="0"/>
              <w:autoSpaceDN w:val="0"/>
              <w:adjustRightInd w:val="0"/>
              <w:jc w:val="both"/>
              <w:rPr>
                <w:rFonts w:ascii="Cambria" w:hAnsi="Cambria"/>
                <w:b/>
                <w:bCs/>
                <w:sz w:val="20"/>
                <w:szCs w:val="20"/>
              </w:rPr>
            </w:pPr>
            <w:r w:rsidRPr="001546E2">
              <w:rPr>
                <w:rFonts w:ascii="Cambria" w:hAnsi="Cambria"/>
                <w:b/>
                <w:bCs/>
                <w:sz w:val="20"/>
                <w:szCs w:val="20"/>
              </w:rPr>
              <w:t>Solde disponible pour le premier semestre</w:t>
            </w:r>
          </w:p>
        </w:tc>
        <w:tc>
          <w:tcPr>
            <w:tcW w:w="2011" w:type="dxa"/>
            <w:tcBorders>
              <w:top w:val="single" w:sz="4" w:space="0" w:color="auto"/>
              <w:left w:val="nil"/>
              <w:bottom w:val="dotted" w:sz="4" w:space="0" w:color="auto"/>
              <w:right w:val="nil"/>
            </w:tcBorders>
          </w:tcPr>
          <w:p w14:paraId="2479955C" w14:textId="77777777" w:rsidR="00356D15" w:rsidRPr="001546E2" w:rsidRDefault="00356D15" w:rsidP="00CE7EC7">
            <w:pPr>
              <w:autoSpaceDE w:val="0"/>
              <w:autoSpaceDN w:val="0"/>
              <w:adjustRightInd w:val="0"/>
              <w:jc w:val="right"/>
              <w:rPr>
                <w:rFonts w:ascii="Cambria" w:hAnsi="Cambria"/>
                <w:b/>
                <w:bCs/>
                <w:sz w:val="20"/>
                <w:szCs w:val="20"/>
              </w:rPr>
            </w:pPr>
          </w:p>
          <w:p w14:paraId="6763A8AF" w14:textId="77777777" w:rsidR="00356D15" w:rsidRPr="001546E2" w:rsidRDefault="00356D15" w:rsidP="00CE7EC7">
            <w:pPr>
              <w:autoSpaceDE w:val="0"/>
              <w:autoSpaceDN w:val="0"/>
              <w:adjustRightInd w:val="0"/>
              <w:jc w:val="right"/>
              <w:rPr>
                <w:rFonts w:ascii="Cambria" w:hAnsi="Cambria"/>
                <w:b/>
                <w:bCs/>
                <w:sz w:val="20"/>
                <w:szCs w:val="20"/>
              </w:rPr>
            </w:pPr>
            <w:r w:rsidRPr="001546E2">
              <w:rPr>
                <w:rFonts w:ascii="Cambria" w:hAnsi="Cambria"/>
                <w:b/>
                <w:bCs/>
                <w:sz w:val="20"/>
                <w:szCs w:val="20"/>
              </w:rPr>
              <w:t>227.748,91 €</w:t>
            </w:r>
          </w:p>
        </w:tc>
      </w:tr>
      <w:tr w:rsidR="00356D15" w:rsidRPr="001546E2" w14:paraId="176BC67B" w14:textId="77777777">
        <w:trPr>
          <w:trHeight w:val="237"/>
          <w:jc w:val="center"/>
        </w:trPr>
        <w:tc>
          <w:tcPr>
            <w:tcW w:w="6636" w:type="dxa"/>
            <w:tcBorders>
              <w:top w:val="single" w:sz="4" w:space="0" w:color="auto"/>
              <w:left w:val="nil"/>
              <w:bottom w:val="single" w:sz="4" w:space="0" w:color="auto"/>
              <w:right w:val="nil"/>
            </w:tcBorders>
            <w:vAlign w:val="bottom"/>
            <w:hideMark/>
          </w:tcPr>
          <w:p w14:paraId="62D3E4B7" w14:textId="77777777" w:rsidR="00356D15" w:rsidRPr="001546E2" w:rsidRDefault="00356D15" w:rsidP="00356D15">
            <w:pPr>
              <w:autoSpaceDE w:val="0"/>
              <w:autoSpaceDN w:val="0"/>
              <w:adjustRightInd w:val="0"/>
              <w:jc w:val="both"/>
              <w:rPr>
                <w:rFonts w:ascii="Cambria" w:hAnsi="Cambria"/>
                <w:bCs/>
                <w:sz w:val="20"/>
                <w:szCs w:val="20"/>
              </w:rPr>
            </w:pPr>
            <w:r w:rsidRPr="001546E2">
              <w:rPr>
                <w:rFonts w:ascii="Cambria" w:hAnsi="Cambria"/>
                <w:bCs/>
                <w:sz w:val="20"/>
                <w:szCs w:val="20"/>
              </w:rPr>
              <w:t>Coûts des réunions scientifiques</w:t>
            </w:r>
          </w:p>
        </w:tc>
        <w:tc>
          <w:tcPr>
            <w:tcW w:w="2011" w:type="dxa"/>
            <w:tcBorders>
              <w:top w:val="single" w:sz="4" w:space="0" w:color="auto"/>
              <w:left w:val="nil"/>
              <w:bottom w:val="single" w:sz="4" w:space="0" w:color="auto"/>
              <w:right w:val="nil"/>
            </w:tcBorders>
            <w:vAlign w:val="bottom"/>
            <w:hideMark/>
          </w:tcPr>
          <w:p w14:paraId="75FA1E5D" w14:textId="77777777" w:rsidR="00356D15" w:rsidRPr="001546E2" w:rsidRDefault="00356D15" w:rsidP="00CE7EC7">
            <w:pPr>
              <w:autoSpaceDE w:val="0"/>
              <w:autoSpaceDN w:val="0"/>
              <w:adjustRightInd w:val="0"/>
              <w:jc w:val="right"/>
              <w:rPr>
                <w:rFonts w:ascii="Cambria" w:hAnsi="Cambria"/>
                <w:bCs/>
                <w:sz w:val="20"/>
                <w:szCs w:val="20"/>
              </w:rPr>
            </w:pPr>
            <w:r w:rsidRPr="001546E2">
              <w:rPr>
                <w:rFonts w:ascii="Cambria" w:hAnsi="Cambria"/>
                <w:bCs/>
                <w:sz w:val="20"/>
                <w:szCs w:val="20"/>
              </w:rPr>
              <w:t>109.764,43 €</w:t>
            </w:r>
          </w:p>
        </w:tc>
      </w:tr>
      <w:tr w:rsidR="00356D15" w:rsidRPr="001546E2" w14:paraId="3C88A7DE" w14:textId="77777777">
        <w:trPr>
          <w:trHeight w:val="238"/>
          <w:jc w:val="center"/>
        </w:trPr>
        <w:tc>
          <w:tcPr>
            <w:tcW w:w="6636" w:type="dxa"/>
            <w:tcBorders>
              <w:top w:val="dotted" w:sz="4" w:space="0" w:color="auto"/>
              <w:left w:val="nil"/>
              <w:bottom w:val="dotted" w:sz="4" w:space="0" w:color="auto"/>
              <w:right w:val="nil"/>
            </w:tcBorders>
            <w:hideMark/>
          </w:tcPr>
          <w:p w14:paraId="1CAA175B" w14:textId="69B80456"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du Groupe de travail sur les méthodes d’évaluation des stocks (</w:t>
            </w:r>
            <w:proofErr w:type="spellStart"/>
            <w:r w:rsidRPr="001546E2">
              <w:rPr>
                <w:rFonts w:ascii="Cambria" w:hAnsi="Cambria"/>
                <w:i/>
                <w:sz w:val="20"/>
                <w:szCs w:val="20"/>
              </w:rPr>
              <w:t>WGSAM</w:t>
            </w:r>
            <w:proofErr w:type="spellEnd"/>
            <w:r w:rsidRPr="001546E2">
              <w:rPr>
                <w:rFonts w:ascii="Cambria" w:hAnsi="Cambria"/>
                <w:i/>
                <w:sz w:val="20"/>
                <w:szCs w:val="20"/>
              </w:rPr>
              <w:t>) (format hybride, Madrid, Espagne, 10-13 février 2025)</w:t>
            </w:r>
          </w:p>
        </w:tc>
        <w:tc>
          <w:tcPr>
            <w:tcW w:w="2011" w:type="dxa"/>
            <w:tcBorders>
              <w:top w:val="dotted" w:sz="4" w:space="0" w:color="auto"/>
              <w:left w:val="nil"/>
              <w:bottom w:val="dotted" w:sz="4" w:space="0" w:color="auto"/>
              <w:right w:val="nil"/>
            </w:tcBorders>
          </w:tcPr>
          <w:p w14:paraId="444EBA27" w14:textId="77777777" w:rsidR="00356D15" w:rsidRPr="001546E2" w:rsidRDefault="00356D15" w:rsidP="00CE7EC7">
            <w:pPr>
              <w:autoSpaceDE w:val="0"/>
              <w:autoSpaceDN w:val="0"/>
              <w:adjustRightInd w:val="0"/>
              <w:jc w:val="right"/>
              <w:rPr>
                <w:rFonts w:ascii="Cambria" w:hAnsi="Cambria"/>
                <w:i/>
                <w:sz w:val="20"/>
                <w:szCs w:val="20"/>
              </w:rPr>
            </w:pPr>
          </w:p>
          <w:p w14:paraId="1B483792"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6.176,60 €</w:t>
            </w:r>
          </w:p>
        </w:tc>
      </w:tr>
      <w:tr w:rsidR="00356D15" w:rsidRPr="001546E2" w14:paraId="7A410062" w14:textId="77777777">
        <w:trPr>
          <w:trHeight w:val="238"/>
          <w:jc w:val="center"/>
        </w:trPr>
        <w:tc>
          <w:tcPr>
            <w:tcW w:w="6636" w:type="dxa"/>
            <w:tcBorders>
              <w:top w:val="dotted" w:sz="4" w:space="0" w:color="auto"/>
              <w:left w:val="nil"/>
              <w:bottom w:val="dotted" w:sz="4" w:space="0" w:color="auto"/>
              <w:right w:val="nil"/>
            </w:tcBorders>
            <w:hideMark/>
          </w:tcPr>
          <w:p w14:paraId="619CC298"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de préparation des données sur le requin-taupe bleu (format hybride, Madrid, Espagne, 10-14 mars 2025).</w:t>
            </w:r>
          </w:p>
        </w:tc>
        <w:tc>
          <w:tcPr>
            <w:tcW w:w="2011" w:type="dxa"/>
            <w:tcBorders>
              <w:top w:val="dotted" w:sz="4" w:space="0" w:color="auto"/>
              <w:left w:val="nil"/>
              <w:bottom w:val="dotted" w:sz="4" w:space="0" w:color="auto"/>
              <w:right w:val="nil"/>
            </w:tcBorders>
          </w:tcPr>
          <w:p w14:paraId="55E21DFB" w14:textId="77777777" w:rsidR="00356D15" w:rsidRPr="001546E2" w:rsidRDefault="00356D15" w:rsidP="00CE7EC7">
            <w:pPr>
              <w:autoSpaceDE w:val="0"/>
              <w:autoSpaceDN w:val="0"/>
              <w:adjustRightInd w:val="0"/>
              <w:jc w:val="right"/>
              <w:rPr>
                <w:rFonts w:ascii="Cambria" w:hAnsi="Cambria"/>
                <w:i/>
                <w:sz w:val="20"/>
                <w:szCs w:val="20"/>
              </w:rPr>
            </w:pPr>
          </w:p>
          <w:p w14:paraId="5EA4FB13"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9.378,72 €</w:t>
            </w:r>
          </w:p>
        </w:tc>
      </w:tr>
      <w:tr w:rsidR="00356D15" w:rsidRPr="001546E2" w14:paraId="761E8C9F" w14:textId="77777777">
        <w:trPr>
          <w:trHeight w:val="238"/>
          <w:jc w:val="center"/>
        </w:trPr>
        <w:tc>
          <w:tcPr>
            <w:tcW w:w="6636" w:type="dxa"/>
            <w:tcBorders>
              <w:top w:val="dotted" w:sz="4" w:space="0" w:color="auto"/>
              <w:left w:val="nil"/>
              <w:bottom w:val="dotted" w:sz="4" w:space="0" w:color="auto"/>
              <w:right w:val="nil"/>
            </w:tcBorders>
            <w:hideMark/>
          </w:tcPr>
          <w:p w14:paraId="2AB8B2CD"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de préparation des données sur le makaire blanc (format hybride, Madrid, Espagne, 24-28 mars 2025)</w:t>
            </w:r>
          </w:p>
        </w:tc>
        <w:tc>
          <w:tcPr>
            <w:tcW w:w="2011" w:type="dxa"/>
            <w:tcBorders>
              <w:top w:val="dotted" w:sz="4" w:space="0" w:color="auto"/>
              <w:left w:val="nil"/>
              <w:bottom w:val="dotted" w:sz="4" w:space="0" w:color="auto"/>
              <w:right w:val="nil"/>
            </w:tcBorders>
          </w:tcPr>
          <w:p w14:paraId="0AB03E6A" w14:textId="77777777" w:rsidR="00356D15" w:rsidRPr="001546E2" w:rsidRDefault="00356D15" w:rsidP="00CE7EC7">
            <w:pPr>
              <w:autoSpaceDE w:val="0"/>
              <w:autoSpaceDN w:val="0"/>
              <w:adjustRightInd w:val="0"/>
              <w:jc w:val="right"/>
              <w:rPr>
                <w:rFonts w:ascii="Cambria" w:hAnsi="Cambria"/>
                <w:i/>
                <w:sz w:val="20"/>
                <w:szCs w:val="20"/>
              </w:rPr>
            </w:pPr>
          </w:p>
          <w:p w14:paraId="2657171D"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17.627,42 €</w:t>
            </w:r>
          </w:p>
        </w:tc>
      </w:tr>
      <w:tr w:rsidR="00356D15" w:rsidRPr="001546E2" w14:paraId="73DEF061" w14:textId="77777777">
        <w:trPr>
          <w:trHeight w:val="238"/>
          <w:jc w:val="center"/>
        </w:trPr>
        <w:tc>
          <w:tcPr>
            <w:tcW w:w="6636" w:type="dxa"/>
            <w:tcBorders>
              <w:top w:val="dotted" w:sz="4" w:space="0" w:color="auto"/>
              <w:left w:val="nil"/>
              <w:bottom w:val="dotted" w:sz="4" w:space="0" w:color="auto"/>
              <w:right w:val="nil"/>
            </w:tcBorders>
            <w:hideMark/>
          </w:tcPr>
          <w:p w14:paraId="0D05AED8"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intersessions du Groupe d'espèces sur le thon rouge (format hybride, Sète, France, 8-11 avril 2025)</w:t>
            </w:r>
          </w:p>
        </w:tc>
        <w:tc>
          <w:tcPr>
            <w:tcW w:w="2011" w:type="dxa"/>
            <w:tcBorders>
              <w:top w:val="dotted" w:sz="4" w:space="0" w:color="auto"/>
              <w:left w:val="nil"/>
              <w:bottom w:val="dotted" w:sz="4" w:space="0" w:color="auto"/>
              <w:right w:val="nil"/>
            </w:tcBorders>
          </w:tcPr>
          <w:p w14:paraId="2E114A58" w14:textId="77777777" w:rsidR="00356D15" w:rsidRPr="001546E2" w:rsidRDefault="00356D15" w:rsidP="00CE7EC7">
            <w:pPr>
              <w:autoSpaceDE w:val="0"/>
              <w:autoSpaceDN w:val="0"/>
              <w:adjustRightInd w:val="0"/>
              <w:jc w:val="right"/>
              <w:rPr>
                <w:rFonts w:ascii="Cambria" w:hAnsi="Cambria"/>
                <w:i/>
                <w:sz w:val="20"/>
                <w:szCs w:val="20"/>
              </w:rPr>
            </w:pPr>
          </w:p>
          <w:p w14:paraId="685DDC72"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2.013,93 €</w:t>
            </w:r>
          </w:p>
        </w:tc>
      </w:tr>
      <w:tr w:rsidR="00356D15" w:rsidRPr="001546E2" w14:paraId="5149B3D2" w14:textId="77777777">
        <w:trPr>
          <w:trHeight w:val="238"/>
          <w:jc w:val="center"/>
        </w:trPr>
        <w:tc>
          <w:tcPr>
            <w:tcW w:w="6636" w:type="dxa"/>
            <w:tcBorders>
              <w:top w:val="dotted" w:sz="4" w:space="0" w:color="auto"/>
              <w:left w:val="nil"/>
              <w:bottom w:val="dotted" w:sz="4" w:space="0" w:color="auto"/>
              <w:right w:val="nil"/>
            </w:tcBorders>
            <w:hideMark/>
          </w:tcPr>
          <w:p w14:paraId="4AB8B9D1"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de préparation des données sur le thon obèse (format hybride, Saint-Sébastien, Espagne, 21-25 avril 2025)</w:t>
            </w:r>
          </w:p>
        </w:tc>
        <w:tc>
          <w:tcPr>
            <w:tcW w:w="2011" w:type="dxa"/>
            <w:tcBorders>
              <w:top w:val="dotted" w:sz="4" w:space="0" w:color="auto"/>
              <w:left w:val="nil"/>
              <w:bottom w:val="dotted" w:sz="4" w:space="0" w:color="auto"/>
              <w:right w:val="nil"/>
            </w:tcBorders>
          </w:tcPr>
          <w:p w14:paraId="2BBD5514" w14:textId="77777777" w:rsidR="00356D15" w:rsidRPr="001546E2" w:rsidRDefault="00356D15" w:rsidP="00CE7EC7">
            <w:pPr>
              <w:autoSpaceDE w:val="0"/>
              <w:autoSpaceDN w:val="0"/>
              <w:adjustRightInd w:val="0"/>
              <w:jc w:val="right"/>
              <w:rPr>
                <w:rFonts w:ascii="Cambria" w:hAnsi="Cambria"/>
                <w:i/>
                <w:sz w:val="20"/>
                <w:szCs w:val="20"/>
              </w:rPr>
            </w:pPr>
          </w:p>
          <w:p w14:paraId="1975A50D"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29.039,11 €</w:t>
            </w:r>
          </w:p>
        </w:tc>
      </w:tr>
      <w:tr w:rsidR="00356D15" w:rsidRPr="001546E2" w14:paraId="69C8397A" w14:textId="77777777">
        <w:trPr>
          <w:trHeight w:val="238"/>
          <w:jc w:val="center"/>
        </w:trPr>
        <w:tc>
          <w:tcPr>
            <w:tcW w:w="6636" w:type="dxa"/>
            <w:tcBorders>
              <w:top w:val="dotted" w:sz="4" w:space="0" w:color="auto"/>
              <w:left w:val="nil"/>
              <w:bottom w:val="dotted" w:sz="4" w:space="0" w:color="auto"/>
              <w:right w:val="nil"/>
            </w:tcBorders>
            <w:hideMark/>
          </w:tcPr>
          <w:p w14:paraId="13845FCD"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lastRenderedPageBreak/>
              <w:t>Réunion intersessions du Sous-comité des écosystèmes et des prises accessoires (format hybride, Madrid, Espagne, 12-16 mai 2025)</w:t>
            </w:r>
          </w:p>
        </w:tc>
        <w:tc>
          <w:tcPr>
            <w:tcW w:w="2011" w:type="dxa"/>
            <w:tcBorders>
              <w:top w:val="dotted" w:sz="4" w:space="0" w:color="auto"/>
              <w:left w:val="nil"/>
              <w:bottom w:val="dotted" w:sz="4" w:space="0" w:color="auto"/>
              <w:right w:val="nil"/>
            </w:tcBorders>
          </w:tcPr>
          <w:p w14:paraId="585BED26" w14:textId="77777777" w:rsidR="00356D15" w:rsidRPr="001546E2" w:rsidRDefault="00356D15" w:rsidP="00CE7EC7">
            <w:pPr>
              <w:autoSpaceDE w:val="0"/>
              <w:autoSpaceDN w:val="0"/>
              <w:adjustRightInd w:val="0"/>
              <w:jc w:val="right"/>
              <w:rPr>
                <w:rFonts w:ascii="Cambria" w:hAnsi="Cambria"/>
                <w:i/>
                <w:sz w:val="20"/>
                <w:szCs w:val="20"/>
              </w:rPr>
            </w:pPr>
          </w:p>
          <w:p w14:paraId="59A5B50D" w14:textId="77777777" w:rsidR="00356D15" w:rsidRPr="001546E2" w:rsidRDefault="00356D15" w:rsidP="00CE7EC7">
            <w:pPr>
              <w:autoSpaceDE w:val="0"/>
              <w:autoSpaceDN w:val="0"/>
              <w:adjustRightInd w:val="0"/>
              <w:jc w:val="right"/>
              <w:rPr>
                <w:rFonts w:ascii="Cambria" w:hAnsi="Cambria"/>
                <w:i/>
                <w:sz w:val="20"/>
                <w:szCs w:val="20"/>
              </w:rPr>
            </w:pPr>
          </w:p>
          <w:p w14:paraId="451FA34A"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5.869,71 €</w:t>
            </w:r>
          </w:p>
        </w:tc>
      </w:tr>
      <w:tr w:rsidR="00356D15" w:rsidRPr="001546E2" w14:paraId="533F8E2F" w14:textId="77777777">
        <w:trPr>
          <w:trHeight w:val="238"/>
          <w:jc w:val="center"/>
        </w:trPr>
        <w:tc>
          <w:tcPr>
            <w:tcW w:w="6636" w:type="dxa"/>
            <w:tcBorders>
              <w:top w:val="dotted" w:sz="4" w:space="0" w:color="auto"/>
              <w:left w:val="nil"/>
              <w:bottom w:val="dotted" w:sz="4" w:space="0" w:color="auto"/>
              <w:right w:val="nil"/>
            </w:tcBorders>
            <w:hideMark/>
          </w:tcPr>
          <w:p w14:paraId="4151F73B"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 xml:space="preserve">Réunion intersessions du Groupe d'espèces sur les thonidés mineurs (format hybride, </w:t>
            </w:r>
            <w:proofErr w:type="spellStart"/>
            <w:r w:rsidRPr="001546E2">
              <w:rPr>
                <w:rFonts w:ascii="Cambria" w:hAnsi="Cambria"/>
                <w:i/>
                <w:sz w:val="20"/>
                <w:szCs w:val="20"/>
              </w:rPr>
              <w:t>Olhão</w:t>
            </w:r>
            <w:proofErr w:type="spellEnd"/>
            <w:r w:rsidRPr="001546E2">
              <w:rPr>
                <w:rFonts w:ascii="Cambria" w:hAnsi="Cambria"/>
                <w:i/>
                <w:sz w:val="20"/>
                <w:szCs w:val="20"/>
              </w:rPr>
              <w:t>, Portugal, 26-28 mai 2025).</w:t>
            </w:r>
          </w:p>
        </w:tc>
        <w:tc>
          <w:tcPr>
            <w:tcW w:w="2011" w:type="dxa"/>
            <w:tcBorders>
              <w:top w:val="dotted" w:sz="4" w:space="0" w:color="auto"/>
              <w:left w:val="nil"/>
              <w:bottom w:val="dotted" w:sz="4" w:space="0" w:color="auto"/>
              <w:right w:val="nil"/>
            </w:tcBorders>
          </w:tcPr>
          <w:p w14:paraId="00865A38" w14:textId="77777777" w:rsidR="00356D15" w:rsidRPr="001546E2" w:rsidRDefault="00356D15" w:rsidP="00CE7EC7">
            <w:pPr>
              <w:autoSpaceDE w:val="0"/>
              <w:autoSpaceDN w:val="0"/>
              <w:adjustRightInd w:val="0"/>
              <w:jc w:val="right"/>
              <w:rPr>
                <w:rFonts w:ascii="Cambria" w:hAnsi="Cambria"/>
                <w:i/>
                <w:sz w:val="20"/>
                <w:szCs w:val="20"/>
              </w:rPr>
            </w:pPr>
          </w:p>
          <w:p w14:paraId="3D3FCA45"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13.239,26 €</w:t>
            </w:r>
          </w:p>
        </w:tc>
      </w:tr>
      <w:tr w:rsidR="00356D15" w:rsidRPr="001546E2" w14:paraId="135D84E2" w14:textId="77777777">
        <w:trPr>
          <w:trHeight w:val="238"/>
          <w:jc w:val="center"/>
        </w:trPr>
        <w:tc>
          <w:tcPr>
            <w:tcW w:w="6636" w:type="dxa"/>
            <w:tcBorders>
              <w:top w:val="dotted" w:sz="4" w:space="0" w:color="auto"/>
              <w:left w:val="nil"/>
              <w:bottom w:val="dotted" w:sz="4" w:space="0" w:color="auto"/>
              <w:right w:val="nil"/>
            </w:tcBorders>
            <w:hideMark/>
          </w:tcPr>
          <w:p w14:paraId="483E9391" w14:textId="0F8617AB"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d'évaluation du stock de requin-taupe bleu (format hybride, Madrid, Espagne, 9-13 juin 2025)</w:t>
            </w:r>
          </w:p>
        </w:tc>
        <w:tc>
          <w:tcPr>
            <w:tcW w:w="2011" w:type="dxa"/>
            <w:tcBorders>
              <w:top w:val="dotted" w:sz="4" w:space="0" w:color="auto"/>
              <w:left w:val="nil"/>
              <w:bottom w:val="dotted" w:sz="4" w:space="0" w:color="auto"/>
              <w:right w:val="nil"/>
            </w:tcBorders>
          </w:tcPr>
          <w:p w14:paraId="23AFEA22" w14:textId="77777777" w:rsidR="00356D15" w:rsidRPr="001546E2" w:rsidRDefault="00356D15" w:rsidP="00CE7EC7">
            <w:pPr>
              <w:autoSpaceDE w:val="0"/>
              <w:autoSpaceDN w:val="0"/>
              <w:adjustRightInd w:val="0"/>
              <w:jc w:val="right"/>
              <w:rPr>
                <w:rFonts w:ascii="Cambria" w:hAnsi="Cambria"/>
                <w:i/>
                <w:sz w:val="20"/>
                <w:szCs w:val="20"/>
              </w:rPr>
            </w:pPr>
          </w:p>
          <w:p w14:paraId="2EB5E6A1"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15.194,27 €</w:t>
            </w:r>
          </w:p>
        </w:tc>
      </w:tr>
      <w:tr w:rsidR="00356D15" w:rsidRPr="001546E2" w14:paraId="7523B44D" w14:textId="77777777">
        <w:trPr>
          <w:trHeight w:val="238"/>
          <w:jc w:val="center"/>
        </w:trPr>
        <w:tc>
          <w:tcPr>
            <w:tcW w:w="6636" w:type="dxa"/>
            <w:tcBorders>
              <w:top w:val="dotted" w:sz="4" w:space="0" w:color="auto"/>
              <w:left w:val="nil"/>
              <w:bottom w:val="single" w:sz="4" w:space="0" w:color="auto"/>
              <w:right w:val="nil"/>
            </w:tcBorders>
            <w:hideMark/>
          </w:tcPr>
          <w:p w14:paraId="05BF9624" w14:textId="2646BB7D"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d’évaluation du stock de makaire blanc (format hybride, Madrid, Espagne, 23-27 juin 2025)</w:t>
            </w:r>
          </w:p>
        </w:tc>
        <w:tc>
          <w:tcPr>
            <w:tcW w:w="2011" w:type="dxa"/>
            <w:tcBorders>
              <w:top w:val="dotted" w:sz="4" w:space="0" w:color="auto"/>
              <w:left w:val="nil"/>
              <w:bottom w:val="single" w:sz="4" w:space="0" w:color="auto"/>
              <w:right w:val="nil"/>
            </w:tcBorders>
          </w:tcPr>
          <w:p w14:paraId="21EF93DC" w14:textId="77777777" w:rsidR="00356D15" w:rsidRPr="001546E2" w:rsidRDefault="00356D15" w:rsidP="00CE7EC7">
            <w:pPr>
              <w:autoSpaceDE w:val="0"/>
              <w:autoSpaceDN w:val="0"/>
              <w:adjustRightInd w:val="0"/>
              <w:jc w:val="right"/>
              <w:rPr>
                <w:rFonts w:ascii="Cambria" w:hAnsi="Cambria"/>
                <w:i/>
                <w:sz w:val="20"/>
                <w:szCs w:val="20"/>
              </w:rPr>
            </w:pPr>
          </w:p>
          <w:p w14:paraId="7F081BE9"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11.225,41 €</w:t>
            </w:r>
          </w:p>
        </w:tc>
      </w:tr>
      <w:tr w:rsidR="00356D15" w:rsidRPr="001546E2" w14:paraId="5D267FAB" w14:textId="77777777">
        <w:trPr>
          <w:trHeight w:val="238"/>
          <w:jc w:val="center"/>
        </w:trPr>
        <w:tc>
          <w:tcPr>
            <w:tcW w:w="6636" w:type="dxa"/>
            <w:tcBorders>
              <w:top w:val="single" w:sz="4" w:space="0" w:color="auto"/>
              <w:left w:val="nil"/>
              <w:bottom w:val="single" w:sz="4" w:space="0" w:color="auto"/>
              <w:right w:val="nil"/>
            </w:tcBorders>
            <w:hideMark/>
          </w:tcPr>
          <w:p w14:paraId="75C8D525" w14:textId="77777777" w:rsidR="00356D15" w:rsidRPr="001546E2" w:rsidRDefault="00356D15" w:rsidP="00356D15">
            <w:pPr>
              <w:autoSpaceDE w:val="0"/>
              <w:autoSpaceDN w:val="0"/>
              <w:adjustRightInd w:val="0"/>
              <w:jc w:val="both"/>
              <w:rPr>
                <w:rFonts w:ascii="Cambria" w:hAnsi="Cambria"/>
                <w:iCs/>
                <w:sz w:val="20"/>
                <w:szCs w:val="20"/>
              </w:rPr>
            </w:pPr>
            <w:r w:rsidRPr="001546E2">
              <w:rPr>
                <w:rFonts w:ascii="Cambria" w:hAnsi="Cambria"/>
                <w:iCs/>
                <w:sz w:val="20"/>
                <w:szCs w:val="20"/>
              </w:rPr>
              <w:t>Réunion intersessions de la Sous-commission 2</w:t>
            </w:r>
          </w:p>
        </w:tc>
        <w:tc>
          <w:tcPr>
            <w:tcW w:w="2011" w:type="dxa"/>
            <w:tcBorders>
              <w:top w:val="single" w:sz="4" w:space="0" w:color="auto"/>
              <w:left w:val="nil"/>
              <w:bottom w:val="single" w:sz="4" w:space="0" w:color="auto"/>
              <w:right w:val="nil"/>
            </w:tcBorders>
            <w:hideMark/>
          </w:tcPr>
          <w:p w14:paraId="34A5F14A" w14:textId="77777777" w:rsidR="00356D15" w:rsidRPr="001546E2" w:rsidRDefault="00356D15" w:rsidP="00CE7EC7">
            <w:pPr>
              <w:autoSpaceDE w:val="0"/>
              <w:autoSpaceDN w:val="0"/>
              <w:adjustRightInd w:val="0"/>
              <w:jc w:val="right"/>
              <w:rPr>
                <w:rFonts w:ascii="Cambria" w:hAnsi="Cambria"/>
                <w:iCs/>
                <w:sz w:val="20"/>
                <w:szCs w:val="20"/>
              </w:rPr>
            </w:pPr>
            <w:r w:rsidRPr="001546E2">
              <w:rPr>
                <w:rFonts w:ascii="Cambria" w:hAnsi="Cambria"/>
                <w:iCs/>
                <w:sz w:val="20"/>
                <w:szCs w:val="20"/>
              </w:rPr>
              <w:t>12.682,32 €</w:t>
            </w:r>
          </w:p>
        </w:tc>
      </w:tr>
      <w:tr w:rsidR="00356D15" w:rsidRPr="001546E2" w14:paraId="49ABEF8A" w14:textId="77777777">
        <w:trPr>
          <w:trHeight w:val="238"/>
          <w:jc w:val="center"/>
        </w:trPr>
        <w:tc>
          <w:tcPr>
            <w:tcW w:w="6636" w:type="dxa"/>
            <w:tcBorders>
              <w:top w:val="single" w:sz="4" w:space="0" w:color="auto"/>
              <w:left w:val="nil"/>
              <w:bottom w:val="single" w:sz="4" w:space="0" w:color="auto"/>
              <w:right w:val="nil"/>
            </w:tcBorders>
            <w:hideMark/>
          </w:tcPr>
          <w:p w14:paraId="28FCB085" w14:textId="652017E4" w:rsidR="00356D15" w:rsidRPr="001546E2" w:rsidRDefault="00356D15" w:rsidP="00356D15">
            <w:pPr>
              <w:autoSpaceDE w:val="0"/>
              <w:autoSpaceDN w:val="0"/>
              <w:adjustRightInd w:val="0"/>
              <w:jc w:val="both"/>
              <w:rPr>
                <w:rFonts w:ascii="Cambria" w:hAnsi="Cambria"/>
                <w:sz w:val="20"/>
                <w:szCs w:val="20"/>
              </w:rPr>
            </w:pPr>
            <w:r w:rsidRPr="001546E2">
              <w:rPr>
                <w:rFonts w:ascii="Cambria" w:hAnsi="Cambria"/>
                <w:sz w:val="20"/>
                <w:szCs w:val="20"/>
              </w:rPr>
              <w:t>Réunion du Groupe de travail sur les systèmes de surveillance électronique (EMS</w:t>
            </w:r>
            <w:r w:rsidR="008F1B6E" w:rsidRPr="001546E2">
              <w:rPr>
                <w:rFonts w:ascii="Cambria" w:hAnsi="Cambria"/>
                <w:sz w:val="20"/>
                <w:szCs w:val="20"/>
              </w:rPr>
              <w:t xml:space="preserve"> </w:t>
            </w:r>
            <w:proofErr w:type="spellStart"/>
            <w:r w:rsidRPr="001546E2">
              <w:rPr>
                <w:rFonts w:ascii="Cambria" w:hAnsi="Cambria"/>
                <w:sz w:val="20"/>
                <w:szCs w:val="20"/>
              </w:rPr>
              <w:t>WG</w:t>
            </w:r>
            <w:proofErr w:type="spellEnd"/>
            <w:r w:rsidRPr="001546E2">
              <w:rPr>
                <w:rFonts w:ascii="Cambria" w:hAnsi="Cambria"/>
                <w:sz w:val="20"/>
                <w:szCs w:val="20"/>
              </w:rPr>
              <w:t xml:space="preserve">)/Deuxième réunion du Groupe de travail permanent sur les systèmes de documentation des captures (CDS </w:t>
            </w:r>
            <w:proofErr w:type="spellStart"/>
            <w:r w:rsidRPr="001546E2">
              <w:rPr>
                <w:rFonts w:ascii="Cambria" w:hAnsi="Cambria"/>
                <w:sz w:val="20"/>
                <w:szCs w:val="20"/>
              </w:rPr>
              <w:t>WG</w:t>
            </w:r>
            <w:proofErr w:type="spellEnd"/>
            <w:r w:rsidRPr="001546E2">
              <w:rPr>
                <w:rFonts w:ascii="Cambria" w:hAnsi="Cambria"/>
                <w:sz w:val="20"/>
                <w:szCs w:val="20"/>
              </w:rPr>
              <w:t>)/18e réunion du Groupe de travail chargé d’élaborer des mesures de contrôle intégré (</w:t>
            </w:r>
            <w:proofErr w:type="spellStart"/>
            <w:r w:rsidRPr="001546E2">
              <w:rPr>
                <w:rFonts w:ascii="Cambria" w:hAnsi="Cambria"/>
                <w:sz w:val="20"/>
                <w:szCs w:val="20"/>
              </w:rPr>
              <w:t>IMM</w:t>
            </w:r>
            <w:proofErr w:type="spellEnd"/>
            <w:r w:rsidRPr="001546E2">
              <w:rPr>
                <w:rFonts w:ascii="Cambria" w:hAnsi="Cambria"/>
                <w:sz w:val="20"/>
                <w:szCs w:val="20"/>
              </w:rPr>
              <w:t>)</w:t>
            </w:r>
          </w:p>
        </w:tc>
        <w:tc>
          <w:tcPr>
            <w:tcW w:w="2011" w:type="dxa"/>
            <w:tcBorders>
              <w:top w:val="single" w:sz="4" w:space="0" w:color="auto"/>
              <w:left w:val="nil"/>
              <w:bottom w:val="single" w:sz="4" w:space="0" w:color="auto"/>
              <w:right w:val="nil"/>
            </w:tcBorders>
          </w:tcPr>
          <w:p w14:paraId="010C994A" w14:textId="77777777" w:rsidR="00356D15" w:rsidRPr="001546E2" w:rsidRDefault="00356D15" w:rsidP="00CE7EC7">
            <w:pPr>
              <w:autoSpaceDE w:val="0"/>
              <w:autoSpaceDN w:val="0"/>
              <w:adjustRightInd w:val="0"/>
              <w:jc w:val="right"/>
              <w:rPr>
                <w:rFonts w:ascii="Cambria" w:hAnsi="Cambria"/>
                <w:iCs/>
                <w:sz w:val="20"/>
                <w:szCs w:val="20"/>
              </w:rPr>
            </w:pPr>
          </w:p>
          <w:p w14:paraId="5B615D7C" w14:textId="77777777" w:rsidR="00356D15" w:rsidRPr="001546E2" w:rsidRDefault="00356D15" w:rsidP="00CE7EC7">
            <w:pPr>
              <w:autoSpaceDE w:val="0"/>
              <w:autoSpaceDN w:val="0"/>
              <w:adjustRightInd w:val="0"/>
              <w:jc w:val="right"/>
              <w:rPr>
                <w:rFonts w:ascii="Cambria" w:hAnsi="Cambria"/>
                <w:iCs/>
                <w:sz w:val="20"/>
                <w:szCs w:val="20"/>
              </w:rPr>
            </w:pPr>
          </w:p>
          <w:p w14:paraId="414C4154" w14:textId="77777777" w:rsidR="00356D15" w:rsidRPr="001546E2" w:rsidRDefault="00356D15" w:rsidP="00CE7EC7">
            <w:pPr>
              <w:autoSpaceDE w:val="0"/>
              <w:autoSpaceDN w:val="0"/>
              <w:adjustRightInd w:val="0"/>
              <w:jc w:val="right"/>
              <w:rPr>
                <w:rFonts w:ascii="Cambria" w:hAnsi="Cambria"/>
                <w:iCs/>
                <w:sz w:val="20"/>
                <w:szCs w:val="20"/>
              </w:rPr>
            </w:pPr>
          </w:p>
          <w:p w14:paraId="25730C4F" w14:textId="77777777" w:rsidR="00356D15" w:rsidRPr="001546E2" w:rsidRDefault="00356D15" w:rsidP="00CE7EC7">
            <w:pPr>
              <w:autoSpaceDE w:val="0"/>
              <w:autoSpaceDN w:val="0"/>
              <w:adjustRightInd w:val="0"/>
              <w:jc w:val="right"/>
              <w:rPr>
                <w:rFonts w:ascii="Cambria" w:hAnsi="Cambria"/>
                <w:iCs/>
                <w:sz w:val="20"/>
                <w:szCs w:val="20"/>
              </w:rPr>
            </w:pPr>
            <w:r w:rsidRPr="001546E2">
              <w:rPr>
                <w:rFonts w:ascii="Cambria" w:hAnsi="Cambria"/>
                <w:iCs/>
                <w:sz w:val="20"/>
                <w:szCs w:val="20"/>
              </w:rPr>
              <w:t>25.897,62 €</w:t>
            </w:r>
          </w:p>
        </w:tc>
      </w:tr>
      <w:tr w:rsidR="00356D15" w:rsidRPr="001546E2" w14:paraId="080DC3FA" w14:textId="77777777">
        <w:trPr>
          <w:trHeight w:val="238"/>
          <w:jc w:val="center"/>
        </w:trPr>
        <w:tc>
          <w:tcPr>
            <w:tcW w:w="6636" w:type="dxa"/>
            <w:tcBorders>
              <w:top w:val="single" w:sz="4" w:space="0" w:color="auto"/>
              <w:left w:val="nil"/>
              <w:bottom w:val="single" w:sz="4" w:space="0" w:color="auto"/>
              <w:right w:val="nil"/>
            </w:tcBorders>
          </w:tcPr>
          <w:p w14:paraId="64116DDA" w14:textId="77777777" w:rsidR="00356D15" w:rsidRPr="001546E2" w:rsidRDefault="00356D15" w:rsidP="00356D15">
            <w:pPr>
              <w:autoSpaceDE w:val="0"/>
              <w:autoSpaceDN w:val="0"/>
              <w:adjustRightInd w:val="0"/>
              <w:jc w:val="both"/>
              <w:rPr>
                <w:rFonts w:ascii="Cambria" w:hAnsi="Cambria"/>
                <w:b/>
                <w:bCs/>
                <w:iCs/>
                <w:sz w:val="20"/>
                <w:szCs w:val="20"/>
              </w:rPr>
            </w:pPr>
          </w:p>
          <w:p w14:paraId="0BB0338B" w14:textId="77777777" w:rsidR="00356D15" w:rsidRPr="001546E2" w:rsidRDefault="00356D15" w:rsidP="00356D15">
            <w:pPr>
              <w:autoSpaceDE w:val="0"/>
              <w:autoSpaceDN w:val="0"/>
              <w:adjustRightInd w:val="0"/>
              <w:jc w:val="both"/>
              <w:rPr>
                <w:rFonts w:ascii="Cambria" w:hAnsi="Cambria"/>
                <w:b/>
                <w:bCs/>
                <w:iCs/>
                <w:sz w:val="20"/>
                <w:szCs w:val="20"/>
              </w:rPr>
            </w:pPr>
            <w:r w:rsidRPr="001546E2">
              <w:rPr>
                <w:rFonts w:ascii="Cambria" w:hAnsi="Cambria"/>
                <w:b/>
                <w:bCs/>
                <w:iCs/>
                <w:sz w:val="20"/>
                <w:szCs w:val="20"/>
              </w:rPr>
              <w:t>Solde du premier semestre</w:t>
            </w:r>
          </w:p>
        </w:tc>
        <w:tc>
          <w:tcPr>
            <w:tcW w:w="2011" w:type="dxa"/>
            <w:tcBorders>
              <w:top w:val="single" w:sz="4" w:space="0" w:color="auto"/>
              <w:left w:val="nil"/>
              <w:bottom w:val="single" w:sz="4" w:space="0" w:color="auto"/>
              <w:right w:val="nil"/>
            </w:tcBorders>
          </w:tcPr>
          <w:p w14:paraId="01B60BD4" w14:textId="77777777" w:rsidR="00356D15" w:rsidRPr="001546E2" w:rsidRDefault="00356D15" w:rsidP="00CE7EC7">
            <w:pPr>
              <w:autoSpaceDE w:val="0"/>
              <w:autoSpaceDN w:val="0"/>
              <w:adjustRightInd w:val="0"/>
              <w:jc w:val="right"/>
              <w:rPr>
                <w:rFonts w:ascii="Cambria" w:hAnsi="Cambria"/>
                <w:b/>
                <w:bCs/>
                <w:iCs/>
                <w:sz w:val="20"/>
                <w:szCs w:val="20"/>
              </w:rPr>
            </w:pPr>
          </w:p>
          <w:p w14:paraId="3FF07D90" w14:textId="77777777" w:rsidR="00356D15" w:rsidRPr="001546E2" w:rsidRDefault="00356D15" w:rsidP="00CE7EC7">
            <w:pPr>
              <w:autoSpaceDE w:val="0"/>
              <w:autoSpaceDN w:val="0"/>
              <w:adjustRightInd w:val="0"/>
              <w:jc w:val="right"/>
              <w:rPr>
                <w:rFonts w:ascii="Cambria" w:hAnsi="Cambria"/>
                <w:b/>
                <w:bCs/>
                <w:iCs/>
                <w:sz w:val="20"/>
                <w:szCs w:val="20"/>
              </w:rPr>
            </w:pPr>
            <w:r w:rsidRPr="001546E2">
              <w:rPr>
                <w:rFonts w:ascii="Cambria" w:hAnsi="Cambria"/>
                <w:b/>
                <w:bCs/>
                <w:iCs/>
                <w:sz w:val="20"/>
                <w:szCs w:val="20"/>
              </w:rPr>
              <w:t>79.404,54 €</w:t>
            </w:r>
          </w:p>
        </w:tc>
      </w:tr>
      <w:tr w:rsidR="00356D15" w:rsidRPr="001546E2" w14:paraId="69CEAFE3" w14:textId="77777777">
        <w:trPr>
          <w:trHeight w:val="238"/>
          <w:jc w:val="center"/>
        </w:trPr>
        <w:tc>
          <w:tcPr>
            <w:tcW w:w="6636" w:type="dxa"/>
            <w:tcBorders>
              <w:top w:val="single" w:sz="4" w:space="0" w:color="auto"/>
              <w:left w:val="nil"/>
              <w:bottom w:val="dotted" w:sz="4" w:space="0" w:color="auto"/>
              <w:right w:val="nil"/>
            </w:tcBorders>
          </w:tcPr>
          <w:p w14:paraId="1323FCF4" w14:textId="77777777" w:rsidR="00356D15" w:rsidRPr="001546E2" w:rsidRDefault="00356D15" w:rsidP="00356D15">
            <w:pPr>
              <w:autoSpaceDE w:val="0"/>
              <w:autoSpaceDN w:val="0"/>
              <w:adjustRightInd w:val="0"/>
              <w:jc w:val="both"/>
              <w:rPr>
                <w:rFonts w:ascii="Cambria" w:hAnsi="Cambria"/>
                <w:b/>
                <w:bCs/>
                <w:iCs/>
                <w:sz w:val="20"/>
                <w:szCs w:val="20"/>
              </w:rPr>
            </w:pPr>
          </w:p>
        </w:tc>
        <w:tc>
          <w:tcPr>
            <w:tcW w:w="2011" w:type="dxa"/>
            <w:tcBorders>
              <w:top w:val="single" w:sz="4" w:space="0" w:color="auto"/>
              <w:left w:val="nil"/>
              <w:bottom w:val="dotted" w:sz="4" w:space="0" w:color="auto"/>
              <w:right w:val="nil"/>
            </w:tcBorders>
          </w:tcPr>
          <w:p w14:paraId="66ABD9C8" w14:textId="77777777" w:rsidR="00356D15" w:rsidRPr="001546E2" w:rsidRDefault="00356D15" w:rsidP="00CE7EC7">
            <w:pPr>
              <w:autoSpaceDE w:val="0"/>
              <w:autoSpaceDN w:val="0"/>
              <w:adjustRightInd w:val="0"/>
              <w:jc w:val="right"/>
              <w:rPr>
                <w:rFonts w:ascii="Cambria" w:hAnsi="Cambria"/>
                <w:b/>
                <w:bCs/>
                <w:iCs/>
                <w:sz w:val="20"/>
                <w:szCs w:val="20"/>
              </w:rPr>
            </w:pPr>
          </w:p>
        </w:tc>
      </w:tr>
      <w:tr w:rsidR="00356D15" w:rsidRPr="001546E2" w14:paraId="58BD8F19" w14:textId="77777777">
        <w:trPr>
          <w:trHeight w:val="238"/>
          <w:jc w:val="center"/>
        </w:trPr>
        <w:tc>
          <w:tcPr>
            <w:tcW w:w="6636" w:type="dxa"/>
            <w:tcBorders>
              <w:top w:val="dotted" w:sz="4" w:space="0" w:color="auto"/>
              <w:left w:val="nil"/>
              <w:bottom w:val="dotted" w:sz="4" w:space="0" w:color="auto"/>
              <w:right w:val="nil"/>
            </w:tcBorders>
            <w:hideMark/>
          </w:tcPr>
          <w:p w14:paraId="393E7653" w14:textId="77777777" w:rsidR="00356D15" w:rsidRPr="001546E2" w:rsidRDefault="00356D15" w:rsidP="00356D15">
            <w:pPr>
              <w:autoSpaceDE w:val="0"/>
              <w:autoSpaceDN w:val="0"/>
              <w:adjustRightInd w:val="0"/>
              <w:jc w:val="both"/>
              <w:rPr>
                <w:rFonts w:ascii="Cambria" w:hAnsi="Cambria"/>
                <w:b/>
                <w:bCs/>
                <w:iCs/>
                <w:sz w:val="20"/>
                <w:szCs w:val="20"/>
              </w:rPr>
            </w:pPr>
            <w:r w:rsidRPr="001546E2">
              <w:rPr>
                <w:rFonts w:ascii="Cambria" w:hAnsi="Cambria"/>
                <w:b/>
                <w:bCs/>
                <w:iCs/>
                <w:sz w:val="20"/>
                <w:szCs w:val="20"/>
              </w:rPr>
              <w:t>Transfert du solde du premier semestre</w:t>
            </w:r>
          </w:p>
          <w:p w14:paraId="2C4E2658" w14:textId="77777777" w:rsidR="00356D15" w:rsidRPr="001546E2" w:rsidRDefault="00356D15" w:rsidP="00356D15">
            <w:pPr>
              <w:autoSpaceDE w:val="0"/>
              <w:autoSpaceDN w:val="0"/>
              <w:adjustRightInd w:val="0"/>
              <w:jc w:val="both"/>
              <w:rPr>
                <w:rFonts w:ascii="Cambria" w:hAnsi="Cambria"/>
                <w:b/>
                <w:bCs/>
                <w:iCs/>
                <w:sz w:val="20"/>
                <w:szCs w:val="20"/>
              </w:rPr>
            </w:pPr>
            <w:r w:rsidRPr="001546E2">
              <w:rPr>
                <w:rFonts w:ascii="Cambria" w:hAnsi="Cambria"/>
                <w:b/>
                <w:bCs/>
                <w:iCs/>
                <w:sz w:val="20"/>
                <w:szCs w:val="20"/>
              </w:rPr>
              <w:t>Solde disponible pour le deuxième semestre</w:t>
            </w:r>
          </w:p>
        </w:tc>
        <w:tc>
          <w:tcPr>
            <w:tcW w:w="2011" w:type="dxa"/>
            <w:tcBorders>
              <w:top w:val="dotted" w:sz="4" w:space="0" w:color="auto"/>
              <w:left w:val="nil"/>
              <w:bottom w:val="dotted" w:sz="4" w:space="0" w:color="auto"/>
              <w:right w:val="nil"/>
            </w:tcBorders>
            <w:hideMark/>
          </w:tcPr>
          <w:p w14:paraId="4D21CFCA" w14:textId="77777777" w:rsidR="00356D15" w:rsidRPr="001546E2" w:rsidRDefault="00356D15" w:rsidP="00CE7EC7">
            <w:pPr>
              <w:autoSpaceDE w:val="0"/>
              <w:autoSpaceDN w:val="0"/>
              <w:adjustRightInd w:val="0"/>
              <w:jc w:val="right"/>
              <w:rPr>
                <w:rFonts w:ascii="Cambria" w:hAnsi="Cambria"/>
                <w:b/>
                <w:bCs/>
                <w:iCs/>
                <w:sz w:val="20"/>
                <w:szCs w:val="20"/>
              </w:rPr>
            </w:pPr>
            <w:r w:rsidRPr="001546E2">
              <w:rPr>
                <w:rFonts w:ascii="Cambria" w:hAnsi="Cambria"/>
                <w:b/>
                <w:bCs/>
                <w:iCs/>
                <w:sz w:val="20"/>
                <w:szCs w:val="20"/>
              </w:rPr>
              <w:t>79.404,54 €</w:t>
            </w:r>
          </w:p>
          <w:p w14:paraId="252D5FB6" w14:textId="77777777" w:rsidR="00356D15" w:rsidRPr="001546E2" w:rsidRDefault="00356D15" w:rsidP="00CE7EC7">
            <w:pPr>
              <w:autoSpaceDE w:val="0"/>
              <w:autoSpaceDN w:val="0"/>
              <w:adjustRightInd w:val="0"/>
              <w:jc w:val="right"/>
              <w:rPr>
                <w:rFonts w:ascii="Cambria" w:hAnsi="Cambria"/>
                <w:b/>
                <w:bCs/>
                <w:iCs/>
                <w:sz w:val="20"/>
                <w:szCs w:val="20"/>
              </w:rPr>
            </w:pPr>
            <w:r w:rsidRPr="001546E2">
              <w:rPr>
                <w:rFonts w:ascii="Cambria" w:hAnsi="Cambria"/>
                <w:b/>
                <w:bCs/>
                <w:iCs/>
                <w:sz w:val="20"/>
                <w:szCs w:val="20"/>
              </w:rPr>
              <w:t>227.748,91 €</w:t>
            </w:r>
          </w:p>
        </w:tc>
      </w:tr>
      <w:tr w:rsidR="00356D15" w:rsidRPr="001546E2" w14:paraId="4E427B9D" w14:textId="77777777">
        <w:trPr>
          <w:trHeight w:val="238"/>
          <w:jc w:val="center"/>
        </w:trPr>
        <w:tc>
          <w:tcPr>
            <w:tcW w:w="6636" w:type="dxa"/>
            <w:tcBorders>
              <w:top w:val="dotted" w:sz="4" w:space="0" w:color="auto"/>
              <w:left w:val="nil"/>
              <w:bottom w:val="single" w:sz="4" w:space="0" w:color="auto"/>
              <w:right w:val="nil"/>
            </w:tcBorders>
          </w:tcPr>
          <w:p w14:paraId="7B27A4F2" w14:textId="77777777" w:rsidR="00356D15" w:rsidRPr="001546E2" w:rsidRDefault="00356D15" w:rsidP="00356D15">
            <w:pPr>
              <w:autoSpaceDE w:val="0"/>
              <w:autoSpaceDN w:val="0"/>
              <w:adjustRightInd w:val="0"/>
              <w:jc w:val="both"/>
              <w:rPr>
                <w:rFonts w:ascii="Cambria" w:hAnsi="Cambria"/>
                <w:b/>
                <w:bCs/>
                <w:iCs/>
                <w:sz w:val="20"/>
                <w:szCs w:val="20"/>
              </w:rPr>
            </w:pPr>
          </w:p>
          <w:p w14:paraId="3AEFC336" w14:textId="77777777" w:rsidR="00356D15" w:rsidRPr="001546E2" w:rsidRDefault="00356D15" w:rsidP="00356D15">
            <w:pPr>
              <w:autoSpaceDE w:val="0"/>
              <w:autoSpaceDN w:val="0"/>
              <w:adjustRightInd w:val="0"/>
              <w:jc w:val="both"/>
              <w:rPr>
                <w:rFonts w:ascii="Cambria" w:hAnsi="Cambria"/>
                <w:b/>
                <w:bCs/>
                <w:iCs/>
                <w:sz w:val="20"/>
                <w:szCs w:val="20"/>
              </w:rPr>
            </w:pPr>
            <w:r w:rsidRPr="001546E2">
              <w:rPr>
                <w:rFonts w:ascii="Cambria" w:hAnsi="Cambria"/>
                <w:b/>
                <w:bCs/>
                <w:iCs/>
                <w:sz w:val="20"/>
                <w:szCs w:val="20"/>
              </w:rPr>
              <w:t>Total disponible pour le deuxième semestre</w:t>
            </w:r>
          </w:p>
        </w:tc>
        <w:tc>
          <w:tcPr>
            <w:tcW w:w="2011" w:type="dxa"/>
            <w:tcBorders>
              <w:top w:val="dotted" w:sz="4" w:space="0" w:color="auto"/>
              <w:left w:val="nil"/>
              <w:bottom w:val="single" w:sz="4" w:space="0" w:color="auto"/>
              <w:right w:val="nil"/>
            </w:tcBorders>
          </w:tcPr>
          <w:p w14:paraId="1B20CCA8" w14:textId="77777777" w:rsidR="00356D15" w:rsidRPr="001546E2" w:rsidRDefault="00356D15" w:rsidP="00CE7EC7">
            <w:pPr>
              <w:autoSpaceDE w:val="0"/>
              <w:autoSpaceDN w:val="0"/>
              <w:adjustRightInd w:val="0"/>
              <w:jc w:val="right"/>
              <w:rPr>
                <w:rFonts w:ascii="Cambria" w:hAnsi="Cambria"/>
                <w:b/>
                <w:bCs/>
                <w:iCs/>
                <w:sz w:val="20"/>
                <w:szCs w:val="20"/>
              </w:rPr>
            </w:pPr>
          </w:p>
          <w:p w14:paraId="5457FAEF" w14:textId="77777777" w:rsidR="00356D15" w:rsidRPr="001546E2" w:rsidRDefault="00356D15" w:rsidP="00CE7EC7">
            <w:pPr>
              <w:autoSpaceDE w:val="0"/>
              <w:autoSpaceDN w:val="0"/>
              <w:adjustRightInd w:val="0"/>
              <w:jc w:val="right"/>
              <w:rPr>
                <w:rFonts w:ascii="Cambria" w:hAnsi="Cambria"/>
                <w:b/>
                <w:bCs/>
                <w:iCs/>
                <w:sz w:val="20"/>
                <w:szCs w:val="20"/>
              </w:rPr>
            </w:pPr>
            <w:r w:rsidRPr="001546E2">
              <w:rPr>
                <w:rFonts w:ascii="Cambria" w:hAnsi="Cambria"/>
                <w:b/>
                <w:bCs/>
                <w:iCs/>
                <w:sz w:val="20"/>
                <w:szCs w:val="20"/>
              </w:rPr>
              <w:t>307.153,44 €</w:t>
            </w:r>
          </w:p>
        </w:tc>
      </w:tr>
      <w:tr w:rsidR="00356D15" w:rsidRPr="001546E2" w14:paraId="146A8DB3" w14:textId="77777777">
        <w:trPr>
          <w:trHeight w:val="238"/>
          <w:jc w:val="center"/>
        </w:trPr>
        <w:tc>
          <w:tcPr>
            <w:tcW w:w="6636" w:type="dxa"/>
            <w:tcBorders>
              <w:top w:val="dotted" w:sz="4" w:space="0" w:color="auto"/>
              <w:left w:val="nil"/>
              <w:bottom w:val="dotted" w:sz="4" w:space="0" w:color="auto"/>
              <w:right w:val="nil"/>
            </w:tcBorders>
          </w:tcPr>
          <w:p w14:paraId="678D193D" w14:textId="77777777" w:rsidR="00356D15" w:rsidRPr="001546E2" w:rsidRDefault="00356D15" w:rsidP="00356D15">
            <w:pPr>
              <w:autoSpaceDE w:val="0"/>
              <w:autoSpaceDN w:val="0"/>
              <w:adjustRightInd w:val="0"/>
              <w:jc w:val="both"/>
              <w:rPr>
                <w:rFonts w:ascii="Cambria" w:hAnsi="Cambria"/>
                <w:iCs/>
                <w:sz w:val="20"/>
                <w:szCs w:val="20"/>
              </w:rPr>
            </w:pPr>
          </w:p>
          <w:p w14:paraId="2B0E25E2" w14:textId="77777777" w:rsidR="00356D15" w:rsidRPr="001546E2" w:rsidRDefault="00356D15" w:rsidP="00356D15">
            <w:pPr>
              <w:autoSpaceDE w:val="0"/>
              <w:autoSpaceDN w:val="0"/>
              <w:adjustRightInd w:val="0"/>
              <w:jc w:val="both"/>
              <w:rPr>
                <w:rFonts w:ascii="Cambria" w:hAnsi="Cambria"/>
                <w:iCs/>
                <w:sz w:val="20"/>
                <w:szCs w:val="20"/>
              </w:rPr>
            </w:pPr>
            <w:r w:rsidRPr="001546E2">
              <w:rPr>
                <w:rFonts w:ascii="Cambria" w:hAnsi="Cambria"/>
                <w:iCs/>
                <w:sz w:val="20"/>
                <w:szCs w:val="20"/>
              </w:rPr>
              <w:t>Coûts des réunions scientifiques</w:t>
            </w:r>
          </w:p>
        </w:tc>
        <w:tc>
          <w:tcPr>
            <w:tcW w:w="2011" w:type="dxa"/>
            <w:tcBorders>
              <w:top w:val="dotted" w:sz="4" w:space="0" w:color="auto"/>
              <w:left w:val="nil"/>
              <w:bottom w:val="dotted" w:sz="4" w:space="0" w:color="auto"/>
              <w:right w:val="nil"/>
            </w:tcBorders>
          </w:tcPr>
          <w:p w14:paraId="58D01815" w14:textId="77777777" w:rsidR="00356D15" w:rsidRPr="001546E2" w:rsidRDefault="00356D15" w:rsidP="00CE7EC7">
            <w:pPr>
              <w:autoSpaceDE w:val="0"/>
              <w:autoSpaceDN w:val="0"/>
              <w:adjustRightInd w:val="0"/>
              <w:jc w:val="right"/>
              <w:rPr>
                <w:rFonts w:ascii="Cambria" w:hAnsi="Cambria"/>
                <w:iCs/>
                <w:sz w:val="20"/>
                <w:szCs w:val="20"/>
              </w:rPr>
            </w:pPr>
          </w:p>
          <w:p w14:paraId="4238B452" w14:textId="77777777" w:rsidR="00356D15" w:rsidRPr="001546E2" w:rsidRDefault="00356D15" w:rsidP="00CE7EC7">
            <w:pPr>
              <w:autoSpaceDE w:val="0"/>
              <w:autoSpaceDN w:val="0"/>
              <w:adjustRightInd w:val="0"/>
              <w:jc w:val="right"/>
              <w:rPr>
                <w:rFonts w:ascii="Cambria" w:hAnsi="Cambria"/>
                <w:iCs/>
                <w:sz w:val="20"/>
                <w:szCs w:val="20"/>
              </w:rPr>
            </w:pPr>
            <w:r w:rsidRPr="001546E2">
              <w:rPr>
                <w:rFonts w:ascii="Cambria" w:hAnsi="Cambria"/>
                <w:iCs/>
                <w:sz w:val="20"/>
                <w:szCs w:val="20"/>
              </w:rPr>
              <w:t>135.068,55 €</w:t>
            </w:r>
          </w:p>
        </w:tc>
      </w:tr>
      <w:tr w:rsidR="00356D15" w:rsidRPr="001546E2" w14:paraId="1D62F508" w14:textId="77777777">
        <w:trPr>
          <w:trHeight w:val="238"/>
          <w:jc w:val="center"/>
        </w:trPr>
        <w:tc>
          <w:tcPr>
            <w:tcW w:w="6636" w:type="dxa"/>
            <w:tcBorders>
              <w:top w:val="dotted" w:sz="4" w:space="0" w:color="auto"/>
              <w:left w:val="nil"/>
              <w:bottom w:val="dotted" w:sz="4" w:space="0" w:color="auto"/>
              <w:right w:val="nil"/>
            </w:tcBorders>
            <w:hideMark/>
          </w:tcPr>
          <w:p w14:paraId="56CAD2AF"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 xml:space="preserve">Réunion sur le plan stratégique pour la science du </w:t>
            </w:r>
            <w:proofErr w:type="spellStart"/>
            <w:r w:rsidRPr="001546E2">
              <w:rPr>
                <w:rFonts w:ascii="Cambria" w:hAnsi="Cambria"/>
                <w:i/>
                <w:sz w:val="20"/>
                <w:szCs w:val="20"/>
              </w:rPr>
              <w:t>SCRS</w:t>
            </w:r>
            <w:proofErr w:type="spellEnd"/>
            <w:r w:rsidRPr="001546E2">
              <w:rPr>
                <w:rFonts w:ascii="Cambria" w:hAnsi="Cambria"/>
                <w:i/>
                <w:sz w:val="20"/>
                <w:szCs w:val="20"/>
              </w:rPr>
              <w:t xml:space="preserve"> (format hybride, Madrid, Espagne, 9-11 juillet 2025)</w:t>
            </w:r>
          </w:p>
        </w:tc>
        <w:tc>
          <w:tcPr>
            <w:tcW w:w="2011" w:type="dxa"/>
            <w:tcBorders>
              <w:top w:val="dotted" w:sz="4" w:space="0" w:color="auto"/>
              <w:left w:val="nil"/>
              <w:bottom w:val="dotted" w:sz="4" w:space="0" w:color="auto"/>
              <w:right w:val="nil"/>
            </w:tcBorders>
          </w:tcPr>
          <w:p w14:paraId="3E01686E" w14:textId="77777777" w:rsidR="00356D15" w:rsidRPr="001546E2" w:rsidRDefault="00356D15" w:rsidP="00CE7EC7">
            <w:pPr>
              <w:autoSpaceDE w:val="0"/>
              <w:autoSpaceDN w:val="0"/>
              <w:adjustRightInd w:val="0"/>
              <w:jc w:val="right"/>
              <w:rPr>
                <w:rFonts w:ascii="Cambria" w:hAnsi="Cambria"/>
                <w:i/>
                <w:sz w:val="20"/>
                <w:szCs w:val="20"/>
              </w:rPr>
            </w:pPr>
          </w:p>
          <w:p w14:paraId="57100A2B"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18.232,85 €</w:t>
            </w:r>
          </w:p>
        </w:tc>
      </w:tr>
      <w:tr w:rsidR="00356D15" w:rsidRPr="001546E2" w14:paraId="02DD5E1F" w14:textId="77777777">
        <w:trPr>
          <w:trHeight w:val="238"/>
          <w:jc w:val="center"/>
        </w:trPr>
        <w:tc>
          <w:tcPr>
            <w:tcW w:w="6636" w:type="dxa"/>
            <w:tcBorders>
              <w:top w:val="dotted" w:sz="4" w:space="0" w:color="auto"/>
              <w:left w:val="nil"/>
              <w:bottom w:val="dotted" w:sz="4" w:space="0" w:color="auto"/>
              <w:right w:val="nil"/>
            </w:tcBorders>
            <w:hideMark/>
          </w:tcPr>
          <w:p w14:paraId="785EEC79" w14:textId="1B4168A9"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Réunion d'évaluation du stock de thon obèse (format hybride, Madrid, Espagne, 14-18 juillet 2025)</w:t>
            </w:r>
          </w:p>
        </w:tc>
        <w:tc>
          <w:tcPr>
            <w:tcW w:w="2011" w:type="dxa"/>
            <w:tcBorders>
              <w:top w:val="dotted" w:sz="4" w:space="0" w:color="auto"/>
              <w:left w:val="nil"/>
              <w:bottom w:val="dotted" w:sz="4" w:space="0" w:color="auto"/>
              <w:right w:val="nil"/>
            </w:tcBorders>
          </w:tcPr>
          <w:p w14:paraId="6CA2E37A" w14:textId="77777777" w:rsidR="00356D15" w:rsidRPr="001546E2" w:rsidRDefault="00356D15" w:rsidP="00CE7EC7">
            <w:pPr>
              <w:autoSpaceDE w:val="0"/>
              <w:autoSpaceDN w:val="0"/>
              <w:adjustRightInd w:val="0"/>
              <w:jc w:val="right"/>
              <w:rPr>
                <w:rFonts w:ascii="Cambria" w:hAnsi="Cambria"/>
                <w:i/>
                <w:sz w:val="20"/>
                <w:szCs w:val="20"/>
              </w:rPr>
            </w:pPr>
          </w:p>
          <w:p w14:paraId="3FFDB389"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17.613,30 €</w:t>
            </w:r>
          </w:p>
        </w:tc>
      </w:tr>
      <w:tr w:rsidR="00356D15" w:rsidRPr="001546E2" w14:paraId="71180626" w14:textId="77777777">
        <w:trPr>
          <w:trHeight w:val="238"/>
          <w:jc w:val="center"/>
        </w:trPr>
        <w:tc>
          <w:tcPr>
            <w:tcW w:w="6636" w:type="dxa"/>
            <w:tcBorders>
              <w:top w:val="dotted" w:sz="4" w:space="0" w:color="auto"/>
              <w:left w:val="nil"/>
              <w:bottom w:val="single" w:sz="4" w:space="0" w:color="auto"/>
              <w:right w:val="nil"/>
            </w:tcBorders>
            <w:hideMark/>
          </w:tcPr>
          <w:p w14:paraId="01708C74" w14:textId="77777777" w:rsidR="00356D15" w:rsidRPr="001546E2" w:rsidRDefault="00356D15" w:rsidP="00356D15">
            <w:pPr>
              <w:autoSpaceDE w:val="0"/>
              <w:autoSpaceDN w:val="0"/>
              <w:adjustRightInd w:val="0"/>
              <w:jc w:val="both"/>
              <w:rPr>
                <w:rFonts w:ascii="Cambria" w:hAnsi="Cambria"/>
                <w:i/>
                <w:sz w:val="20"/>
                <w:szCs w:val="20"/>
              </w:rPr>
            </w:pPr>
            <w:r w:rsidRPr="001546E2">
              <w:rPr>
                <w:rFonts w:ascii="Cambria" w:hAnsi="Cambria"/>
                <w:i/>
                <w:sz w:val="20"/>
                <w:szCs w:val="20"/>
              </w:rPr>
              <w:t xml:space="preserve">Réunions des Groupes d’espèces du </w:t>
            </w:r>
            <w:proofErr w:type="spellStart"/>
            <w:r w:rsidRPr="001546E2">
              <w:rPr>
                <w:rFonts w:ascii="Cambria" w:hAnsi="Cambria"/>
                <w:i/>
                <w:sz w:val="20"/>
                <w:szCs w:val="20"/>
              </w:rPr>
              <w:t>SCRS</w:t>
            </w:r>
            <w:proofErr w:type="spellEnd"/>
            <w:r w:rsidRPr="001546E2">
              <w:rPr>
                <w:rFonts w:ascii="Cambria" w:hAnsi="Cambria"/>
                <w:i/>
                <w:sz w:val="20"/>
                <w:szCs w:val="20"/>
              </w:rPr>
              <w:t xml:space="preserve"> et/ou plénière du </w:t>
            </w:r>
            <w:proofErr w:type="spellStart"/>
            <w:r w:rsidRPr="001546E2">
              <w:rPr>
                <w:rFonts w:ascii="Cambria" w:hAnsi="Cambria"/>
                <w:i/>
                <w:sz w:val="20"/>
                <w:szCs w:val="20"/>
              </w:rPr>
              <w:t>SCRS</w:t>
            </w:r>
            <w:proofErr w:type="spellEnd"/>
            <w:r w:rsidRPr="001546E2">
              <w:rPr>
                <w:rFonts w:ascii="Cambria" w:hAnsi="Cambria"/>
                <w:i/>
                <w:sz w:val="20"/>
                <w:szCs w:val="20"/>
              </w:rPr>
              <w:t xml:space="preserve"> (format hybride, Madrid, Espagne, 22 septembre-3 octobre 2025)</w:t>
            </w:r>
          </w:p>
        </w:tc>
        <w:tc>
          <w:tcPr>
            <w:tcW w:w="2011" w:type="dxa"/>
            <w:tcBorders>
              <w:top w:val="dotted" w:sz="4" w:space="0" w:color="auto"/>
              <w:left w:val="nil"/>
              <w:bottom w:val="single" w:sz="4" w:space="0" w:color="auto"/>
              <w:right w:val="nil"/>
            </w:tcBorders>
          </w:tcPr>
          <w:p w14:paraId="55C8F2AB" w14:textId="77777777" w:rsidR="00356D15" w:rsidRPr="001546E2" w:rsidRDefault="00356D15" w:rsidP="00CE7EC7">
            <w:pPr>
              <w:autoSpaceDE w:val="0"/>
              <w:autoSpaceDN w:val="0"/>
              <w:adjustRightInd w:val="0"/>
              <w:jc w:val="right"/>
              <w:rPr>
                <w:rFonts w:ascii="Cambria" w:hAnsi="Cambria"/>
                <w:i/>
                <w:sz w:val="20"/>
                <w:szCs w:val="20"/>
              </w:rPr>
            </w:pPr>
          </w:p>
          <w:p w14:paraId="19126142" w14:textId="77777777" w:rsidR="00356D15" w:rsidRPr="001546E2" w:rsidRDefault="00356D15" w:rsidP="00CE7EC7">
            <w:pPr>
              <w:autoSpaceDE w:val="0"/>
              <w:autoSpaceDN w:val="0"/>
              <w:adjustRightInd w:val="0"/>
              <w:jc w:val="right"/>
              <w:rPr>
                <w:rFonts w:ascii="Cambria" w:hAnsi="Cambria"/>
                <w:i/>
                <w:sz w:val="20"/>
                <w:szCs w:val="20"/>
              </w:rPr>
            </w:pPr>
          </w:p>
          <w:p w14:paraId="7129F139" w14:textId="77777777" w:rsidR="00356D15" w:rsidRPr="001546E2" w:rsidRDefault="00356D15" w:rsidP="00CE7EC7">
            <w:pPr>
              <w:autoSpaceDE w:val="0"/>
              <w:autoSpaceDN w:val="0"/>
              <w:adjustRightInd w:val="0"/>
              <w:jc w:val="right"/>
              <w:rPr>
                <w:rFonts w:ascii="Cambria" w:hAnsi="Cambria"/>
                <w:i/>
                <w:sz w:val="20"/>
                <w:szCs w:val="20"/>
              </w:rPr>
            </w:pPr>
            <w:r w:rsidRPr="001546E2">
              <w:rPr>
                <w:rFonts w:ascii="Cambria" w:hAnsi="Cambria"/>
                <w:i/>
                <w:sz w:val="20"/>
                <w:szCs w:val="20"/>
              </w:rPr>
              <w:t>99.222,40</w:t>
            </w:r>
          </w:p>
        </w:tc>
      </w:tr>
      <w:tr w:rsidR="00356D15" w:rsidRPr="001546E2" w14:paraId="42363AC4" w14:textId="77777777">
        <w:trPr>
          <w:trHeight w:val="238"/>
          <w:jc w:val="center"/>
        </w:trPr>
        <w:tc>
          <w:tcPr>
            <w:tcW w:w="6636" w:type="dxa"/>
            <w:tcBorders>
              <w:top w:val="single" w:sz="4" w:space="0" w:color="auto"/>
              <w:left w:val="nil"/>
              <w:bottom w:val="single" w:sz="4" w:space="0" w:color="auto"/>
              <w:right w:val="nil"/>
            </w:tcBorders>
            <w:hideMark/>
          </w:tcPr>
          <w:p w14:paraId="41B0D61E" w14:textId="77777777" w:rsidR="00356D15" w:rsidRPr="001546E2" w:rsidRDefault="00356D15" w:rsidP="00356D15">
            <w:pPr>
              <w:autoSpaceDE w:val="0"/>
              <w:autoSpaceDN w:val="0"/>
              <w:adjustRightInd w:val="0"/>
              <w:jc w:val="both"/>
              <w:rPr>
                <w:rFonts w:ascii="Cambria" w:hAnsi="Cambria"/>
                <w:bCs/>
                <w:sz w:val="20"/>
                <w:szCs w:val="20"/>
              </w:rPr>
            </w:pPr>
            <w:r w:rsidRPr="001546E2">
              <w:rPr>
                <w:rFonts w:ascii="Cambria" w:hAnsi="Cambria"/>
                <w:bCs/>
                <w:sz w:val="20"/>
                <w:szCs w:val="20"/>
              </w:rPr>
              <w:t>Réunion du Groupe de travail permanent dédié au dialogue entre halieutes et gestionnaires des pêcheries (</w:t>
            </w:r>
            <w:proofErr w:type="spellStart"/>
            <w:r w:rsidRPr="001546E2">
              <w:rPr>
                <w:rFonts w:ascii="Cambria" w:hAnsi="Cambria"/>
                <w:bCs/>
                <w:sz w:val="20"/>
                <w:szCs w:val="20"/>
              </w:rPr>
              <w:t>SWGSM</w:t>
            </w:r>
            <w:proofErr w:type="spellEnd"/>
            <w:r w:rsidRPr="001546E2">
              <w:rPr>
                <w:rFonts w:ascii="Cambria" w:hAnsi="Cambria"/>
                <w:bCs/>
                <w:sz w:val="20"/>
                <w:szCs w:val="20"/>
              </w:rPr>
              <w:t>) (format hybride, Madrid, Espagne, 8 juillet 2025).</w:t>
            </w:r>
          </w:p>
        </w:tc>
        <w:tc>
          <w:tcPr>
            <w:tcW w:w="2011" w:type="dxa"/>
            <w:tcBorders>
              <w:top w:val="single" w:sz="4" w:space="0" w:color="auto"/>
              <w:left w:val="nil"/>
              <w:bottom w:val="single" w:sz="4" w:space="0" w:color="auto"/>
              <w:right w:val="nil"/>
            </w:tcBorders>
          </w:tcPr>
          <w:p w14:paraId="38130F8C" w14:textId="77777777" w:rsidR="00356D15" w:rsidRPr="001546E2" w:rsidRDefault="00356D15" w:rsidP="00CE7EC7">
            <w:pPr>
              <w:autoSpaceDE w:val="0"/>
              <w:autoSpaceDN w:val="0"/>
              <w:adjustRightInd w:val="0"/>
              <w:jc w:val="right"/>
              <w:rPr>
                <w:rFonts w:ascii="Cambria" w:hAnsi="Cambria"/>
                <w:iCs/>
                <w:sz w:val="20"/>
                <w:szCs w:val="20"/>
              </w:rPr>
            </w:pPr>
          </w:p>
          <w:p w14:paraId="4E482EBF" w14:textId="77777777" w:rsidR="00356D15" w:rsidRPr="001546E2" w:rsidRDefault="00356D15" w:rsidP="00CE7EC7">
            <w:pPr>
              <w:autoSpaceDE w:val="0"/>
              <w:autoSpaceDN w:val="0"/>
              <w:adjustRightInd w:val="0"/>
              <w:jc w:val="right"/>
              <w:rPr>
                <w:rFonts w:ascii="Cambria" w:hAnsi="Cambria"/>
                <w:iCs/>
                <w:sz w:val="20"/>
                <w:szCs w:val="20"/>
              </w:rPr>
            </w:pPr>
            <w:r w:rsidRPr="001546E2">
              <w:rPr>
                <w:rFonts w:ascii="Cambria" w:hAnsi="Cambria"/>
                <w:iCs/>
                <w:sz w:val="20"/>
                <w:szCs w:val="20"/>
              </w:rPr>
              <w:t>10.929,88 €</w:t>
            </w:r>
          </w:p>
        </w:tc>
      </w:tr>
      <w:tr w:rsidR="00356D15" w:rsidRPr="001546E2" w14:paraId="5524854A" w14:textId="77777777">
        <w:trPr>
          <w:trHeight w:val="238"/>
          <w:jc w:val="center"/>
        </w:trPr>
        <w:tc>
          <w:tcPr>
            <w:tcW w:w="6636" w:type="dxa"/>
            <w:tcBorders>
              <w:top w:val="single" w:sz="4" w:space="0" w:color="auto"/>
              <w:left w:val="nil"/>
              <w:bottom w:val="single" w:sz="4" w:space="0" w:color="auto"/>
              <w:right w:val="nil"/>
            </w:tcBorders>
            <w:hideMark/>
          </w:tcPr>
          <w:p w14:paraId="357941D4" w14:textId="77777777" w:rsidR="00356D15" w:rsidRPr="001546E2" w:rsidRDefault="00356D15" w:rsidP="00356D15">
            <w:pPr>
              <w:autoSpaceDE w:val="0"/>
              <w:autoSpaceDN w:val="0"/>
              <w:adjustRightInd w:val="0"/>
              <w:jc w:val="both"/>
              <w:rPr>
                <w:rFonts w:ascii="Cambria" w:hAnsi="Cambria"/>
                <w:sz w:val="20"/>
                <w:szCs w:val="20"/>
              </w:rPr>
            </w:pPr>
            <w:r w:rsidRPr="001546E2">
              <w:rPr>
                <w:rFonts w:ascii="Cambria" w:hAnsi="Cambria"/>
                <w:sz w:val="20"/>
                <w:szCs w:val="20"/>
              </w:rPr>
              <w:t>Réunion du Comité d’application et/ou 29e réunion ordinaire de la Commission (format hybride, Séville, Espagne, 15-24 novembre 2025)</w:t>
            </w:r>
          </w:p>
        </w:tc>
        <w:tc>
          <w:tcPr>
            <w:tcW w:w="2011" w:type="dxa"/>
            <w:tcBorders>
              <w:top w:val="single" w:sz="4" w:space="0" w:color="auto"/>
              <w:left w:val="nil"/>
              <w:bottom w:val="single" w:sz="4" w:space="0" w:color="auto"/>
              <w:right w:val="nil"/>
            </w:tcBorders>
          </w:tcPr>
          <w:p w14:paraId="07DF2694" w14:textId="77777777" w:rsidR="00356D15" w:rsidRPr="001546E2" w:rsidRDefault="00356D15" w:rsidP="00CE7EC7">
            <w:pPr>
              <w:autoSpaceDE w:val="0"/>
              <w:autoSpaceDN w:val="0"/>
              <w:adjustRightInd w:val="0"/>
              <w:jc w:val="right"/>
              <w:rPr>
                <w:rFonts w:ascii="Cambria" w:hAnsi="Cambria"/>
                <w:sz w:val="20"/>
                <w:szCs w:val="20"/>
              </w:rPr>
            </w:pPr>
          </w:p>
          <w:p w14:paraId="16D7B6F6" w14:textId="77777777" w:rsidR="00356D15" w:rsidRPr="001546E2" w:rsidRDefault="00356D15" w:rsidP="00CE7EC7">
            <w:pPr>
              <w:autoSpaceDE w:val="0"/>
              <w:autoSpaceDN w:val="0"/>
              <w:adjustRightInd w:val="0"/>
              <w:jc w:val="right"/>
              <w:rPr>
                <w:rFonts w:ascii="Cambria" w:hAnsi="Cambria"/>
                <w:sz w:val="20"/>
                <w:szCs w:val="20"/>
              </w:rPr>
            </w:pPr>
          </w:p>
          <w:p w14:paraId="6C92C1DF" w14:textId="77777777" w:rsidR="00356D15" w:rsidRPr="001546E2" w:rsidRDefault="00356D15" w:rsidP="00CE7EC7">
            <w:pPr>
              <w:autoSpaceDE w:val="0"/>
              <w:autoSpaceDN w:val="0"/>
              <w:adjustRightInd w:val="0"/>
              <w:jc w:val="right"/>
              <w:rPr>
                <w:rFonts w:ascii="Cambria" w:hAnsi="Cambria"/>
                <w:sz w:val="20"/>
                <w:szCs w:val="20"/>
              </w:rPr>
            </w:pPr>
            <w:r w:rsidRPr="001546E2">
              <w:rPr>
                <w:rFonts w:ascii="Cambria" w:hAnsi="Cambria"/>
                <w:sz w:val="20"/>
                <w:szCs w:val="20"/>
              </w:rPr>
              <w:t>21.526,75 €</w:t>
            </w:r>
          </w:p>
        </w:tc>
      </w:tr>
      <w:tr w:rsidR="00356D15" w:rsidRPr="001546E2" w14:paraId="6591165A" w14:textId="77777777">
        <w:trPr>
          <w:trHeight w:val="238"/>
          <w:jc w:val="center"/>
        </w:trPr>
        <w:tc>
          <w:tcPr>
            <w:tcW w:w="6636" w:type="dxa"/>
            <w:tcBorders>
              <w:top w:val="single" w:sz="4" w:space="0" w:color="auto"/>
              <w:left w:val="nil"/>
              <w:bottom w:val="nil"/>
              <w:right w:val="nil"/>
            </w:tcBorders>
            <w:hideMark/>
          </w:tcPr>
          <w:p w14:paraId="751A5CB1" w14:textId="77777777" w:rsidR="00356D15" w:rsidRPr="001546E2" w:rsidRDefault="00356D15" w:rsidP="00356D15">
            <w:pPr>
              <w:autoSpaceDE w:val="0"/>
              <w:autoSpaceDN w:val="0"/>
              <w:adjustRightInd w:val="0"/>
              <w:jc w:val="both"/>
              <w:rPr>
                <w:rFonts w:ascii="Cambria" w:hAnsi="Cambria"/>
                <w:sz w:val="20"/>
                <w:szCs w:val="20"/>
              </w:rPr>
            </w:pPr>
            <w:r w:rsidRPr="001546E2">
              <w:rPr>
                <w:rFonts w:ascii="Cambria" w:hAnsi="Cambria"/>
                <w:sz w:val="20"/>
                <w:szCs w:val="20"/>
              </w:rPr>
              <w:t>Estimation des dépenses en instance - Réunion du Comité d’application et/ou 29e réunion ordinaire de la Commission (format hybride, Séville, Espagne, 15-24 novembre 2025)</w:t>
            </w:r>
          </w:p>
        </w:tc>
        <w:tc>
          <w:tcPr>
            <w:tcW w:w="2011" w:type="dxa"/>
            <w:tcBorders>
              <w:top w:val="single" w:sz="4" w:space="0" w:color="auto"/>
              <w:left w:val="nil"/>
              <w:bottom w:val="nil"/>
              <w:right w:val="nil"/>
            </w:tcBorders>
          </w:tcPr>
          <w:p w14:paraId="0F62F953" w14:textId="77777777" w:rsidR="00356D15" w:rsidRPr="001546E2" w:rsidRDefault="00356D15" w:rsidP="00CE7EC7">
            <w:pPr>
              <w:autoSpaceDE w:val="0"/>
              <w:autoSpaceDN w:val="0"/>
              <w:adjustRightInd w:val="0"/>
              <w:jc w:val="right"/>
              <w:rPr>
                <w:rFonts w:ascii="Cambria" w:hAnsi="Cambria"/>
                <w:sz w:val="20"/>
                <w:szCs w:val="20"/>
              </w:rPr>
            </w:pPr>
          </w:p>
          <w:p w14:paraId="6303A4EA" w14:textId="77777777" w:rsidR="00356D15" w:rsidRPr="001546E2" w:rsidRDefault="00356D15" w:rsidP="00CE7EC7">
            <w:pPr>
              <w:autoSpaceDE w:val="0"/>
              <w:autoSpaceDN w:val="0"/>
              <w:adjustRightInd w:val="0"/>
              <w:jc w:val="right"/>
              <w:rPr>
                <w:rFonts w:ascii="Cambria" w:hAnsi="Cambria"/>
                <w:sz w:val="20"/>
                <w:szCs w:val="20"/>
              </w:rPr>
            </w:pPr>
          </w:p>
          <w:p w14:paraId="1DDA94F4" w14:textId="77777777" w:rsidR="00356D15" w:rsidRPr="001546E2" w:rsidRDefault="00356D15" w:rsidP="00CE7EC7">
            <w:pPr>
              <w:autoSpaceDE w:val="0"/>
              <w:autoSpaceDN w:val="0"/>
              <w:adjustRightInd w:val="0"/>
              <w:jc w:val="right"/>
              <w:rPr>
                <w:rFonts w:ascii="Cambria" w:hAnsi="Cambria"/>
                <w:sz w:val="20"/>
                <w:szCs w:val="20"/>
              </w:rPr>
            </w:pPr>
            <w:r w:rsidRPr="001546E2">
              <w:rPr>
                <w:rFonts w:ascii="Cambria" w:hAnsi="Cambria"/>
                <w:sz w:val="20"/>
                <w:szCs w:val="20"/>
              </w:rPr>
              <w:t>84.759,74 €</w:t>
            </w:r>
          </w:p>
        </w:tc>
      </w:tr>
      <w:tr w:rsidR="00356D15" w:rsidRPr="001546E2" w14:paraId="2BB75AB7" w14:textId="77777777">
        <w:trPr>
          <w:trHeight w:val="238"/>
          <w:jc w:val="center"/>
        </w:trPr>
        <w:tc>
          <w:tcPr>
            <w:tcW w:w="6636" w:type="dxa"/>
            <w:tcBorders>
              <w:top w:val="single" w:sz="4" w:space="0" w:color="auto"/>
              <w:left w:val="nil"/>
              <w:bottom w:val="single" w:sz="4" w:space="0" w:color="auto"/>
              <w:right w:val="nil"/>
            </w:tcBorders>
          </w:tcPr>
          <w:p w14:paraId="0A136001" w14:textId="77777777" w:rsidR="00356D15" w:rsidRPr="001546E2" w:rsidRDefault="00356D15" w:rsidP="00356D15">
            <w:pPr>
              <w:autoSpaceDE w:val="0"/>
              <w:autoSpaceDN w:val="0"/>
              <w:adjustRightInd w:val="0"/>
              <w:jc w:val="both"/>
              <w:rPr>
                <w:rFonts w:ascii="Cambria" w:hAnsi="Cambria"/>
                <w:sz w:val="20"/>
                <w:szCs w:val="20"/>
              </w:rPr>
            </w:pPr>
          </w:p>
        </w:tc>
        <w:tc>
          <w:tcPr>
            <w:tcW w:w="2011" w:type="dxa"/>
            <w:tcBorders>
              <w:top w:val="single" w:sz="4" w:space="0" w:color="auto"/>
              <w:left w:val="nil"/>
              <w:bottom w:val="single" w:sz="4" w:space="0" w:color="auto"/>
              <w:right w:val="nil"/>
            </w:tcBorders>
          </w:tcPr>
          <w:p w14:paraId="2456A9A8" w14:textId="77777777" w:rsidR="00356D15" w:rsidRPr="001546E2" w:rsidRDefault="00356D15" w:rsidP="00CE7EC7">
            <w:pPr>
              <w:autoSpaceDE w:val="0"/>
              <w:autoSpaceDN w:val="0"/>
              <w:adjustRightInd w:val="0"/>
              <w:jc w:val="right"/>
              <w:rPr>
                <w:rFonts w:ascii="Cambria" w:hAnsi="Cambria"/>
                <w:sz w:val="20"/>
                <w:szCs w:val="20"/>
              </w:rPr>
            </w:pPr>
          </w:p>
        </w:tc>
      </w:tr>
      <w:tr w:rsidR="00356D15" w:rsidRPr="001546E2" w14:paraId="6691D085" w14:textId="77777777">
        <w:trPr>
          <w:trHeight w:val="411"/>
          <w:jc w:val="center"/>
        </w:trPr>
        <w:tc>
          <w:tcPr>
            <w:tcW w:w="6636" w:type="dxa"/>
            <w:tcBorders>
              <w:top w:val="single" w:sz="4" w:space="0" w:color="auto"/>
              <w:left w:val="nil"/>
              <w:bottom w:val="single" w:sz="4" w:space="0" w:color="auto"/>
              <w:right w:val="nil"/>
            </w:tcBorders>
            <w:vAlign w:val="bottom"/>
            <w:hideMark/>
          </w:tcPr>
          <w:p w14:paraId="341FD94D" w14:textId="77777777" w:rsidR="00356D15" w:rsidRPr="001546E2" w:rsidRDefault="00356D15" w:rsidP="00356D15">
            <w:pPr>
              <w:autoSpaceDE w:val="0"/>
              <w:autoSpaceDN w:val="0"/>
              <w:adjustRightInd w:val="0"/>
              <w:jc w:val="both"/>
              <w:rPr>
                <w:rFonts w:ascii="Cambria" w:hAnsi="Cambria"/>
                <w:b/>
                <w:sz w:val="20"/>
                <w:szCs w:val="20"/>
              </w:rPr>
            </w:pPr>
            <w:r w:rsidRPr="001546E2">
              <w:rPr>
                <w:rFonts w:ascii="Cambria" w:hAnsi="Cambria"/>
                <w:b/>
                <w:sz w:val="20"/>
                <w:szCs w:val="20"/>
              </w:rPr>
              <w:t>Solde estimé disponible au 27 octobre 2025</w:t>
            </w:r>
          </w:p>
        </w:tc>
        <w:tc>
          <w:tcPr>
            <w:tcW w:w="2011" w:type="dxa"/>
            <w:tcBorders>
              <w:top w:val="single" w:sz="4" w:space="0" w:color="auto"/>
              <w:left w:val="nil"/>
              <w:bottom w:val="single" w:sz="4" w:space="0" w:color="auto"/>
              <w:right w:val="nil"/>
            </w:tcBorders>
            <w:vAlign w:val="bottom"/>
            <w:hideMark/>
          </w:tcPr>
          <w:p w14:paraId="44E02900" w14:textId="77777777" w:rsidR="00356D15" w:rsidRPr="001546E2" w:rsidRDefault="00356D15" w:rsidP="00CE7EC7">
            <w:pPr>
              <w:autoSpaceDE w:val="0"/>
              <w:autoSpaceDN w:val="0"/>
              <w:adjustRightInd w:val="0"/>
              <w:jc w:val="right"/>
              <w:rPr>
                <w:rFonts w:ascii="Cambria" w:hAnsi="Cambria"/>
                <w:b/>
                <w:sz w:val="20"/>
                <w:szCs w:val="20"/>
              </w:rPr>
            </w:pPr>
            <w:r w:rsidRPr="001546E2">
              <w:rPr>
                <w:rFonts w:ascii="Cambria" w:hAnsi="Cambria"/>
                <w:b/>
                <w:sz w:val="20"/>
                <w:szCs w:val="20"/>
              </w:rPr>
              <w:t>54.868,52 €</w:t>
            </w:r>
          </w:p>
        </w:tc>
      </w:tr>
    </w:tbl>
    <w:p w14:paraId="44D83D80" w14:textId="77777777" w:rsidR="00365C67" w:rsidRPr="001546E2" w:rsidRDefault="00365C67" w:rsidP="007B59D5">
      <w:pPr>
        <w:autoSpaceDE w:val="0"/>
        <w:autoSpaceDN w:val="0"/>
        <w:adjustRightInd w:val="0"/>
        <w:spacing w:after="0" w:line="240" w:lineRule="auto"/>
        <w:jc w:val="both"/>
        <w:rPr>
          <w:rFonts w:asciiTheme="majorHAnsi" w:hAnsiTheme="majorHAnsi"/>
          <w:sz w:val="20"/>
          <w:szCs w:val="20"/>
        </w:rPr>
      </w:pPr>
    </w:p>
    <w:p w14:paraId="383A0DD9" w14:textId="12EED111" w:rsidR="00503CB8" w:rsidRPr="001546E2" w:rsidRDefault="00503CB8">
      <w:pPr>
        <w:rPr>
          <w:rFonts w:asciiTheme="majorHAnsi" w:hAnsiTheme="majorHAnsi"/>
          <w:sz w:val="20"/>
          <w:szCs w:val="20"/>
        </w:rPr>
      </w:pPr>
      <w:r w:rsidRPr="001546E2">
        <w:rPr>
          <w:rFonts w:asciiTheme="majorHAnsi" w:hAnsiTheme="majorHAnsi"/>
          <w:sz w:val="20"/>
          <w:szCs w:val="20"/>
        </w:rPr>
        <w:br w:type="page"/>
      </w:r>
    </w:p>
    <w:tbl>
      <w:tblPr>
        <w:tblW w:w="9639" w:type="dxa"/>
        <w:jc w:val="center"/>
        <w:tblLayout w:type="fixed"/>
        <w:tblCellMar>
          <w:left w:w="70" w:type="dxa"/>
          <w:right w:w="70" w:type="dxa"/>
        </w:tblCellMar>
        <w:tblLook w:val="04A0" w:firstRow="1" w:lastRow="0" w:firstColumn="1" w:lastColumn="0" w:noHBand="0" w:noVBand="1"/>
      </w:tblPr>
      <w:tblGrid>
        <w:gridCol w:w="1317"/>
        <w:gridCol w:w="475"/>
        <w:gridCol w:w="1231"/>
        <w:gridCol w:w="411"/>
        <w:gridCol w:w="1143"/>
        <w:gridCol w:w="377"/>
        <w:gridCol w:w="1231"/>
        <w:gridCol w:w="411"/>
        <w:gridCol w:w="1353"/>
        <w:gridCol w:w="426"/>
        <w:gridCol w:w="1264"/>
      </w:tblGrid>
      <w:tr w:rsidR="00503CB8" w:rsidRPr="001546E2" w14:paraId="2AD722CD" w14:textId="77777777" w:rsidTr="001E1E3B">
        <w:trPr>
          <w:trHeight w:val="3808"/>
          <w:tblHeader/>
          <w:jc w:val="center"/>
        </w:trPr>
        <w:tc>
          <w:tcPr>
            <w:tcW w:w="1317" w:type="dxa"/>
            <w:tcBorders>
              <w:top w:val="single" w:sz="8" w:space="0" w:color="auto"/>
              <w:left w:val="nil"/>
              <w:bottom w:val="single" w:sz="4" w:space="0" w:color="auto"/>
              <w:right w:val="single" w:sz="8" w:space="0" w:color="auto"/>
            </w:tcBorders>
            <w:vAlign w:val="center"/>
            <w:hideMark/>
          </w:tcPr>
          <w:p w14:paraId="0F3CF0BA" w14:textId="77777777" w:rsidR="00503CB8" w:rsidRPr="001546E2" w:rsidRDefault="00503CB8" w:rsidP="00503CB8">
            <w:pPr>
              <w:spacing w:after="0" w:line="240" w:lineRule="auto"/>
              <w:rPr>
                <w:rFonts w:ascii="Cambria" w:eastAsia="Times New Roman" w:hAnsi="Cambria" w:cs="Calibri"/>
                <w:b/>
                <w:bCs/>
                <w:color w:val="000000"/>
                <w:sz w:val="20"/>
              </w:rPr>
            </w:pPr>
            <w:r w:rsidRPr="001546E2">
              <w:rPr>
                <w:rFonts w:ascii="Cambria" w:eastAsia="Times New Roman" w:hAnsi="Cambria" w:cs="Calibri"/>
                <w:b/>
                <w:bCs/>
                <w:color w:val="000000"/>
                <w:sz w:val="20"/>
              </w:rPr>
              <w:lastRenderedPageBreak/>
              <w:t>Résumé des dépenses</w:t>
            </w:r>
          </w:p>
          <w:p w14:paraId="5DC882FD"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705610EE"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30D45F51"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5E596CC8"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27AF2400"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0504EAB2" w14:textId="77777777" w:rsidR="00503CB8" w:rsidRPr="001546E2" w:rsidRDefault="00503CB8" w:rsidP="00503CB8">
            <w:pPr>
              <w:spacing w:after="0" w:line="240" w:lineRule="auto"/>
              <w:rPr>
                <w:rFonts w:ascii="Cambria" w:eastAsia="Times New Roman" w:hAnsi="Cambria" w:cs="Calibri"/>
                <w:b/>
                <w:bCs/>
                <w:color w:val="000000"/>
                <w:sz w:val="20"/>
                <w:szCs w:val="20"/>
              </w:rPr>
            </w:pPr>
          </w:p>
          <w:p w14:paraId="28AC6836" w14:textId="77777777" w:rsidR="00503CB8" w:rsidRPr="001546E2" w:rsidRDefault="00503CB8" w:rsidP="00503CB8">
            <w:pPr>
              <w:spacing w:after="0" w:line="240" w:lineRule="auto"/>
              <w:rPr>
                <w:rFonts w:ascii="Cambria" w:eastAsia="Times New Roman" w:hAnsi="Cambria" w:cs="Calibri"/>
                <w:b/>
                <w:bCs/>
                <w:color w:val="000000"/>
                <w:sz w:val="20"/>
                <w:szCs w:val="20"/>
              </w:rPr>
            </w:pPr>
            <w:proofErr w:type="spellStart"/>
            <w:r w:rsidRPr="001546E2">
              <w:rPr>
                <w:rFonts w:ascii="Cambria" w:eastAsia="Times New Roman" w:hAnsi="Cambria" w:cs="Calibri"/>
                <w:b/>
                <w:bCs/>
                <w:color w:val="000000"/>
                <w:sz w:val="20"/>
                <w:szCs w:val="20"/>
              </w:rPr>
              <w:t>CPC</w:t>
            </w:r>
            <w:proofErr w:type="spellEnd"/>
          </w:p>
        </w:tc>
        <w:tc>
          <w:tcPr>
            <w:tcW w:w="1706" w:type="dxa"/>
            <w:gridSpan w:val="2"/>
            <w:tcBorders>
              <w:top w:val="single" w:sz="8" w:space="0" w:color="auto"/>
              <w:left w:val="single" w:sz="8" w:space="0" w:color="auto"/>
              <w:bottom w:val="single" w:sz="4" w:space="0" w:color="auto"/>
              <w:right w:val="single" w:sz="8" w:space="0" w:color="000000"/>
            </w:tcBorders>
            <w:vAlign w:val="center"/>
            <w:hideMark/>
          </w:tcPr>
          <w:p w14:paraId="7926A645" w14:textId="6D8AE6C6" w:rsidR="00503CB8" w:rsidRPr="001546E2" w:rsidRDefault="00503CB8" w:rsidP="00503CB8">
            <w:pPr>
              <w:spacing w:after="0" w:line="240" w:lineRule="auto"/>
              <w:jc w:val="center"/>
              <w:rPr>
                <w:rFonts w:ascii="Cambria" w:eastAsia="Times New Roman" w:hAnsi="Cambria" w:cs="Calibri"/>
                <w:color w:val="000000"/>
                <w:sz w:val="18"/>
                <w:szCs w:val="18"/>
              </w:rPr>
            </w:pPr>
            <w:r w:rsidRPr="001546E2">
              <w:rPr>
                <w:rFonts w:ascii="Cambria" w:hAnsi="Cambria"/>
                <w:color w:val="000000"/>
                <w:sz w:val="18"/>
              </w:rPr>
              <w:t xml:space="preserve">Réunions scientifiques </w:t>
            </w:r>
          </w:p>
        </w:tc>
        <w:tc>
          <w:tcPr>
            <w:tcW w:w="1554" w:type="dxa"/>
            <w:gridSpan w:val="2"/>
            <w:tcBorders>
              <w:top w:val="single" w:sz="8" w:space="0" w:color="auto"/>
              <w:left w:val="single" w:sz="8" w:space="0" w:color="auto"/>
              <w:bottom w:val="single" w:sz="4" w:space="0" w:color="auto"/>
              <w:right w:val="single" w:sz="8" w:space="0" w:color="000000"/>
            </w:tcBorders>
            <w:vAlign w:val="center"/>
            <w:hideMark/>
          </w:tcPr>
          <w:p w14:paraId="5AC5B048" w14:textId="7530D087" w:rsidR="00503CB8" w:rsidRPr="001546E2" w:rsidRDefault="00503CB8" w:rsidP="00503CB8">
            <w:pPr>
              <w:spacing w:after="0" w:line="240" w:lineRule="auto"/>
              <w:jc w:val="center"/>
              <w:rPr>
                <w:rFonts w:ascii="Cambria" w:eastAsia="Times New Roman" w:hAnsi="Cambria" w:cs="Calibri"/>
                <w:color w:val="000000"/>
                <w:sz w:val="18"/>
                <w:szCs w:val="18"/>
              </w:rPr>
            </w:pPr>
            <w:r w:rsidRPr="001546E2">
              <w:rPr>
                <w:rFonts w:ascii="Cambria" w:hAnsi="Cambria"/>
                <w:color w:val="000000"/>
                <w:sz w:val="18"/>
              </w:rPr>
              <w:t>Réunion intersessions de la Sous-commission 2</w:t>
            </w:r>
          </w:p>
        </w:tc>
        <w:tc>
          <w:tcPr>
            <w:tcW w:w="1608" w:type="dxa"/>
            <w:gridSpan w:val="2"/>
            <w:tcBorders>
              <w:top w:val="single" w:sz="8" w:space="0" w:color="auto"/>
              <w:left w:val="single" w:sz="8" w:space="0" w:color="auto"/>
              <w:bottom w:val="single" w:sz="4" w:space="0" w:color="auto"/>
              <w:right w:val="nil"/>
            </w:tcBorders>
            <w:vAlign w:val="center"/>
            <w:hideMark/>
          </w:tcPr>
          <w:p w14:paraId="6D08A6E0" w14:textId="4193920F" w:rsidR="00503CB8" w:rsidRPr="001546E2" w:rsidRDefault="00503CB8" w:rsidP="00503CB8">
            <w:pPr>
              <w:spacing w:after="0" w:line="240" w:lineRule="auto"/>
              <w:jc w:val="center"/>
              <w:rPr>
                <w:rFonts w:ascii="Cambria" w:eastAsia="Times New Roman" w:hAnsi="Cambria" w:cs="Calibri"/>
                <w:iCs/>
                <w:color w:val="000000"/>
                <w:sz w:val="18"/>
                <w:szCs w:val="18"/>
              </w:rPr>
            </w:pPr>
            <w:r w:rsidRPr="001546E2">
              <w:rPr>
                <w:rFonts w:ascii="Cambria" w:hAnsi="Cambria"/>
                <w:iCs/>
                <w:color w:val="000000"/>
                <w:sz w:val="18"/>
              </w:rPr>
              <w:t xml:space="preserve">Réunion du Groupe de travail sur les systèmes de surveillance électronique (EMS </w:t>
            </w:r>
            <w:proofErr w:type="spellStart"/>
            <w:r w:rsidRPr="001546E2">
              <w:rPr>
                <w:rFonts w:ascii="Cambria" w:hAnsi="Cambria"/>
                <w:iCs/>
                <w:color w:val="000000"/>
                <w:sz w:val="18"/>
              </w:rPr>
              <w:t>WG</w:t>
            </w:r>
            <w:proofErr w:type="spellEnd"/>
            <w:r w:rsidRPr="001546E2">
              <w:rPr>
                <w:rFonts w:ascii="Cambria" w:hAnsi="Cambria"/>
                <w:iCs/>
                <w:color w:val="000000"/>
                <w:sz w:val="18"/>
              </w:rPr>
              <w:t xml:space="preserve">)/Deuxième réunion du Groupe de travail permanent sur les systèmes de documentation des captures (CDS </w:t>
            </w:r>
            <w:proofErr w:type="spellStart"/>
            <w:r w:rsidRPr="001546E2">
              <w:rPr>
                <w:rFonts w:ascii="Cambria" w:hAnsi="Cambria"/>
                <w:iCs/>
                <w:color w:val="000000"/>
                <w:sz w:val="18"/>
              </w:rPr>
              <w:t>WG</w:t>
            </w:r>
            <w:proofErr w:type="spellEnd"/>
            <w:r w:rsidRPr="001546E2">
              <w:rPr>
                <w:rFonts w:ascii="Cambria" w:hAnsi="Cambria"/>
                <w:iCs/>
                <w:color w:val="000000"/>
                <w:sz w:val="18"/>
              </w:rPr>
              <w:t>)/18e réunion du Groupe de travail chargé d’élaborer des mesures de contrôle intégré (</w:t>
            </w:r>
            <w:proofErr w:type="spellStart"/>
            <w:r w:rsidRPr="001546E2">
              <w:rPr>
                <w:rFonts w:ascii="Cambria" w:hAnsi="Cambria"/>
                <w:iCs/>
                <w:color w:val="000000"/>
                <w:sz w:val="18"/>
              </w:rPr>
              <w:t>IMM</w:t>
            </w:r>
            <w:proofErr w:type="spellEnd"/>
            <w:r w:rsidRPr="001546E2">
              <w:rPr>
                <w:rFonts w:ascii="Cambria" w:hAnsi="Cambria"/>
                <w:iCs/>
                <w:color w:val="000000"/>
                <w:sz w:val="18"/>
              </w:rPr>
              <w:t>)</w:t>
            </w:r>
          </w:p>
        </w:tc>
        <w:tc>
          <w:tcPr>
            <w:tcW w:w="1764" w:type="dxa"/>
            <w:gridSpan w:val="2"/>
            <w:tcBorders>
              <w:top w:val="single" w:sz="8" w:space="0" w:color="auto"/>
              <w:left w:val="single" w:sz="8" w:space="0" w:color="auto"/>
              <w:bottom w:val="single" w:sz="4" w:space="0" w:color="auto"/>
              <w:right w:val="single" w:sz="8" w:space="0" w:color="000000"/>
            </w:tcBorders>
            <w:vAlign w:val="center"/>
            <w:hideMark/>
          </w:tcPr>
          <w:p w14:paraId="59490A7E" w14:textId="0D58C3E2" w:rsidR="00503CB8" w:rsidRPr="001546E2" w:rsidRDefault="00503CB8" w:rsidP="00503CB8">
            <w:pPr>
              <w:spacing w:after="0" w:line="240" w:lineRule="auto"/>
              <w:jc w:val="center"/>
              <w:rPr>
                <w:rFonts w:ascii="Cambria" w:eastAsia="Times New Roman" w:hAnsi="Cambria" w:cs="Calibri"/>
                <w:color w:val="000000"/>
                <w:sz w:val="18"/>
                <w:szCs w:val="18"/>
              </w:rPr>
            </w:pPr>
            <w:r w:rsidRPr="001546E2">
              <w:rPr>
                <w:rFonts w:ascii="Cambria" w:hAnsi="Cambria"/>
                <w:color w:val="000000"/>
                <w:sz w:val="18"/>
              </w:rPr>
              <w:t>Réunion du Groupe de travail permanent dédié au dialogue entre halieutes et gestionnaires des pêcheries (</w:t>
            </w:r>
            <w:proofErr w:type="spellStart"/>
            <w:r w:rsidRPr="001546E2">
              <w:rPr>
                <w:rFonts w:ascii="Cambria" w:hAnsi="Cambria"/>
                <w:color w:val="000000"/>
                <w:sz w:val="18"/>
              </w:rPr>
              <w:t>SWGSM</w:t>
            </w:r>
            <w:proofErr w:type="spellEnd"/>
            <w:r w:rsidRPr="001546E2">
              <w:rPr>
                <w:rFonts w:ascii="Cambria" w:hAnsi="Cambria"/>
                <w:color w:val="000000"/>
                <w:sz w:val="18"/>
              </w:rPr>
              <w:t>)</w:t>
            </w:r>
          </w:p>
        </w:tc>
        <w:tc>
          <w:tcPr>
            <w:tcW w:w="1690" w:type="dxa"/>
            <w:gridSpan w:val="2"/>
            <w:tcBorders>
              <w:top w:val="single" w:sz="8" w:space="0" w:color="auto"/>
              <w:left w:val="single" w:sz="8" w:space="0" w:color="auto"/>
              <w:bottom w:val="single" w:sz="4" w:space="0" w:color="auto"/>
              <w:right w:val="nil"/>
            </w:tcBorders>
            <w:vAlign w:val="center"/>
            <w:hideMark/>
          </w:tcPr>
          <w:p w14:paraId="62246F85" w14:textId="643BC770" w:rsidR="00503CB8" w:rsidRPr="001546E2" w:rsidRDefault="00503CB8" w:rsidP="00503CB8">
            <w:pPr>
              <w:spacing w:after="0" w:line="240" w:lineRule="auto"/>
              <w:jc w:val="center"/>
              <w:rPr>
                <w:rFonts w:ascii="Cambria" w:eastAsia="Times New Roman" w:hAnsi="Cambria" w:cs="Calibri"/>
                <w:color w:val="000000"/>
                <w:sz w:val="18"/>
                <w:szCs w:val="18"/>
              </w:rPr>
            </w:pPr>
            <w:r w:rsidRPr="001546E2">
              <w:rPr>
                <w:rFonts w:ascii="Cambria" w:hAnsi="Cambria"/>
                <w:color w:val="000000"/>
                <w:sz w:val="18"/>
              </w:rPr>
              <w:t>Réunion du Comité d’application / 29e réunion ordinaire de la Commission</w:t>
            </w:r>
          </w:p>
        </w:tc>
      </w:tr>
      <w:tr w:rsidR="00503CB8" w:rsidRPr="001546E2" w14:paraId="5243F23E" w14:textId="77777777" w:rsidTr="001E1E3B">
        <w:trPr>
          <w:trHeight w:val="290"/>
          <w:jc w:val="center"/>
        </w:trPr>
        <w:tc>
          <w:tcPr>
            <w:tcW w:w="1317" w:type="dxa"/>
            <w:tcBorders>
              <w:top w:val="single" w:sz="4" w:space="0" w:color="auto"/>
              <w:left w:val="nil"/>
              <w:bottom w:val="dotted" w:sz="4" w:space="0" w:color="auto"/>
              <w:right w:val="single" w:sz="8" w:space="0" w:color="auto"/>
            </w:tcBorders>
            <w:noWrap/>
            <w:vAlign w:val="center"/>
          </w:tcPr>
          <w:p w14:paraId="1A5ED204"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Angola</w:t>
            </w:r>
          </w:p>
        </w:tc>
        <w:tc>
          <w:tcPr>
            <w:tcW w:w="475" w:type="dxa"/>
            <w:tcBorders>
              <w:top w:val="single" w:sz="4" w:space="0" w:color="auto"/>
              <w:left w:val="nil"/>
              <w:bottom w:val="dotted" w:sz="4" w:space="0" w:color="auto"/>
              <w:right w:val="dotted" w:sz="4" w:space="0" w:color="auto"/>
            </w:tcBorders>
            <w:noWrap/>
            <w:vAlign w:val="center"/>
          </w:tcPr>
          <w:p w14:paraId="42AB9821"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31" w:type="dxa"/>
            <w:tcBorders>
              <w:top w:val="single" w:sz="4" w:space="0" w:color="auto"/>
              <w:left w:val="nil"/>
              <w:bottom w:val="dotted" w:sz="4" w:space="0" w:color="auto"/>
              <w:right w:val="single" w:sz="8" w:space="0" w:color="auto"/>
            </w:tcBorders>
            <w:noWrap/>
            <w:vAlign w:val="center"/>
          </w:tcPr>
          <w:p w14:paraId="4BF7F810"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411" w:type="dxa"/>
            <w:tcBorders>
              <w:top w:val="single" w:sz="4" w:space="0" w:color="auto"/>
              <w:left w:val="nil"/>
              <w:bottom w:val="dotted" w:sz="4" w:space="0" w:color="auto"/>
              <w:right w:val="dotted" w:sz="4" w:space="0" w:color="auto"/>
            </w:tcBorders>
            <w:noWrap/>
            <w:vAlign w:val="center"/>
          </w:tcPr>
          <w:p w14:paraId="02F461F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tcBorders>
              <w:top w:val="single" w:sz="4" w:space="0" w:color="auto"/>
              <w:left w:val="nil"/>
              <w:bottom w:val="dotted" w:sz="4" w:space="0" w:color="auto"/>
              <w:right w:val="single" w:sz="8" w:space="0" w:color="auto"/>
            </w:tcBorders>
            <w:noWrap/>
            <w:vAlign w:val="center"/>
          </w:tcPr>
          <w:p w14:paraId="7460217D"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tcBorders>
              <w:top w:val="single" w:sz="4" w:space="0" w:color="auto"/>
              <w:left w:val="nil"/>
              <w:bottom w:val="dotted" w:sz="4" w:space="0" w:color="auto"/>
              <w:right w:val="dotted" w:sz="4" w:space="0" w:color="auto"/>
            </w:tcBorders>
            <w:noWrap/>
            <w:vAlign w:val="center"/>
          </w:tcPr>
          <w:p w14:paraId="26F1BEE9"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31" w:type="dxa"/>
            <w:tcBorders>
              <w:top w:val="single" w:sz="4" w:space="0" w:color="auto"/>
              <w:left w:val="nil"/>
              <w:bottom w:val="dotted" w:sz="4" w:space="0" w:color="auto"/>
              <w:right w:val="single" w:sz="8" w:space="0" w:color="auto"/>
            </w:tcBorders>
            <w:noWrap/>
            <w:vAlign w:val="center"/>
          </w:tcPr>
          <w:p w14:paraId="2335BCD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single" w:sz="4" w:space="0" w:color="auto"/>
              <w:left w:val="nil"/>
              <w:bottom w:val="dotted" w:sz="4" w:space="0" w:color="auto"/>
              <w:right w:val="dotted" w:sz="4" w:space="0" w:color="auto"/>
            </w:tcBorders>
            <w:noWrap/>
            <w:vAlign w:val="center"/>
          </w:tcPr>
          <w:p w14:paraId="5F9AA04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tcBorders>
              <w:top w:val="single" w:sz="4" w:space="0" w:color="auto"/>
              <w:left w:val="nil"/>
              <w:bottom w:val="dotted" w:sz="4" w:space="0" w:color="auto"/>
              <w:right w:val="single" w:sz="8" w:space="0" w:color="auto"/>
            </w:tcBorders>
            <w:noWrap/>
            <w:vAlign w:val="center"/>
          </w:tcPr>
          <w:p w14:paraId="4A02CC22"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tcBorders>
              <w:top w:val="single" w:sz="4" w:space="0" w:color="auto"/>
              <w:left w:val="nil"/>
              <w:bottom w:val="dotted" w:sz="4" w:space="0" w:color="auto"/>
              <w:right w:val="dotted" w:sz="4" w:space="0" w:color="auto"/>
            </w:tcBorders>
            <w:noWrap/>
            <w:vAlign w:val="center"/>
          </w:tcPr>
          <w:p w14:paraId="685E0B1E"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64" w:type="dxa"/>
            <w:tcBorders>
              <w:top w:val="single" w:sz="4" w:space="0" w:color="auto"/>
              <w:left w:val="nil"/>
              <w:bottom w:val="dotted" w:sz="4" w:space="0" w:color="auto"/>
            </w:tcBorders>
            <w:noWrap/>
            <w:vAlign w:val="center"/>
          </w:tcPr>
          <w:p w14:paraId="7ADD64C6"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888,32 €</w:t>
            </w:r>
          </w:p>
          <w:p w14:paraId="1A6FE8D5"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3E9108E8" w14:textId="77777777" w:rsidTr="001E1E3B">
        <w:trPr>
          <w:trHeight w:val="290"/>
          <w:jc w:val="center"/>
        </w:trPr>
        <w:tc>
          <w:tcPr>
            <w:tcW w:w="1317" w:type="dxa"/>
            <w:vMerge w:val="restart"/>
            <w:tcBorders>
              <w:top w:val="dotted" w:sz="4" w:space="0" w:color="auto"/>
              <w:left w:val="nil"/>
              <w:right w:val="single" w:sz="8" w:space="0" w:color="auto"/>
            </w:tcBorders>
            <w:noWrap/>
            <w:vAlign w:val="center"/>
          </w:tcPr>
          <w:p w14:paraId="13B11D93" w14:textId="76074F3C"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Algérie</w:t>
            </w:r>
          </w:p>
        </w:tc>
        <w:tc>
          <w:tcPr>
            <w:tcW w:w="475" w:type="dxa"/>
            <w:tcBorders>
              <w:top w:val="dotted" w:sz="4" w:space="0" w:color="auto"/>
              <w:left w:val="nil"/>
              <w:bottom w:val="nil"/>
              <w:right w:val="dotted" w:sz="4" w:space="0" w:color="auto"/>
            </w:tcBorders>
            <w:noWrap/>
            <w:vAlign w:val="center"/>
          </w:tcPr>
          <w:p w14:paraId="0CC85D3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7DAC74B2"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3.021,17 €</w:t>
            </w:r>
          </w:p>
        </w:tc>
        <w:tc>
          <w:tcPr>
            <w:tcW w:w="411" w:type="dxa"/>
            <w:vMerge w:val="restart"/>
            <w:tcBorders>
              <w:top w:val="dotted" w:sz="4" w:space="0" w:color="auto"/>
              <w:left w:val="nil"/>
              <w:right w:val="dotted" w:sz="4" w:space="0" w:color="auto"/>
            </w:tcBorders>
            <w:noWrap/>
            <w:vAlign w:val="center"/>
          </w:tcPr>
          <w:p w14:paraId="5C05C49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143" w:type="dxa"/>
            <w:vMerge w:val="restart"/>
            <w:tcBorders>
              <w:top w:val="dotted" w:sz="4" w:space="0" w:color="auto"/>
              <w:left w:val="nil"/>
              <w:right w:val="single" w:sz="8" w:space="0" w:color="auto"/>
            </w:tcBorders>
            <w:noWrap/>
            <w:vAlign w:val="center"/>
          </w:tcPr>
          <w:p w14:paraId="64533B9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2.608,51 €</w:t>
            </w:r>
          </w:p>
        </w:tc>
        <w:tc>
          <w:tcPr>
            <w:tcW w:w="377" w:type="dxa"/>
            <w:vMerge w:val="restart"/>
            <w:tcBorders>
              <w:top w:val="dotted" w:sz="4" w:space="0" w:color="auto"/>
              <w:left w:val="nil"/>
              <w:right w:val="dotted" w:sz="4" w:space="0" w:color="auto"/>
            </w:tcBorders>
            <w:noWrap/>
            <w:vAlign w:val="center"/>
          </w:tcPr>
          <w:p w14:paraId="68227AFA"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0DD4C894"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371F7DA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4E23553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3C89F78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vMerge w:val="restart"/>
            <w:tcBorders>
              <w:top w:val="dotted" w:sz="4" w:space="0" w:color="auto"/>
              <w:left w:val="nil"/>
            </w:tcBorders>
            <w:noWrap/>
            <w:vAlign w:val="center"/>
          </w:tcPr>
          <w:p w14:paraId="13E8CA63"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370,05 €</w:t>
            </w:r>
          </w:p>
          <w:p w14:paraId="64A8E61E"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2.666,00 €</w:t>
            </w:r>
          </w:p>
        </w:tc>
      </w:tr>
      <w:tr w:rsidR="00503CB8" w:rsidRPr="001546E2" w14:paraId="0EBF023E" w14:textId="77777777" w:rsidTr="001E1E3B">
        <w:trPr>
          <w:trHeight w:val="290"/>
          <w:jc w:val="center"/>
        </w:trPr>
        <w:tc>
          <w:tcPr>
            <w:tcW w:w="1317" w:type="dxa"/>
            <w:vMerge/>
            <w:tcBorders>
              <w:left w:val="nil"/>
              <w:right w:val="single" w:sz="8" w:space="0" w:color="auto"/>
            </w:tcBorders>
            <w:noWrap/>
            <w:vAlign w:val="center"/>
          </w:tcPr>
          <w:p w14:paraId="5D0F775C"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562DE6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2CFB41C1"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2.706,40 €</w:t>
            </w:r>
          </w:p>
        </w:tc>
        <w:tc>
          <w:tcPr>
            <w:tcW w:w="411" w:type="dxa"/>
            <w:vMerge/>
            <w:tcBorders>
              <w:left w:val="nil"/>
              <w:right w:val="dotted" w:sz="4" w:space="0" w:color="auto"/>
            </w:tcBorders>
            <w:noWrap/>
            <w:vAlign w:val="center"/>
          </w:tcPr>
          <w:p w14:paraId="3E165A43"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A918B50"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C9A6723"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A7372EC"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0A0C8CF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E88D9A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312305D"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6BD613B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271767F"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50C5B5E7" w14:textId="77777777" w:rsidR="00503CB8" w:rsidRPr="001546E2" w:rsidRDefault="00503CB8" w:rsidP="001E1E3B">
            <w:pPr>
              <w:spacing w:after="0" w:line="240" w:lineRule="auto"/>
              <w:rPr>
                <w:rFonts w:ascii="Cambria" w:eastAsia="Times New Roman" w:hAnsi="Cambria" w:cs="Calibri"/>
                <w:color w:val="000000"/>
                <w:sz w:val="18"/>
                <w:szCs w:val="18"/>
              </w:rPr>
            </w:pPr>
            <w:proofErr w:type="spellStart"/>
            <w:r w:rsidRPr="001546E2">
              <w:rPr>
                <w:rFonts w:ascii="Cambria" w:eastAsia="Times New Roman" w:hAnsi="Cambria" w:cs="Calibri"/>
                <w:color w:val="000000"/>
                <w:sz w:val="18"/>
              </w:rPr>
              <w:t>Belice</w:t>
            </w:r>
            <w:proofErr w:type="spellEnd"/>
          </w:p>
        </w:tc>
        <w:tc>
          <w:tcPr>
            <w:tcW w:w="475" w:type="dxa"/>
            <w:tcBorders>
              <w:top w:val="dotted" w:sz="4" w:space="0" w:color="auto"/>
              <w:left w:val="nil"/>
              <w:bottom w:val="dotted" w:sz="4" w:space="0" w:color="auto"/>
              <w:right w:val="dotted" w:sz="4" w:space="0" w:color="auto"/>
            </w:tcBorders>
            <w:noWrap/>
            <w:vAlign w:val="center"/>
          </w:tcPr>
          <w:p w14:paraId="4BE02D4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72366FE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2D710DED"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652FF85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7C57FB9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565CFBE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48395BA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5B7D39F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6E253941"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tcBorders>
              <w:top w:val="dotted" w:sz="4" w:space="0" w:color="auto"/>
              <w:left w:val="nil"/>
              <w:bottom w:val="dotted" w:sz="4" w:space="0" w:color="auto"/>
              <w:right w:val="nil"/>
            </w:tcBorders>
            <w:noWrap/>
            <w:vAlign w:val="center"/>
          </w:tcPr>
          <w:p w14:paraId="251256D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1.775,57 €</w:t>
            </w:r>
          </w:p>
          <w:p w14:paraId="4B9B5DFC"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3.176,40 €</w:t>
            </w:r>
          </w:p>
        </w:tc>
      </w:tr>
      <w:tr w:rsidR="00503CB8" w:rsidRPr="001546E2" w14:paraId="13A76D26" w14:textId="77777777" w:rsidTr="001E1E3B">
        <w:trPr>
          <w:trHeight w:val="290"/>
          <w:jc w:val="center"/>
        </w:trPr>
        <w:tc>
          <w:tcPr>
            <w:tcW w:w="1317" w:type="dxa"/>
            <w:vMerge w:val="restart"/>
            <w:tcBorders>
              <w:top w:val="dotted" w:sz="4" w:space="0" w:color="auto"/>
              <w:left w:val="nil"/>
              <w:right w:val="single" w:sz="8" w:space="0" w:color="auto"/>
            </w:tcBorders>
            <w:noWrap/>
            <w:vAlign w:val="center"/>
          </w:tcPr>
          <w:p w14:paraId="75DBB9D4" w14:textId="36D409ED"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Brésil</w:t>
            </w:r>
          </w:p>
        </w:tc>
        <w:tc>
          <w:tcPr>
            <w:tcW w:w="475" w:type="dxa"/>
            <w:tcBorders>
              <w:top w:val="dotted" w:sz="4" w:space="0" w:color="auto"/>
              <w:left w:val="nil"/>
              <w:bottom w:val="nil"/>
              <w:right w:val="dotted" w:sz="4" w:space="0" w:color="auto"/>
            </w:tcBorders>
            <w:noWrap/>
            <w:vAlign w:val="center"/>
          </w:tcPr>
          <w:p w14:paraId="0974F61A"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b)</w:t>
            </w:r>
          </w:p>
        </w:tc>
        <w:tc>
          <w:tcPr>
            <w:tcW w:w="1231" w:type="dxa"/>
            <w:tcBorders>
              <w:top w:val="dotted" w:sz="4" w:space="0" w:color="auto"/>
              <w:left w:val="nil"/>
              <w:bottom w:val="nil"/>
              <w:right w:val="single" w:sz="8" w:space="0" w:color="auto"/>
            </w:tcBorders>
            <w:noWrap/>
            <w:vAlign w:val="center"/>
          </w:tcPr>
          <w:p w14:paraId="6711EF20"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3.308,86 €</w:t>
            </w:r>
          </w:p>
        </w:tc>
        <w:tc>
          <w:tcPr>
            <w:tcW w:w="411" w:type="dxa"/>
            <w:vMerge w:val="restart"/>
            <w:tcBorders>
              <w:top w:val="dotted" w:sz="4" w:space="0" w:color="auto"/>
              <w:left w:val="nil"/>
              <w:right w:val="dotted" w:sz="4" w:space="0" w:color="auto"/>
            </w:tcBorders>
            <w:noWrap/>
            <w:vAlign w:val="center"/>
          </w:tcPr>
          <w:p w14:paraId="360F9AD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0FB4A38C"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FF2D92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42805AF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512FAF38"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353" w:type="dxa"/>
            <w:vMerge w:val="restart"/>
            <w:tcBorders>
              <w:top w:val="dotted" w:sz="4" w:space="0" w:color="auto"/>
              <w:left w:val="nil"/>
              <w:right w:val="single" w:sz="8" w:space="0" w:color="auto"/>
            </w:tcBorders>
            <w:noWrap/>
            <w:vAlign w:val="center"/>
          </w:tcPr>
          <w:p w14:paraId="2D61D53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1.208,35 €</w:t>
            </w:r>
          </w:p>
        </w:tc>
        <w:tc>
          <w:tcPr>
            <w:tcW w:w="426" w:type="dxa"/>
            <w:vMerge w:val="restart"/>
            <w:tcBorders>
              <w:top w:val="dotted" w:sz="4" w:space="0" w:color="auto"/>
              <w:left w:val="nil"/>
              <w:right w:val="dotted" w:sz="4" w:space="0" w:color="auto"/>
            </w:tcBorders>
            <w:noWrap/>
            <w:vAlign w:val="center"/>
          </w:tcPr>
          <w:p w14:paraId="1D3E02C4"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64" w:type="dxa"/>
            <w:vMerge w:val="restart"/>
            <w:tcBorders>
              <w:top w:val="dotted" w:sz="4" w:space="0" w:color="auto"/>
              <w:left w:val="nil"/>
            </w:tcBorders>
            <w:noWrap/>
            <w:vAlign w:val="center"/>
          </w:tcPr>
          <w:p w14:paraId="6EFCD3D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1.127,11 €</w:t>
            </w:r>
          </w:p>
          <w:p w14:paraId="7458F47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2.852,00 €</w:t>
            </w:r>
          </w:p>
        </w:tc>
      </w:tr>
      <w:tr w:rsidR="00503CB8" w:rsidRPr="001546E2" w14:paraId="448AD5A6"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1912FE48"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8B1E1D5"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e)</w:t>
            </w:r>
          </w:p>
        </w:tc>
        <w:tc>
          <w:tcPr>
            <w:tcW w:w="1231" w:type="dxa"/>
            <w:tcBorders>
              <w:top w:val="dotted" w:sz="4" w:space="0" w:color="auto"/>
              <w:left w:val="nil"/>
              <w:bottom w:val="nil"/>
              <w:right w:val="single" w:sz="8" w:space="0" w:color="auto"/>
            </w:tcBorders>
            <w:noWrap/>
            <w:vAlign w:val="center"/>
          </w:tcPr>
          <w:p w14:paraId="2B315B68"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5.196,37 €</w:t>
            </w:r>
          </w:p>
        </w:tc>
        <w:tc>
          <w:tcPr>
            <w:tcW w:w="411" w:type="dxa"/>
            <w:vMerge/>
            <w:tcBorders>
              <w:top w:val="dotted" w:sz="4" w:space="0" w:color="auto"/>
              <w:left w:val="nil"/>
              <w:right w:val="dotted" w:sz="4" w:space="0" w:color="auto"/>
            </w:tcBorders>
            <w:noWrap/>
            <w:vAlign w:val="center"/>
          </w:tcPr>
          <w:p w14:paraId="1F8C730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6A24DF7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239E3DAA"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08B05D4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70F7414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58916FB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5E773DE8"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1F8ECE3E"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BBFE9BA"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1D3312D4"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4B661A78"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f) C</w:t>
            </w:r>
          </w:p>
        </w:tc>
        <w:tc>
          <w:tcPr>
            <w:tcW w:w="1231" w:type="dxa"/>
            <w:tcBorders>
              <w:top w:val="dotted" w:sz="4" w:space="0" w:color="auto"/>
              <w:left w:val="nil"/>
              <w:bottom w:val="nil"/>
              <w:right w:val="single" w:sz="8" w:space="0" w:color="auto"/>
            </w:tcBorders>
            <w:noWrap/>
            <w:vAlign w:val="center"/>
          </w:tcPr>
          <w:p w14:paraId="27124410"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18,00 €</w:t>
            </w:r>
          </w:p>
        </w:tc>
        <w:tc>
          <w:tcPr>
            <w:tcW w:w="411" w:type="dxa"/>
            <w:vMerge/>
            <w:tcBorders>
              <w:top w:val="dotted" w:sz="4" w:space="0" w:color="auto"/>
              <w:left w:val="nil"/>
              <w:right w:val="dotted" w:sz="4" w:space="0" w:color="auto"/>
            </w:tcBorders>
            <w:noWrap/>
            <w:vAlign w:val="center"/>
          </w:tcPr>
          <w:p w14:paraId="02C9E4D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165BF8F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616A3FA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441884B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7BA8504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031C679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73BE134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5DF71A7C"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1880D861"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3C7666E0"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555853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dotted" w:sz="4" w:space="0" w:color="auto"/>
              <w:left w:val="nil"/>
              <w:bottom w:val="nil"/>
              <w:right w:val="single" w:sz="8" w:space="0" w:color="auto"/>
            </w:tcBorders>
            <w:noWrap/>
            <w:vAlign w:val="center"/>
          </w:tcPr>
          <w:p w14:paraId="5CE3EFF5"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1.944,91 €</w:t>
            </w:r>
          </w:p>
        </w:tc>
        <w:tc>
          <w:tcPr>
            <w:tcW w:w="411" w:type="dxa"/>
            <w:vMerge/>
            <w:tcBorders>
              <w:top w:val="dotted" w:sz="4" w:space="0" w:color="auto"/>
              <w:left w:val="nil"/>
              <w:right w:val="dotted" w:sz="4" w:space="0" w:color="auto"/>
            </w:tcBorders>
            <w:noWrap/>
            <w:vAlign w:val="center"/>
          </w:tcPr>
          <w:p w14:paraId="2F79829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6392B21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0DC800A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4CCD61F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7E33A75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1EA72B9E"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0E4107AC"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6FCFF89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BC05A56"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21F9D024"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7B2B2D3"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h)</w:t>
            </w:r>
          </w:p>
        </w:tc>
        <w:tc>
          <w:tcPr>
            <w:tcW w:w="1231" w:type="dxa"/>
            <w:tcBorders>
              <w:top w:val="dotted" w:sz="4" w:space="0" w:color="auto"/>
              <w:left w:val="nil"/>
              <w:bottom w:val="nil"/>
              <w:right w:val="single" w:sz="8" w:space="0" w:color="auto"/>
            </w:tcBorders>
            <w:noWrap/>
            <w:vAlign w:val="center"/>
          </w:tcPr>
          <w:p w14:paraId="6D82EF8A"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2.896,28 €</w:t>
            </w:r>
          </w:p>
        </w:tc>
        <w:tc>
          <w:tcPr>
            <w:tcW w:w="411" w:type="dxa"/>
            <w:vMerge/>
            <w:tcBorders>
              <w:top w:val="dotted" w:sz="4" w:space="0" w:color="auto"/>
              <w:left w:val="nil"/>
              <w:right w:val="dotted" w:sz="4" w:space="0" w:color="auto"/>
            </w:tcBorders>
            <w:noWrap/>
            <w:vAlign w:val="center"/>
          </w:tcPr>
          <w:p w14:paraId="532C656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693A624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7FDA0DE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6B54EA6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33B253C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5B43EC3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57C95F9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6365998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446493A"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2D568436"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6B1AE5D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i)</w:t>
            </w:r>
          </w:p>
        </w:tc>
        <w:tc>
          <w:tcPr>
            <w:tcW w:w="1231" w:type="dxa"/>
            <w:tcBorders>
              <w:top w:val="dotted" w:sz="4" w:space="0" w:color="auto"/>
              <w:left w:val="nil"/>
              <w:bottom w:val="nil"/>
              <w:right w:val="single" w:sz="8" w:space="0" w:color="auto"/>
            </w:tcBorders>
            <w:noWrap/>
            <w:vAlign w:val="center"/>
          </w:tcPr>
          <w:p w14:paraId="01EFEA89"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3.623,92 €</w:t>
            </w:r>
          </w:p>
        </w:tc>
        <w:tc>
          <w:tcPr>
            <w:tcW w:w="411" w:type="dxa"/>
            <w:vMerge/>
            <w:tcBorders>
              <w:top w:val="dotted" w:sz="4" w:space="0" w:color="auto"/>
              <w:left w:val="nil"/>
              <w:right w:val="dotted" w:sz="4" w:space="0" w:color="auto"/>
            </w:tcBorders>
            <w:noWrap/>
            <w:vAlign w:val="center"/>
          </w:tcPr>
          <w:p w14:paraId="6C05284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top w:val="dotted" w:sz="4" w:space="0" w:color="auto"/>
              <w:left w:val="nil"/>
              <w:right w:val="single" w:sz="8" w:space="0" w:color="auto"/>
            </w:tcBorders>
            <w:noWrap/>
            <w:vAlign w:val="center"/>
          </w:tcPr>
          <w:p w14:paraId="1CE68FC6"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top w:val="dotted" w:sz="4" w:space="0" w:color="auto"/>
              <w:left w:val="nil"/>
              <w:right w:val="dotted" w:sz="4" w:space="0" w:color="auto"/>
            </w:tcBorders>
            <w:noWrap/>
            <w:vAlign w:val="center"/>
          </w:tcPr>
          <w:p w14:paraId="54266C08"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top w:val="dotted" w:sz="4" w:space="0" w:color="auto"/>
              <w:left w:val="nil"/>
              <w:right w:val="single" w:sz="8" w:space="0" w:color="auto"/>
            </w:tcBorders>
            <w:noWrap/>
            <w:vAlign w:val="center"/>
          </w:tcPr>
          <w:p w14:paraId="610B453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nil"/>
              <w:right w:val="dotted" w:sz="4" w:space="0" w:color="auto"/>
            </w:tcBorders>
            <w:noWrap/>
            <w:vAlign w:val="center"/>
          </w:tcPr>
          <w:p w14:paraId="086B7F2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1EF93CF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right w:val="dotted" w:sz="4" w:space="0" w:color="auto"/>
            </w:tcBorders>
            <w:noWrap/>
            <w:vAlign w:val="center"/>
          </w:tcPr>
          <w:p w14:paraId="5AA525CD"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top w:val="dotted" w:sz="4" w:space="0" w:color="auto"/>
              <w:left w:val="nil"/>
            </w:tcBorders>
            <w:noWrap/>
            <w:vAlign w:val="center"/>
          </w:tcPr>
          <w:p w14:paraId="0CA8014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32D2CF0" w14:textId="77777777" w:rsidTr="001E1E3B">
        <w:trPr>
          <w:trHeight w:val="290"/>
          <w:jc w:val="center"/>
        </w:trPr>
        <w:tc>
          <w:tcPr>
            <w:tcW w:w="1317" w:type="dxa"/>
            <w:vMerge/>
            <w:tcBorders>
              <w:left w:val="nil"/>
              <w:right w:val="single" w:sz="8" w:space="0" w:color="auto"/>
            </w:tcBorders>
            <w:noWrap/>
            <w:vAlign w:val="center"/>
          </w:tcPr>
          <w:p w14:paraId="37740BA4"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79EF56AF"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nil"/>
              <w:right w:val="single" w:sz="8" w:space="0" w:color="auto"/>
            </w:tcBorders>
            <w:noWrap/>
            <w:vAlign w:val="center"/>
          </w:tcPr>
          <w:p w14:paraId="6DDD7C0C"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2.335,35 €</w:t>
            </w:r>
          </w:p>
        </w:tc>
        <w:tc>
          <w:tcPr>
            <w:tcW w:w="411" w:type="dxa"/>
            <w:vMerge/>
            <w:tcBorders>
              <w:left w:val="nil"/>
              <w:right w:val="dotted" w:sz="4" w:space="0" w:color="auto"/>
            </w:tcBorders>
            <w:noWrap/>
            <w:vAlign w:val="center"/>
          </w:tcPr>
          <w:p w14:paraId="64ECB79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684C16F6"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A19C5EA"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59CA8716"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49AD321B"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4680AD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76752D4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0855EB36"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6743B8F" w14:textId="77777777" w:rsidTr="001E1E3B">
        <w:trPr>
          <w:trHeight w:val="290"/>
          <w:jc w:val="center"/>
        </w:trPr>
        <w:tc>
          <w:tcPr>
            <w:tcW w:w="1317" w:type="dxa"/>
            <w:vMerge/>
            <w:tcBorders>
              <w:left w:val="nil"/>
              <w:right w:val="single" w:sz="8" w:space="0" w:color="auto"/>
            </w:tcBorders>
            <w:noWrap/>
            <w:vAlign w:val="center"/>
          </w:tcPr>
          <w:p w14:paraId="5721E77A"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4ABA0990"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k)</w:t>
            </w:r>
          </w:p>
        </w:tc>
        <w:tc>
          <w:tcPr>
            <w:tcW w:w="1231" w:type="dxa"/>
            <w:tcBorders>
              <w:top w:val="dotted" w:sz="4" w:space="0" w:color="auto"/>
              <w:left w:val="nil"/>
              <w:bottom w:val="nil"/>
              <w:right w:val="single" w:sz="8" w:space="0" w:color="auto"/>
            </w:tcBorders>
            <w:noWrap/>
            <w:vAlign w:val="center"/>
          </w:tcPr>
          <w:p w14:paraId="5E0DB5C6"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3.390,81 €</w:t>
            </w:r>
          </w:p>
        </w:tc>
        <w:tc>
          <w:tcPr>
            <w:tcW w:w="411" w:type="dxa"/>
            <w:vMerge/>
            <w:tcBorders>
              <w:left w:val="nil"/>
              <w:right w:val="dotted" w:sz="4" w:space="0" w:color="auto"/>
            </w:tcBorders>
            <w:noWrap/>
            <w:vAlign w:val="center"/>
          </w:tcPr>
          <w:p w14:paraId="4F034C5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4C937BA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0FC2A7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74F5B473"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111899D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77D27C88"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61006CC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685A2CC4"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85E2594" w14:textId="77777777" w:rsidTr="001E1E3B">
        <w:trPr>
          <w:trHeight w:val="290"/>
          <w:jc w:val="center"/>
        </w:trPr>
        <w:tc>
          <w:tcPr>
            <w:tcW w:w="1317" w:type="dxa"/>
            <w:vMerge/>
            <w:tcBorders>
              <w:left w:val="nil"/>
              <w:right w:val="single" w:sz="8" w:space="0" w:color="auto"/>
            </w:tcBorders>
            <w:noWrap/>
            <w:vAlign w:val="center"/>
          </w:tcPr>
          <w:p w14:paraId="141DCD6B"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65E4DFF"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7AE31E74"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4.161,81 €</w:t>
            </w:r>
          </w:p>
        </w:tc>
        <w:tc>
          <w:tcPr>
            <w:tcW w:w="411" w:type="dxa"/>
            <w:vMerge/>
            <w:tcBorders>
              <w:left w:val="nil"/>
              <w:right w:val="dotted" w:sz="4" w:space="0" w:color="auto"/>
            </w:tcBorders>
            <w:noWrap/>
            <w:vAlign w:val="center"/>
          </w:tcPr>
          <w:p w14:paraId="76143AC7"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11FE134"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F0F339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453A644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6C25968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790C0B8F"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5E246369"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350693B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C9668F2" w14:textId="77777777" w:rsidTr="001E1E3B">
        <w:trPr>
          <w:trHeight w:val="290"/>
          <w:jc w:val="center"/>
        </w:trPr>
        <w:tc>
          <w:tcPr>
            <w:tcW w:w="1317" w:type="dxa"/>
            <w:tcBorders>
              <w:top w:val="dotted" w:sz="4" w:space="0" w:color="auto"/>
              <w:left w:val="nil"/>
              <w:right w:val="single" w:sz="8" w:space="0" w:color="auto"/>
            </w:tcBorders>
            <w:noWrap/>
            <w:vAlign w:val="center"/>
          </w:tcPr>
          <w:p w14:paraId="2ED484E5"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Cabo Verde</w:t>
            </w:r>
          </w:p>
        </w:tc>
        <w:tc>
          <w:tcPr>
            <w:tcW w:w="475" w:type="dxa"/>
            <w:tcBorders>
              <w:top w:val="dotted" w:sz="4" w:space="0" w:color="auto"/>
              <w:left w:val="nil"/>
              <w:bottom w:val="dotted" w:sz="4" w:space="0" w:color="auto"/>
              <w:right w:val="dotted" w:sz="4" w:space="0" w:color="auto"/>
            </w:tcBorders>
            <w:noWrap/>
            <w:vAlign w:val="center"/>
          </w:tcPr>
          <w:p w14:paraId="29FB0EC6"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1F7283A5"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1.732,94 €</w:t>
            </w:r>
          </w:p>
        </w:tc>
        <w:tc>
          <w:tcPr>
            <w:tcW w:w="411" w:type="dxa"/>
            <w:tcBorders>
              <w:top w:val="dotted" w:sz="4" w:space="0" w:color="auto"/>
              <w:left w:val="nil"/>
              <w:right w:val="dotted" w:sz="4" w:space="0" w:color="auto"/>
            </w:tcBorders>
            <w:noWrap/>
            <w:vAlign w:val="center"/>
          </w:tcPr>
          <w:p w14:paraId="07310FE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right w:val="single" w:sz="8" w:space="0" w:color="auto"/>
            </w:tcBorders>
            <w:noWrap/>
            <w:vAlign w:val="center"/>
          </w:tcPr>
          <w:p w14:paraId="003B1AC3"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right w:val="dotted" w:sz="4" w:space="0" w:color="auto"/>
            </w:tcBorders>
            <w:noWrap/>
            <w:vAlign w:val="center"/>
          </w:tcPr>
          <w:p w14:paraId="767E4D2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right w:val="single" w:sz="8" w:space="0" w:color="auto"/>
            </w:tcBorders>
            <w:noWrap/>
            <w:vAlign w:val="center"/>
          </w:tcPr>
          <w:p w14:paraId="6662D8B6"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right w:val="dotted" w:sz="4" w:space="0" w:color="auto"/>
            </w:tcBorders>
            <w:noWrap/>
            <w:vAlign w:val="center"/>
          </w:tcPr>
          <w:p w14:paraId="7920BCF8"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right w:val="single" w:sz="8" w:space="0" w:color="auto"/>
            </w:tcBorders>
            <w:noWrap/>
            <w:vAlign w:val="center"/>
          </w:tcPr>
          <w:p w14:paraId="77FE63C9"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tcBorders>
              <w:top w:val="dotted" w:sz="4" w:space="0" w:color="auto"/>
              <w:left w:val="nil"/>
              <w:right w:val="dotted" w:sz="4" w:space="0" w:color="auto"/>
            </w:tcBorders>
            <w:noWrap/>
            <w:vAlign w:val="center"/>
          </w:tcPr>
          <w:p w14:paraId="75471339"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tcBorders>
              <w:top w:val="dotted" w:sz="4" w:space="0" w:color="auto"/>
              <w:left w:val="nil"/>
            </w:tcBorders>
            <w:noWrap/>
            <w:vAlign w:val="center"/>
          </w:tcPr>
          <w:p w14:paraId="42B95FA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CF949D4" w14:textId="77777777" w:rsidTr="001E1E3B">
        <w:trPr>
          <w:trHeight w:val="290"/>
          <w:jc w:val="center"/>
        </w:trPr>
        <w:tc>
          <w:tcPr>
            <w:tcW w:w="1317" w:type="dxa"/>
            <w:vMerge w:val="restart"/>
            <w:tcBorders>
              <w:top w:val="dotted" w:sz="4" w:space="0" w:color="auto"/>
              <w:left w:val="nil"/>
              <w:right w:val="single" w:sz="8" w:space="0" w:color="auto"/>
            </w:tcBorders>
            <w:noWrap/>
            <w:vAlign w:val="center"/>
          </w:tcPr>
          <w:p w14:paraId="1144F45E"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Costa Rica</w:t>
            </w:r>
          </w:p>
        </w:tc>
        <w:tc>
          <w:tcPr>
            <w:tcW w:w="475" w:type="dxa"/>
            <w:tcBorders>
              <w:top w:val="dotted" w:sz="4" w:space="0" w:color="auto"/>
              <w:left w:val="nil"/>
              <w:bottom w:val="dotted" w:sz="4" w:space="0" w:color="auto"/>
              <w:right w:val="dotted" w:sz="4" w:space="0" w:color="auto"/>
            </w:tcBorders>
            <w:noWrap/>
            <w:vAlign w:val="center"/>
          </w:tcPr>
          <w:p w14:paraId="1D5F7592"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722E1716"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2.311,04 €</w:t>
            </w:r>
          </w:p>
        </w:tc>
        <w:tc>
          <w:tcPr>
            <w:tcW w:w="411" w:type="dxa"/>
            <w:vMerge w:val="restart"/>
            <w:tcBorders>
              <w:top w:val="dotted" w:sz="4" w:space="0" w:color="auto"/>
              <w:left w:val="nil"/>
              <w:right w:val="dotted" w:sz="4" w:space="0" w:color="auto"/>
            </w:tcBorders>
            <w:noWrap/>
            <w:vAlign w:val="center"/>
          </w:tcPr>
          <w:p w14:paraId="6D3897E8"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2F28954B"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42F43B62"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vMerge w:val="restart"/>
            <w:tcBorders>
              <w:top w:val="dotted" w:sz="4" w:space="0" w:color="auto"/>
              <w:left w:val="nil"/>
              <w:right w:val="single" w:sz="8" w:space="0" w:color="auto"/>
            </w:tcBorders>
            <w:noWrap/>
            <w:vAlign w:val="center"/>
          </w:tcPr>
          <w:p w14:paraId="2E96EFFA"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3.400,00 €</w:t>
            </w:r>
          </w:p>
        </w:tc>
        <w:tc>
          <w:tcPr>
            <w:tcW w:w="411" w:type="dxa"/>
            <w:vMerge w:val="restart"/>
            <w:tcBorders>
              <w:top w:val="dotted" w:sz="4" w:space="0" w:color="auto"/>
              <w:left w:val="nil"/>
              <w:right w:val="dotted" w:sz="4" w:space="0" w:color="auto"/>
            </w:tcBorders>
            <w:noWrap/>
            <w:vAlign w:val="center"/>
          </w:tcPr>
          <w:p w14:paraId="6F810755"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353" w:type="dxa"/>
            <w:vMerge w:val="restart"/>
            <w:tcBorders>
              <w:top w:val="dotted" w:sz="4" w:space="0" w:color="auto"/>
              <w:left w:val="nil"/>
              <w:right w:val="single" w:sz="8" w:space="0" w:color="auto"/>
            </w:tcBorders>
            <w:noWrap/>
            <w:vAlign w:val="center"/>
          </w:tcPr>
          <w:p w14:paraId="44034CF4"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1.184,03 €</w:t>
            </w:r>
          </w:p>
        </w:tc>
        <w:tc>
          <w:tcPr>
            <w:tcW w:w="426" w:type="dxa"/>
            <w:vMerge w:val="restart"/>
            <w:tcBorders>
              <w:top w:val="dotted" w:sz="4" w:space="0" w:color="auto"/>
              <w:left w:val="nil"/>
              <w:right w:val="dotted" w:sz="4" w:space="0" w:color="auto"/>
            </w:tcBorders>
            <w:noWrap/>
            <w:vAlign w:val="center"/>
          </w:tcPr>
          <w:p w14:paraId="4DABF6E5"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64" w:type="dxa"/>
            <w:vMerge w:val="restart"/>
            <w:tcBorders>
              <w:top w:val="dotted" w:sz="4" w:space="0" w:color="auto"/>
              <w:left w:val="nil"/>
            </w:tcBorders>
            <w:noWrap/>
            <w:vAlign w:val="center"/>
          </w:tcPr>
          <w:p w14:paraId="592B8941"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1.163,58 €</w:t>
            </w:r>
          </w:p>
          <w:p w14:paraId="763D6930"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7A7053F0" w14:textId="77777777" w:rsidTr="001E1E3B">
        <w:trPr>
          <w:trHeight w:val="290"/>
          <w:jc w:val="center"/>
        </w:trPr>
        <w:tc>
          <w:tcPr>
            <w:tcW w:w="1317" w:type="dxa"/>
            <w:vMerge/>
            <w:tcBorders>
              <w:left w:val="nil"/>
              <w:right w:val="single" w:sz="8" w:space="0" w:color="auto"/>
            </w:tcBorders>
            <w:noWrap/>
            <w:vAlign w:val="center"/>
          </w:tcPr>
          <w:p w14:paraId="7292195D"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69E3EC55" w14:textId="77777777" w:rsidR="00503CB8" w:rsidRPr="001546E2" w:rsidDel="00A35D2E"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67EE7A47" w14:textId="77777777" w:rsidR="00503CB8" w:rsidRPr="001546E2" w:rsidDel="00A35D2E"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6.640,57 €</w:t>
            </w:r>
          </w:p>
        </w:tc>
        <w:tc>
          <w:tcPr>
            <w:tcW w:w="411" w:type="dxa"/>
            <w:vMerge/>
            <w:tcBorders>
              <w:left w:val="nil"/>
              <w:right w:val="dotted" w:sz="4" w:space="0" w:color="auto"/>
            </w:tcBorders>
            <w:noWrap/>
            <w:vAlign w:val="center"/>
          </w:tcPr>
          <w:p w14:paraId="42D5EA3B"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387BD9D"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2982044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7BEA11BE"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5DB7A7F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69B2EDEA"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105E25A5"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06D6D32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4BB907C"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42512249"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Côte d’Ivoire</w:t>
            </w:r>
          </w:p>
        </w:tc>
        <w:tc>
          <w:tcPr>
            <w:tcW w:w="475" w:type="dxa"/>
            <w:tcBorders>
              <w:top w:val="dotted" w:sz="4" w:space="0" w:color="auto"/>
              <w:left w:val="nil"/>
              <w:bottom w:val="dotted" w:sz="4" w:space="0" w:color="auto"/>
              <w:right w:val="dotted" w:sz="4" w:space="0" w:color="auto"/>
            </w:tcBorders>
            <w:noWrap/>
            <w:vAlign w:val="center"/>
          </w:tcPr>
          <w:p w14:paraId="3D9D2D5A"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51E19F9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3.276,39 €</w:t>
            </w:r>
          </w:p>
        </w:tc>
        <w:tc>
          <w:tcPr>
            <w:tcW w:w="411" w:type="dxa"/>
            <w:vMerge w:val="restart"/>
            <w:tcBorders>
              <w:top w:val="dotted" w:sz="4" w:space="0" w:color="auto"/>
              <w:left w:val="nil"/>
              <w:right w:val="dotted" w:sz="4" w:space="0" w:color="auto"/>
            </w:tcBorders>
            <w:noWrap/>
            <w:vAlign w:val="center"/>
          </w:tcPr>
          <w:p w14:paraId="57B3A7FD"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224069B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C24F617"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vMerge w:val="restart"/>
            <w:tcBorders>
              <w:top w:val="dotted" w:sz="4" w:space="0" w:color="auto"/>
              <w:left w:val="nil"/>
              <w:right w:val="single" w:sz="8" w:space="0" w:color="auto"/>
            </w:tcBorders>
            <w:noWrap/>
            <w:vAlign w:val="center"/>
          </w:tcPr>
          <w:p w14:paraId="51018AF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3.898,94 €</w:t>
            </w:r>
          </w:p>
        </w:tc>
        <w:tc>
          <w:tcPr>
            <w:tcW w:w="411" w:type="dxa"/>
            <w:vMerge w:val="restart"/>
            <w:tcBorders>
              <w:top w:val="dotted" w:sz="4" w:space="0" w:color="auto"/>
              <w:left w:val="nil"/>
              <w:right w:val="dotted" w:sz="4" w:space="0" w:color="auto"/>
            </w:tcBorders>
            <w:noWrap/>
            <w:vAlign w:val="center"/>
          </w:tcPr>
          <w:p w14:paraId="433C67C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7F659BB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7813FA05"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vMerge w:val="restart"/>
            <w:tcBorders>
              <w:top w:val="dotted" w:sz="4" w:space="0" w:color="auto"/>
              <w:left w:val="nil"/>
            </w:tcBorders>
            <w:noWrap/>
            <w:vAlign w:val="center"/>
          </w:tcPr>
          <w:p w14:paraId="316B8EB9"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663,37 €</w:t>
            </w:r>
          </w:p>
          <w:p w14:paraId="064F2142"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60E8FCCF" w14:textId="77777777" w:rsidTr="001E1E3B">
        <w:trPr>
          <w:trHeight w:val="290"/>
          <w:jc w:val="center"/>
        </w:trPr>
        <w:tc>
          <w:tcPr>
            <w:tcW w:w="1317" w:type="dxa"/>
            <w:vMerge/>
            <w:tcBorders>
              <w:left w:val="nil"/>
              <w:right w:val="single" w:sz="8" w:space="0" w:color="auto"/>
            </w:tcBorders>
            <w:noWrap/>
            <w:vAlign w:val="center"/>
          </w:tcPr>
          <w:p w14:paraId="4AA29EAB"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BADD3B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e)</w:t>
            </w:r>
          </w:p>
        </w:tc>
        <w:tc>
          <w:tcPr>
            <w:tcW w:w="1231" w:type="dxa"/>
            <w:tcBorders>
              <w:top w:val="dotted" w:sz="4" w:space="0" w:color="auto"/>
              <w:left w:val="nil"/>
              <w:bottom w:val="dotted" w:sz="4" w:space="0" w:color="auto"/>
              <w:right w:val="single" w:sz="8" w:space="0" w:color="auto"/>
            </w:tcBorders>
            <w:noWrap/>
            <w:vAlign w:val="center"/>
          </w:tcPr>
          <w:p w14:paraId="36A1271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4.382,25 €</w:t>
            </w:r>
          </w:p>
        </w:tc>
        <w:tc>
          <w:tcPr>
            <w:tcW w:w="411" w:type="dxa"/>
            <w:vMerge/>
            <w:tcBorders>
              <w:left w:val="nil"/>
              <w:right w:val="dotted" w:sz="4" w:space="0" w:color="auto"/>
            </w:tcBorders>
            <w:noWrap/>
            <w:vAlign w:val="center"/>
          </w:tcPr>
          <w:p w14:paraId="5F6696D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DB5BA5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FBAFF63"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03E45A00"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6A5D6E1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D555C1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6EBBDD16"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381D8E4D"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7B10BD5C" w14:textId="77777777" w:rsidTr="001E1E3B">
        <w:trPr>
          <w:trHeight w:val="290"/>
          <w:jc w:val="center"/>
        </w:trPr>
        <w:tc>
          <w:tcPr>
            <w:tcW w:w="1317" w:type="dxa"/>
            <w:vMerge/>
            <w:tcBorders>
              <w:left w:val="nil"/>
              <w:right w:val="single" w:sz="8" w:space="0" w:color="auto"/>
            </w:tcBorders>
            <w:noWrap/>
            <w:vAlign w:val="center"/>
          </w:tcPr>
          <w:p w14:paraId="65376D0F"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A5FCCD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684124C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784,00 €</w:t>
            </w:r>
          </w:p>
        </w:tc>
        <w:tc>
          <w:tcPr>
            <w:tcW w:w="411" w:type="dxa"/>
            <w:vMerge/>
            <w:tcBorders>
              <w:left w:val="nil"/>
              <w:right w:val="dotted" w:sz="4" w:space="0" w:color="auto"/>
            </w:tcBorders>
            <w:noWrap/>
            <w:vAlign w:val="center"/>
          </w:tcPr>
          <w:p w14:paraId="262C984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7DA6ED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1DA73BD"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2496E06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4B2B482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567BC241"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64D81965"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5153131A"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7C81FD9D"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4C3D685C"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6AD967A9"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316AC138"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3.603,80 €</w:t>
            </w:r>
          </w:p>
        </w:tc>
        <w:tc>
          <w:tcPr>
            <w:tcW w:w="411" w:type="dxa"/>
            <w:vMerge/>
            <w:tcBorders>
              <w:left w:val="nil"/>
              <w:bottom w:val="dotted" w:sz="4" w:space="0" w:color="auto"/>
              <w:right w:val="dotted" w:sz="4" w:space="0" w:color="auto"/>
            </w:tcBorders>
            <w:noWrap/>
            <w:vAlign w:val="center"/>
          </w:tcPr>
          <w:p w14:paraId="678360E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362861E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46414777"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515F8AED"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5961991D"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103BC06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5F512B93"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bottom w:val="dotted" w:sz="4" w:space="0" w:color="auto"/>
            </w:tcBorders>
            <w:noWrap/>
            <w:vAlign w:val="center"/>
          </w:tcPr>
          <w:p w14:paraId="48017F6B"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323BB1CF" w14:textId="77777777" w:rsidTr="001E1E3B">
        <w:trPr>
          <w:trHeight w:val="290"/>
          <w:jc w:val="center"/>
        </w:trPr>
        <w:tc>
          <w:tcPr>
            <w:tcW w:w="1317" w:type="dxa"/>
            <w:vMerge w:val="restart"/>
            <w:tcBorders>
              <w:top w:val="nil"/>
              <w:left w:val="nil"/>
              <w:right w:val="single" w:sz="8" w:space="0" w:color="auto"/>
            </w:tcBorders>
            <w:noWrap/>
            <w:vAlign w:val="center"/>
            <w:hideMark/>
          </w:tcPr>
          <w:p w14:paraId="21EB76C2" w14:textId="2CC5A75D"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Égypte</w:t>
            </w:r>
          </w:p>
        </w:tc>
        <w:tc>
          <w:tcPr>
            <w:tcW w:w="475" w:type="dxa"/>
            <w:tcBorders>
              <w:top w:val="dotted" w:sz="4" w:space="0" w:color="auto"/>
              <w:left w:val="nil"/>
              <w:bottom w:val="dotted" w:sz="4" w:space="0" w:color="auto"/>
              <w:right w:val="dotted" w:sz="4" w:space="0" w:color="auto"/>
            </w:tcBorders>
            <w:noWrap/>
            <w:vAlign w:val="center"/>
          </w:tcPr>
          <w:p w14:paraId="6137BABB"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f)</w:t>
            </w:r>
          </w:p>
        </w:tc>
        <w:tc>
          <w:tcPr>
            <w:tcW w:w="1231" w:type="dxa"/>
            <w:tcBorders>
              <w:top w:val="dotted" w:sz="4" w:space="0" w:color="auto"/>
              <w:left w:val="nil"/>
              <w:bottom w:val="dotted" w:sz="4" w:space="0" w:color="auto"/>
              <w:right w:val="single" w:sz="8" w:space="0" w:color="auto"/>
            </w:tcBorders>
            <w:noWrap/>
            <w:vAlign w:val="center"/>
          </w:tcPr>
          <w:p w14:paraId="32037200"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3.353,81 €</w:t>
            </w:r>
          </w:p>
        </w:tc>
        <w:tc>
          <w:tcPr>
            <w:tcW w:w="411" w:type="dxa"/>
            <w:vMerge w:val="restart"/>
            <w:tcBorders>
              <w:top w:val="dotted" w:sz="4" w:space="0" w:color="auto"/>
              <w:left w:val="nil"/>
              <w:right w:val="dotted" w:sz="4" w:space="0" w:color="auto"/>
            </w:tcBorders>
            <w:noWrap/>
            <w:vAlign w:val="center"/>
          </w:tcPr>
          <w:p w14:paraId="49392A3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31154D02"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9381514"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vMerge w:val="restart"/>
            <w:tcBorders>
              <w:top w:val="dotted" w:sz="4" w:space="0" w:color="auto"/>
              <w:left w:val="nil"/>
              <w:right w:val="single" w:sz="8" w:space="0" w:color="auto"/>
            </w:tcBorders>
            <w:noWrap/>
            <w:vAlign w:val="center"/>
          </w:tcPr>
          <w:p w14:paraId="178D6175"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2.921,26 €</w:t>
            </w:r>
          </w:p>
        </w:tc>
        <w:tc>
          <w:tcPr>
            <w:tcW w:w="411" w:type="dxa"/>
            <w:vMerge w:val="restart"/>
            <w:tcBorders>
              <w:top w:val="dotted" w:sz="4" w:space="0" w:color="auto"/>
              <w:left w:val="nil"/>
              <w:right w:val="dotted" w:sz="4" w:space="0" w:color="auto"/>
            </w:tcBorders>
            <w:noWrap/>
            <w:vAlign w:val="center"/>
          </w:tcPr>
          <w:p w14:paraId="25E07A08"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353" w:type="dxa"/>
            <w:vMerge w:val="restart"/>
            <w:tcBorders>
              <w:top w:val="dotted" w:sz="4" w:space="0" w:color="auto"/>
              <w:left w:val="nil"/>
              <w:right w:val="single" w:sz="8" w:space="0" w:color="auto"/>
            </w:tcBorders>
            <w:noWrap/>
            <w:vAlign w:val="center"/>
          </w:tcPr>
          <w:p w14:paraId="2FB6450C"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897,56 €</w:t>
            </w:r>
          </w:p>
        </w:tc>
        <w:tc>
          <w:tcPr>
            <w:tcW w:w="426" w:type="dxa"/>
            <w:vMerge w:val="restart"/>
            <w:tcBorders>
              <w:top w:val="dotted" w:sz="4" w:space="0" w:color="auto"/>
              <w:left w:val="nil"/>
              <w:right w:val="dotted" w:sz="4" w:space="0" w:color="auto"/>
            </w:tcBorders>
            <w:noWrap/>
            <w:vAlign w:val="center"/>
          </w:tcPr>
          <w:p w14:paraId="7E83A36A"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EE0000"/>
                <w:sz w:val="18"/>
                <w:szCs w:val="18"/>
              </w:rPr>
              <w:t>X</w:t>
            </w:r>
          </w:p>
        </w:tc>
        <w:tc>
          <w:tcPr>
            <w:tcW w:w="1264" w:type="dxa"/>
            <w:vMerge w:val="restart"/>
            <w:tcBorders>
              <w:top w:val="dotted" w:sz="4" w:space="0" w:color="auto"/>
              <w:left w:val="nil"/>
            </w:tcBorders>
            <w:noWrap/>
            <w:vAlign w:val="center"/>
          </w:tcPr>
          <w:p w14:paraId="1B211358"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715,48 €</w:t>
            </w:r>
          </w:p>
          <w:p w14:paraId="5EEFD7EE"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2.914,00 €</w:t>
            </w:r>
          </w:p>
        </w:tc>
      </w:tr>
      <w:tr w:rsidR="00503CB8" w:rsidRPr="001546E2" w14:paraId="79CE9E2A" w14:textId="77777777" w:rsidTr="001E1E3B">
        <w:trPr>
          <w:trHeight w:val="290"/>
          <w:jc w:val="center"/>
        </w:trPr>
        <w:tc>
          <w:tcPr>
            <w:tcW w:w="1317" w:type="dxa"/>
            <w:vMerge/>
            <w:tcBorders>
              <w:left w:val="nil"/>
              <w:right w:val="single" w:sz="8" w:space="0" w:color="auto"/>
            </w:tcBorders>
            <w:noWrap/>
            <w:vAlign w:val="center"/>
          </w:tcPr>
          <w:p w14:paraId="37211EB4"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0CA3A45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nil"/>
              <w:left w:val="nil"/>
              <w:bottom w:val="dotted" w:sz="4" w:space="0" w:color="auto"/>
              <w:right w:val="single" w:sz="8" w:space="0" w:color="auto"/>
            </w:tcBorders>
            <w:noWrap/>
            <w:vAlign w:val="center"/>
          </w:tcPr>
          <w:p w14:paraId="7CE3E22F"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1.447,01 €</w:t>
            </w:r>
          </w:p>
        </w:tc>
        <w:tc>
          <w:tcPr>
            <w:tcW w:w="411" w:type="dxa"/>
            <w:vMerge/>
            <w:tcBorders>
              <w:left w:val="nil"/>
              <w:right w:val="dotted" w:sz="4" w:space="0" w:color="auto"/>
            </w:tcBorders>
            <w:noWrap/>
            <w:vAlign w:val="center"/>
          </w:tcPr>
          <w:p w14:paraId="4D6923B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left w:val="nil"/>
              <w:right w:val="single" w:sz="8" w:space="0" w:color="auto"/>
            </w:tcBorders>
            <w:noWrap/>
            <w:vAlign w:val="center"/>
          </w:tcPr>
          <w:p w14:paraId="558B895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left w:val="nil"/>
              <w:right w:val="dotted" w:sz="4" w:space="0" w:color="auto"/>
            </w:tcBorders>
            <w:noWrap/>
            <w:vAlign w:val="center"/>
          </w:tcPr>
          <w:p w14:paraId="65204CA8"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2329AD8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10F24453" w14:textId="77777777" w:rsidR="00503CB8" w:rsidRPr="001546E2" w:rsidDel="005E48B0"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left w:val="nil"/>
              <w:bottom w:val="dotted" w:sz="4" w:space="0" w:color="auto"/>
              <w:right w:val="single" w:sz="8" w:space="0" w:color="auto"/>
            </w:tcBorders>
            <w:noWrap/>
            <w:vAlign w:val="center"/>
          </w:tcPr>
          <w:p w14:paraId="3933CD70"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135D1EC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76717627"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0A844374" w14:textId="77777777" w:rsidTr="001E1E3B">
        <w:trPr>
          <w:trHeight w:val="290"/>
          <w:jc w:val="center"/>
        </w:trPr>
        <w:tc>
          <w:tcPr>
            <w:tcW w:w="1317" w:type="dxa"/>
            <w:vMerge/>
            <w:tcBorders>
              <w:left w:val="nil"/>
              <w:right w:val="single" w:sz="8" w:space="0" w:color="auto"/>
            </w:tcBorders>
            <w:noWrap/>
            <w:vAlign w:val="center"/>
          </w:tcPr>
          <w:p w14:paraId="0696B5F6"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5ECF45DA"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i)</w:t>
            </w:r>
          </w:p>
        </w:tc>
        <w:tc>
          <w:tcPr>
            <w:tcW w:w="1231" w:type="dxa"/>
            <w:tcBorders>
              <w:top w:val="nil"/>
              <w:left w:val="nil"/>
              <w:bottom w:val="dotted" w:sz="4" w:space="0" w:color="auto"/>
              <w:right w:val="single" w:sz="8" w:space="0" w:color="auto"/>
            </w:tcBorders>
            <w:noWrap/>
            <w:vAlign w:val="center"/>
          </w:tcPr>
          <w:p w14:paraId="50B7B1D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1.975,55 €</w:t>
            </w:r>
          </w:p>
        </w:tc>
        <w:tc>
          <w:tcPr>
            <w:tcW w:w="411" w:type="dxa"/>
            <w:vMerge/>
            <w:tcBorders>
              <w:left w:val="nil"/>
              <w:right w:val="dotted" w:sz="4" w:space="0" w:color="auto"/>
            </w:tcBorders>
            <w:noWrap/>
            <w:vAlign w:val="center"/>
          </w:tcPr>
          <w:p w14:paraId="322E18F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D807461"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3FD6D01"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1C4B88F2"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18D16DA1"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353" w:type="dxa"/>
            <w:vMerge w:val="restart"/>
            <w:tcBorders>
              <w:top w:val="dotted" w:sz="4" w:space="0" w:color="auto"/>
              <w:left w:val="nil"/>
              <w:right w:val="single" w:sz="8" w:space="0" w:color="auto"/>
            </w:tcBorders>
            <w:noWrap/>
            <w:vAlign w:val="center"/>
          </w:tcPr>
          <w:p w14:paraId="3567786E"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1.692,90 €</w:t>
            </w:r>
          </w:p>
        </w:tc>
        <w:tc>
          <w:tcPr>
            <w:tcW w:w="426" w:type="dxa"/>
            <w:vMerge/>
            <w:tcBorders>
              <w:left w:val="nil"/>
              <w:right w:val="dotted" w:sz="4" w:space="0" w:color="auto"/>
            </w:tcBorders>
            <w:noWrap/>
            <w:vAlign w:val="center"/>
          </w:tcPr>
          <w:p w14:paraId="5D83DD9D" w14:textId="77777777" w:rsidR="00503CB8" w:rsidRPr="001546E2" w:rsidDel="00B3099B"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tcBorders>
            <w:noWrap/>
            <w:vAlign w:val="center"/>
          </w:tcPr>
          <w:p w14:paraId="26D9BF1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4CA1E89" w14:textId="77777777" w:rsidTr="001E1E3B">
        <w:trPr>
          <w:trHeight w:val="290"/>
          <w:jc w:val="center"/>
        </w:trPr>
        <w:tc>
          <w:tcPr>
            <w:tcW w:w="1317" w:type="dxa"/>
            <w:vMerge/>
            <w:tcBorders>
              <w:left w:val="nil"/>
              <w:right w:val="single" w:sz="8" w:space="0" w:color="auto"/>
            </w:tcBorders>
            <w:noWrap/>
            <w:vAlign w:val="center"/>
          </w:tcPr>
          <w:p w14:paraId="0F1C5CCF"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4E21365C"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nil"/>
              <w:left w:val="nil"/>
              <w:bottom w:val="dotted" w:sz="4" w:space="0" w:color="auto"/>
              <w:right w:val="single" w:sz="8" w:space="0" w:color="auto"/>
            </w:tcBorders>
            <w:noWrap/>
            <w:vAlign w:val="center"/>
          </w:tcPr>
          <w:p w14:paraId="6B2F33FF"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3.574,04 €</w:t>
            </w:r>
          </w:p>
        </w:tc>
        <w:tc>
          <w:tcPr>
            <w:tcW w:w="411" w:type="dxa"/>
            <w:vMerge/>
            <w:tcBorders>
              <w:left w:val="nil"/>
              <w:right w:val="dotted" w:sz="4" w:space="0" w:color="auto"/>
            </w:tcBorders>
            <w:noWrap/>
            <w:vAlign w:val="center"/>
          </w:tcPr>
          <w:p w14:paraId="0CEAAFE8"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26B0AE9"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7F8E45E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101C0CF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1F2AA1D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right w:val="single" w:sz="8" w:space="0" w:color="auto"/>
            </w:tcBorders>
            <w:noWrap/>
            <w:vAlign w:val="center"/>
          </w:tcPr>
          <w:p w14:paraId="4190B3B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674A524F"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294485B4"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253FC0A"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190246F0"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07681E83"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nil"/>
              <w:left w:val="nil"/>
              <w:bottom w:val="dotted" w:sz="4" w:space="0" w:color="auto"/>
              <w:right w:val="single" w:sz="8" w:space="0" w:color="auto"/>
            </w:tcBorders>
            <w:noWrap/>
            <w:vAlign w:val="center"/>
          </w:tcPr>
          <w:p w14:paraId="40673958"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3.271,12 €</w:t>
            </w:r>
          </w:p>
        </w:tc>
        <w:tc>
          <w:tcPr>
            <w:tcW w:w="411" w:type="dxa"/>
            <w:vMerge/>
            <w:tcBorders>
              <w:left w:val="nil"/>
              <w:bottom w:val="dotted" w:sz="4" w:space="0" w:color="auto"/>
              <w:right w:val="dotted" w:sz="4" w:space="0" w:color="auto"/>
            </w:tcBorders>
            <w:noWrap/>
            <w:vAlign w:val="center"/>
          </w:tcPr>
          <w:p w14:paraId="530FAFD2"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1BD8F6BD"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6D7E764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278C0517"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bottom w:val="dotted" w:sz="4" w:space="0" w:color="auto"/>
              <w:right w:val="dotted" w:sz="4" w:space="0" w:color="auto"/>
            </w:tcBorders>
            <w:noWrap/>
            <w:vAlign w:val="center"/>
          </w:tcPr>
          <w:p w14:paraId="41AC1CE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top w:val="dotted" w:sz="4" w:space="0" w:color="auto"/>
              <w:left w:val="nil"/>
              <w:bottom w:val="dotted" w:sz="4" w:space="0" w:color="auto"/>
              <w:right w:val="single" w:sz="8" w:space="0" w:color="auto"/>
            </w:tcBorders>
            <w:noWrap/>
            <w:vAlign w:val="center"/>
          </w:tcPr>
          <w:p w14:paraId="02DD595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left w:val="nil"/>
              <w:bottom w:val="dotted" w:sz="4" w:space="0" w:color="auto"/>
              <w:right w:val="dotted" w:sz="4" w:space="0" w:color="auto"/>
            </w:tcBorders>
            <w:noWrap/>
            <w:vAlign w:val="center"/>
          </w:tcPr>
          <w:p w14:paraId="00B9BB9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705D9CC4"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1C561C22"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7AF8E791"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El Salvador</w:t>
            </w:r>
          </w:p>
        </w:tc>
        <w:tc>
          <w:tcPr>
            <w:tcW w:w="475" w:type="dxa"/>
            <w:tcBorders>
              <w:top w:val="dotted" w:sz="4" w:space="0" w:color="auto"/>
              <w:left w:val="nil"/>
              <w:bottom w:val="dotted" w:sz="4" w:space="0" w:color="auto"/>
              <w:right w:val="dotted" w:sz="4" w:space="0" w:color="auto"/>
            </w:tcBorders>
            <w:noWrap/>
            <w:vAlign w:val="center"/>
          </w:tcPr>
          <w:p w14:paraId="39D8A10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46A5A2F7"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5B69C462"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039FB79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215333D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0FF7742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232EC6FE"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5494D02B"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6C02EFEA"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tcBorders>
              <w:top w:val="dotted" w:sz="4" w:space="0" w:color="auto"/>
              <w:left w:val="nil"/>
              <w:bottom w:val="dotted" w:sz="4" w:space="0" w:color="auto"/>
              <w:right w:val="nil"/>
            </w:tcBorders>
            <w:noWrap/>
            <w:vAlign w:val="center"/>
          </w:tcPr>
          <w:p w14:paraId="47BACC3C"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2.818,17 €</w:t>
            </w:r>
          </w:p>
          <w:p w14:paraId="6439E6B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5374905B" w14:textId="77777777" w:rsidTr="001E1E3B">
        <w:trPr>
          <w:trHeight w:val="290"/>
          <w:jc w:val="center"/>
        </w:trPr>
        <w:tc>
          <w:tcPr>
            <w:tcW w:w="1317" w:type="dxa"/>
            <w:tcBorders>
              <w:top w:val="dotted" w:sz="4" w:space="0" w:color="auto"/>
              <w:left w:val="nil"/>
              <w:right w:val="single" w:sz="8" w:space="0" w:color="auto"/>
            </w:tcBorders>
            <w:noWrap/>
            <w:vAlign w:val="center"/>
            <w:hideMark/>
          </w:tcPr>
          <w:p w14:paraId="2E8209A9" w14:textId="19EBF2E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Gabon</w:t>
            </w:r>
          </w:p>
        </w:tc>
        <w:tc>
          <w:tcPr>
            <w:tcW w:w="475" w:type="dxa"/>
            <w:tcBorders>
              <w:top w:val="dotted" w:sz="4" w:space="0" w:color="auto"/>
              <w:left w:val="nil"/>
              <w:bottom w:val="dotted" w:sz="4" w:space="0" w:color="auto"/>
              <w:right w:val="dotted" w:sz="4" w:space="0" w:color="auto"/>
            </w:tcBorders>
            <w:noWrap/>
            <w:vAlign w:val="center"/>
          </w:tcPr>
          <w:p w14:paraId="4DB972E8"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5E7A184E"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2.361,87 €</w:t>
            </w:r>
          </w:p>
        </w:tc>
        <w:tc>
          <w:tcPr>
            <w:tcW w:w="411" w:type="dxa"/>
            <w:tcBorders>
              <w:top w:val="dotted" w:sz="4" w:space="0" w:color="auto"/>
              <w:left w:val="nil"/>
              <w:right w:val="dotted" w:sz="4" w:space="0" w:color="auto"/>
            </w:tcBorders>
            <w:noWrap/>
            <w:vAlign w:val="center"/>
          </w:tcPr>
          <w:p w14:paraId="0D03430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right w:val="single" w:sz="8" w:space="0" w:color="auto"/>
            </w:tcBorders>
            <w:noWrap/>
            <w:vAlign w:val="center"/>
          </w:tcPr>
          <w:p w14:paraId="512E289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right w:val="dotted" w:sz="4" w:space="0" w:color="auto"/>
            </w:tcBorders>
            <w:noWrap/>
            <w:vAlign w:val="center"/>
          </w:tcPr>
          <w:p w14:paraId="72D8480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right w:val="single" w:sz="8" w:space="0" w:color="auto"/>
            </w:tcBorders>
            <w:noWrap/>
            <w:vAlign w:val="center"/>
          </w:tcPr>
          <w:p w14:paraId="6E4F20B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right w:val="dotted" w:sz="4" w:space="0" w:color="auto"/>
            </w:tcBorders>
            <w:noWrap/>
            <w:vAlign w:val="center"/>
          </w:tcPr>
          <w:p w14:paraId="6CA6B19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right w:val="single" w:sz="8" w:space="0" w:color="auto"/>
            </w:tcBorders>
            <w:noWrap/>
            <w:vAlign w:val="center"/>
          </w:tcPr>
          <w:p w14:paraId="51F7049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right w:val="dotted" w:sz="4" w:space="0" w:color="auto"/>
            </w:tcBorders>
            <w:noWrap/>
            <w:vAlign w:val="center"/>
          </w:tcPr>
          <w:p w14:paraId="0C779A2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tcBorders>
              <w:top w:val="dotted" w:sz="4" w:space="0" w:color="auto"/>
              <w:left w:val="nil"/>
            </w:tcBorders>
            <w:noWrap/>
            <w:vAlign w:val="center"/>
          </w:tcPr>
          <w:p w14:paraId="6362863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1.352,52 €</w:t>
            </w:r>
          </w:p>
          <w:p w14:paraId="55C3CBF6"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3.162,00 €</w:t>
            </w:r>
          </w:p>
        </w:tc>
      </w:tr>
      <w:tr w:rsidR="00503CB8" w:rsidRPr="001546E2" w14:paraId="1F8F0227" w14:textId="77777777" w:rsidTr="001E1E3B">
        <w:trPr>
          <w:trHeight w:val="290"/>
          <w:jc w:val="center"/>
        </w:trPr>
        <w:tc>
          <w:tcPr>
            <w:tcW w:w="1317" w:type="dxa"/>
            <w:vMerge w:val="restart"/>
            <w:tcBorders>
              <w:top w:val="dotted" w:sz="4" w:space="0" w:color="auto"/>
              <w:left w:val="nil"/>
              <w:right w:val="single" w:sz="8" w:space="0" w:color="auto"/>
            </w:tcBorders>
            <w:noWrap/>
            <w:vAlign w:val="center"/>
          </w:tcPr>
          <w:p w14:paraId="39D2D3CB" w14:textId="1E7EFDDC"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Gambie</w:t>
            </w:r>
          </w:p>
        </w:tc>
        <w:tc>
          <w:tcPr>
            <w:tcW w:w="475" w:type="dxa"/>
            <w:tcBorders>
              <w:top w:val="dotted" w:sz="4" w:space="0" w:color="auto"/>
              <w:left w:val="nil"/>
              <w:bottom w:val="dotted" w:sz="4" w:space="0" w:color="auto"/>
              <w:right w:val="dotted" w:sz="4" w:space="0" w:color="auto"/>
            </w:tcBorders>
            <w:noWrap/>
            <w:vAlign w:val="center"/>
          </w:tcPr>
          <w:p w14:paraId="6813D95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a)</w:t>
            </w:r>
          </w:p>
        </w:tc>
        <w:tc>
          <w:tcPr>
            <w:tcW w:w="1231" w:type="dxa"/>
            <w:tcBorders>
              <w:top w:val="dotted" w:sz="4" w:space="0" w:color="auto"/>
              <w:left w:val="nil"/>
              <w:bottom w:val="dotted" w:sz="4" w:space="0" w:color="auto"/>
              <w:right w:val="single" w:sz="8" w:space="0" w:color="auto"/>
            </w:tcBorders>
            <w:noWrap/>
            <w:vAlign w:val="center"/>
          </w:tcPr>
          <w:p w14:paraId="5C854966"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3.157,47 €</w:t>
            </w:r>
          </w:p>
        </w:tc>
        <w:tc>
          <w:tcPr>
            <w:tcW w:w="411" w:type="dxa"/>
            <w:vMerge w:val="restart"/>
            <w:tcBorders>
              <w:top w:val="dotted" w:sz="4" w:space="0" w:color="auto"/>
              <w:left w:val="nil"/>
              <w:right w:val="dotted" w:sz="4" w:space="0" w:color="auto"/>
            </w:tcBorders>
            <w:noWrap/>
            <w:vAlign w:val="center"/>
          </w:tcPr>
          <w:p w14:paraId="005DBEC0"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276B866C"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6310995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0ED7074E"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6A40025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34A7B17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205093A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vMerge w:val="restart"/>
            <w:tcBorders>
              <w:top w:val="dotted" w:sz="4" w:space="0" w:color="auto"/>
              <w:left w:val="nil"/>
            </w:tcBorders>
            <w:noWrap/>
            <w:vAlign w:val="center"/>
          </w:tcPr>
          <w:p w14:paraId="4E3D2A96"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795,72 €</w:t>
            </w:r>
          </w:p>
          <w:p w14:paraId="1B9789D2"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3CE3D276" w14:textId="77777777" w:rsidTr="001E1E3B">
        <w:trPr>
          <w:trHeight w:val="290"/>
          <w:jc w:val="center"/>
        </w:trPr>
        <w:tc>
          <w:tcPr>
            <w:tcW w:w="1317" w:type="dxa"/>
            <w:vMerge/>
            <w:tcBorders>
              <w:top w:val="dotted" w:sz="4" w:space="0" w:color="auto"/>
              <w:left w:val="nil"/>
              <w:right w:val="single" w:sz="8" w:space="0" w:color="auto"/>
            </w:tcBorders>
            <w:noWrap/>
            <w:vAlign w:val="center"/>
          </w:tcPr>
          <w:p w14:paraId="4C5242DF"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0ADC4167"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3EC5BE78"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2.804,67 €</w:t>
            </w:r>
          </w:p>
        </w:tc>
        <w:tc>
          <w:tcPr>
            <w:tcW w:w="411" w:type="dxa"/>
            <w:vMerge/>
            <w:tcBorders>
              <w:left w:val="nil"/>
              <w:right w:val="dotted" w:sz="4" w:space="0" w:color="auto"/>
            </w:tcBorders>
            <w:noWrap/>
            <w:vAlign w:val="center"/>
          </w:tcPr>
          <w:p w14:paraId="4328E852"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3656CC1"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509EF3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592B1FA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right w:val="dotted" w:sz="4" w:space="0" w:color="auto"/>
            </w:tcBorders>
            <w:noWrap/>
            <w:vAlign w:val="center"/>
          </w:tcPr>
          <w:p w14:paraId="6669D0C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047B92A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13B6C0A8"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tcBorders>
            <w:noWrap/>
            <w:vAlign w:val="center"/>
          </w:tcPr>
          <w:p w14:paraId="65099D4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4622185"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0B0DC3A6"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2A17756C"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610079F6"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3.257,73 €</w:t>
            </w:r>
          </w:p>
        </w:tc>
        <w:tc>
          <w:tcPr>
            <w:tcW w:w="411" w:type="dxa"/>
            <w:vMerge/>
            <w:tcBorders>
              <w:left w:val="nil"/>
              <w:bottom w:val="dotted" w:sz="4" w:space="0" w:color="auto"/>
              <w:right w:val="dotted" w:sz="4" w:space="0" w:color="auto"/>
            </w:tcBorders>
            <w:noWrap/>
            <w:vAlign w:val="center"/>
          </w:tcPr>
          <w:p w14:paraId="6A53C861"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2B3B0E4D"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13A06A6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0C1DCCE1"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6E498BB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168192E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03ED23A7"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3B7D639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7F0F88C7" w14:textId="77777777" w:rsidTr="001E1E3B">
        <w:trPr>
          <w:trHeight w:val="290"/>
          <w:jc w:val="center"/>
        </w:trPr>
        <w:tc>
          <w:tcPr>
            <w:tcW w:w="1317" w:type="dxa"/>
            <w:tcBorders>
              <w:top w:val="dotted" w:sz="4" w:space="0" w:color="auto"/>
              <w:left w:val="nil"/>
              <w:right w:val="single" w:sz="8" w:space="0" w:color="auto"/>
            </w:tcBorders>
            <w:noWrap/>
            <w:vAlign w:val="center"/>
          </w:tcPr>
          <w:p w14:paraId="53ACD5B7"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Ghana</w:t>
            </w:r>
          </w:p>
        </w:tc>
        <w:tc>
          <w:tcPr>
            <w:tcW w:w="475" w:type="dxa"/>
            <w:tcBorders>
              <w:top w:val="dotted" w:sz="4" w:space="0" w:color="auto"/>
              <w:left w:val="nil"/>
              <w:right w:val="dotted" w:sz="4" w:space="0" w:color="auto"/>
            </w:tcBorders>
            <w:noWrap/>
            <w:vAlign w:val="center"/>
          </w:tcPr>
          <w:p w14:paraId="288FA4A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a)</w:t>
            </w:r>
          </w:p>
        </w:tc>
        <w:tc>
          <w:tcPr>
            <w:tcW w:w="1231" w:type="dxa"/>
            <w:tcBorders>
              <w:top w:val="dotted" w:sz="4" w:space="0" w:color="auto"/>
              <w:left w:val="nil"/>
              <w:right w:val="single" w:sz="8" w:space="0" w:color="auto"/>
            </w:tcBorders>
            <w:noWrap/>
            <w:vAlign w:val="center"/>
          </w:tcPr>
          <w:p w14:paraId="29AB4B1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3.019,13 €</w:t>
            </w:r>
          </w:p>
        </w:tc>
        <w:tc>
          <w:tcPr>
            <w:tcW w:w="411" w:type="dxa"/>
            <w:vMerge w:val="restart"/>
            <w:tcBorders>
              <w:top w:val="dotted" w:sz="4" w:space="0" w:color="auto"/>
              <w:left w:val="nil"/>
              <w:right w:val="dotted" w:sz="4" w:space="0" w:color="auto"/>
            </w:tcBorders>
            <w:noWrap/>
            <w:vAlign w:val="center"/>
          </w:tcPr>
          <w:p w14:paraId="2B6D923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258E48E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5E8F9D5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4694AB49"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nil"/>
              <w:right w:val="dotted" w:sz="4" w:space="0" w:color="auto"/>
            </w:tcBorders>
            <w:noWrap/>
            <w:vAlign w:val="center"/>
          </w:tcPr>
          <w:p w14:paraId="507BF9B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3F26E3E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5201DE4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vMerge w:val="restart"/>
            <w:tcBorders>
              <w:top w:val="dotted" w:sz="4" w:space="0" w:color="auto"/>
              <w:left w:val="nil"/>
            </w:tcBorders>
            <w:noWrap/>
            <w:vAlign w:val="center"/>
          </w:tcPr>
          <w:p w14:paraId="2CB8F69A"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1.094,09 €</w:t>
            </w:r>
          </w:p>
          <w:p w14:paraId="4ED93D3F" w14:textId="77777777" w:rsidR="00503CB8" w:rsidRPr="001546E2" w:rsidDel="00B3099B"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lastRenderedPageBreak/>
              <w:t>3.206,25 €</w:t>
            </w:r>
          </w:p>
        </w:tc>
      </w:tr>
      <w:tr w:rsidR="00503CB8" w:rsidRPr="001546E2" w14:paraId="186529F2" w14:textId="77777777" w:rsidTr="001E1E3B">
        <w:trPr>
          <w:trHeight w:val="290"/>
          <w:jc w:val="center"/>
        </w:trPr>
        <w:tc>
          <w:tcPr>
            <w:tcW w:w="1317" w:type="dxa"/>
            <w:tcBorders>
              <w:left w:val="nil"/>
              <w:bottom w:val="dotted" w:sz="4" w:space="0" w:color="auto"/>
              <w:right w:val="single" w:sz="8" w:space="0" w:color="auto"/>
            </w:tcBorders>
            <w:noWrap/>
            <w:vAlign w:val="center"/>
          </w:tcPr>
          <w:p w14:paraId="11FF33E8"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left w:val="nil"/>
              <w:bottom w:val="dotted" w:sz="4" w:space="0" w:color="auto"/>
              <w:right w:val="dotted" w:sz="4" w:space="0" w:color="auto"/>
            </w:tcBorders>
            <w:noWrap/>
            <w:vAlign w:val="center"/>
          </w:tcPr>
          <w:p w14:paraId="0676F74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left w:val="nil"/>
              <w:bottom w:val="dotted" w:sz="4" w:space="0" w:color="auto"/>
              <w:right w:val="single" w:sz="8" w:space="0" w:color="auto"/>
            </w:tcBorders>
            <w:noWrap/>
            <w:vAlign w:val="center"/>
          </w:tcPr>
          <w:p w14:paraId="1CF8B71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5.657,73 €</w:t>
            </w:r>
          </w:p>
        </w:tc>
        <w:tc>
          <w:tcPr>
            <w:tcW w:w="411" w:type="dxa"/>
            <w:vMerge/>
            <w:tcBorders>
              <w:left w:val="nil"/>
              <w:bottom w:val="dotted" w:sz="4" w:space="0" w:color="auto"/>
              <w:right w:val="dotted" w:sz="4" w:space="0" w:color="auto"/>
            </w:tcBorders>
            <w:noWrap/>
            <w:vAlign w:val="center"/>
          </w:tcPr>
          <w:p w14:paraId="0C94702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359E711D"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1A66382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5E8623F6"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nil"/>
              <w:bottom w:val="dotted" w:sz="4" w:space="0" w:color="auto"/>
              <w:right w:val="dotted" w:sz="4" w:space="0" w:color="auto"/>
            </w:tcBorders>
            <w:noWrap/>
            <w:vAlign w:val="center"/>
          </w:tcPr>
          <w:p w14:paraId="5B1E79B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3B316503"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70FCE8A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tcBorders>
            <w:noWrap/>
            <w:vAlign w:val="center"/>
          </w:tcPr>
          <w:p w14:paraId="317609DD"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CAE2C6D"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7C06E767"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Guatemala</w:t>
            </w:r>
          </w:p>
        </w:tc>
        <w:tc>
          <w:tcPr>
            <w:tcW w:w="475" w:type="dxa"/>
            <w:tcBorders>
              <w:top w:val="dotted" w:sz="4" w:space="0" w:color="auto"/>
              <w:left w:val="nil"/>
              <w:bottom w:val="dotted" w:sz="4" w:space="0" w:color="auto"/>
              <w:right w:val="dotted" w:sz="4" w:space="0" w:color="auto"/>
            </w:tcBorders>
            <w:noWrap/>
            <w:vAlign w:val="center"/>
          </w:tcPr>
          <w:p w14:paraId="2FE846F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7CF8396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2.227,30 €</w:t>
            </w:r>
          </w:p>
        </w:tc>
        <w:tc>
          <w:tcPr>
            <w:tcW w:w="411" w:type="dxa"/>
            <w:vMerge w:val="restart"/>
            <w:tcBorders>
              <w:top w:val="dotted" w:sz="4" w:space="0" w:color="auto"/>
              <w:left w:val="nil"/>
              <w:right w:val="dotted" w:sz="4" w:space="0" w:color="auto"/>
            </w:tcBorders>
            <w:noWrap/>
            <w:vAlign w:val="center"/>
          </w:tcPr>
          <w:p w14:paraId="59BE973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7FBC8D7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7F8C290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3F0EFC3C"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3CEF6C07"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353" w:type="dxa"/>
            <w:vMerge w:val="restart"/>
            <w:tcBorders>
              <w:top w:val="dotted" w:sz="4" w:space="0" w:color="auto"/>
              <w:left w:val="nil"/>
              <w:right w:val="single" w:sz="8" w:space="0" w:color="auto"/>
            </w:tcBorders>
            <w:noWrap/>
            <w:vAlign w:val="center"/>
          </w:tcPr>
          <w:p w14:paraId="4810276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1.073,08 €</w:t>
            </w:r>
          </w:p>
        </w:tc>
        <w:tc>
          <w:tcPr>
            <w:tcW w:w="426" w:type="dxa"/>
            <w:vMerge w:val="restart"/>
            <w:tcBorders>
              <w:top w:val="dotted" w:sz="4" w:space="0" w:color="auto"/>
              <w:left w:val="nil"/>
              <w:right w:val="dotted" w:sz="4" w:space="0" w:color="auto"/>
            </w:tcBorders>
            <w:noWrap/>
            <w:vAlign w:val="center"/>
          </w:tcPr>
          <w:p w14:paraId="2EC4729C"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sz w:val="18"/>
                <w:szCs w:val="18"/>
              </w:rPr>
              <w:t>X</w:t>
            </w:r>
          </w:p>
        </w:tc>
        <w:tc>
          <w:tcPr>
            <w:tcW w:w="1264" w:type="dxa"/>
            <w:vMerge w:val="restart"/>
            <w:tcBorders>
              <w:top w:val="dotted" w:sz="4" w:space="0" w:color="auto"/>
              <w:left w:val="nil"/>
              <w:right w:val="nil"/>
            </w:tcBorders>
            <w:noWrap/>
            <w:vAlign w:val="center"/>
          </w:tcPr>
          <w:p w14:paraId="416D9C7E"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1.654,72 €</w:t>
            </w:r>
          </w:p>
          <w:p w14:paraId="2519751A"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184AE84E" w14:textId="77777777" w:rsidTr="001E1E3B">
        <w:trPr>
          <w:trHeight w:val="290"/>
          <w:jc w:val="center"/>
        </w:trPr>
        <w:tc>
          <w:tcPr>
            <w:tcW w:w="1317" w:type="dxa"/>
            <w:vMerge/>
            <w:tcBorders>
              <w:left w:val="nil"/>
              <w:right w:val="single" w:sz="8" w:space="0" w:color="auto"/>
            </w:tcBorders>
            <w:noWrap/>
            <w:vAlign w:val="center"/>
          </w:tcPr>
          <w:p w14:paraId="20EB4477"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7CAE4E29"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k)</w:t>
            </w:r>
          </w:p>
        </w:tc>
        <w:tc>
          <w:tcPr>
            <w:tcW w:w="1231" w:type="dxa"/>
            <w:tcBorders>
              <w:top w:val="dotted" w:sz="4" w:space="0" w:color="auto"/>
              <w:left w:val="nil"/>
              <w:bottom w:val="dotted" w:sz="4" w:space="0" w:color="auto"/>
              <w:right w:val="single" w:sz="8" w:space="0" w:color="auto"/>
            </w:tcBorders>
            <w:noWrap/>
            <w:vAlign w:val="center"/>
          </w:tcPr>
          <w:p w14:paraId="45F97F4B"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3.381,55 €</w:t>
            </w:r>
          </w:p>
        </w:tc>
        <w:tc>
          <w:tcPr>
            <w:tcW w:w="411" w:type="dxa"/>
            <w:vMerge/>
            <w:tcBorders>
              <w:left w:val="nil"/>
              <w:right w:val="dotted" w:sz="4" w:space="0" w:color="auto"/>
            </w:tcBorders>
            <w:noWrap/>
            <w:vAlign w:val="center"/>
          </w:tcPr>
          <w:p w14:paraId="0F95389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tcBorders>
              <w:left w:val="nil"/>
              <w:right w:val="single" w:sz="8" w:space="0" w:color="auto"/>
            </w:tcBorders>
            <w:noWrap/>
            <w:vAlign w:val="center"/>
          </w:tcPr>
          <w:p w14:paraId="6AA8B240"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tcBorders>
              <w:left w:val="nil"/>
              <w:right w:val="dotted" w:sz="4" w:space="0" w:color="auto"/>
            </w:tcBorders>
            <w:noWrap/>
            <w:vAlign w:val="center"/>
          </w:tcPr>
          <w:p w14:paraId="64CB205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5FA449F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3CB6C148"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A21A93E"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866914F"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61E138BF"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723FD642"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0CBEC7EA"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0E080BBE"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65B7202F"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4.370,36 €</w:t>
            </w:r>
          </w:p>
        </w:tc>
        <w:tc>
          <w:tcPr>
            <w:tcW w:w="411" w:type="dxa"/>
            <w:vMerge/>
            <w:tcBorders>
              <w:left w:val="nil"/>
              <w:bottom w:val="dotted" w:sz="4" w:space="0" w:color="auto"/>
              <w:right w:val="dotted" w:sz="4" w:space="0" w:color="auto"/>
            </w:tcBorders>
            <w:noWrap/>
            <w:vAlign w:val="center"/>
          </w:tcPr>
          <w:p w14:paraId="3D5A92B3"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56BABEE2"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5539C67B"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2480497B"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688FC3A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6E50F06C"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32243F8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33A59487"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7C993F6" w14:textId="77777777" w:rsidTr="001E1E3B">
        <w:trPr>
          <w:trHeight w:val="290"/>
          <w:jc w:val="center"/>
        </w:trPr>
        <w:tc>
          <w:tcPr>
            <w:tcW w:w="1317" w:type="dxa"/>
            <w:vMerge w:val="restart"/>
            <w:tcBorders>
              <w:top w:val="nil"/>
              <w:left w:val="nil"/>
              <w:right w:val="single" w:sz="8" w:space="0" w:color="auto"/>
            </w:tcBorders>
            <w:noWrap/>
            <w:vAlign w:val="center"/>
          </w:tcPr>
          <w:p w14:paraId="160B8C4D" w14:textId="3A18E861" w:rsidR="00503CB8" w:rsidRPr="001546E2" w:rsidRDefault="00503CB8" w:rsidP="001E1E3B">
            <w:pPr>
              <w:spacing w:after="0" w:line="240" w:lineRule="auto"/>
              <w:rPr>
                <w:rFonts w:ascii="Cambria" w:eastAsia="Times New Roman" w:hAnsi="Cambria" w:cs="Calibri"/>
                <w:color w:val="000000"/>
                <w:sz w:val="18"/>
              </w:rPr>
            </w:pPr>
            <w:proofErr w:type="spellStart"/>
            <w:r w:rsidRPr="001546E2">
              <w:rPr>
                <w:rFonts w:ascii="Cambria" w:eastAsia="Times New Roman" w:hAnsi="Cambria" w:cs="Calibri"/>
                <w:color w:val="000000"/>
                <w:sz w:val="18"/>
              </w:rPr>
              <w:t>Rép</w:t>
            </w:r>
            <w:proofErr w:type="spellEnd"/>
            <w:r w:rsidRPr="001546E2">
              <w:rPr>
                <w:rFonts w:ascii="Cambria" w:eastAsia="Times New Roman" w:hAnsi="Cambria" w:cs="Calibri"/>
                <w:color w:val="000000"/>
                <w:sz w:val="18"/>
              </w:rPr>
              <w:t>. Guinée</w:t>
            </w:r>
          </w:p>
        </w:tc>
        <w:tc>
          <w:tcPr>
            <w:tcW w:w="475" w:type="dxa"/>
            <w:tcBorders>
              <w:top w:val="dotted" w:sz="4" w:space="0" w:color="auto"/>
              <w:left w:val="nil"/>
              <w:bottom w:val="dotted" w:sz="4" w:space="0" w:color="auto"/>
              <w:right w:val="dotted" w:sz="4" w:space="0" w:color="auto"/>
            </w:tcBorders>
            <w:noWrap/>
            <w:vAlign w:val="center"/>
          </w:tcPr>
          <w:p w14:paraId="5412363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e)</w:t>
            </w:r>
          </w:p>
        </w:tc>
        <w:tc>
          <w:tcPr>
            <w:tcW w:w="1231" w:type="dxa"/>
            <w:tcBorders>
              <w:top w:val="dotted" w:sz="4" w:space="0" w:color="auto"/>
              <w:left w:val="nil"/>
              <w:bottom w:val="dotted" w:sz="4" w:space="0" w:color="auto"/>
              <w:right w:val="single" w:sz="8" w:space="0" w:color="auto"/>
            </w:tcBorders>
            <w:noWrap/>
            <w:vAlign w:val="center"/>
          </w:tcPr>
          <w:p w14:paraId="59B6F0C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4.726,69 €</w:t>
            </w:r>
          </w:p>
        </w:tc>
        <w:tc>
          <w:tcPr>
            <w:tcW w:w="411" w:type="dxa"/>
            <w:vMerge w:val="restart"/>
            <w:tcBorders>
              <w:top w:val="dotted" w:sz="4" w:space="0" w:color="auto"/>
              <w:left w:val="nil"/>
              <w:right w:val="dotted" w:sz="4" w:space="0" w:color="auto"/>
            </w:tcBorders>
            <w:noWrap/>
            <w:vAlign w:val="center"/>
          </w:tcPr>
          <w:p w14:paraId="5A40452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6EAAE0B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2C7B684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155C549F"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12270FA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7F908D33"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nil"/>
              <w:left w:val="nil"/>
              <w:right w:val="dotted" w:sz="4" w:space="0" w:color="auto"/>
            </w:tcBorders>
            <w:noWrap/>
            <w:vAlign w:val="center"/>
          </w:tcPr>
          <w:p w14:paraId="6785D05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vMerge w:val="restart"/>
            <w:tcBorders>
              <w:top w:val="nil"/>
              <w:left w:val="nil"/>
              <w:right w:val="nil"/>
            </w:tcBorders>
            <w:noWrap/>
            <w:vAlign w:val="center"/>
          </w:tcPr>
          <w:p w14:paraId="139597C2"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1.278,51 €</w:t>
            </w:r>
          </w:p>
          <w:p w14:paraId="6CEBA944"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2.992,97 €</w:t>
            </w:r>
          </w:p>
        </w:tc>
      </w:tr>
      <w:tr w:rsidR="00503CB8" w:rsidRPr="001546E2" w14:paraId="1A960E4C" w14:textId="77777777" w:rsidTr="001E1E3B">
        <w:trPr>
          <w:trHeight w:val="290"/>
          <w:jc w:val="center"/>
        </w:trPr>
        <w:tc>
          <w:tcPr>
            <w:tcW w:w="1317" w:type="dxa"/>
            <w:vMerge/>
            <w:tcBorders>
              <w:left w:val="nil"/>
              <w:right w:val="single" w:sz="8" w:space="0" w:color="auto"/>
            </w:tcBorders>
            <w:noWrap/>
            <w:vAlign w:val="center"/>
          </w:tcPr>
          <w:p w14:paraId="7B3DFA63"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3BBA6BF"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20F8ADC1"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6.899,98 €</w:t>
            </w:r>
          </w:p>
        </w:tc>
        <w:tc>
          <w:tcPr>
            <w:tcW w:w="411" w:type="dxa"/>
            <w:vMerge/>
            <w:tcBorders>
              <w:left w:val="nil"/>
              <w:right w:val="dotted" w:sz="4" w:space="0" w:color="auto"/>
            </w:tcBorders>
            <w:noWrap/>
            <w:vAlign w:val="center"/>
          </w:tcPr>
          <w:p w14:paraId="7F2E79B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3500289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6221EAD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4A3C2176"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7FDC8B6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ADCB89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10A298D5"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48CDCF49"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1CBE9BAA"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09AF26DF"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Honduras</w:t>
            </w:r>
          </w:p>
        </w:tc>
        <w:tc>
          <w:tcPr>
            <w:tcW w:w="475" w:type="dxa"/>
            <w:tcBorders>
              <w:top w:val="dotted" w:sz="4" w:space="0" w:color="auto"/>
              <w:left w:val="nil"/>
              <w:bottom w:val="dotted" w:sz="4" w:space="0" w:color="auto"/>
              <w:right w:val="dotted" w:sz="4" w:space="0" w:color="auto"/>
            </w:tcBorders>
            <w:noWrap/>
            <w:vAlign w:val="center"/>
          </w:tcPr>
          <w:p w14:paraId="1F72E166"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153DDC3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01364C3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1B162409"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3B71292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7F440E12"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70DCD5B4"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62FF3C52"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74B9FF36"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64" w:type="dxa"/>
            <w:tcBorders>
              <w:top w:val="dotted" w:sz="4" w:space="0" w:color="auto"/>
              <w:left w:val="nil"/>
              <w:bottom w:val="dotted" w:sz="4" w:space="0" w:color="auto"/>
              <w:right w:val="nil"/>
            </w:tcBorders>
            <w:noWrap/>
            <w:vAlign w:val="center"/>
          </w:tcPr>
          <w:p w14:paraId="1E80AA4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1.344,08 €</w:t>
            </w:r>
          </w:p>
          <w:p w14:paraId="491098B1"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3.083,51 €</w:t>
            </w:r>
          </w:p>
        </w:tc>
      </w:tr>
      <w:tr w:rsidR="00503CB8" w:rsidRPr="001546E2" w14:paraId="2AC34A87"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576688AC" w14:textId="7C1DEEDC"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 xml:space="preserve">Lybie </w:t>
            </w:r>
          </w:p>
        </w:tc>
        <w:tc>
          <w:tcPr>
            <w:tcW w:w="475" w:type="dxa"/>
            <w:tcBorders>
              <w:top w:val="dotted" w:sz="4" w:space="0" w:color="auto"/>
              <w:left w:val="nil"/>
              <w:bottom w:val="nil"/>
              <w:right w:val="dotted" w:sz="4" w:space="0" w:color="auto"/>
            </w:tcBorders>
            <w:noWrap/>
            <w:vAlign w:val="center"/>
          </w:tcPr>
          <w:p w14:paraId="13960601"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nil"/>
              <w:right w:val="single" w:sz="8" w:space="0" w:color="auto"/>
            </w:tcBorders>
            <w:noWrap/>
            <w:vAlign w:val="center"/>
          </w:tcPr>
          <w:p w14:paraId="7D710DD4"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11" w:type="dxa"/>
            <w:tcBorders>
              <w:top w:val="dotted" w:sz="4" w:space="0" w:color="auto"/>
              <w:left w:val="nil"/>
              <w:bottom w:val="nil"/>
              <w:right w:val="dotted" w:sz="4" w:space="0" w:color="auto"/>
            </w:tcBorders>
            <w:noWrap/>
            <w:vAlign w:val="center"/>
          </w:tcPr>
          <w:p w14:paraId="752C8A6E"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nil"/>
              <w:right w:val="single" w:sz="8" w:space="0" w:color="auto"/>
            </w:tcBorders>
            <w:noWrap/>
            <w:vAlign w:val="center"/>
          </w:tcPr>
          <w:p w14:paraId="48C78716"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29962AD7"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00F63767"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411" w:type="dxa"/>
            <w:tcBorders>
              <w:top w:val="dotted" w:sz="4" w:space="0" w:color="auto"/>
              <w:left w:val="single" w:sz="8" w:space="0" w:color="auto"/>
              <w:bottom w:val="nil"/>
              <w:right w:val="dotted" w:sz="4" w:space="0" w:color="auto"/>
            </w:tcBorders>
            <w:noWrap/>
            <w:vAlign w:val="center"/>
          </w:tcPr>
          <w:p w14:paraId="00B80DDD"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bottom w:val="nil"/>
              <w:right w:val="single" w:sz="8" w:space="0" w:color="auto"/>
            </w:tcBorders>
            <w:noWrap/>
            <w:vAlign w:val="center"/>
          </w:tcPr>
          <w:p w14:paraId="2FF8878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6C749D9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tcBorders>
              <w:top w:val="dotted" w:sz="4" w:space="0" w:color="auto"/>
              <w:left w:val="nil"/>
              <w:bottom w:val="dotted" w:sz="4" w:space="0" w:color="auto"/>
              <w:right w:val="nil"/>
            </w:tcBorders>
            <w:noWrap/>
            <w:vAlign w:val="center"/>
          </w:tcPr>
          <w:p w14:paraId="50CDD2D3" w14:textId="77777777" w:rsidR="00503CB8" w:rsidRPr="001546E2" w:rsidRDefault="00503CB8" w:rsidP="001E1E3B">
            <w:pPr>
              <w:spacing w:after="0" w:line="240" w:lineRule="auto"/>
              <w:jc w:val="right"/>
              <w:rPr>
                <w:rFonts w:ascii="Cambria" w:eastAsia="Times New Roman" w:hAnsi="Cambria" w:cs="Calibri"/>
                <w:color w:val="EE0000"/>
                <w:sz w:val="18"/>
              </w:rPr>
            </w:pPr>
            <w:r w:rsidRPr="001546E2">
              <w:rPr>
                <w:rFonts w:ascii="Cambria" w:eastAsia="Times New Roman" w:hAnsi="Cambria" w:cs="Calibri"/>
                <w:color w:val="EE0000"/>
                <w:sz w:val="18"/>
              </w:rPr>
              <w:t>761,23 €</w:t>
            </w:r>
          </w:p>
          <w:p w14:paraId="031DD6BA" w14:textId="77777777" w:rsidR="00503CB8" w:rsidRPr="001546E2" w:rsidDel="00B3099B" w:rsidRDefault="00503CB8" w:rsidP="001E1E3B">
            <w:pPr>
              <w:spacing w:after="0" w:line="240" w:lineRule="auto"/>
              <w:jc w:val="right"/>
              <w:rPr>
                <w:rFonts w:ascii="Cambria" w:eastAsia="Times New Roman" w:hAnsi="Cambria" w:cs="Calibri"/>
                <w:color w:val="EE0000"/>
                <w:sz w:val="18"/>
              </w:rPr>
            </w:pPr>
            <w:r w:rsidRPr="001546E2">
              <w:rPr>
                <w:rFonts w:ascii="Cambria" w:eastAsia="Times New Roman" w:hAnsi="Cambria" w:cs="Calibri"/>
                <w:color w:val="EE0000"/>
                <w:sz w:val="18"/>
              </w:rPr>
              <w:t>3.162,00 €</w:t>
            </w:r>
          </w:p>
        </w:tc>
      </w:tr>
      <w:tr w:rsidR="00503CB8" w:rsidRPr="001546E2" w14:paraId="44545A5D" w14:textId="77777777" w:rsidTr="001E1E3B">
        <w:trPr>
          <w:trHeight w:val="290"/>
          <w:jc w:val="center"/>
        </w:trPr>
        <w:tc>
          <w:tcPr>
            <w:tcW w:w="1317" w:type="dxa"/>
            <w:tcBorders>
              <w:top w:val="nil"/>
              <w:left w:val="nil"/>
              <w:bottom w:val="dotted" w:sz="4" w:space="0" w:color="auto"/>
              <w:right w:val="single" w:sz="8" w:space="0" w:color="auto"/>
            </w:tcBorders>
            <w:noWrap/>
            <w:vAlign w:val="center"/>
            <w:hideMark/>
          </w:tcPr>
          <w:p w14:paraId="210EF64A" w14:textId="68C8360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Mauritanie</w:t>
            </w:r>
          </w:p>
        </w:tc>
        <w:tc>
          <w:tcPr>
            <w:tcW w:w="475" w:type="dxa"/>
            <w:tcBorders>
              <w:top w:val="dotted" w:sz="4" w:space="0" w:color="auto"/>
              <w:left w:val="nil"/>
              <w:bottom w:val="dotted" w:sz="4" w:space="0" w:color="auto"/>
              <w:right w:val="dotted" w:sz="4" w:space="0" w:color="auto"/>
            </w:tcBorders>
            <w:noWrap/>
            <w:vAlign w:val="center"/>
          </w:tcPr>
          <w:p w14:paraId="560B25CF"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04B6677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5.584,24 €</w:t>
            </w:r>
          </w:p>
        </w:tc>
        <w:tc>
          <w:tcPr>
            <w:tcW w:w="411" w:type="dxa"/>
            <w:tcBorders>
              <w:top w:val="dotted" w:sz="4" w:space="0" w:color="auto"/>
              <w:left w:val="nil"/>
              <w:bottom w:val="dotted" w:sz="4" w:space="0" w:color="auto"/>
              <w:right w:val="dotted" w:sz="4" w:space="0" w:color="auto"/>
            </w:tcBorders>
            <w:noWrap/>
            <w:vAlign w:val="center"/>
          </w:tcPr>
          <w:p w14:paraId="64AD18D3"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143" w:type="dxa"/>
            <w:tcBorders>
              <w:top w:val="dotted" w:sz="4" w:space="0" w:color="auto"/>
              <w:left w:val="nil"/>
              <w:bottom w:val="dotted" w:sz="4" w:space="0" w:color="auto"/>
              <w:right w:val="single" w:sz="8" w:space="0" w:color="auto"/>
            </w:tcBorders>
            <w:noWrap/>
            <w:vAlign w:val="center"/>
          </w:tcPr>
          <w:p w14:paraId="5F9E3E80"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2.834,38 €</w:t>
            </w:r>
          </w:p>
        </w:tc>
        <w:tc>
          <w:tcPr>
            <w:tcW w:w="377" w:type="dxa"/>
            <w:tcBorders>
              <w:top w:val="dotted" w:sz="4" w:space="0" w:color="auto"/>
              <w:left w:val="nil"/>
              <w:bottom w:val="dotted" w:sz="4" w:space="0" w:color="auto"/>
              <w:right w:val="dotted" w:sz="4" w:space="0" w:color="auto"/>
            </w:tcBorders>
            <w:noWrap/>
            <w:vAlign w:val="center"/>
          </w:tcPr>
          <w:p w14:paraId="54D0AB43"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tcBorders>
              <w:top w:val="dotted" w:sz="4" w:space="0" w:color="auto"/>
              <w:left w:val="nil"/>
              <w:bottom w:val="dotted" w:sz="4" w:space="0" w:color="auto"/>
              <w:right w:val="single" w:sz="8" w:space="0" w:color="auto"/>
            </w:tcBorders>
            <w:noWrap/>
            <w:vAlign w:val="center"/>
          </w:tcPr>
          <w:p w14:paraId="6446FF5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3.030,60 €</w:t>
            </w:r>
          </w:p>
        </w:tc>
        <w:tc>
          <w:tcPr>
            <w:tcW w:w="411" w:type="dxa"/>
            <w:tcBorders>
              <w:top w:val="dotted" w:sz="4" w:space="0" w:color="auto"/>
              <w:left w:val="single" w:sz="8" w:space="0" w:color="auto"/>
              <w:bottom w:val="dotted" w:sz="4" w:space="0" w:color="auto"/>
              <w:right w:val="dotted" w:sz="4" w:space="0" w:color="auto"/>
            </w:tcBorders>
            <w:noWrap/>
            <w:vAlign w:val="center"/>
          </w:tcPr>
          <w:p w14:paraId="12BF33FB"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4C39E99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nil"/>
              <w:left w:val="nil"/>
              <w:bottom w:val="dotted" w:sz="4" w:space="0" w:color="auto"/>
              <w:right w:val="dotted" w:sz="4" w:space="0" w:color="auto"/>
            </w:tcBorders>
            <w:noWrap/>
            <w:vAlign w:val="center"/>
          </w:tcPr>
          <w:p w14:paraId="64C24128"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tcBorders>
              <w:top w:val="nil"/>
              <w:left w:val="nil"/>
              <w:bottom w:val="dotted" w:sz="4" w:space="0" w:color="auto"/>
              <w:right w:val="nil"/>
            </w:tcBorders>
            <w:noWrap/>
            <w:vAlign w:val="center"/>
          </w:tcPr>
          <w:p w14:paraId="0B4A8170"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727D24EF"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731B6FDC" w14:textId="562B21BA"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Mexique</w:t>
            </w:r>
          </w:p>
        </w:tc>
        <w:tc>
          <w:tcPr>
            <w:tcW w:w="475" w:type="dxa"/>
            <w:tcBorders>
              <w:top w:val="dotted" w:sz="4" w:space="0" w:color="auto"/>
              <w:left w:val="nil"/>
              <w:bottom w:val="dotted" w:sz="4" w:space="0" w:color="auto"/>
              <w:right w:val="dotted" w:sz="4" w:space="0" w:color="auto"/>
            </w:tcBorders>
            <w:noWrap/>
            <w:vAlign w:val="center"/>
          </w:tcPr>
          <w:p w14:paraId="7E9F2F1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3BDECCBD"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2.664,04 €</w:t>
            </w:r>
          </w:p>
        </w:tc>
        <w:tc>
          <w:tcPr>
            <w:tcW w:w="411" w:type="dxa"/>
            <w:tcBorders>
              <w:top w:val="dotted" w:sz="4" w:space="0" w:color="auto"/>
              <w:left w:val="nil"/>
              <w:bottom w:val="dotted" w:sz="4" w:space="0" w:color="auto"/>
              <w:right w:val="dotted" w:sz="4" w:space="0" w:color="auto"/>
            </w:tcBorders>
            <w:noWrap/>
            <w:vAlign w:val="center"/>
          </w:tcPr>
          <w:p w14:paraId="6D6155D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4A26D12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4E3299E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06476A32"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7CC1BEE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353" w:type="dxa"/>
            <w:tcBorders>
              <w:top w:val="dotted" w:sz="4" w:space="0" w:color="auto"/>
              <w:left w:val="nil"/>
              <w:bottom w:val="dotted" w:sz="4" w:space="0" w:color="auto"/>
              <w:right w:val="single" w:sz="8" w:space="0" w:color="auto"/>
            </w:tcBorders>
            <w:noWrap/>
            <w:vAlign w:val="center"/>
          </w:tcPr>
          <w:p w14:paraId="2FC498D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1.488,03 €</w:t>
            </w:r>
          </w:p>
        </w:tc>
        <w:tc>
          <w:tcPr>
            <w:tcW w:w="426" w:type="dxa"/>
            <w:tcBorders>
              <w:top w:val="dotted" w:sz="4" w:space="0" w:color="auto"/>
              <w:left w:val="nil"/>
              <w:bottom w:val="dotted" w:sz="4" w:space="0" w:color="auto"/>
              <w:right w:val="dotted" w:sz="4" w:space="0" w:color="auto"/>
            </w:tcBorders>
            <w:noWrap/>
            <w:vAlign w:val="center"/>
          </w:tcPr>
          <w:p w14:paraId="2428B83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tcBorders>
              <w:top w:val="dotted" w:sz="4" w:space="0" w:color="auto"/>
              <w:left w:val="nil"/>
              <w:bottom w:val="dotted" w:sz="4" w:space="0" w:color="auto"/>
              <w:right w:val="nil"/>
            </w:tcBorders>
            <w:noWrap/>
            <w:vAlign w:val="center"/>
          </w:tcPr>
          <w:p w14:paraId="4930DC3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9F4B006" w14:textId="77777777" w:rsidTr="001E1E3B">
        <w:trPr>
          <w:trHeight w:val="290"/>
          <w:jc w:val="center"/>
        </w:trPr>
        <w:tc>
          <w:tcPr>
            <w:tcW w:w="1317" w:type="dxa"/>
            <w:vMerge w:val="restart"/>
            <w:tcBorders>
              <w:top w:val="dotted" w:sz="4" w:space="0" w:color="auto"/>
              <w:left w:val="nil"/>
              <w:bottom w:val="dotted" w:sz="4" w:space="0" w:color="auto"/>
              <w:right w:val="single" w:sz="8" w:space="0" w:color="auto"/>
            </w:tcBorders>
            <w:noWrap/>
            <w:vAlign w:val="center"/>
          </w:tcPr>
          <w:p w14:paraId="45FEE7CD" w14:textId="35523776"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Namibi</w:t>
            </w:r>
            <w:r w:rsidR="007D2571" w:rsidRPr="001546E2">
              <w:rPr>
                <w:rFonts w:ascii="Cambria" w:eastAsia="Times New Roman" w:hAnsi="Cambria" w:cs="Calibri"/>
                <w:color w:val="000000"/>
                <w:sz w:val="18"/>
              </w:rPr>
              <w:t>e</w:t>
            </w:r>
          </w:p>
        </w:tc>
        <w:tc>
          <w:tcPr>
            <w:tcW w:w="475" w:type="dxa"/>
            <w:tcBorders>
              <w:top w:val="dotted" w:sz="4" w:space="0" w:color="auto"/>
              <w:left w:val="nil"/>
              <w:bottom w:val="dotted" w:sz="4" w:space="0" w:color="auto"/>
              <w:right w:val="dotted" w:sz="4" w:space="0" w:color="auto"/>
            </w:tcBorders>
            <w:noWrap/>
            <w:vAlign w:val="center"/>
          </w:tcPr>
          <w:p w14:paraId="5F0F6A6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b)</w:t>
            </w:r>
          </w:p>
        </w:tc>
        <w:tc>
          <w:tcPr>
            <w:tcW w:w="1231" w:type="dxa"/>
            <w:tcBorders>
              <w:top w:val="dotted" w:sz="4" w:space="0" w:color="auto"/>
              <w:left w:val="nil"/>
              <w:bottom w:val="dotted" w:sz="4" w:space="0" w:color="auto"/>
              <w:right w:val="single" w:sz="8" w:space="0" w:color="auto"/>
            </w:tcBorders>
            <w:noWrap/>
            <w:vAlign w:val="center"/>
          </w:tcPr>
          <w:p w14:paraId="6D72D852"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3.398,98 €</w:t>
            </w:r>
          </w:p>
        </w:tc>
        <w:tc>
          <w:tcPr>
            <w:tcW w:w="411" w:type="dxa"/>
            <w:vMerge w:val="restart"/>
            <w:tcBorders>
              <w:top w:val="dotted" w:sz="4" w:space="0" w:color="auto"/>
              <w:left w:val="nil"/>
              <w:right w:val="dotted" w:sz="4" w:space="0" w:color="auto"/>
            </w:tcBorders>
            <w:noWrap/>
            <w:vAlign w:val="center"/>
          </w:tcPr>
          <w:p w14:paraId="69E1C43D"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15323B25"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4313ABE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64B6458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3F966E5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0913C3B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56482197"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vMerge w:val="restart"/>
            <w:tcBorders>
              <w:top w:val="dotted" w:sz="4" w:space="0" w:color="auto"/>
              <w:left w:val="nil"/>
              <w:right w:val="nil"/>
            </w:tcBorders>
            <w:noWrap/>
            <w:vAlign w:val="center"/>
          </w:tcPr>
          <w:p w14:paraId="283D7D17"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3.268,25 €</w:t>
            </w:r>
          </w:p>
        </w:tc>
      </w:tr>
      <w:tr w:rsidR="00503CB8" w:rsidRPr="001546E2" w14:paraId="165D8836"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1B11B9C3"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21030A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e)</w:t>
            </w:r>
          </w:p>
        </w:tc>
        <w:tc>
          <w:tcPr>
            <w:tcW w:w="1231" w:type="dxa"/>
            <w:tcBorders>
              <w:top w:val="dotted" w:sz="4" w:space="0" w:color="auto"/>
              <w:left w:val="nil"/>
              <w:bottom w:val="dotted" w:sz="4" w:space="0" w:color="auto"/>
              <w:right w:val="single" w:sz="8" w:space="0" w:color="auto"/>
            </w:tcBorders>
            <w:noWrap/>
            <w:vAlign w:val="center"/>
          </w:tcPr>
          <w:p w14:paraId="1228379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6.171,91 €</w:t>
            </w:r>
          </w:p>
        </w:tc>
        <w:tc>
          <w:tcPr>
            <w:tcW w:w="411" w:type="dxa"/>
            <w:vMerge/>
            <w:tcBorders>
              <w:top w:val="dotted" w:sz="4" w:space="0" w:color="auto"/>
              <w:left w:val="nil"/>
              <w:right w:val="dotted" w:sz="4" w:space="0" w:color="auto"/>
            </w:tcBorders>
            <w:noWrap/>
            <w:vAlign w:val="center"/>
          </w:tcPr>
          <w:p w14:paraId="2BE94E0F"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306463C0"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16538F79"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1EB3DCD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752AF8D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0C98614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left w:val="nil"/>
              <w:right w:val="dotted" w:sz="4" w:space="0" w:color="auto"/>
            </w:tcBorders>
            <w:noWrap/>
            <w:vAlign w:val="center"/>
          </w:tcPr>
          <w:p w14:paraId="4CD914FF"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3F074E8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343A4DCA"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1D3F454E"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F5271F7"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h)</w:t>
            </w:r>
          </w:p>
        </w:tc>
        <w:tc>
          <w:tcPr>
            <w:tcW w:w="1231" w:type="dxa"/>
            <w:tcBorders>
              <w:top w:val="dotted" w:sz="4" w:space="0" w:color="auto"/>
              <w:left w:val="nil"/>
              <w:bottom w:val="dotted" w:sz="4" w:space="0" w:color="auto"/>
              <w:right w:val="single" w:sz="8" w:space="0" w:color="auto"/>
            </w:tcBorders>
            <w:noWrap/>
            <w:vAlign w:val="center"/>
          </w:tcPr>
          <w:p w14:paraId="38EAE626"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4.289,10 €</w:t>
            </w:r>
          </w:p>
        </w:tc>
        <w:tc>
          <w:tcPr>
            <w:tcW w:w="411" w:type="dxa"/>
            <w:vMerge/>
            <w:tcBorders>
              <w:top w:val="dotted" w:sz="4" w:space="0" w:color="auto"/>
              <w:left w:val="nil"/>
              <w:right w:val="dotted" w:sz="4" w:space="0" w:color="auto"/>
            </w:tcBorders>
            <w:noWrap/>
            <w:vAlign w:val="center"/>
          </w:tcPr>
          <w:p w14:paraId="268C1C58"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68281BF5"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65C5647D"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bottom w:val="dotted" w:sz="4" w:space="0" w:color="auto"/>
              <w:right w:val="single" w:sz="8" w:space="0" w:color="auto"/>
            </w:tcBorders>
            <w:noWrap/>
            <w:vAlign w:val="center"/>
          </w:tcPr>
          <w:p w14:paraId="60ACEB1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64C4EAB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left w:val="nil"/>
              <w:bottom w:val="dotted" w:sz="4" w:space="0" w:color="auto"/>
              <w:right w:val="single" w:sz="8" w:space="0" w:color="auto"/>
            </w:tcBorders>
            <w:noWrap/>
            <w:vAlign w:val="center"/>
          </w:tcPr>
          <w:p w14:paraId="716C476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left w:val="nil"/>
              <w:bottom w:val="dotted" w:sz="4" w:space="0" w:color="auto"/>
              <w:right w:val="dotted" w:sz="4" w:space="0" w:color="auto"/>
            </w:tcBorders>
            <w:noWrap/>
            <w:vAlign w:val="center"/>
          </w:tcPr>
          <w:p w14:paraId="61FB9EEB"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0D0C8440"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A89B6A3"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hideMark/>
          </w:tcPr>
          <w:p w14:paraId="3BC6FD40"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Nicaragua</w:t>
            </w:r>
          </w:p>
        </w:tc>
        <w:tc>
          <w:tcPr>
            <w:tcW w:w="475" w:type="dxa"/>
            <w:tcBorders>
              <w:top w:val="dotted" w:sz="4" w:space="0" w:color="auto"/>
              <w:left w:val="nil"/>
              <w:bottom w:val="dotted" w:sz="4" w:space="0" w:color="auto"/>
              <w:right w:val="dotted" w:sz="4" w:space="0" w:color="auto"/>
            </w:tcBorders>
            <w:noWrap/>
            <w:vAlign w:val="center"/>
          </w:tcPr>
          <w:p w14:paraId="5BEE42E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5E8ABDF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nil"/>
              <w:bottom w:val="dotted" w:sz="4" w:space="0" w:color="auto"/>
              <w:right w:val="dotted" w:sz="4" w:space="0" w:color="auto"/>
            </w:tcBorders>
            <w:noWrap/>
            <w:vAlign w:val="center"/>
          </w:tcPr>
          <w:p w14:paraId="0BA773B9"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tcBorders>
              <w:top w:val="dotted" w:sz="4" w:space="0" w:color="auto"/>
              <w:left w:val="nil"/>
              <w:bottom w:val="dotted" w:sz="4" w:space="0" w:color="auto"/>
              <w:right w:val="single" w:sz="8" w:space="0" w:color="auto"/>
            </w:tcBorders>
            <w:noWrap/>
            <w:vAlign w:val="center"/>
          </w:tcPr>
          <w:p w14:paraId="320F276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tcBorders>
              <w:top w:val="dotted" w:sz="4" w:space="0" w:color="auto"/>
              <w:left w:val="nil"/>
              <w:bottom w:val="dotted" w:sz="4" w:space="0" w:color="auto"/>
              <w:right w:val="dotted" w:sz="4" w:space="0" w:color="auto"/>
            </w:tcBorders>
            <w:noWrap/>
            <w:vAlign w:val="center"/>
          </w:tcPr>
          <w:p w14:paraId="0A672776"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tcBorders>
              <w:top w:val="dotted" w:sz="4" w:space="0" w:color="auto"/>
              <w:left w:val="nil"/>
              <w:bottom w:val="dotted" w:sz="4" w:space="0" w:color="auto"/>
              <w:right w:val="single" w:sz="8" w:space="0" w:color="auto"/>
            </w:tcBorders>
            <w:noWrap/>
            <w:vAlign w:val="center"/>
          </w:tcPr>
          <w:p w14:paraId="32617E3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613394C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12DEF10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nil"/>
              <w:left w:val="nil"/>
              <w:bottom w:val="dotted" w:sz="4" w:space="0" w:color="auto"/>
              <w:right w:val="dotted" w:sz="4" w:space="0" w:color="auto"/>
            </w:tcBorders>
            <w:noWrap/>
            <w:vAlign w:val="center"/>
          </w:tcPr>
          <w:p w14:paraId="0DD2755D"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64" w:type="dxa"/>
            <w:tcBorders>
              <w:top w:val="nil"/>
              <w:left w:val="nil"/>
              <w:bottom w:val="dotted" w:sz="4" w:space="0" w:color="auto"/>
              <w:right w:val="nil"/>
            </w:tcBorders>
            <w:noWrap/>
            <w:vAlign w:val="center"/>
          </w:tcPr>
          <w:p w14:paraId="5DED2B01"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1.693,34 €</w:t>
            </w:r>
          </w:p>
          <w:p w14:paraId="6E97A45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3.083,51 €</w:t>
            </w:r>
          </w:p>
        </w:tc>
      </w:tr>
      <w:tr w:rsidR="00503CB8" w:rsidRPr="001546E2" w14:paraId="3B537E28" w14:textId="77777777" w:rsidTr="001E1E3B">
        <w:trPr>
          <w:trHeight w:val="290"/>
          <w:jc w:val="center"/>
        </w:trPr>
        <w:tc>
          <w:tcPr>
            <w:tcW w:w="1317" w:type="dxa"/>
            <w:tcBorders>
              <w:top w:val="dotted" w:sz="4" w:space="0" w:color="auto"/>
              <w:left w:val="nil"/>
              <w:right w:val="single" w:sz="8" w:space="0" w:color="auto"/>
            </w:tcBorders>
            <w:noWrap/>
            <w:vAlign w:val="center"/>
          </w:tcPr>
          <w:p w14:paraId="20307B3C"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 xml:space="preserve">Nigeria </w:t>
            </w:r>
          </w:p>
        </w:tc>
        <w:tc>
          <w:tcPr>
            <w:tcW w:w="475" w:type="dxa"/>
            <w:tcBorders>
              <w:top w:val="dotted" w:sz="4" w:space="0" w:color="auto"/>
              <w:left w:val="nil"/>
              <w:bottom w:val="dotted" w:sz="4" w:space="0" w:color="auto"/>
              <w:right w:val="dotted" w:sz="4" w:space="0" w:color="auto"/>
            </w:tcBorders>
            <w:noWrap/>
            <w:vAlign w:val="center"/>
          </w:tcPr>
          <w:p w14:paraId="7EF47579"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034BAA82"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411" w:type="dxa"/>
            <w:tcBorders>
              <w:top w:val="dotted" w:sz="4" w:space="0" w:color="auto"/>
              <w:left w:val="nil"/>
              <w:right w:val="dotted" w:sz="4" w:space="0" w:color="auto"/>
            </w:tcBorders>
            <w:noWrap/>
            <w:vAlign w:val="center"/>
          </w:tcPr>
          <w:p w14:paraId="08D8E0F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right w:val="single" w:sz="8" w:space="0" w:color="auto"/>
            </w:tcBorders>
            <w:noWrap/>
            <w:vAlign w:val="center"/>
          </w:tcPr>
          <w:p w14:paraId="033B563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right w:val="dotted" w:sz="4" w:space="0" w:color="auto"/>
            </w:tcBorders>
            <w:noWrap/>
            <w:vAlign w:val="center"/>
          </w:tcPr>
          <w:p w14:paraId="1667A82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right w:val="single" w:sz="8" w:space="0" w:color="auto"/>
            </w:tcBorders>
            <w:noWrap/>
            <w:vAlign w:val="center"/>
          </w:tcPr>
          <w:p w14:paraId="21AAE0DA"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tcBorders>
              <w:top w:val="dotted" w:sz="4" w:space="0" w:color="auto"/>
              <w:left w:val="single" w:sz="8" w:space="0" w:color="auto"/>
              <w:right w:val="dotted" w:sz="4" w:space="0" w:color="auto"/>
            </w:tcBorders>
            <w:noWrap/>
            <w:vAlign w:val="center"/>
          </w:tcPr>
          <w:p w14:paraId="3380D85B"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right w:val="single" w:sz="8" w:space="0" w:color="auto"/>
            </w:tcBorders>
            <w:noWrap/>
            <w:vAlign w:val="center"/>
          </w:tcPr>
          <w:p w14:paraId="70F8D9D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15CA3BEB"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tcBorders>
              <w:top w:val="dotted" w:sz="4" w:space="0" w:color="auto"/>
              <w:left w:val="nil"/>
              <w:bottom w:val="dotted" w:sz="4" w:space="0" w:color="auto"/>
              <w:right w:val="nil"/>
            </w:tcBorders>
            <w:noWrap/>
            <w:vAlign w:val="center"/>
          </w:tcPr>
          <w:p w14:paraId="0A695102" w14:textId="77777777" w:rsidR="00503CB8" w:rsidRPr="001546E2" w:rsidRDefault="00503CB8" w:rsidP="001E1E3B">
            <w:pPr>
              <w:spacing w:after="0" w:line="240" w:lineRule="auto"/>
              <w:jc w:val="right"/>
              <w:rPr>
                <w:rFonts w:ascii="Cambria" w:eastAsia="Times New Roman" w:hAnsi="Cambria" w:cs="Calibri"/>
                <w:color w:val="EE0000"/>
                <w:sz w:val="18"/>
                <w:szCs w:val="18"/>
              </w:rPr>
            </w:pPr>
            <w:r w:rsidRPr="001546E2">
              <w:rPr>
                <w:rFonts w:ascii="Cambria" w:eastAsia="Times New Roman" w:hAnsi="Cambria" w:cs="Calibri"/>
                <w:color w:val="EE0000"/>
                <w:sz w:val="18"/>
                <w:szCs w:val="18"/>
              </w:rPr>
              <w:t>763,19 €</w:t>
            </w:r>
          </w:p>
          <w:p w14:paraId="05557AC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3.221,23 €</w:t>
            </w:r>
          </w:p>
        </w:tc>
      </w:tr>
      <w:tr w:rsidR="00503CB8" w:rsidRPr="001546E2" w14:paraId="28A592C9"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0D1B8CEA" w14:textId="2682DEAF"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Panama</w:t>
            </w:r>
          </w:p>
        </w:tc>
        <w:tc>
          <w:tcPr>
            <w:tcW w:w="475" w:type="dxa"/>
            <w:tcBorders>
              <w:top w:val="dotted" w:sz="4" w:space="0" w:color="auto"/>
              <w:left w:val="nil"/>
              <w:bottom w:val="nil"/>
              <w:right w:val="dotted" w:sz="4" w:space="0" w:color="auto"/>
            </w:tcBorders>
            <w:noWrap/>
            <w:vAlign w:val="center"/>
          </w:tcPr>
          <w:p w14:paraId="74F9B250"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k)</w:t>
            </w:r>
          </w:p>
        </w:tc>
        <w:tc>
          <w:tcPr>
            <w:tcW w:w="1231" w:type="dxa"/>
            <w:tcBorders>
              <w:top w:val="dotted" w:sz="4" w:space="0" w:color="auto"/>
              <w:left w:val="nil"/>
              <w:bottom w:val="nil"/>
              <w:right w:val="single" w:sz="8" w:space="0" w:color="auto"/>
            </w:tcBorders>
            <w:noWrap/>
            <w:vAlign w:val="center"/>
          </w:tcPr>
          <w:p w14:paraId="2A3AA7F1"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3.629,64 €</w:t>
            </w:r>
          </w:p>
        </w:tc>
        <w:tc>
          <w:tcPr>
            <w:tcW w:w="411" w:type="dxa"/>
            <w:vMerge w:val="restart"/>
            <w:tcBorders>
              <w:top w:val="dotted" w:sz="4" w:space="0" w:color="auto"/>
              <w:left w:val="nil"/>
              <w:right w:val="dotted" w:sz="4" w:space="0" w:color="auto"/>
            </w:tcBorders>
            <w:noWrap/>
            <w:vAlign w:val="center"/>
          </w:tcPr>
          <w:p w14:paraId="27498C36"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4B94CE4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26BA71C1"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vMerge w:val="restart"/>
            <w:tcBorders>
              <w:top w:val="dotted" w:sz="4" w:space="0" w:color="auto"/>
              <w:left w:val="nil"/>
              <w:right w:val="single" w:sz="8" w:space="0" w:color="auto"/>
            </w:tcBorders>
            <w:noWrap/>
            <w:vAlign w:val="center"/>
          </w:tcPr>
          <w:p w14:paraId="59AACB88"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3.270,81 €</w:t>
            </w:r>
          </w:p>
        </w:tc>
        <w:tc>
          <w:tcPr>
            <w:tcW w:w="411" w:type="dxa"/>
            <w:vMerge w:val="restart"/>
            <w:tcBorders>
              <w:top w:val="dotted" w:sz="4" w:space="0" w:color="auto"/>
              <w:left w:val="single" w:sz="8" w:space="0" w:color="auto"/>
              <w:right w:val="dotted" w:sz="4" w:space="0" w:color="auto"/>
            </w:tcBorders>
            <w:noWrap/>
            <w:vAlign w:val="center"/>
          </w:tcPr>
          <w:p w14:paraId="084F191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5D835F46"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bottom w:val="dotted" w:sz="4" w:space="0" w:color="auto"/>
              <w:right w:val="dotted" w:sz="4" w:space="0" w:color="auto"/>
            </w:tcBorders>
            <w:noWrap/>
            <w:vAlign w:val="center"/>
          </w:tcPr>
          <w:p w14:paraId="13EAF64B"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vMerge w:val="restart"/>
            <w:tcBorders>
              <w:top w:val="dotted" w:sz="4" w:space="0" w:color="auto"/>
              <w:left w:val="nil"/>
              <w:bottom w:val="dotted" w:sz="4" w:space="0" w:color="auto"/>
              <w:right w:val="nil"/>
            </w:tcBorders>
            <w:noWrap/>
            <w:vAlign w:val="center"/>
          </w:tcPr>
          <w:p w14:paraId="37F76A5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1.205,64 €</w:t>
            </w:r>
          </w:p>
          <w:p w14:paraId="29B89129"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1.699,08 €</w:t>
            </w:r>
          </w:p>
        </w:tc>
      </w:tr>
      <w:tr w:rsidR="00503CB8" w:rsidRPr="001546E2" w14:paraId="3CF6CDC6" w14:textId="77777777" w:rsidTr="001E1E3B">
        <w:trPr>
          <w:trHeight w:val="290"/>
          <w:jc w:val="center"/>
        </w:trPr>
        <w:tc>
          <w:tcPr>
            <w:tcW w:w="1317" w:type="dxa"/>
            <w:vMerge/>
            <w:tcBorders>
              <w:left w:val="nil"/>
              <w:right w:val="single" w:sz="8" w:space="0" w:color="auto"/>
            </w:tcBorders>
            <w:noWrap/>
            <w:vAlign w:val="center"/>
          </w:tcPr>
          <w:p w14:paraId="72FCE808"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6B5E71E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214422C1"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6.838,36 €</w:t>
            </w:r>
          </w:p>
        </w:tc>
        <w:tc>
          <w:tcPr>
            <w:tcW w:w="411" w:type="dxa"/>
            <w:vMerge/>
            <w:tcBorders>
              <w:left w:val="nil"/>
              <w:right w:val="dotted" w:sz="4" w:space="0" w:color="auto"/>
            </w:tcBorders>
            <w:noWrap/>
            <w:vAlign w:val="center"/>
          </w:tcPr>
          <w:p w14:paraId="4DF60162"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19FDA13"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1C7E041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296EA8B7"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154B3239"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00D281F6"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bottom w:val="dotted" w:sz="4" w:space="0" w:color="auto"/>
              <w:right w:val="dotted" w:sz="4" w:space="0" w:color="auto"/>
            </w:tcBorders>
            <w:noWrap/>
            <w:vAlign w:val="center"/>
          </w:tcPr>
          <w:p w14:paraId="26D0784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bottom w:val="dotted" w:sz="4" w:space="0" w:color="auto"/>
              <w:right w:val="nil"/>
            </w:tcBorders>
            <w:noWrap/>
            <w:vAlign w:val="center"/>
          </w:tcPr>
          <w:p w14:paraId="26A2572B"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DF2B4AA"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6340E926" w14:textId="02F4F535" w:rsidR="00503CB8" w:rsidRPr="001546E2" w:rsidRDefault="00503CB8" w:rsidP="001E1E3B">
            <w:pPr>
              <w:spacing w:line="240" w:lineRule="auto"/>
              <w:rPr>
                <w:rFonts w:ascii="Cambria" w:eastAsia="Times New Roman" w:hAnsi="Cambria" w:cs="Calibri"/>
                <w:color w:val="000000"/>
                <w:sz w:val="18"/>
                <w:lang w:val="en-GB"/>
              </w:rPr>
            </w:pPr>
            <w:r w:rsidRPr="001546E2">
              <w:rPr>
                <w:rFonts w:ascii="Cambria" w:eastAsia="Times New Roman" w:hAnsi="Cambria" w:cs="Calibri"/>
                <w:color w:val="000000"/>
                <w:sz w:val="18"/>
              </w:rPr>
              <w:t>S</w:t>
            </w:r>
            <w:r w:rsidR="005A463E" w:rsidRPr="001546E2">
              <w:rPr>
                <w:rFonts w:ascii="Cambria" w:eastAsia="Times New Roman" w:hAnsi="Cambria" w:cs="Calibri"/>
                <w:color w:val="000000"/>
                <w:sz w:val="18"/>
                <w:lang w:val="en-GB"/>
              </w:rPr>
              <w:t>a</w:t>
            </w:r>
            <w:r w:rsidRPr="001546E2">
              <w:rPr>
                <w:rFonts w:ascii="Cambria" w:eastAsia="Times New Roman" w:hAnsi="Cambria" w:cs="Calibri"/>
                <w:color w:val="000000"/>
                <w:sz w:val="18"/>
              </w:rPr>
              <w:t>o Tomé e Príncipe</w:t>
            </w:r>
          </w:p>
        </w:tc>
        <w:tc>
          <w:tcPr>
            <w:tcW w:w="475" w:type="dxa"/>
            <w:tcBorders>
              <w:top w:val="dotted" w:sz="4" w:space="0" w:color="auto"/>
              <w:left w:val="nil"/>
              <w:bottom w:val="nil"/>
              <w:right w:val="dotted" w:sz="4" w:space="0" w:color="auto"/>
            </w:tcBorders>
            <w:noWrap/>
            <w:vAlign w:val="center"/>
          </w:tcPr>
          <w:p w14:paraId="4C3D5296"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c)</w:t>
            </w:r>
          </w:p>
        </w:tc>
        <w:tc>
          <w:tcPr>
            <w:tcW w:w="1231" w:type="dxa"/>
            <w:tcBorders>
              <w:top w:val="dotted" w:sz="4" w:space="0" w:color="auto"/>
              <w:left w:val="nil"/>
              <w:bottom w:val="nil"/>
              <w:right w:val="single" w:sz="8" w:space="0" w:color="auto"/>
            </w:tcBorders>
            <w:noWrap/>
            <w:vAlign w:val="center"/>
          </w:tcPr>
          <w:p w14:paraId="6796210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3.648,24 €</w:t>
            </w:r>
          </w:p>
        </w:tc>
        <w:tc>
          <w:tcPr>
            <w:tcW w:w="411" w:type="dxa"/>
            <w:vMerge w:val="restart"/>
            <w:tcBorders>
              <w:top w:val="dotted" w:sz="4" w:space="0" w:color="auto"/>
              <w:left w:val="nil"/>
              <w:right w:val="dotted" w:sz="4" w:space="0" w:color="auto"/>
            </w:tcBorders>
            <w:noWrap/>
            <w:vAlign w:val="center"/>
          </w:tcPr>
          <w:p w14:paraId="057DEFE6"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4B6902A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698829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73D58E60"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62C3DE5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0F35144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0256F65B"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64" w:type="dxa"/>
            <w:vMerge w:val="restart"/>
            <w:tcBorders>
              <w:top w:val="dotted" w:sz="4" w:space="0" w:color="auto"/>
              <w:left w:val="nil"/>
              <w:right w:val="nil"/>
            </w:tcBorders>
            <w:noWrap/>
            <w:vAlign w:val="center"/>
          </w:tcPr>
          <w:p w14:paraId="5D35B462"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1.092,24 €</w:t>
            </w:r>
          </w:p>
          <w:p w14:paraId="7055FDB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3.436,00 €</w:t>
            </w:r>
          </w:p>
        </w:tc>
      </w:tr>
      <w:tr w:rsidR="00503CB8" w:rsidRPr="001546E2" w14:paraId="359DF15C" w14:textId="77777777" w:rsidTr="001E1E3B">
        <w:trPr>
          <w:trHeight w:val="290"/>
          <w:jc w:val="center"/>
        </w:trPr>
        <w:tc>
          <w:tcPr>
            <w:tcW w:w="1317" w:type="dxa"/>
            <w:vMerge/>
            <w:tcBorders>
              <w:left w:val="nil"/>
              <w:right w:val="single" w:sz="8" w:space="0" w:color="auto"/>
            </w:tcBorders>
            <w:noWrap/>
            <w:vAlign w:val="center"/>
          </w:tcPr>
          <w:p w14:paraId="5309A251"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33A4DEFC"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dotted" w:sz="4" w:space="0" w:color="auto"/>
              <w:left w:val="nil"/>
              <w:bottom w:val="dotted" w:sz="4" w:space="0" w:color="auto"/>
              <w:right w:val="single" w:sz="8" w:space="0" w:color="auto"/>
            </w:tcBorders>
            <w:noWrap/>
            <w:vAlign w:val="center"/>
          </w:tcPr>
          <w:p w14:paraId="570B300E"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2.001,47 €</w:t>
            </w:r>
          </w:p>
        </w:tc>
        <w:tc>
          <w:tcPr>
            <w:tcW w:w="411" w:type="dxa"/>
            <w:vMerge/>
            <w:tcBorders>
              <w:left w:val="nil"/>
              <w:right w:val="dotted" w:sz="4" w:space="0" w:color="auto"/>
            </w:tcBorders>
            <w:noWrap/>
            <w:vAlign w:val="center"/>
          </w:tcPr>
          <w:p w14:paraId="633F6000"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152D4D1"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1BB1039"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706A1A52"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31809DCC"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E326511"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5E5BFB5D"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right w:val="nil"/>
            </w:tcBorders>
            <w:noWrap/>
            <w:vAlign w:val="center"/>
          </w:tcPr>
          <w:p w14:paraId="09C715D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A5BFDF7" w14:textId="77777777" w:rsidTr="001E1E3B">
        <w:trPr>
          <w:trHeight w:val="290"/>
          <w:jc w:val="center"/>
        </w:trPr>
        <w:tc>
          <w:tcPr>
            <w:tcW w:w="1317" w:type="dxa"/>
            <w:vMerge/>
            <w:tcBorders>
              <w:left w:val="nil"/>
              <w:right w:val="single" w:sz="8" w:space="0" w:color="auto"/>
            </w:tcBorders>
            <w:noWrap/>
            <w:vAlign w:val="center"/>
          </w:tcPr>
          <w:p w14:paraId="074133DC"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6B6F45CD"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26D5C33C"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6.881,30 €</w:t>
            </w:r>
          </w:p>
        </w:tc>
        <w:tc>
          <w:tcPr>
            <w:tcW w:w="411" w:type="dxa"/>
            <w:vMerge/>
            <w:tcBorders>
              <w:left w:val="nil"/>
              <w:right w:val="dotted" w:sz="4" w:space="0" w:color="auto"/>
            </w:tcBorders>
            <w:noWrap/>
            <w:vAlign w:val="center"/>
          </w:tcPr>
          <w:p w14:paraId="71AF8EB7"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702EBFA"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623CC6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6666867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0641F374"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B2569A8"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5553149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tcBorders>
              <w:left w:val="nil"/>
              <w:right w:val="nil"/>
            </w:tcBorders>
            <w:noWrap/>
            <w:vAlign w:val="center"/>
          </w:tcPr>
          <w:p w14:paraId="6F48E3E7"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E6713D7"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162AE00C" w14:textId="3EE42A6B"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Sénégal</w:t>
            </w:r>
          </w:p>
        </w:tc>
        <w:tc>
          <w:tcPr>
            <w:tcW w:w="475" w:type="dxa"/>
            <w:tcBorders>
              <w:top w:val="dotted" w:sz="4" w:space="0" w:color="auto"/>
              <w:left w:val="nil"/>
              <w:bottom w:val="dotted" w:sz="4" w:space="0" w:color="auto"/>
              <w:right w:val="dotted" w:sz="4" w:space="0" w:color="auto"/>
            </w:tcBorders>
            <w:noWrap/>
            <w:vAlign w:val="center"/>
          </w:tcPr>
          <w:p w14:paraId="05E1F4B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4876E255"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3.270,67 €</w:t>
            </w:r>
          </w:p>
        </w:tc>
        <w:tc>
          <w:tcPr>
            <w:tcW w:w="411" w:type="dxa"/>
            <w:vMerge w:val="restart"/>
            <w:tcBorders>
              <w:top w:val="dotted" w:sz="4" w:space="0" w:color="auto"/>
              <w:left w:val="nil"/>
              <w:right w:val="dotted" w:sz="4" w:space="0" w:color="auto"/>
            </w:tcBorders>
            <w:noWrap/>
            <w:vAlign w:val="center"/>
          </w:tcPr>
          <w:p w14:paraId="13D5B165"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143" w:type="dxa"/>
            <w:vMerge w:val="restart"/>
            <w:tcBorders>
              <w:top w:val="dotted" w:sz="4" w:space="0" w:color="auto"/>
              <w:left w:val="nil"/>
              <w:right w:val="single" w:sz="8" w:space="0" w:color="auto"/>
            </w:tcBorders>
            <w:noWrap/>
            <w:vAlign w:val="center"/>
          </w:tcPr>
          <w:p w14:paraId="0803335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2.584,67 €</w:t>
            </w:r>
          </w:p>
        </w:tc>
        <w:tc>
          <w:tcPr>
            <w:tcW w:w="377" w:type="dxa"/>
            <w:vMerge w:val="restart"/>
            <w:tcBorders>
              <w:top w:val="dotted" w:sz="4" w:space="0" w:color="auto"/>
              <w:left w:val="nil"/>
              <w:right w:val="dotted" w:sz="4" w:space="0" w:color="auto"/>
            </w:tcBorders>
            <w:noWrap/>
            <w:vAlign w:val="center"/>
          </w:tcPr>
          <w:p w14:paraId="7DD5DE5B"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vMerge w:val="restart"/>
            <w:tcBorders>
              <w:top w:val="dotted" w:sz="4" w:space="0" w:color="auto"/>
              <w:left w:val="nil"/>
              <w:right w:val="single" w:sz="8" w:space="0" w:color="auto"/>
            </w:tcBorders>
            <w:noWrap/>
            <w:vAlign w:val="center"/>
          </w:tcPr>
          <w:p w14:paraId="10C04106"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3.047,15 €</w:t>
            </w:r>
          </w:p>
        </w:tc>
        <w:tc>
          <w:tcPr>
            <w:tcW w:w="411" w:type="dxa"/>
            <w:vMerge w:val="restart"/>
            <w:tcBorders>
              <w:top w:val="dotted" w:sz="4" w:space="0" w:color="auto"/>
              <w:left w:val="single" w:sz="8" w:space="0" w:color="auto"/>
              <w:right w:val="dotted" w:sz="4" w:space="0" w:color="auto"/>
            </w:tcBorders>
            <w:noWrap/>
            <w:vAlign w:val="center"/>
          </w:tcPr>
          <w:p w14:paraId="3A8B2F50"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08A2E96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right w:val="dotted" w:sz="4" w:space="0" w:color="auto"/>
            </w:tcBorders>
            <w:noWrap/>
            <w:vAlign w:val="center"/>
          </w:tcPr>
          <w:p w14:paraId="6CDFF57E"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64" w:type="dxa"/>
            <w:vMerge w:val="restart"/>
            <w:tcBorders>
              <w:top w:val="dotted" w:sz="4" w:space="0" w:color="auto"/>
              <w:left w:val="nil"/>
              <w:right w:val="nil"/>
            </w:tcBorders>
            <w:noWrap/>
            <w:vAlign w:val="center"/>
          </w:tcPr>
          <w:p w14:paraId="66D9D902"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E9D2D67" w14:textId="77777777" w:rsidTr="001E1E3B">
        <w:trPr>
          <w:trHeight w:val="290"/>
          <w:jc w:val="center"/>
        </w:trPr>
        <w:tc>
          <w:tcPr>
            <w:tcW w:w="1317" w:type="dxa"/>
            <w:vMerge/>
            <w:tcBorders>
              <w:left w:val="nil"/>
              <w:right w:val="single" w:sz="8" w:space="0" w:color="auto"/>
            </w:tcBorders>
            <w:noWrap/>
            <w:vAlign w:val="center"/>
          </w:tcPr>
          <w:p w14:paraId="63711172"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nil"/>
              <w:left w:val="nil"/>
              <w:bottom w:val="dotted" w:sz="4" w:space="0" w:color="auto"/>
              <w:right w:val="dotted" w:sz="4" w:space="0" w:color="auto"/>
            </w:tcBorders>
            <w:noWrap/>
            <w:vAlign w:val="center"/>
          </w:tcPr>
          <w:p w14:paraId="03B7234D"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e)</w:t>
            </w:r>
          </w:p>
        </w:tc>
        <w:tc>
          <w:tcPr>
            <w:tcW w:w="1231" w:type="dxa"/>
            <w:tcBorders>
              <w:top w:val="nil"/>
              <w:left w:val="nil"/>
              <w:bottom w:val="dotted" w:sz="4" w:space="0" w:color="auto"/>
              <w:right w:val="single" w:sz="8" w:space="0" w:color="auto"/>
            </w:tcBorders>
            <w:noWrap/>
            <w:vAlign w:val="center"/>
          </w:tcPr>
          <w:p w14:paraId="23D1EF21"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4.327,28 €</w:t>
            </w:r>
          </w:p>
        </w:tc>
        <w:tc>
          <w:tcPr>
            <w:tcW w:w="411" w:type="dxa"/>
            <w:vMerge/>
            <w:tcBorders>
              <w:left w:val="nil"/>
              <w:right w:val="dotted" w:sz="4" w:space="0" w:color="auto"/>
            </w:tcBorders>
            <w:noWrap/>
            <w:vAlign w:val="center"/>
          </w:tcPr>
          <w:p w14:paraId="47CF9AA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26C03E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04DF9B7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115B6A6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11" w:type="dxa"/>
            <w:vMerge/>
            <w:tcBorders>
              <w:left w:val="single" w:sz="8" w:space="0" w:color="auto"/>
              <w:right w:val="dotted" w:sz="4" w:space="0" w:color="auto"/>
            </w:tcBorders>
            <w:noWrap/>
            <w:vAlign w:val="center"/>
          </w:tcPr>
          <w:p w14:paraId="7B0D401A"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466128D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18684D8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7472AE7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r>
      <w:tr w:rsidR="00503CB8" w:rsidRPr="001546E2" w14:paraId="0587F7D4" w14:textId="77777777" w:rsidTr="001E1E3B">
        <w:trPr>
          <w:trHeight w:val="290"/>
          <w:jc w:val="center"/>
        </w:trPr>
        <w:tc>
          <w:tcPr>
            <w:tcW w:w="1317" w:type="dxa"/>
            <w:vMerge/>
            <w:tcBorders>
              <w:left w:val="nil"/>
              <w:right w:val="single" w:sz="8" w:space="0" w:color="auto"/>
            </w:tcBorders>
            <w:noWrap/>
            <w:vAlign w:val="center"/>
          </w:tcPr>
          <w:p w14:paraId="1EE3BE95"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22131ED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i)</w:t>
            </w:r>
          </w:p>
        </w:tc>
        <w:tc>
          <w:tcPr>
            <w:tcW w:w="1231" w:type="dxa"/>
            <w:tcBorders>
              <w:top w:val="dotted" w:sz="4" w:space="0" w:color="auto"/>
              <w:left w:val="nil"/>
              <w:bottom w:val="dotted" w:sz="4" w:space="0" w:color="auto"/>
              <w:right w:val="single" w:sz="8" w:space="0" w:color="auto"/>
            </w:tcBorders>
            <w:noWrap/>
            <w:vAlign w:val="center"/>
          </w:tcPr>
          <w:p w14:paraId="5292E73C"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3.684,99 €</w:t>
            </w:r>
          </w:p>
        </w:tc>
        <w:tc>
          <w:tcPr>
            <w:tcW w:w="411" w:type="dxa"/>
            <w:vMerge/>
            <w:tcBorders>
              <w:left w:val="nil"/>
              <w:right w:val="dotted" w:sz="4" w:space="0" w:color="auto"/>
            </w:tcBorders>
            <w:noWrap/>
            <w:vAlign w:val="center"/>
          </w:tcPr>
          <w:p w14:paraId="68BDCD6C"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547EA643"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19BD461D"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D377DFC"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vMerge/>
            <w:tcBorders>
              <w:left w:val="single" w:sz="8" w:space="0" w:color="auto"/>
              <w:right w:val="dotted" w:sz="4" w:space="0" w:color="auto"/>
            </w:tcBorders>
            <w:noWrap/>
            <w:vAlign w:val="center"/>
          </w:tcPr>
          <w:p w14:paraId="24E8EFE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17487C70"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52DA9068"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25E2B6B5"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lang w:val="en-GB"/>
              </w:rPr>
            </w:pPr>
          </w:p>
        </w:tc>
      </w:tr>
      <w:tr w:rsidR="00503CB8" w:rsidRPr="001546E2" w14:paraId="2289283A" w14:textId="77777777" w:rsidTr="001E1E3B">
        <w:trPr>
          <w:trHeight w:val="290"/>
          <w:jc w:val="center"/>
        </w:trPr>
        <w:tc>
          <w:tcPr>
            <w:tcW w:w="1317" w:type="dxa"/>
            <w:vMerge/>
            <w:tcBorders>
              <w:left w:val="nil"/>
              <w:right w:val="single" w:sz="8" w:space="0" w:color="auto"/>
            </w:tcBorders>
            <w:noWrap/>
            <w:vAlign w:val="center"/>
          </w:tcPr>
          <w:p w14:paraId="4C3B2AB9"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14E2E99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k)</w:t>
            </w:r>
          </w:p>
        </w:tc>
        <w:tc>
          <w:tcPr>
            <w:tcW w:w="1231" w:type="dxa"/>
            <w:tcBorders>
              <w:top w:val="dotted" w:sz="4" w:space="0" w:color="auto"/>
              <w:left w:val="nil"/>
              <w:bottom w:val="dotted" w:sz="4" w:space="0" w:color="auto"/>
              <w:right w:val="single" w:sz="8" w:space="0" w:color="auto"/>
            </w:tcBorders>
            <w:noWrap/>
            <w:vAlign w:val="center"/>
          </w:tcPr>
          <w:p w14:paraId="60279B98"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3.379,59 €</w:t>
            </w:r>
          </w:p>
        </w:tc>
        <w:tc>
          <w:tcPr>
            <w:tcW w:w="411" w:type="dxa"/>
            <w:vMerge/>
            <w:tcBorders>
              <w:left w:val="nil"/>
              <w:right w:val="dotted" w:sz="4" w:space="0" w:color="auto"/>
            </w:tcBorders>
            <w:noWrap/>
            <w:vAlign w:val="center"/>
          </w:tcPr>
          <w:p w14:paraId="6A890556"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259E9C65"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0E2949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1F6B9D7B"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vMerge/>
            <w:tcBorders>
              <w:left w:val="single" w:sz="8" w:space="0" w:color="auto"/>
              <w:right w:val="dotted" w:sz="4" w:space="0" w:color="auto"/>
            </w:tcBorders>
            <w:noWrap/>
            <w:vAlign w:val="center"/>
          </w:tcPr>
          <w:p w14:paraId="7E8540B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59117052"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0D0ED5BB"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0D2A158B"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lang w:val="en-GB"/>
              </w:rPr>
            </w:pPr>
          </w:p>
        </w:tc>
      </w:tr>
      <w:tr w:rsidR="00503CB8" w:rsidRPr="001546E2" w14:paraId="7B5EB7C2"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02D8EB6D"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6CC6A7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7B1D6E6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6.032,31 €</w:t>
            </w:r>
          </w:p>
        </w:tc>
        <w:tc>
          <w:tcPr>
            <w:tcW w:w="411" w:type="dxa"/>
            <w:vMerge/>
            <w:tcBorders>
              <w:left w:val="nil"/>
              <w:bottom w:val="dotted" w:sz="4" w:space="0" w:color="auto"/>
              <w:right w:val="dotted" w:sz="4" w:space="0" w:color="auto"/>
            </w:tcBorders>
            <w:noWrap/>
            <w:vAlign w:val="center"/>
          </w:tcPr>
          <w:p w14:paraId="33229E4C"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521F9AC2"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2180D37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663CCDD9"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vMerge/>
            <w:tcBorders>
              <w:left w:val="single" w:sz="8" w:space="0" w:color="auto"/>
              <w:bottom w:val="dotted" w:sz="4" w:space="0" w:color="auto"/>
              <w:right w:val="dotted" w:sz="4" w:space="0" w:color="auto"/>
            </w:tcBorders>
            <w:noWrap/>
            <w:vAlign w:val="center"/>
          </w:tcPr>
          <w:p w14:paraId="45B1ED53"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55EA6DC8"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1D826953"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2F0F5C8F"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lang w:val="en-GB"/>
              </w:rPr>
            </w:pPr>
          </w:p>
        </w:tc>
      </w:tr>
      <w:tr w:rsidR="00503CB8" w:rsidRPr="001546E2" w14:paraId="7288702B" w14:textId="77777777" w:rsidTr="001E1E3B">
        <w:trPr>
          <w:trHeight w:val="290"/>
          <w:jc w:val="center"/>
        </w:trPr>
        <w:tc>
          <w:tcPr>
            <w:tcW w:w="1317" w:type="dxa"/>
            <w:vMerge w:val="restart"/>
            <w:tcBorders>
              <w:top w:val="dotted" w:sz="4" w:space="0" w:color="auto"/>
              <w:left w:val="nil"/>
              <w:right w:val="single" w:sz="8" w:space="0" w:color="auto"/>
            </w:tcBorders>
            <w:noWrap/>
            <w:vAlign w:val="center"/>
          </w:tcPr>
          <w:p w14:paraId="7BBC7732"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Sierra Leona</w:t>
            </w:r>
          </w:p>
        </w:tc>
        <w:tc>
          <w:tcPr>
            <w:tcW w:w="475" w:type="dxa"/>
            <w:tcBorders>
              <w:top w:val="dotted" w:sz="4" w:space="0" w:color="auto"/>
              <w:left w:val="nil"/>
              <w:bottom w:val="dotted" w:sz="4" w:space="0" w:color="auto"/>
              <w:right w:val="dotted" w:sz="4" w:space="0" w:color="auto"/>
            </w:tcBorders>
            <w:noWrap/>
            <w:vAlign w:val="center"/>
          </w:tcPr>
          <w:p w14:paraId="0835C4C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c)</w:t>
            </w:r>
          </w:p>
        </w:tc>
        <w:tc>
          <w:tcPr>
            <w:tcW w:w="1231" w:type="dxa"/>
            <w:tcBorders>
              <w:top w:val="dotted" w:sz="4" w:space="0" w:color="auto"/>
              <w:left w:val="nil"/>
              <w:bottom w:val="dotted" w:sz="4" w:space="0" w:color="auto"/>
              <w:right w:val="single" w:sz="8" w:space="0" w:color="auto"/>
            </w:tcBorders>
            <w:noWrap/>
            <w:vAlign w:val="center"/>
          </w:tcPr>
          <w:p w14:paraId="11CA093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3.976,65 €</w:t>
            </w:r>
          </w:p>
        </w:tc>
        <w:tc>
          <w:tcPr>
            <w:tcW w:w="411" w:type="dxa"/>
            <w:vMerge w:val="restart"/>
            <w:tcBorders>
              <w:top w:val="dotted" w:sz="4" w:space="0" w:color="auto"/>
              <w:left w:val="nil"/>
              <w:right w:val="dotted" w:sz="4" w:space="0" w:color="auto"/>
            </w:tcBorders>
            <w:noWrap/>
            <w:vAlign w:val="center"/>
          </w:tcPr>
          <w:p w14:paraId="0ED13CEF"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0C1B5327"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0F51A6B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val="restart"/>
            <w:tcBorders>
              <w:top w:val="dotted" w:sz="4" w:space="0" w:color="auto"/>
              <w:left w:val="nil"/>
              <w:right w:val="single" w:sz="8" w:space="0" w:color="auto"/>
            </w:tcBorders>
            <w:noWrap/>
            <w:vAlign w:val="center"/>
          </w:tcPr>
          <w:p w14:paraId="4A762A2D"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vMerge w:val="restart"/>
            <w:tcBorders>
              <w:top w:val="dotted" w:sz="4" w:space="0" w:color="auto"/>
              <w:left w:val="single" w:sz="8" w:space="0" w:color="auto"/>
              <w:right w:val="dotted" w:sz="4" w:space="0" w:color="auto"/>
            </w:tcBorders>
            <w:noWrap/>
            <w:vAlign w:val="center"/>
          </w:tcPr>
          <w:p w14:paraId="323CDCC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63EFD09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0221C6BD"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64" w:type="dxa"/>
            <w:vMerge w:val="restart"/>
            <w:tcBorders>
              <w:top w:val="dotted" w:sz="4" w:space="0" w:color="auto"/>
              <w:left w:val="nil"/>
              <w:right w:val="nil"/>
            </w:tcBorders>
            <w:noWrap/>
            <w:vAlign w:val="center"/>
          </w:tcPr>
          <w:p w14:paraId="64D1F5A2" w14:textId="77777777" w:rsidR="00503CB8" w:rsidRPr="001546E2" w:rsidRDefault="00503CB8" w:rsidP="001E1E3B">
            <w:pPr>
              <w:spacing w:after="0" w:line="240" w:lineRule="auto"/>
              <w:jc w:val="right"/>
              <w:rPr>
                <w:rFonts w:ascii="Cambria" w:eastAsia="Times New Roman" w:hAnsi="Cambria" w:cs="Calibri"/>
                <w:color w:val="000000"/>
                <w:sz w:val="18"/>
                <w:szCs w:val="18"/>
                <w:lang w:val="en-GB"/>
              </w:rPr>
            </w:pPr>
            <w:r w:rsidRPr="001546E2">
              <w:rPr>
                <w:rFonts w:ascii="Cambria" w:eastAsia="Times New Roman" w:hAnsi="Cambria" w:cs="Calibri"/>
                <w:color w:val="000000"/>
                <w:sz w:val="18"/>
                <w:szCs w:val="18"/>
                <w:lang w:val="en-GB"/>
              </w:rPr>
              <w:t>1.809,37 €</w:t>
            </w:r>
          </w:p>
          <w:p w14:paraId="65C931CD"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lang w:val="en-GB"/>
              </w:rPr>
            </w:pPr>
            <w:r w:rsidRPr="001546E2">
              <w:rPr>
                <w:rFonts w:ascii="Cambria" w:eastAsia="Times New Roman" w:hAnsi="Cambria" w:cs="Calibri"/>
                <w:color w:val="EE0000"/>
                <w:sz w:val="18"/>
                <w:szCs w:val="18"/>
                <w:lang w:val="en-GB"/>
              </w:rPr>
              <w:t>3.162,00 €</w:t>
            </w:r>
          </w:p>
        </w:tc>
      </w:tr>
      <w:tr w:rsidR="00503CB8" w:rsidRPr="001546E2" w14:paraId="122A6D7E" w14:textId="77777777" w:rsidTr="001E1E3B">
        <w:trPr>
          <w:trHeight w:val="290"/>
          <w:jc w:val="center"/>
        </w:trPr>
        <w:tc>
          <w:tcPr>
            <w:tcW w:w="1317" w:type="dxa"/>
            <w:vMerge/>
            <w:tcBorders>
              <w:left w:val="nil"/>
              <w:bottom w:val="dotted" w:sz="4" w:space="0" w:color="auto"/>
              <w:right w:val="single" w:sz="8" w:space="0" w:color="auto"/>
            </w:tcBorders>
            <w:noWrap/>
            <w:vAlign w:val="center"/>
          </w:tcPr>
          <w:p w14:paraId="774414A2"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09D8842A"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5252F5BB"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6.691,75 €</w:t>
            </w:r>
          </w:p>
        </w:tc>
        <w:tc>
          <w:tcPr>
            <w:tcW w:w="411" w:type="dxa"/>
            <w:vMerge/>
            <w:tcBorders>
              <w:left w:val="nil"/>
              <w:bottom w:val="dotted" w:sz="4" w:space="0" w:color="auto"/>
              <w:right w:val="dotted" w:sz="4" w:space="0" w:color="auto"/>
            </w:tcBorders>
            <w:noWrap/>
            <w:vAlign w:val="center"/>
          </w:tcPr>
          <w:p w14:paraId="53A9E2CB"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376E7A1C"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244F616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1457C4F2"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vMerge/>
            <w:tcBorders>
              <w:left w:val="single" w:sz="8" w:space="0" w:color="auto"/>
              <w:bottom w:val="dotted" w:sz="4" w:space="0" w:color="auto"/>
              <w:right w:val="dotted" w:sz="4" w:space="0" w:color="auto"/>
            </w:tcBorders>
            <w:noWrap/>
            <w:vAlign w:val="center"/>
          </w:tcPr>
          <w:p w14:paraId="062B315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420F82C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68191FC0"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26E3F493"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lang w:val="en-GB"/>
              </w:rPr>
            </w:pPr>
          </w:p>
        </w:tc>
      </w:tr>
      <w:tr w:rsidR="00503CB8" w:rsidRPr="001546E2" w14:paraId="7E1D4C13" w14:textId="77777777" w:rsidTr="001E1E3B">
        <w:trPr>
          <w:trHeight w:val="290"/>
          <w:jc w:val="center"/>
        </w:trPr>
        <w:tc>
          <w:tcPr>
            <w:tcW w:w="1317" w:type="dxa"/>
            <w:tcBorders>
              <w:top w:val="dotted" w:sz="4" w:space="0" w:color="auto"/>
              <w:left w:val="nil"/>
              <w:right w:val="single" w:sz="8" w:space="0" w:color="auto"/>
            </w:tcBorders>
            <w:noWrap/>
            <w:vAlign w:val="center"/>
          </w:tcPr>
          <w:p w14:paraId="00B73632" w14:textId="1E53AD09"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 xml:space="preserve">Afrique du sud </w:t>
            </w:r>
          </w:p>
        </w:tc>
        <w:tc>
          <w:tcPr>
            <w:tcW w:w="475" w:type="dxa"/>
            <w:tcBorders>
              <w:top w:val="dotted" w:sz="4" w:space="0" w:color="auto"/>
              <w:left w:val="nil"/>
              <w:bottom w:val="dotted" w:sz="4" w:space="0" w:color="auto"/>
              <w:right w:val="dotted" w:sz="4" w:space="0" w:color="auto"/>
            </w:tcBorders>
            <w:noWrap/>
            <w:vAlign w:val="center"/>
          </w:tcPr>
          <w:p w14:paraId="0FA6D13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dotted" w:sz="4" w:space="0" w:color="auto"/>
              <w:right w:val="single" w:sz="8" w:space="0" w:color="auto"/>
            </w:tcBorders>
            <w:noWrap/>
            <w:vAlign w:val="center"/>
          </w:tcPr>
          <w:p w14:paraId="0DB4F58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2.063,57 €</w:t>
            </w:r>
          </w:p>
        </w:tc>
        <w:tc>
          <w:tcPr>
            <w:tcW w:w="411" w:type="dxa"/>
            <w:tcBorders>
              <w:top w:val="dotted" w:sz="4" w:space="0" w:color="auto"/>
              <w:left w:val="nil"/>
              <w:bottom w:val="dotted" w:sz="4" w:space="0" w:color="auto"/>
              <w:right w:val="dotted" w:sz="4" w:space="0" w:color="auto"/>
            </w:tcBorders>
            <w:noWrap/>
            <w:vAlign w:val="center"/>
          </w:tcPr>
          <w:p w14:paraId="723C63D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11CF3A3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55F8F8AA"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4B6883CC"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0395147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353" w:type="dxa"/>
            <w:tcBorders>
              <w:top w:val="dotted" w:sz="4" w:space="0" w:color="auto"/>
              <w:left w:val="nil"/>
              <w:bottom w:val="dotted" w:sz="4" w:space="0" w:color="auto"/>
              <w:right w:val="single" w:sz="8" w:space="0" w:color="auto"/>
            </w:tcBorders>
            <w:noWrap/>
            <w:vAlign w:val="center"/>
          </w:tcPr>
          <w:p w14:paraId="093F97B1"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887,57 €</w:t>
            </w:r>
          </w:p>
        </w:tc>
        <w:tc>
          <w:tcPr>
            <w:tcW w:w="426" w:type="dxa"/>
            <w:tcBorders>
              <w:top w:val="dotted" w:sz="4" w:space="0" w:color="auto"/>
              <w:left w:val="nil"/>
              <w:bottom w:val="dotted" w:sz="4" w:space="0" w:color="auto"/>
              <w:right w:val="dotted" w:sz="4" w:space="0" w:color="auto"/>
            </w:tcBorders>
            <w:noWrap/>
            <w:vAlign w:val="center"/>
          </w:tcPr>
          <w:p w14:paraId="67AB0F1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64" w:type="dxa"/>
            <w:tcBorders>
              <w:top w:val="dotted" w:sz="4" w:space="0" w:color="auto"/>
              <w:left w:val="nil"/>
              <w:bottom w:val="dotted" w:sz="4" w:space="0" w:color="auto"/>
              <w:right w:val="nil"/>
            </w:tcBorders>
            <w:noWrap/>
            <w:vAlign w:val="center"/>
          </w:tcPr>
          <w:p w14:paraId="286E71CC" w14:textId="77777777" w:rsidR="00503CB8" w:rsidRPr="001546E2" w:rsidRDefault="00503CB8" w:rsidP="001E1E3B">
            <w:pPr>
              <w:spacing w:after="0" w:line="240" w:lineRule="auto"/>
              <w:jc w:val="right"/>
              <w:rPr>
                <w:rFonts w:ascii="Cambria" w:eastAsia="Times New Roman" w:hAnsi="Cambria" w:cs="Calibri"/>
                <w:color w:val="000000"/>
                <w:sz w:val="18"/>
                <w:szCs w:val="18"/>
                <w:lang w:val="en-GB"/>
              </w:rPr>
            </w:pPr>
            <w:r w:rsidRPr="001546E2">
              <w:rPr>
                <w:rFonts w:ascii="Cambria" w:eastAsia="Times New Roman" w:hAnsi="Cambria" w:cs="Calibri"/>
                <w:color w:val="000000"/>
                <w:sz w:val="18"/>
                <w:szCs w:val="18"/>
                <w:lang w:val="en-GB"/>
              </w:rPr>
              <w:t>755,60 €</w:t>
            </w:r>
          </w:p>
          <w:p w14:paraId="3010586E"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r w:rsidRPr="001546E2">
              <w:rPr>
                <w:rFonts w:ascii="Cambria" w:eastAsia="Times New Roman" w:hAnsi="Cambria" w:cs="Calibri"/>
                <w:color w:val="EE0000"/>
                <w:sz w:val="18"/>
                <w:szCs w:val="18"/>
                <w:lang w:val="en-GB"/>
              </w:rPr>
              <w:t>3.162,00 €</w:t>
            </w:r>
          </w:p>
        </w:tc>
      </w:tr>
      <w:tr w:rsidR="00503CB8" w:rsidRPr="001546E2" w14:paraId="672C08CA" w14:textId="77777777" w:rsidTr="001E1E3B">
        <w:trPr>
          <w:trHeight w:val="290"/>
          <w:jc w:val="center"/>
        </w:trPr>
        <w:tc>
          <w:tcPr>
            <w:tcW w:w="1317" w:type="dxa"/>
            <w:tcBorders>
              <w:top w:val="dotted" w:sz="4" w:space="0" w:color="auto"/>
              <w:left w:val="nil"/>
              <w:bottom w:val="dotted" w:sz="4" w:space="0" w:color="auto"/>
              <w:right w:val="single" w:sz="8" w:space="0" w:color="auto"/>
            </w:tcBorders>
            <w:noWrap/>
            <w:vAlign w:val="center"/>
          </w:tcPr>
          <w:p w14:paraId="44FC661E" w14:textId="51916EC8"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Syrie</w:t>
            </w:r>
          </w:p>
        </w:tc>
        <w:tc>
          <w:tcPr>
            <w:tcW w:w="475" w:type="dxa"/>
            <w:tcBorders>
              <w:top w:val="dotted" w:sz="4" w:space="0" w:color="auto"/>
              <w:left w:val="nil"/>
              <w:bottom w:val="dotted" w:sz="4" w:space="0" w:color="auto"/>
              <w:right w:val="dotted" w:sz="4" w:space="0" w:color="auto"/>
            </w:tcBorders>
            <w:noWrap/>
            <w:vAlign w:val="center"/>
          </w:tcPr>
          <w:p w14:paraId="21E6786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21A693D0"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11" w:type="dxa"/>
            <w:tcBorders>
              <w:top w:val="dotted" w:sz="4" w:space="0" w:color="auto"/>
              <w:left w:val="nil"/>
              <w:bottom w:val="dotted" w:sz="4" w:space="0" w:color="auto"/>
              <w:right w:val="dotted" w:sz="4" w:space="0" w:color="auto"/>
            </w:tcBorders>
            <w:noWrap/>
            <w:vAlign w:val="center"/>
          </w:tcPr>
          <w:p w14:paraId="0E815E78"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tcBorders>
              <w:top w:val="dotted" w:sz="4" w:space="0" w:color="auto"/>
              <w:left w:val="nil"/>
              <w:bottom w:val="dotted" w:sz="4" w:space="0" w:color="auto"/>
              <w:right w:val="single" w:sz="8" w:space="0" w:color="auto"/>
            </w:tcBorders>
            <w:noWrap/>
            <w:vAlign w:val="center"/>
          </w:tcPr>
          <w:p w14:paraId="1411D526"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tcBorders>
              <w:top w:val="dotted" w:sz="4" w:space="0" w:color="auto"/>
              <w:left w:val="nil"/>
              <w:bottom w:val="dotted" w:sz="4" w:space="0" w:color="auto"/>
              <w:right w:val="dotted" w:sz="4" w:space="0" w:color="auto"/>
            </w:tcBorders>
            <w:noWrap/>
            <w:vAlign w:val="center"/>
          </w:tcPr>
          <w:p w14:paraId="0B2AC51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dotted" w:sz="4" w:space="0" w:color="auto"/>
              <w:right w:val="single" w:sz="8" w:space="0" w:color="auto"/>
            </w:tcBorders>
            <w:noWrap/>
            <w:vAlign w:val="center"/>
          </w:tcPr>
          <w:p w14:paraId="02D78BE7"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lang w:val="en-GB"/>
              </w:rPr>
            </w:pPr>
          </w:p>
        </w:tc>
        <w:tc>
          <w:tcPr>
            <w:tcW w:w="411" w:type="dxa"/>
            <w:tcBorders>
              <w:top w:val="dotted" w:sz="4" w:space="0" w:color="auto"/>
              <w:left w:val="single" w:sz="8" w:space="0" w:color="auto"/>
              <w:bottom w:val="dotted" w:sz="4" w:space="0" w:color="auto"/>
              <w:right w:val="dotted" w:sz="4" w:space="0" w:color="auto"/>
            </w:tcBorders>
            <w:noWrap/>
            <w:vAlign w:val="center"/>
          </w:tcPr>
          <w:p w14:paraId="221EC52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tcBorders>
              <w:top w:val="dotted" w:sz="4" w:space="0" w:color="auto"/>
              <w:left w:val="nil"/>
              <w:bottom w:val="dotted" w:sz="4" w:space="0" w:color="auto"/>
              <w:right w:val="single" w:sz="8" w:space="0" w:color="auto"/>
            </w:tcBorders>
            <w:noWrap/>
            <w:vAlign w:val="center"/>
          </w:tcPr>
          <w:p w14:paraId="117E57C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tcBorders>
              <w:top w:val="dotted" w:sz="4" w:space="0" w:color="auto"/>
              <w:left w:val="nil"/>
              <w:bottom w:val="dotted" w:sz="4" w:space="0" w:color="auto"/>
              <w:right w:val="dotted" w:sz="4" w:space="0" w:color="auto"/>
            </w:tcBorders>
            <w:noWrap/>
            <w:vAlign w:val="center"/>
          </w:tcPr>
          <w:p w14:paraId="36F9C894"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EE0000"/>
                <w:sz w:val="18"/>
              </w:rPr>
              <w:t>X</w:t>
            </w:r>
          </w:p>
        </w:tc>
        <w:tc>
          <w:tcPr>
            <w:tcW w:w="1264" w:type="dxa"/>
            <w:tcBorders>
              <w:top w:val="dotted" w:sz="4" w:space="0" w:color="auto"/>
              <w:left w:val="nil"/>
              <w:bottom w:val="dotted" w:sz="4" w:space="0" w:color="auto"/>
              <w:right w:val="nil"/>
            </w:tcBorders>
            <w:noWrap/>
            <w:vAlign w:val="center"/>
          </w:tcPr>
          <w:p w14:paraId="2790AF75" w14:textId="77777777" w:rsidR="00503CB8" w:rsidRPr="001546E2" w:rsidRDefault="00503CB8" w:rsidP="001E1E3B">
            <w:pPr>
              <w:spacing w:after="0" w:line="240" w:lineRule="auto"/>
              <w:jc w:val="right"/>
              <w:rPr>
                <w:rFonts w:ascii="Cambria" w:eastAsia="Times New Roman" w:hAnsi="Cambria" w:cs="Calibri"/>
                <w:color w:val="EE0000"/>
                <w:sz w:val="18"/>
                <w:szCs w:val="18"/>
                <w:lang w:val="en-GB"/>
              </w:rPr>
            </w:pPr>
            <w:r w:rsidRPr="001546E2">
              <w:rPr>
                <w:rFonts w:ascii="Cambria" w:eastAsia="Times New Roman" w:hAnsi="Cambria" w:cs="Calibri"/>
                <w:color w:val="EE0000"/>
                <w:sz w:val="18"/>
                <w:szCs w:val="18"/>
                <w:lang w:val="en-GB"/>
              </w:rPr>
              <w:t>986,58 €</w:t>
            </w:r>
          </w:p>
          <w:p w14:paraId="74A7DF3C" w14:textId="77777777" w:rsidR="00503CB8" w:rsidRPr="001546E2" w:rsidRDefault="00503CB8" w:rsidP="001E1E3B">
            <w:pPr>
              <w:spacing w:after="0" w:line="240" w:lineRule="auto"/>
              <w:jc w:val="right"/>
              <w:rPr>
                <w:rFonts w:ascii="Cambria" w:eastAsia="Times New Roman" w:hAnsi="Cambria" w:cs="Calibri"/>
                <w:color w:val="000000"/>
                <w:sz w:val="18"/>
                <w:szCs w:val="18"/>
                <w:lang w:val="en-GB"/>
              </w:rPr>
            </w:pPr>
            <w:r w:rsidRPr="001546E2">
              <w:rPr>
                <w:rFonts w:ascii="Cambria" w:eastAsia="Times New Roman" w:hAnsi="Cambria" w:cs="Calibri"/>
                <w:color w:val="EE0000"/>
                <w:sz w:val="18"/>
                <w:szCs w:val="18"/>
                <w:lang w:val="en-GB"/>
              </w:rPr>
              <w:t>3.221,23 €</w:t>
            </w:r>
          </w:p>
        </w:tc>
      </w:tr>
      <w:tr w:rsidR="00503CB8" w:rsidRPr="001546E2" w14:paraId="26C35DDC" w14:textId="77777777" w:rsidTr="001E1E3B">
        <w:trPr>
          <w:trHeight w:val="290"/>
          <w:jc w:val="center"/>
        </w:trPr>
        <w:tc>
          <w:tcPr>
            <w:tcW w:w="1317" w:type="dxa"/>
            <w:vMerge w:val="restart"/>
            <w:tcBorders>
              <w:top w:val="dotted" w:sz="4" w:space="0" w:color="auto"/>
              <w:left w:val="nil"/>
              <w:right w:val="single" w:sz="8" w:space="0" w:color="auto"/>
            </w:tcBorders>
            <w:noWrap/>
            <w:vAlign w:val="center"/>
            <w:hideMark/>
          </w:tcPr>
          <w:p w14:paraId="1F5A214D" w14:textId="36D0C8F1"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szCs w:val="18"/>
              </w:rPr>
              <w:t>Tunisie</w:t>
            </w:r>
          </w:p>
        </w:tc>
        <w:tc>
          <w:tcPr>
            <w:tcW w:w="475" w:type="dxa"/>
            <w:tcBorders>
              <w:top w:val="dotted" w:sz="4" w:space="0" w:color="auto"/>
              <w:left w:val="nil"/>
              <w:bottom w:val="dotted" w:sz="4" w:space="0" w:color="auto"/>
              <w:right w:val="dotted" w:sz="4" w:space="0" w:color="auto"/>
            </w:tcBorders>
            <w:noWrap/>
            <w:vAlign w:val="center"/>
          </w:tcPr>
          <w:p w14:paraId="5FBC3A5F"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d)</w:t>
            </w:r>
          </w:p>
        </w:tc>
        <w:tc>
          <w:tcPr>
            <w:tcW w:w="1231" w:type="dxa"/>
            <w:tcBorders>
              <w:top w:val="dotted" w:sz="4" w:space="0" w:color="auto"/>
              <w:left w:val="nil"/>
              <w:bottom w:val="dotted" w:sz="4" w:space="0" w:color="auto"/>
              <w:right w:val="single" w:sz="8" w:space="0" w:color="auto"/>
            </w:tcBorders>
            <w:noWrap/>
            <w:vAlign w:val="center"/>
          </w:tcPr>
          <w:p w14:paraId="53183F94"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2.013,93 €</w:t>
            </w:r>
          </w:p>
        </w:tc>
        <w:tc>
          <w:tcPr>
            <w:tcW w:w="411" w:type="dxa"/>
            <w:vMerge w:val="restart"/>
            <w:tcBorders>
              <w:top w:val="dotted" w:sz="4" w:space="0" w:color="auto"/>
              <w:left w:val="nil"/>
              <w:bottom w:val="dotted" w:sz="4" w:space="0" w:color="auto"/>
              <w:right w:val="dotted" w:sz="4" w:space="0" w:color="auto"/>
            </w:tcBorders>
            <w:noWrap/>
            <w:vAlign w:val="center"/>
          </w:tcPr>
          <w:p w14:paraId="644BEE46"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143" w:type="dxa"/>
            <w:vMerge w:val="restart"/>
            <w:tcBorders>
              <w:top w:val="dotted" w:sz="4" w:space="0" w:color="auto"/>
              <w:left w:val="nil"/>
              <w:bottom w:val="dotted" w:sz="4" w:space="0" w:color="auto"/>
              <w:right w:val="single" w:sz="8" w:space="0" w:color="auto"/>
            </w:tcBorders>
            <w:noWrap/>
            <w:vAlign w:val="center"/>
          </w:tcPr>
          <w:p w14:paraId="5000E7A5"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2.080,71 €</w:t>
            </w:r>
          </w:p>
        </w:tc>
        <w:tc>
          <w:tcPr>
            <w:tcW w:w="377" w:type="dxa"/>
            <w:vMerge w:val="restart"/>
            <w:tcBorders>
              <w:top w:val="dotted" w:sz="4" w:space="0" w:color="auto"/>
              <w:left w:val="nil"/>
              <w:bottom w:val="dotted" w:sz="4" w:space="0" w:color="auto"/>
              <w:right w:val="dotted" w:sz="4" w:space="0" w:color="auto"/>
            </w:tcBorders>
            <w:noWrap/>
            <w:vAlign w:val="center"/>
          </w:tcPr>
          <w:p w14:paraId="4DC37437"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31" w:type="dxa"/>
            <w:vMerge w:val="restart"/>
            <w:tcBorders>
              <w:top w:val="dotted" w:sz="4" w:space="0" w:color="auto"/>
              <w:left w:val="nil"/>
              <w:bottom w:val="dotted" w:sz="4" w:space="0" w:color="auto"/>
              <w:right w:val="single" w:sz="8" w:space="0" w:color="auto"/>
            </w:tcBorders>
            <w:noWrap/>
            <w:vAlign w:val="center"/>
          </w:tcPr>
          <w:p w14:paraId="5E4E4290"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2.556,36 €</w:t>
            </w:r>
          </w:p>
        </w:tc>
        <w:tc>
          <w:tcPr>
            <w:tcW w:w="411" w:type="dxa"/>
            <w:vMerge w:val="restart"/>
            <w:tcBorders>
              <w:top w:val="dotted" w:sz="4" w:space="0" w:color="auto"/>
              <w:left w:val="single" w:sz="8" w:space="0" w:color="auto"/>
              <w:right w:val="dotted" w:sz="4" w:space="0" w:color="auto"/>
            </w:tcBorders>
            <w:noWrap/>
            <w:vAlign w:val="center"/>
          </w:tcPr>
          <w:p w14:paraId="7B5C6D51"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353" w:type="dxa"/>
            <w:vMerge w:val="restart"/>
            <w:tcBorders>
              <w:top w:val="dotted" w:sz="4" w:space="0" w:color="auto"/>
              <w:left w:val="nil"/>
              <w:right w:val="single" w:sz="8" w:space="0" w:color="auto"/>
            </w:tcBorders>
            <w:noWrap/>
            <w:vAlign w:val="center"/>
          </w:tcPr>
          <w:p w14:paraId="23DAC8E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822,33 €</w:t>
            </w:r>
          </w:p>
        </w:tc>
        <w:tc>
          <w:tcPr>
            <w:tcW w:w="426" w:type="dxa"/>
            <w:vMerge w:val="restart"/>
            <w:tcBorders>
              <w:top w:val="dotted" w:sz="4" w:space="0" w:color="auto"/>
              <w:left w:val="nil"/>
              <w:right w:val="dotted" w:sz="4" w:space="0" w:color="auto"/>
            </w:tcBorders>
            <w:noWrap/>
            <w:vAlign w:val="center"/>
          </w:tcPr>
          <w:p w14:paraId="1B5AA907"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64" w:type="dxa"/>
            <w:vMerge w:val="restart"/>
            <w:tcBorders>
              <w:top w:val="dotted" w:sz="4" w:space="0" w:color="auto"/>
              <w:left w:val="nil"/>
              <w:right w:val="nil"/>
            </w:tcBorders>
            <w:noWrap/>
            <w:vAlign w:val="center"/>
          </w:tcPr>
          <w:p w14:paraId="00133A3A"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564,86 €</w:t>
            </w:r>
          </w:p>
          <w:p w14:paraId="7CAD7DE3"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lastRenderedPageBreak/>
              <w:t>2.966,46 €</w:t>
            </w:r>
          </w:p>
        </w:tc>
      </w:tr>
      <w:tr w:rsidR="00503CB8" w:rsidRPr="001546E2" w14:paraId="399B4159" w14:textId="77777777" w:rsidTr="001E1E3B">
        <w:trPr>
          <w:trHeight w:val="300"/>
          <w:jc w:val="center"/>
        </w:trPr>
        <w:tc>
          <w:tcPr>
            <w:tcW w:w="1317" w:type="dxa"/>
            <w:vMerge/>
            <w:tcBorders>
              <w:left w:val="nil"/>
              <w:right w:val="single" w:sz="8" w:space="0" w:color="auto"/>
            </w:tcBorders>
            <w:noWrap/>
            <w:vAlign w:val="center"/>
          </w:tcPr>
          <w:p w14:paraId="2FF493DE"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54D9886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f)</w:t>
            </w:r>
          </w:p>
        </w:tc>
        <w:tc>
          <w:tcPr>
            <w:tcW w:w="1231" w:type="dxa"/>
            <w:tcBorders>
              <w:top w:val="dotted" w:sz="4" w:space="0" w:color="auto"/>
              <w:left w:val="nil"/>
              <w:bottom w:val="dotted" w:sz="4" w:space="0" w:color="auto"/>
              <w:right w:val="single" w:sz="8" w:space="0" w:color="auto"/>
            </w:tcBorders>
            <w:noWrap/>
            <w:vAlign w:val="center"/>
          </w:tcPr>
          <w:p w14:paraId="3852F90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2.497,90 €</w:t>
            </w:r>
          </w:p>
        </w:tc>
        <w:tc>
          <w:tcPr>
            <w:tcW w:w="411" w:type="dxa"/>
            <w:vMerge/>
            <w:tcBorders>
              <w:top w:val="dotted" w:sz="4" w:space="0" w:color="auto"/>
              <w:left w:val="nil"/>
              <w:right w:val="dotted" w:sz="4" w:space="0" w:color="auto"/>
            </w:tcBorders>
            <w:noWrap/>
            <w:vAlign w:val="center"/>
          </w:tcPr>
          <w:p w14:paraId="6228C6C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515DB6F3"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1340642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284E8715"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67A0E77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22DD0BA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dotted" w:sz="4" w:space="0" w:color="auto"/>
              <w:left w:val="nil"/>
              <w:right w:val="dotted" w:sz="4" w:space="0" w:color="auto"/>
            </w:tcBorders>
            <w:noWrap/>
            <w:vAlign w:val="center"/>
          </w:tcPr>
          <w:p w14:paraId="1515322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right w:val="nil"/>
            </w:tcBorders>
            <w:noWrap/>
            <w:vAlign w:val="center"/>
          </w:tcPr>
          <w:p w14:paraId="6931E140"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8CC4FDE" w14:textId="77777777" w:rsidTr="001E1E3B">
        <w:trPr>
          <w:trHeight w:val="300"/>
          <w:jc w:val="center"/>
        </w:trPr>
        <w:tc>
          <w:tcPr>
            <w:tcW w:w="1317" w:type="dxa"/>
            <w:vMerge/>
            <w:tcBorders>
              <w:left w:val="nil"/>
              <w:right w:val="single" w:sz="8" w:space="0" w:color="auto"/>
            </w:tcBorders>
            <w:noWrap/>
            <w:vAlign w:val="center"/>
          </w:tcPr>
          <w:p w14:paraId="1426B8CB"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C8C05D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dotted" w:sz="4" w:space="0" w:color="auto"/>
              <w:left w:val="nil"/>
              <w:bottom w:val="nil"/>
              <w:right w:val="single" w:sz="8" w:space="0" w:color="auto"/>
            </w:tcBorders>
            <w:noWrap/>
            <w:vAlign w:val="center"/>
          </w:tcPr>
          <w:p w14:paraId="12C89E2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1.327,25 €</w:t>
            </w:r>
          </w:p>
        </w:tc>
        <w:tc>
          <w:tcPr>
            <w:tcW w:w="411" w:type="dxa"/>
            <w:vMerge/>
            <w:tcBorders>
              <w:left w:val="nil"/>
              <w:right w:val="dotted" w:sz="4" w:space="0" w:color="auto"/>
            </w:tcBorders>
            <w:noWrap/>
            <w:vAlign w:val="center"/>
          </w:tcPr>
          <w:p w14:paraId="3568664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0129AF42"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735203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C20A789"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dotted" w:sz="4" w:space="0" w:color="auto"/>
              <w:right w:val="dotted" w:sz="4" w:space="0" w:color="auto"/>
            </w:tcBorders>
            <w:noWrap/>
            <w:vAlign w:val="center"/>
          </w:tcPr>
          <w:p w14:paraId="5BC7E66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dotted" w:sz="4" w:space="0" w:color="auto"/>
              <w:right w:val="single" w:sz="8" w:space="0" w:color="auto"/>
            </w:tcBorders>
            <w:noWrap/>
            <w:vAlign w:val="center"/>
          </w:tcPr>
          <w:p w14:paraId="1EDE904D"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5B52AB1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0D7B933D"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C2B1667" w14:textId="77777777" w:rsidTr="001E1E3B">
        <w:trPr>
          <w:trHeight w:val="300"/>
          <w:jc w:val="center"/>
        </w:trPr>
        <w:tc>
          <w:tcPr>
            <w:tcW w:w="1317" w:type="dxa"/>
            <w:vMerge/>
            <w:tcBorders>
              <w:left w:val="nil"/>
              <w:right w:val="single" w:sz="8" w:space="0" w:color="auto"/>
            </w:tcBorders>
            <w:noWrap/>
            <w:vAlign w:val="center"/>
          </w:tcPr>
          <w:p w14:paraId="3120E725"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65034B5"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j)</w:t>
            </w:r>
          </w:p>
        </w:tc>
        <w:tc>
          <w:tcPr>
            <w:tcW w:w="1231" w:type="dxa"/>
            <w:tcBorders>
              <w:top w:val="dotted" w:sz="4" w:space="0" w:color="auto"/>
              <w:left w:val="nil"/>
              <w:bottom w:val="nil"/>
              <w:right w:val="single" w:sz="8" w:space="0" w:color="auto"/>
            </w:tcBorders>
            <w:noWrap/>
            <w:vAlign w:val="center"/>
          </w:tcPr>
          <w:p w14:paraId="5E02DB6B"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1.851,33 €</w:t>
            </w:r>
          </w:p>
        </w:tc>
        <w:tc>
          <w:tcPr>
            <w:tcW w:w="411" w:type="dxa"/>
            <w:vMerge/>
            <w:tcBorders>
              <w:left w:val="nil"/>
              <w:right w:val="dotted" w:sz="4" w:space="0" w:color="auto"/>
            </w:tcBorders>
            <w:noWrap/>
            <w:vAlign w:val="center"/>
          </w:tcPr>
          <w:p w14:paraId="2EA885A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21BC26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DFD39B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69AFA1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0279267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353" w:type="dxa"/>
            <w:vMerge w:val="restart"/>
            <w:tcBorders>
              <w:top w:val="dotted" w:sz="4" w:space="0" w:color="auto"/>
              <w:left w:val="nil"/>
              <w:right w:val="single" w:sz="8" w:space="0" w:color="auto"/>
            </w:tcBorders>
            <w:noWrap/>
            <w:vAlign w:val="center"/>
          </w:tcPr>
          <w:p w14:paraId="7CC4679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1.676,03 €</w:t>
            </w:r>
          </w:p>
        </w:tc>
        <w:tc>
          <w:tcPr>
            <w:tcW w:w="426" w:type="dxa"/>
            <w:vMerge/>
            <w:tcBorders>
              <w:left w:val="nil"/>
              <w:right w:val="dotted" w:sz="4" w:space="0" w:color="auto"/>
            </w:tcBorders>
            <w:noWrap/>
            <w:vAlign w:val="center"/>
          </w:tcPr>
          <w:p w14:paraId="15C7AC1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28226FE3"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A71EBCE" w14:textId="77777777" w:rsidTr="001E1E3B">
        <w:trPr>
          <w:trHeight w:val="300"/>
          <w:jc w:val="center"/>
        </w:trPr>
        <w:tc>
          <w:tcPr>
            <w:tcW w:w="1317" w:type="dxa"/>
            <w:vMerge/>
            <w:tcBorders>
              <w:left w:val="nil"/>
              <w:right w:val="single" w:sz="8" w:space="0" w:color="auto"/>
            </w:tcBorders>
            <w:noWrap/>
            <w:vAlign w:val="center"/>
          </w:tcPr>
          <w:p w14:paraId="2C075D70"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1985A5F"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3CCFA955"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3.169,48 €</w:t>
            </w:r>
          </w:p>
        </w:tc>
        <w:tc>
          <w:tcPr>
            <w:tcW w:w="411" w:type="dxa"/>
            <w:vMerge/>
            <w:tcBorders>
              <w:left w:val="nil"/>
              <w:right w:val="dotted" w:sz="4" w:space="0" w:color="auto"/>
            </w:tcBorders>
            <w:noWrap/>
            <w:vAlign w:val="center"/>
          </w:tcPr>
          <w:p w14:paraId="059FEBE9"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632A0ECD"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F86C169"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4FB6CB69"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32A6550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3219F91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2975BCA0"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24D214BA"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EF53236" w14:textId="77777777" w:rsidTr="001E1E3B">
        <w:trPr>
          <w:trHeight w:val="300"/>
          <w:jc w:val="center"/>
        </w:trPr>
        <w:tc>
          <w:tcPr>
            <w:tcW w:w="1317" w:type="dxa"/>
            <w:vMerge/>
            <w:tcBorders>
              <w:left w:val="nil"/>
              <w:bottom w:val="dotted" w:sz="4" w:space="0" w:color="auto"/>
              <w:right w:val="single" w:sz="8" w:space="0" w:color="auto"/>
            </w:tcBorders>
            <w:noWrap/>
            <w:vAlign w:val="center"/>
          </w:tcPr>
          <w:p w14:paraId="6F6FF535"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dotted" w:sz="4" w:space="0" w:color="auto"/>
              <w:right w:val="dotted" w:sz="4" w:space="0" w:color="auto"/>
            </w:tcBorders>
            <w:noWrap/>
            <w:vAlign w:val="center"/>
          </w:tcPr>
          <w:p w14:paraId="351ED503"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dotted" w:sz="4" w:space="0" w:color="auto"/>
              <w:right w:val="single" w:sz="8" w:space="0" w:color="auto"/>
            </w:tcBorders>
            <w:noWrap/>
            <w:vAlign w:val="center"/>
          </w:tcPr>
          <w:p w14:paraId="7ADE9726"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2.900,21 €</w:t>
            </w:r>
          </w:p>
        </w:tc>
        <w:tc>
          <w:tcPr>
            <w:tcW w:w="411" w:type="dxa"/>
            <w:vMerge/>
            <w:tcBorders>
              <w:left w:val="nil"/>
              <w:bottom w:val="dotted" w:sz="4" w:space="0" w:color="auto"/>
              <w:right w:val="dotted" w:sz="4" w:space="0" w:color="auto"/>
            </w:tcBorders>
            <w:noWrap/>
            <w:vAlign w:val="center"/>
          </w:tcPr>
          <w:p w14:paraId="48597C73"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dotted" w:sz="4" w:space="0" w:color="auto"/>
              <w:right w:val="single" w:sz="8" w:space="0" w:color="auto"/>
            </w:tcBorders>
            <w:noWrap/>
            <w:vAlign w:val="center"/>
          </w:tcPr>
          <w:p w14:paraId="2C081421"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dotted" w:sz="4" w:space="0" w:color="auto"/>
              <w:right w:val="dotted" w:sz="4" w:space="0" w:color="auto"/>
            </w:tcBorders>
            <w:noWrap/>
            <w:vAlign w:val="center"/>
          </w:tcPr>
          <w:p w14:paraId="4CF91359"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dotted" w:sz="4" w:space="0" w:color="auto"/>
              <w:right w:val="single" w:sz="8" w:space="0" w:color="auto"/>
            </w:tcBorders>
            <w:noWrap/>
            <w:vAlign w:val="center"/>
          </w:tcPr>
          <w:p w14:paraId="0A68239D"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bottom w:val="dotted" w:sz="4" w:space="0" w:color="auto"/>
              <w:right w:val="dotted" w:sz="4" w:space="0" w:color="auto"/>
            </w:tcBorders>
            <w:noWrap/>
            <w:vAlign w:val="center"/>
          </w:tcPr>
          <w:p w14:paraId="582AEF3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bottom w:val="dotted" w:sz="4" w:space="0" w:color="auto"/>
              <w:right w:val="single" w:sz="8" w:space="0" w:color="auto"/>
            </w:tcBorders>
            <w:noWrap/>
            <w:vAlign w:val="center"/>
          </w:tcPr>
          <w:p w14:paraId="0226E446"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dotted" w:sz="4" w:space="0" w:color="auto"/>
              <w:right w:val="dotted" w:sz="4" w:space="0" w:color="auto"/>
            </w:tcBorders>
            <w:noWrap/>
            <w:vAlign w:val="center"/>
          </w:tcPr>
          <w:p w14:paraId="2910111F"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dotted" w:sz="4" w:space="0" w:color="auto"/>
              <w:right w:val="nil"/>
            </w:tcBorders>
            <w:noWrap/>
            <w:vAlign w:val="center"/>
          </w:tcPr>
          <w:p w14:paraId="686D94E0"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16D9050" w14:textId="77777777" w:rsidTr="001E1E3B">
        <w:trPr>
          <w:trHeight w:val="300"/>
          <w:jc w:val="center"/>
        </w:trPr>
        <w:tc>
          <w:tcPr>
            <w:tcW w:w="1317" w:type="dxa"/>
            <w:tcBorders>
              <w:top w:val="dotted" w:sz="4" w:space="0" w:color="auto"/>
              <w:left w:val="nil"/>
              <w:right w:val="single" w:sz="8" w:space="0" w:color="auto"/>
            </w:tcBorders>
            <w:noWrap/>
            <w:vAlign w:val="center"/>
          </w:tcPr>
          <w:p w14:paraId="2F941D7B"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Türkiye</w:t>
            </w:r>
          </w:p>
        </w:tc>
        <w:tc>
          <w:tcPr>
            <w:tcW w:w="475" w:type="dxa"/>
            <w:tcBorders>
              <w:top w:val="dotted" w:sz="4" w:space="0" w:color="auto"/>
              <w:left w:val="nil"/>
              <w:bottom w:val="nil"/>
              <w:right w:val="dotted" w:sz="4" w:space="0" w:color="auto"/>
            </w:tcBorders>
            <w:noWrap/>
            <w:vAlign w:val="center"/>
          </w:tcPr>
          <w:p w14:paraId="603BC5AF"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31" w:type="dxa"/>
            <w:tcBorders>
              <w:top w:val="dotted" w:sz="4" w:space="0" w:color="auto"/>
              <w:left w:val="nil"/>
              <w:bottom w:val="nil"/>
              <w:right w:val="single" w:sz="8" w:space="0" w:color="auto"/>
            </w:tcBorders>
            <w:noWrap/>
            <w:vAlign w:val="center"/>
          </w:tcPr>
          <w:p w14:paraId="701BA7C8" w14:textId="77777777" w:rsidR="00503CB8" w:rsidRPr="001546E2" w:rsidRDefault="00503CB8" w:rsidP="001E1E3B">
            <w:pPr>
              <w:spacing w:after="0" w:line="240" w:lineRule="auto"/>
              <w:jc w:val="right"/>
              <w:rPr>
                <w:rFonts w:ascii="Cambria" w:eastAsia="Times New Roman" w:hAnsi="Cambria" w:cs="Calibri"/>
                <w:color w:val="000000"/>
                <w:sz w:val="18"/>
              </w:rPr>
            </w:pPr>
          </w:p>
        </w:tc>
        <w:tc>
          <w:tcPr>
            <w:tcW w:w="411" w:type="dxa"/>
            <w:tcBorders>
              <w:top w:val="dotted" w:sz="4" w:space="0" w:color="auto"/>
              <w:left w:val="nil"/>
              <w:right w:val="dotted" w:sz="4" w:space="0" w:color="auto"/>
            </w:tcBorders>
            <w:noWrap/>
            <w:vAlign w:val="center"/>
          </w:tcPr>
          <w:p w14:paraId="7000A25B"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143" w:type="dxa"/>
            <w:tcBorders>
              <w:top w:val="dotted" w:sz="4" w:space="0" w:color="auto"/>
              <w:left w:val="nil"/>
              <w:right w:val="single" w:sz="8" w:space="0" w:color="auto"/>
            </w:tcBorders>
            <w:noWrap/>
            <w:vAlign w:val="center"/>
          </w:tcPr>
          <w:p w14:paraId="63618341"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2.574,05 €</w:t>
            </w:r>
          </w:p>
        </w:tc>
        <w:tc>
          <w:tcPr>
            <w:tcW w:w="377" w:type="dxa"/>
            <w:tcBorders>
              <w:top w:val="dotted" w:sz="4" w:space="0" w:color="auto"/>
              <w:left w:val="nil"/>
              <w:right w:val="dotted" w:sz="4" w:space="0" w:color="auto"/>
            </w:tcBorders>
            <w:noWrap/>
            <w:vAlign w:val="center"/>
          </w:tcPr>
          <w:p w14:paraId="2EF53ABE"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szCs w:val="18"/>
              </w:rPr>
              <w:t>X</w:t>
            </w:r>
          </w:p>
        </w:tc>
        <w:tc>
          <w:tcPr>
            <w:tcW w:w="1231" w:type="dxa"/>
            <w:tcBorders>
              <w:top w:val="dotted" w:sz="4" w:space="0" w:color="auto"/>
              <w:left w:val="nil"/>
              <w:right w:val="single" w:sz="8" w:space="0" w:color="auto"/>
            </w:tcBorders>
            <w:noWrap/>
            <w:vAlign w:val="center"/>
          </w:tcPr>
          <w:p w14:paraId="10DB549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2.535,02 €</w:t>
            </w:r>
          </w:p>
        </w:tc>
        <w:tc>
          <w:tcPr>
            <w:tcW w:w="411" w:type="dxa"/>
            <w:tcBorders>
              <w:top w:val="dotted" w:sz="4" w:space="0" w:color="auto"/>
              <w:left w:val="single" w:sz="8" w:space="0" w:color="auto"/>
              <w:bottom w:val="dotted" w:sz="4" w:space="0" w:color="auto"/>
              <w:right w:val="dotted" w:sz="4" w:space="0" w:color="auto"/>
            </w:tcBorders>
            <w:noWrap/>
            <w:vAlign w:val="center"/>
          </w:tcPr>
          <w:p w14:paraId="49498005"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tcBorders>
              <w:top w:val="dotted" w:sz="4" w:space="0" w:color="auto"/>
              <w:left w:val="nil"/>
              <w:bottom w:val="dotted" w:sz="4" w:space="0" w:color="auto"/>
              <w:right w:val="single" w:sz="8" w:space="0" w:color="auto"/>
            </w:tcBorders>
            <w:noWrap/>
            <w:vAlign w:val="center"/>
          </w:tcPr>
          <w:p w14:paraId="23C1251F"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tcBorders>
              <w:top w:val="dotted" w:sz="4" w:space="0" w:color="auto"/>
              <w:left w:val="nil"/>
              <w:bottom w:val="dotted" w:sz="4" w:space="0" w:color="auto"/>
              <w:right w:val="dotted" w:sz="4" w:space="0" w:color="auto"/>
            </w:tcBorders>
            <w:noWrap/>
            <w:vAlign w:val="center"/>
          </w:tcPr>
          <w:p w14:paraId="43B9DFEB"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64" w:type="dxa"/>
            <w:tcBorders>
              <w:top w:val="dotted" w:sz="4" w:space="0" w:color="auto"/>
              <w:left w:val="nil"/>
              <w:bottom w:val="dotted" w:sz="4" w:space="0" w:color="auto"/>
              <w:right w:val="nil"/>
            </w:tcBorders>
            <w:noWrap/>
            <w:vAlign w:val="center"/>
          </w:tcPr>
          <w:p w14:paraId="4CD0030D"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454,22 €</w:t>
            </w:r>
          </w:p>
          <w:p w14:paraId="6311EAE7"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2.914,00 €</w:t>
            </w:r>
          </w:p>
        </w:tc>
      </w:tr>
      <w:tr w:rsidR="00503CB8" w:rsidRPr="001546E2" w14:paraId="6961F8E3" w14:textId="77777777" w:rsidTr="001E1E3B">
        <w:trPr>
          <w:trHeight w:val="300"/>
          <w:jc w:val="center"/>
        </w:trPr>
        <w:tc>
          <w:tcPr>
            <w:tcW w:w="1317" w:type="dxa"/>
            <w:vMerge w:val="restart"/>
            <w:tcBorders>
              <w:top w:val="dotted" w:sz="4" w:space="0" w:color="auto"/>
              <w:left w:val="nil"/>
              <w:right w:val="single" w:sz="8" w:space="0" w:color="auto"/>
            </w:tcBorders>
            <w:noWrap/>
            <w:vAlign w:val="center"/>
            <w:hideMark/>
          </w:tcPr>
          <w:p w14:paraId="23461239" w14:textId="77777777" w:rsidR="00503CB8" w:rsidRPr="001546E2" w:rsidRDefault="00503CB8" w:rsidP="001E1E3B">
            <w:pPr>
              <w:spacing w:after="0" w:line="240" w:lineRule="auto"/>
              <w:rPr>
                <w:rFonts w:ascii="Cambria" w:eastAsia="Times New Roman" w:hAnsi="Cambria" w:cs="Calibri"/>
                <w:color w:val="000000"/>
                <w:sz w:val="18"/>
                <w:szCs w:val="18"/>
              </w:rPr>
            </w:pPr>
            <w:r w:rsidRPr="001546E2">
              <w:rPr>
                <w:rFonts w:ascii="Cambria" w:eastAsia="Times New Roman" w:hAnsi="Cambria" w:cs="Calibri"/>
                <w:color w:val="000000"/>
                <w:sz w:val="18"/>
              </w:rPr>
              <w:t>Uruguay</w:t>
            </w:r>
          </w:p>
        </w:tc>
        <w:tc>
          <w:tcPr>
            <w:tcW w:w="475" w:type="dxa"/>
            <w:tcBorders>
              <w:top w:val="dotted" w:sz="4" w:space="0" w:color="auto"/>
              <w:left w:val="nil"/>
              <w:bottom w:val="nil"/>
              <w:right w:val="dotted" w:sz="4" w:space="0" w:color="auto"/>
            </w:tcBorders>
            <w:noWrap/>
            <w:vAlign w:val="center"/>
          </w:tcPr>
          <w:p w14:paraId="5235E148"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h)</w:t>
            </w:r>
          </w:p>
        </w:tc>
        <w:tc>
          <w:tcPr>
            <w:tcW w:w="1231" w:type="dxa"/>
            <w:tcBorders>
              <w:top w:val="dotted" w:sz="4" w:space="0" w:color="auto"/>
              <w:left w:val="nil"/>
              <w:bottom w:val="nil"/>
              <w:right w:val="single" w:sz="8" w:space="0" w:color="auto"/>
            </w:tcBorders>
            <w:noWrap/>
            <w:vAlign w:val="center"/>
          </w:tcPr>
          <w:p w14:paraId="7810796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rPr>
              <w:t>3.893,03 €</w:t>
            </w:r>
          </w:p>
        </w:tc>
        <w:tc>
          <w:tcPr>
            <w:tcW w:w="411" w:type="dxa"/>
            <w:vMerge w:val="restart"/>
            <w:tcBorders>
              <w:top w:val="dotted" w:sz="4" w:space="0" w:color="auto"/>
              <w:left w:val="nil"/>
              <w:right w:val="dotted" w:sz="4" w:space="0" w:color="auto"/>
            </w:tcBorders>
            <w:noWrap/>
            <w:vAlign w:val="center"/>
          </w:tcPr>
          <w:p w14:paraId="2B0EFE26"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143" w:type="dxa"/>
            <w:vMerge w:val="restart"/>
            <w:tcBorders>
              <w:top w:val="dotted" w:sz="4" w:space="0" w:color="auto"/>
              <w:left w:val="nil"/>
              <w:right w:val="single" w:sz="8" w:space="0" w:color="auto"/>
            </w:tcBorders>
            <w:noWrap/>
            <w:vAlign w:val="center"/>
          </w:tcPr>
          <w:p w14:paraId="7938D071"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377" w:type="dxa"/>
            <w:vMerge w:val="restart"/>
            <w:tcBorders>
              <w:top w:val="dotted" w:sz="4" w:space="0" w:color="auto"/>
              <w:left w:val="nil"/>
              <w:right w:val="dotted" w:sz="4" w:space="0" w:color="auto"/>
            </w:tcBorders>
            <w:noWrap/>
            <w:vAlign w:val="center"/>
          </w:tcPr>
          <w:p w14:paraId="13A17AAF"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val="restart"/>
            <w:tcBorders>
              <w:top w:val="dotted" w:sz="4" w:space="0" w:color="auto"/>
              <w:left w:val="nil"/>
              <w:right w:val="single" w:sz="8" w:space="0" w:color="auto"/>
            </w:tcBorders>
            <w:noWrap/>
            <w:vAlign w:val="center"/>
          </w:tcPr>
          <w:p w14:paraId="34EC5A5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val="restart"/>
            <w:tcBorders>
              <w:top w:val="dotted" w:sz="4" w:space="0" w:color="auto"/>
              <w:left w:val="single" w:sz="8" w:space="0" w:color="auto"/>
              <w:right w:val="dotted" w:sz="4" w:space="0" w:color="auto"/>
            </w:tcBorders>
            <w:noWrap/>
            <w:vAlign w:val="center"/>
          </w:tcPr>
          <w:p w14:paraId="6A51F851"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val="restart"/>
            <w:tcBorders>
              <w:top w:val="dotted" w:sz="4" w:space="0" w:color="auto"/>
              <w:left w:val="nil"/>
              <w:right w:val="single" w:sz="8" w:space="0" w:color="auto"/>
            </w:tcBorders>
            <w:noWrap/>
            <w:vAlign w:val="center"/>
          </w:tcPr>
          <w:p w14:paraId="65B03748"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val="restart"/>
            <w:tcBorders>
              <w:top w:val="dotted" w:sz="4" w:space="0" w:color="auto"/>
              <w:left w:val="nil"/>
              <w:bottom w:val="dotted" w:sz="4" w:space="0" w:color="auto"/>
              <w:right w:val="dotted" w:sz="4" w:space="0" w:color="auto"/>
            </w:tcBorders>
            <w:noWrap/>
            <w:vAlign w:val="center"/>
          </w:tcPr>
          <w:p w14:paraId="3445A8A9" w14:textId="77777777" w:rsidR="00503CB8" w:rsidRPr="001546E2" w:rsidRDefault="00503CB8" w:rsidP="001E1E3B">
            <w:pPr>
              <w:spacing w:after="0" w:line="240" w:lineRule="auto"/>
              <w:jc w:val="center"/>
              <w:rPr>
                <w:rFonts w:ascii="Cambria" w:eastAsia="Times New Roman" w:hAnsi="Cambria" w:cs="Calibri"/>
                <w:color w:val="000000"/>
                <w:sz w:val="18"/>
                <w:szCs w:val="18"/>
              </w:rPr>
            </w:pPr>
            <w:r w:rsidRPr="001546E2">
              <w:rPr>
                <w:rFonts w:ascii="Cambria" w:eastAsia="Times New Roman" w:hAnsi="Cambria" w:cs="Calibri"/>
                <w:color w:val="000000"/>
                <w:sz w:val="18"/>
              </w:rPr>
              <w:t>X</w:t>
            </w:r>
          </w:p>
        </w:tc>
        <w:tc>
          <w:tcPr>
            <w:tcW w:w="1264" w:type="dxa"/>
            <w:vMerge w:val="restart"/>
            <w:tcBorders>
              <w:top w:val="dotted" w:sz="4" w:space="0" w:color="auto"/>
              <w:left w:val="nil"/>
              <w:bottom w:val="dotted" w:sz="4" w:space="0" w:color="auto"/>
              <w:right w:val="nil"/>
            </w:tcBorders>
            <w:noWrap/>
            <w:vAlign w:val="center"/>
          </w:tcPr>
          <w:p w14:paraId="6F643D9F"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1.164,04 €</w:t>
            </w:r>
          </w:p>
          <w:p w14:paraId="739D01FB" w14:textId="77777777" w:rsidR="00503CB8" w:rsidRPr="001546E2"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EE0000"/>
                <w:sz w:val="18"/>
                <w:szCs w:val="18"/>
              </w:rPr>
              <w:t>3.162,00 €</w:t>
            </w:r>
          </w:p>
        </w:tc>
      </w:tr>
      <w:tr w:rsidR="00503CB8" w:rsidRPr="001546E2" w14:paraId="66D3F95C" w14:textId="77777777" w:rsidTr="001E1E3B">
        <w:trPr>
          <w:trHeight w:val="300"/>
          <w:jc w:val="center"/>
        </w:trPr>
        <w:tc>
          <w:tcPr>
            <w:tcW w:w="1317" w:type="dxa"/>
            <w:vMerge/>
            <w:tcBorders>
              <w:left w:val="nil"/>
              <w:bottom w:val="dotted" w:sz="4" w:space="0" w:color="auto"/>
              <w:right w:val="single" w:sz="8" w:space="0" w:color="auto"/>
            </w:tcBorders>
            <w:noWrap/>
            <w:vAlign w:val="center"/>
          </w:tcPr>
          <w:p w14:paraId="6E95FC4C"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AFCD5AA"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209D9D85"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4.547,41 €</w:t>
            </w:r>
          </w:p>
        </w:tc>
        <w:tc>
          <w:tcPr>
            <w:tcW w:w="411" w:type="dxa"/>
            <w:vMerge/>
            <w:tcBorders>
              <w:left w:val="nil"/>
              <w:right w:val="dotted" w:sz="4" w:space="0" w:color="auto"/>
            </w:tcBorders>
            <w:noWrap/>
            <w:vAlign w:val="center"/>
          </w:tcPr>
          <w:p w14:paraId="59B0CB16"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6E6BE7AD" w14:textId="77777777" w:rsidR="00503CB8" w:rsidRPr="001546E2" w:rsidDel="005E48B0"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3CA3CC23"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231" w:type="dxa"/>
            <w:vMerge/>
            <w:tcBorders>
              <w:left w:val="nil"/>
              <w:right w:val="single" w:sz="8" w:space="0" w:color="auto"/>
            </w:tcBorders>
            <w:noWrap/>
            <w:vAlign w:val="center"/>
          </w:tcPr>
          <w:p w14:paraId="72DB30F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5DF20377" w14:textId="77777777" w:rsidR="00503CB8" w:rsidRPr="001546E2" w:rsidRDefault="00503CB8" w:rsidP="001E1E3B">
            <w:pPr>
              <w:spacing w:after="0" w:line="240" w:lineRule="auto"/>
              <w:jc w:val="center"/>
              <w:rPr>
                <w:rFonts w:ascii="Cambria" w:eastAsia="Times New Roman" w:hAnsi="Cambria" w:cs="Calibri"/>
                <w:color w:val="000000"/>
                <w:sz w:val="18"/>
                <w:szCs w:val="18"/>
              </w:rPr>
            </w:pPr>
          </w:p>
        </w:tc>
        <w:tc>
          <w:tcPr>
            <w:tcW w:w="1353" w:type="dxa"/>
            <w:vMerge/>
            <w:tcBorders>
              <w:left w:val="nil"/>
              <w:right w:val="single" w:sz="8" w:space="0" w:color="auto"/>
            </w:tcBorders>
            <w:noWrap/>
            <w:vAlign w:val="center"/>
          </w:tcPr>
          <w:p w14:paraId="287BCBC4"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c>
          <w:tcPr>
            <w:tcW w:w="426" w:type="dxa"/>
            <w:vMerge/>
            <w:tcBorders>
              <w:top w:val="dotted" w:sz="4" w:space="0" w:color="auto"/>
              <w:left w:val="nil"/>
              <w:bottom w:val="dotted" w:sz="4" w:space="0" w:color="auto"/>
              <w:right w:val="dotted" w:sz="4" w:space="0" w:color="auto"/>
            </w:tcBorders>
            <w:noWrap/>
            <w:vAlign w:val="center"/>
          </w:tcPr>
          <w:p w14:paraId="3044E862" w14:textId="77777777" w:rsidR="00503CB8" w:rsidRPr="001546E2" w:rsidDel="005E48B0"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dotted" w:sz="4" w:space="0" w:color="auto"/>
              <w:left w:val="nil"/>
              <w:bottom w:val="dotted" w:sz="4" w:space="0" w:color="auto"/>
              <w:right w:val="nil"/>
            </w:tcBorders>
            <w:noWrap/>
            <w:vAlign w:val="center"/>
          </w:tcPr>
          <w:p w14:paraId="5E93CAB2" w14:textId="77777777" w:rsidR="00503CB8" w:rsidRPr="001546E2" w:rsidDel="005E48B0"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8B68A1F" w14:textId="77777777" w:rsidTr="001E1E3B">
        <w:trPr>
          <w:trHeight w:val="300"/>
          <w:jc w:val="center"/>
        </w:trPr>
        <w:tc>
          <w:tcPr>
            <w:tcW w:w="1317" w:type="dxa"/>
            <w:vMerge w:val="restart"/>
            <w:tcBorders>
              <w:top w:val="dotted" w:sz="4" w:space="0" w:color="auto"/>
              <w:left w:val="nil"/>
              <w:right w:val="single" w:sz="8" w:space="0" w:color="auto"/>
            </w:tcBorders>
            <w:noWrap/>
            <w:vAlign w:val="center"/>
          </w:tcPr>
          <w:p w14:paraId="6D12316F" w14:textId="77777777" w:rsidR="00503CB8" w:rsidRPr="001546E2" w:rsidRDefault="00503CB8" w:rsidP="001E1E3B">
            <w:pPr>
              <w:spacing w:after="0" w:line="240" w:lineRule="auto"/>
              <w:rPr>
                <w:rFonts w:ascii="Cambria" w:eastAsia="Times New Roman" w:hAnsi="Cambria" w:cs="Calibri"/>
                <w:color w:val="000000"/>
                <w:sz w:val="18"/>
              </w:rPr>
            </w:pPr>
            <w:r w:rsidRPr="001546E2">
              <w:rPr>
                <w:rFonts w:ascii="Cambria" w:eastAsia="Times New Roman" w:hAnsi="Cambria" w:cs="Calibri"/>
                <w:color w:val="000000"/>
                <w:sz w:val="18"/>
              </w:rPr>
              <w:t>Venezuela</w:t>
            </w:r>
          </w:p>
        </w:tc>
        <w:tc>
          <w:tcPr>
            <w:tcW w:w="475" w:type="dxa"/>
            <w:tcBorders>
              <w:top w:val="dotted" w:sz="4" w:space="0" w:color="auto"/>
              <w:left w:val="nil"/>
              <w:bottom w:val="nil"/>
              <w:right w:val="dotted" w:sz="4" w:space="0" w:color="auto"/>
            </w:tcBorders>
            <w:noWrap/>
            <w:vAlign w:val="center"/>
          </w:tcPr>
          <w:p w14:paraId="6DFF688E"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b)</w:t>
            </w:r>
          </w:p>
        </w:tc>
        <w:tc>
          <w:tcPr>
            <w:tcW w:w="1231" w:type="dxa"/>
            <w:tcBorders>
              <w:top w:val="dotted" w:sz="4" w:space="0" w:color="auto"/>
              <w:left w:val="nil"/>
              <w:bottom w:val="nil"/>
              <w:right w:val="single" w:sz="8" w:space="0" w:color="auto"/>
            </w:tcBorders>
            <w:noWrap/>
            <w:vAlign w:val="center"/>
          </w:tcPr>
          <w:p w14:paraId="7A5B0BE4"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2.670,88 €</w:t>
            </w:r>
          </w:p>
        </w:tc>
        <w:tc>
          <w:tcPr>
            <w:tcW w:w="411" w:type="dxa"/>
            <w:vMerge w:val="restart"/>
            <w:tcBorders>
              <w:top w:val="dotted" w:sz="4" w:space="0" w:color="auto"/>
              <w:left w:val="nil"/>
              <w:right w:val="dotted" w:sz="4" w:space="0" w:color="auto"/>
            </w:tcBorders>
            <w:noWrap/>
            <w:vAlign w:val="center"/>
          </w:tcPr>
          <w:p w14:paraId="11E410D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val="restart"/>
            <w:tcBorders>
              <w:top w:val="dotted" w:sz="4" w:space="0" w:color="auto"/>
              <w:left w:val="nil"/>
              <w:right w:val="single" w:sz="8" w:space="0" w:color="auto"/>
            </w:tcBorders>
            <w:noWrap/>
            <w:vAlign w:val="center"/>
          </w:tcPr>
          <w:p w14:paraId="7567721B"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val="restart"/>
            <w:tcBorders>
              <w:top w:val="dotted" w:sz="4" w:space="0" w:color="auto"/>
              <w:left w:val="nil"/>
              <w:right w:val="dotted" w:sz="4" w:space="0" w:color="auto"/>
            </w:tcBorders>
            <w:noWrap/>
            <w:vAlign w:val="center"/>
          </w:tcPr>
          <w:p w14:paraId="1C9159C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X</w:t>
            </w:r>
          </w:p>
        </w:tc>
        <w:tc>
          <w:tcPr>
            <w:tcW w:w="1231" w:type="dxa"/>
            <w:vMerge w:val="restart"/>
            <w:tcBorders>
              <w:top w:val="dotted" w:sz="4" w:space="0" w:color="auto"/>
              <w:left w:val="nil"/>
              <w:right w:val="single" w:sz="8" w:space="0" w:color="auto"/>
            </w:tcBorders>
            <w:noWrap/>
            <w:vAlign w:val="center"/>
          </w:tcPr>
          <w:p w14:paraId="0F2D73AC"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r w:rsidRPr="001546E2">
              <w:rPr>
                <w:rFonts w:ascii="Cambria" w:eastAsia="Times New Roman" w:hAnsi="Cambria" w:cs="Calibri"/>
                <w:color w:val="000000"/>
                <w:sz w:val="18"/>
                <w:szCs w:val="18"/>
              </w:rPr>
              <w:t>1.237,48 €</w:t>
            </w:r>
          </w:p>
        </w:tc>
        <w:tc>
          <w:tcPr>
            <w:tcW w:w="411" w:type="dxa"/>
            <w:vMerge w:val="restart"/>
            <w:tcBorders>
              <w:top w:val="dotted" w:sz="4" w:space="0" w:color="auto"/>
              <w:left w:val="single" w:sz="8" w:space="0" w:color="auto"/>
              <w:right w:val="dotted" w:sz="4" w:space="0" w:color="auto"/>
            </w:tcBorders>
            <w:noWrap/>
            <w:vAlign w:val="center"/>
          </w:tcPr>
          <w:p w14:paraId="5DBB3B30"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val="restart"/>
            <w:tcBorders>
              <w:top w:val="dotted" w:sz="4" w:space="0" w:color="auto"/>
              <w:left w:val="nil"/>
              <w:right w:val="single" w:sz="8" w:space="0" w:color="auto"/>
            </w:tcBorders>
            <w:noWrap/>
            <w:vAlign w:val="center"/>
          </w:tcPr>
          <w:p w14:paraId="72DA98F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val="restart"/>
            <w:tcBorders>
              <w:top w:val="dotted" w:sz="4" w:space="0" w:color="auto"/>
              <w:left w:val="nil"/>
              <w:right w:val="dotted" w:sz="4" w:space="0" w:color="auto"/>
            </w:tcBorders>
            <w:noWrap/>
            <w:vAlign w:val="center"/>
          </w:tcPr>
          <w:p w14:paraId="472C527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val="restart"/>
            <w:tcBorders>
              <w:top w:val="dotted" w:sz="4" w:space="0" w:color="auto"/>
              <w:left w:val="nil"/>
              <w:right w:val="nil"/>
            </w:tcBorders>
            <w:noWrap/>
            <w:vAlign w:val="center"/>
          </w:tcPr>
          <w:p w14:paraId="0A6390CC"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E2057D4" w14:textId="77777777" w:rsidTr="001E1E3B">
        <w:trPr>
          <w:trHeight w:val="300"/>
          <w:jc w:val="center"/>
        </w:trPr>
        <w:tc>
          <w:tcPr>
            <w:tcW w:w="1317" w:type="dxa"/>
            <w:vMerge/>
            <w:tcBorders>
              <w:top w:val="dotted" w:sz="4" w:space="0" w:color="auto"/>
              <w:left w:val="nil"/>
              <w:right w:val="single" w:sz="8" w:space="0" w:color="auto"/>
            </w:tcBorders>
            <w:noWrap/>
            <w:vAlign w:val="center"/>
          </w:tcPr>
          <w:p w14:paraId="7DDDA0F3"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A747460"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c)</w:t>
            </w:r>
          </w:p>
        </w:tc>
        <w:tc>
          <w:tcPr>
            <w:tcW w:w="1231" w:type="dxa"/>
            <w:tcBorders>
              <w:top w:val="dotted" w:sz="4" w:space="0" w:color="auto"/>
              <w:left w:val="nil"/>
              <w:bottom w:val="nil"/>
              <w:right w:val="single" w:sz="8" w:space="0" w:color="auto"/>
            </w:tcBorders>
            <w:noWrap/>
            <w:vAlign w:val="center"/>
          </w:tcPr>
          <w:p w14:paraId="20A16882"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3.455,47 €</w:t>
            </w:r>
          </w:p>
        </w:tc>
        <w:tc>
          <w:tcPr>
            <w:tcW w:w="411" w:type="dxa"/>
            <w:vMerge/>
            <w:tcBorders>
              <w:top w:val="dotted" w:sz="4" w:space="0" w:color="auto"/>
              <w:left w:val="nil"/>
              <w:right w:val="dotted" w:sz="4" w:space="0" w:color="auto"/>
            </w:tcBorders>
            <w:noWrap/>
            <w:vAlign w:val="center"/>
          </w:tcPr>
          <w:p w14:paraId="6B3310B3"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21149C30"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2EB8AC57"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7DB8435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20FC7A9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10F78A76"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03878CAA"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022C074A"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72E6CBD" w14:textId="77777777" w:rsidTr="001E1E3B">
        <w:trPr>
          <w:trHeight w:val="300"/>
          <w:jc w:val="center"/>
        </w:trPr>
        <w:tc>
          <w:tcPr>
            <w:tcW w:w="1317" w:type="dxa"/>
            <w:vMerge/>
            <w:tcBorders>
              <w:top w:val="nil"/>
              <w:left w:val="nil"/>
              <w:right w:val="single" w:sz="8" w:space="0" w:color="auto"/>
            </w:tcBorders>
            <w:noWrap/>
            <w:vAlign w:val="center"/>
          </w:tcPr>
          <w:p w14:paraId="69D657D3"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5EF43B80"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e)</w:t>
            </w:r>
          </w:p>
        </w:tc>
        <w:tc>
          <w:tcPr>
            <w:tcW w:w="1231" w:type="dxa"/>
            <w:tcBorders>
              <w:top w:val="dotted" w:sz="4" w:space="0" w:color="auto"/>
              <w:left w:val="nil"/>
              <w:bottom w:val="nil"/>
              <w:right w:val="single" w:sz="8" w:space="0" w:color="auto"/>
            </w:tcBorders>
            <w:noWrap/>
            <w:vAlign w:val="center"/>
          </w:tcPr>
          <w:p w14:paraId="5A9B9562"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4.234,61 €</w:t>
            </w:r>
          </w:p>
        </w:tc>
        <w:tc>
          <w:tcPr>
            <w:tcW w:w="411" w:type="dxa"/>
            <w:vMerge/>
            <w:tcBorders>
              <w:top w:val="dotted" w:sz="4" w:space="0" w:color="auto"/>
              <w:left w:val="nil"/>
              <w:right w:val="dotted" w:sz="4" w:space="0" w:color="auto"/>
            </w:tcBorders>
            <w:noWrap/>
            <w:vAlign w:val="center"/>
          </w:tcPr>
          <w:p w14:paraId="1DBEC26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3A355957"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2BB1299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469618B1"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073E220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75AC5DAD"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7092AEB4"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46452F25"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C7B98B7" w14:textId="77777777" w:rsidTr="001E1E3B">
        <w:trPr>
          <w:trHeight w:val="300"/>
          <w:jc w:val="center"/>
        </w:trPr>
        <w:tc>
          <w:tcPr>
            <w:tcW w:w="1317" w:type="dxa"/>
            <w:vMerge/>
            <w:tcBorders>
              <w:top w:val="nil"/>
              <w:left w:val="nil"/>
              <w:right w:val="single" w:sz="8" w:space="0" w:color="auto"/>
            </w:tcBorders>
            <w:noWrap/>
            <w:vAlign w:val="center"/>
          </w:tcPr>
          <w:p w14:paraId="7B0E87BE"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777A723D"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g)</w:t>
            </w:r>
          </w:p>
        </w:tc>
        <w:tc>
          <w:tcPr>
            <w:tcW w:w="1231" w:type="dxa"/>
            <w:tcBorders>
              <w:top w:val="dotted" w:sz="4" w:space="0" w:color="auto"/>
              <w:left w:val="nil"/>
              <w:bottom w:val="nil"/>
              <w:right w:val="single" w:sz="8" w:space="0" w:color="auto"/>
            </w:tcBorders>
            <w:noWrap/>
            <w:vAlign w:val="center"/>
          </w:tcPr>
          <w:p w14:paraId="2F7D95DB"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2.423,81 €</w:t>
            </w:r>
          </w:p>
        </w:tc>
        <w:tc>
          <w:tcPr>
            <w:tcW w:w="411" w:type="dxa"/>
            <w:vMerge/>
            <w:tcBorders>
              <w:top w:val="dotted" w:sz="4" w:space="0" w:color="auto"/>
              <w:left w:val="nil"/>
              <w:right w:val="dotted" w:sz="4" w:space="0" w:color="auto"/>
            </w:tcBorders>
            <w:noWrap/>
            <w:vAlign w:val="center"/>
          </w:tcPr>
          <w:p w14:paraId="7FEACA9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6D6B39D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459669B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3663248B"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147DBAC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3672DBFA"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6F6DD970"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643B92CC"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4793982" w14:textId="77777777" w:rsidTr="001E1E3B">
        <w:trPr>
          <w:trHeight w:val="300"/>
          <w:jc w:val="center"/>
        </w:trPr>
        <w:tc>
          <w:tcPr>
            <w:tcW w:w="1317" w:type="dxa"/>
            <w:vMerge/>
            <w:tcBorders>
              <w:top w:val="nil"/>
              <w:left w:val="nil"/>
              <w:right w:val="single" w:sz="8" w:space="0" w:color="auto"/>
            </w:tcBorders>
            <w:noWrap/>
            <w:vAlign w:val="center"/>
          </w:tcPr>
          <w:p w14:paraId="0C9E80F2"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37C57CEF"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h)</w:t>
            </w:r>
          </w:p>
        </w:tc>
        <w:tc>
          <w:tcPr>
            <w:tcW w:w="1231" w:type="dxa"/>
            <w:tcBorders>
              <w:top w:val="dotted" w:sz="4" w:space="0" w:color="auto"/>
              <w:left w:val="nil"/>
              <w:bottom w:val="nil"/>
              <w:right w:val="single" w:sz="8" w:space="0" w:color="auto"/>
            </w:tcBorders>
            <w:noWrap/>
            <w:vAlign w:val="center"/>
          </w:tcPr>
          <w:p w14:paraId="2E56BF6E"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4.115,86 €</w:t>
            </w:r>
          </w:p>
        </w:tc>
        <w:tc>
          <w:tcPr>
            <w:tcW w:w="411" w:type="dxa"/>
            <w:vMerge/>
            <w:tcBorders>
              <w:top w:val="dotted" w:sz="4" w:space="0" w:color="auto"/>
              <w:left w:val="nil"/>
              <w:right w:val="dotted" w:sz="4" w:space="0" w:color="auto"/>
            </w:tcBorders>
            <w:noWrap/>
            <w:vAlign w:val="center"/>
          </w:tcPr>
          <w:p w14:paraId="50FABA4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3DC9DF8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049244A6"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7A6043A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5A107C71"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4582D0F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4698873A"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64888593"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4D984C8A" w14:textId="77777777" w:rsidTr="001E1E3B">
        <w:trPr>
          <w:trHeight w:val="300"/>
          <w:jc w:val="center"/>
        </w:trPr>
        <w:tc>
          <w:tcPr>
            <w:tcW w:w="1317" w:type="dxa"/>
            <w:vMerge/>
            <w:tcBorders>
              <w:top w:val="nil"/>
              <w:left w:val="nil"/>
              <w:right w:val="single" w:sz="8" w:space="0" w:color="auto"/>
            </w:tcBorders>
            <w:noWrap/>
            <w:vAlign w:val="center"/>
          </w:tcPr>
          <w:p w14:paraId="19A019A7"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2E04E4F3"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i)</w:t>
            </w:r>
          </w:p>
        </w:tc>
        <w:tc>
          <w:tcPr>
            <w:tcW w:w="1231" w:type="dxa"/>
            <w:tcBorders>
              <w:top w:val="dotted" w:sz="4" w:space="0" w:color="auto"/>
              <w:left w:val="nil"/>
              <w:bottom w:val="nil"/>
              <w:right w:val="single" w:sz="8" w:space="0" w:color="auto"/>
            </w:tcBorders>
            <w:noWrap/>
            <w:vAlign w:val="center"/>
          </w:tcPr>
          <w:p w14:paraId="0CD00A7C"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3.916,50 €</w:t>
            </w:r>
          </w:p>
        </w:tc>
        <w:tc>
          <w:tcPr>
            <w:tcW w:w="411" w:type="dxa"/>
            <w:vMerge/>
            <w:tcBorders>
              <w:top w:val="dotted" w:sz="4" w:space="0" w:color="auto"/>
              <w:left w:val="nil"/>
              <w:right w:val="dotted" w:sz="4" w:space="0" w:color="auto"/>
            </w:tcBorders>
            <w:noWrap/>
            <w:vAlign w:val="center"/>
          </w:tcPr>
          <w:p w14:paraId="242EE01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top w:val="dotted" w:sz="4" w:space="0" w:color="auto"/>
              <w:left w:val="nil"/>
              <w:right w:val="single" w:sz="8" w:space="0" w:color="auto"/>
            </w:tcBorders>
            <w:noWrap/>
            <w:vAlign w:val="center"/>
          </w:tcPr>
          <w:p w14:paraId="35585A54"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top w:val="dotted" w:sz="4" w:space="0" w:color="auto"/>
              <w:left w:val="nil"/>
              <w:right w:val="dotted" w:sz="4" w:space="0" w:color="auto"/>
            </w:tcBorders>
            <w:noWrap/>
            <w:vAlign w:val="center"/>
          </w:tcPr>
          <w:p w14:paraId="198E1F4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top w:val="dotted" w:sz="4" w:space="0" w:color="auto"/>
              <w:left w:val="nil"/>
              <w:right w:val="single" w:sz="8" w:space="0" w:color="auto"/>
            </w:tcBorders>
            <w:noWrap/>
            <w:vAlign w:val="center"/>
          </w:tcPr>
          <w:p w14:paraId="7C52F40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top w:val="dotted" w:sz="4" w:space="0" w:color="auto"/>
              <w:left w:val="single" w:sz="8" w:space="0" w:color="auto"/>
              <w:right w:val="dotted" w:sz="4" w:space="0" w:color="auto"/>
            </w:tcBorders>
            <w:noWrap/>
            <w:vAlign w:val="center"/>
          </w:tcPr>
          <w:p w14:paraId="1568BFC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top w:val="dotted" w:sz="4" w:space="0" w:color="auto"/>
              <w:left w:val="nil"/>
              <w:right w:val="single" w:sz="8" w:space="0" w:color="auto"/>
            </w:tcBorders>
            <w:noWrap/>
            <w:vAlign w:val="center"/>
          </w:tcPr>
          <w:p w14:paraId="6E932710"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top w:val="nil"/>
              <w:left w:val="nil"/>
              <w:right w:val="dotted" w:sz="4" w:space="0" w:color="auto"/>
            </w:tcBorders>
            <w:noWrap/>
            <w:vAlign w:val="center"/>
          </w:tcPr>
          <w:p w14:paraId="1E4E79DD" w14:textId="77777777" w:rsidR="00503CB8" w:rsidRPr="001546E2" w:rsidRDefault="00503CB8" w:rsidP="001E1E3B">
            <w:pPr>
              <w:spacing w:after="0" w:line="240" w:lineRule="auto"/>
              <w:jc w:val="center"/>
              <w:rPr>
                <w:rFonts w:ascii="Cambria" w:eastAsia="Times New Roman" w:hAnsi="Cambria" w:cs="Calibri"/>
                <w:color w:val="000000"/>
                <w:sz w:val="18"/>
              </w:rPr>
            </w:pPr>
          </w:p>
        </w:tc>
        <w:tc>
          <w:tcPr>
            <w:tcW w:w="1264" w:type="dxa"/>
            <w:vMerge/>
            <w:tcBorders>
              <w:top w:val="nil"/>
              <w:left w:val="nil"/>
              <w:right w:val="nil"/>
            </w:tcBorders>
            <w:noWrap/>
            <w:vAlign w:val="center"/>
          </w:tcPr>
          <w:p w14:paraId="43A5E03D" w14:textId="77777777" w:rsidR="00503CB8" w:rsidRPr="001546E2"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1DC2DB06" w14:textId="77777777" w:rsidTr="001E1E3B">
        <w:trPr>
          <w:trHeight w:val="300"/>
          <w:jc w:val="center"/>
        </w:trPr>
        <w:tc>
          <w:tcPr>
            <w:tcW w:w="1317" w:type="dxa"/>
            <w:vMerge/>
            <w:tcBorders>
              <w:left w:val="nil"/>
              <w:right w:val="single" w:sz="8" w:space="0" w:color="auto"/>
            </w:tcBorders>
            <w:noWrap/>
            <w:vAlign w:val="center"/>
          </w:tcPr>
          <w:p w14:paraId="66BD35CD"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03C5FA5A"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k)</w:t>
            </w:r>
          </w:p>
        </w:tc>
        <w:tc>
          <w:tcPr>
            <w:tcW w:w="1231" w:type="dxa"/>
            <w:tcBorders>
              <w:top w:val="dotted" w:sz="4" w:space="0" w:color="auto"/>
              <w:left w:val="nil"/>
              <w:bottom w:val="nil"/>
              <w:right w:val="single" w:sz="8" w:space="0" w:color="auto"/>
            </w:tcBorders>
            <w:noWrap/>
            <w:vAlign w:val="center"/>
          </w:tcPr>
          <w:p w14:paraId="5D22125B"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3.831,71 €</w:t>
            </w:r>
          </w:p>
        </w:tc>
        <w:tc>
          <w:tcPr>
            <w:tcW w:w="411" w:type="dxa"/>
            <w:vMerge/>
            <w:tcBorders>
              <w:left w:val="nil"/>
              <w:right w:val="dotted" w:sz="4" w:space="0" w:color="auto"/>
            </w:tcBorders>
            <w:noWrap/>
            <w:vAlign w:val="center"/>
          </w:tcPr>
          <w:p w14:paraId="7F2707B8"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176015C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5C315255"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6B306031"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39E7256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7393702E"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7A438DA4"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0C9DD361"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5D2731CE" w14:textId="77777777" w:rsidTr="001E1E3B">
        <w:trPr>
          <w:trHeight w:val="300"/>
          <w:jc w:val="center"/>
        </w:trPr>
        <w:tc>
          <w:tcPr>
            <w:tcW w:w="1317" w:type="dxa"/>
            <w:vMerge/>
            <w:tcBorders>
              <w:left w:val="nil"/>
              <w:right w:val="single" w:sz="8" w:space="0" w:color="auto"/>
            </w:tcBorders>
            <w:noWrap/>
            <w:vAlign w:val="center"/>
          </w:tcPr>
          <w:p w14:paraId="57594427"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nil"/>
              <w:right w:val="dotted" w:sz="4" w:space="0" w:color="auto"/>
            </w:tcBorders>
            <w:noWrap/>
            <w:vAlign w:val="center"/>
          </w:tcPr>
          <w:p w14:paraId="1698773E"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nil"/>
              <w:right w:val="single" w:sz="8" w:space="0" w:color="auto"/>
            </w:tcBorders>
            <w:noWrap/>
            <w:vAlign w:val="center"/>
          </w:tcPr>
          <w:p w14:paraId="72234EA7"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4.526,96 €</w:t>
            </w:r>
          </w:p>
        </w:tc>
        <w:tc>
          <w:tcPr>
            <w:tcW w:w="411" w:type="dxa"/>
            <w:vMerge/>
            <w:tcBorders>
              <w:left w:val="nil"/>
              <w:right w:val="dotted" w:sz="4" w:space="0" w:color="auto"/>
            </w:tcBorders>
            <w:noWrap/>
            <w:vAlign w:val="center"/>
          </w:tcPr>
          <w:p w14:paraId="4F8D414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right w:val="single" w:sz="8" w:space="0" w:color="auto"/>
            </w:tcBorders>
            <w:noWrap/>
            <w:vAlign w:val="center"/>
          </w:tcPr>
          <w:p w14:paraId="790ED859"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right w:val="dotted" w:sz="4" w:space="0" w:color="auto"/>
            </w:tcBorders>
            <w:noWrap/>
            <w:vAlign w:val="center"/>
          </w:tcPr>
          <w:p w14:paraId="498EC312"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right w:val="single" w:sz="8" w:space="0" w:color="auto"/>
            </w:tcBorders>
            <w:noWrap/>
            <w:vAlign w:val="center"/>
          </w:tcPr>
          <w:p w14:paraId="04DE6362"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right w:val="dotted" w:sz="4" w:space="0" w:color="auto"/>
            </w:tcBorders>
            <w:noWrap/>
            <w:vAlign w:val="center"/>
          </w:tcPr>
          <w:p w14:paraId="629751E9"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right w:val="single" w:sz="8" w:space="0" w:color="auto"/>
            </w:tcBorders>
            <w:noWrap/>
            <w:vAlign w:val="center"/>
          </w:tcPr>
          <w:p w14:paraId="622E3108"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right w:val="dotted" w:sz="4" w:space="0" w:color="auto"/>
            </w:tcBorders>
            <w:noWrap/>
            <w:vAlign w:val="center"/>
          </w:tcPr>
          <w:p w14:paraId="211BF47F"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right w:val="nil"/>
            </w:tcBorders>
            <w:noWrap/>
            <w:vAlign w:val="center"/>
          </w:tcPr>
          <w:p w14:paraId="487F77E4"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2B742EEA" w14:textId="77777777" w:rsidTr="001E1E3B">
        <w:trPr>
          <w:trHeight w:val="300"/>
          <w:jc w:val="center"/>
        </w:trPr>
        <w:tc>
          <w:tcPr>
            <w:tcW w:w="1317" w:type="dxa"/>
            <w:vMerge/>
            <w:tcBorders>
              <w:left w:val="nil"/>
              <w:bottom w:val="single" w:sz="8" w:space="0" w:color="auto"/>
              <w:right w:val="single" w:sz="8" w:space="0" w:color="auto"/>
            </w:tcBorders>
            <w:noWrap/>
            <w:vAlign w:val="center"/>
          </w:tcPr>
          <w:p w14:paraId="43AE8CB8" w14:textId="77777777" w:rsidR="00503CB8" w:rsidRPr="001546E2" w:rsidRDefault="00503CB8" w:rsidP="001E1E3B">
            <w:pPr>
              <w:spacing w:after="0" w:line="240" w:lineRule="auto"/>
              <w:rPr>
                <w:rFonts w:ascii="Cambria" w:eastAsia="Times New Roman" w:hAnsi="Cambria" w:cs="Calibri"/>
                <w:color w:val="000000"/>
                <w:sz w:val="18"/>
              </w:rPr>
            </w:pPr>
          </w:p>
        </w:tc>
        <w:tc>
          <w:tcPr>
            <w:tcW w:w="475" w:type="dxa"/>
            <w:tcBorders>
              <w:top w:val="dotted" w:sz="4" w:space="0" w:color="auto"/>
              <w:left w:val="nil"/>
              <w:bottom w:val="single" w:sz="8" w:space="0" w:color="auto"/>
              <w:right w:val="dotted" w:sz="4" w:space="0" w:color="auto"/>
            </w:tcBorders>
            <w:noWrap/>
            <w:vAlign w:val="center"/>
          </w:tcPr>
          <w:p w14:paraId="1A59435E" w14:textId="77777777" w:rsidR="00503CB8" w:rsidRPr="001546E2" w:rsidRDefault="00503CB8" w:rsidP="001E1E3B">
            <w:pPr>
              <w:spacing w:after="0" w:line="240" w:lineRule="auto"/>
              <w:jc w:val="center"/>
              <w:rPr>
                <w:rFonts w:ascii="Cambria" w:eastAsia="Times New Roman" w:hAnsi="Cambria" w:cs="Calibri"/>
                <w:color w:val="000000"/>
                <w:sz w:val="18"/>
              </w:rPr>
            </w:pPr>
            <w:r w:rsidRPr="001546E2">
              <w:rPr>
                <w:rFonts w:ascii="Cambria" w:eastAsia="Times New Roman" w:hAnsi="Cambria" w:cs="Calibri"/>
                <w:color w:val="000000"/>
                <w:sz w:val="18"/>
              </w:rPr>
              <w:t>l)</w:t>
            </w:r>
          </w:p>
        </w:tc>
        <w:tc>
          <w:tcPr>
            <w:tcW w:w="1231" w:type="dxa"/>
            <w:tcBorders>
              <w:top w:val="dotted" w:sz="4" w:space="0" w:color="auto"/>
              <w:left w:val="nil"/>
              <w:bottom w:val="single" w:sz="8" w:space="0" w:color="auto"/>
              <w:right w:val="single" w:sz="8" w:space="0" w:color="auto"/>
            </w:tcBorders>
            <w:noWrap/>
            <w:vAlign w:val="center"/>
          </w:tcPr>
          <w:p w14:paraId="6D7A1C6D" w14:textId="77777777" w:rsidR="00503CB8" w:rsidRPr="001546E2" w:rsidRDefault="00503CB8" w:rsidP="001E1E3B">
            <w:pPr>
              <w:spacing w:after="0" w:line="240" w:lineRule="auto"/>
              <w:jc w:val="right"/>
              <w:rPr>
                <w:rFonts w:ascii="Cambria" w:eastAsia="Times New Roman" w:hAnsi="Cambria" w:cs="Calibri"/>
                <w:color w:val="000000"/>
                <w:sz w:val="18"/>
              </w:rPr>
            </w:pPr>
            <w:r w:rsidRPr="001546E2">
              <w:rPr>
                <w:rFonts w:ascii="Cambria" w:eastAsia="Times New Roman" w:hAnsi="Cambria" w:cs="Calibri"/>
                <w:color w:val="000000"/>
                <w:sz w:val="18"/>
              </w:rPr>
              <w:t>4.101,67 €</w:t>
            </w:r>
          </w:p>
        </w:tc>
        <w:tc>
          <w:tcPr>
            <w:tcW w:w="411" w:type="dxa"/>
            <w:vMerge/>
            <w:tcBorders>
              <w:left w:val="nil"/>
              <w:bottom w:val="single" w:sz="8" w:space="0" w:color="auto"/>
              <w:right w:val="dotted" w:sz="4" w:space="0" w:color="auto"/>
            </w:tcBorders>
            <w:noWrap/>
            <w:vAlign w:val="center"/>
          </w:tcPr>
          <w:p w14:paraId="00A1730B"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143" w:type="dxa"/>
            <w:vMerge/>
            <w:tcBorders>
              <w:left w:val="nil"/>
              <w:bottom w:val="single" w:sz="8" w:space="0" w:color="auto"/>
              <w:right w:val="single" w:sz="8" w:space="0" w:color="auto"/>
            </w:tcBorders>
            <w:noWrap/>
            <w:vAlign w:val="center"/>
          </w:tcPr>
          <w:p w14:paraId="4CC720C5"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377" w:type="dxa"/>
            <w:vMerge/>
            <w:tcBorders>
              <w:left w:val="nil"/>
              <w:bottom w:val="single" w:sz="8" w:space="0" w:color="auto"/>
              <w:right w:val="dotted" w:sz="4" w:space="0" w:color="auto"/>
            </w:tcBorders>
            <w:noWrap/>
            <w:vAlign w:val="center"/>
          </w:tcPr>
          <w:p w14:paraId="0E41131E"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31" w:type="dxa"/>
            <w:vMerge/>
            <w:tcBorders>
              <w:left w:val="nil"/>
              <w:bottom w:val="single" w:sz="8" w:space="0" w:color="auto"/>
              <w:right w:val="single" w:sz="8" w:space="0" w:color="auto"/>
            </w:tcBorders>
            <w:noWrap/>
            <w:vAlign w:val="center"/>
          </w:tcPr>
          <w:p w14:paraId="718713E7"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c>
          <w:tcPr>
            <w:tcW w:w="411" w:type="dxa"/>
            <w:vMerge/>
            <w:tcBorders>
              <w:left w:val="single" w:sz="8" w:space="0" w:color="auto"/>
              <w:bottom w:val="single" w:sz="8" w:space="0" w:color="auto"/>
              <w:right w:val="dotted" w:sz="4" w:space="0" w:color="auto"/>
            </w:tcBorders>
            <w:noWrap/>
            <w:vAlign w:val="center"/>
          </w:tcPr>
          <w:p w14:paraId="661372F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353" w:type="dxa"/>
            <w:vMerge/>
            <w:tcBorders>
              <w:left w:val="nil"/>
              <w:bottom w:val="single" w:sz="8" w:space="0" w:color="auto"/>
              <w:right w:val="single" w:sz="8" w:space="0" w:color="auto"/>
            </w:tcBorders>
            <w:noWrap/>
            <w:vAlign w:val="center"/>
          </w:tcPr>
          <w:p w14:paraId="132F274F" w14:textId="77777777" w:rsidR="00503CB8" w:rsidRPr="001546E2" w:rsidDel="00B3099B" w:rsidRDefault="00503CB8" w:rsidP="001E1E3B">
            <w:pPr>
              <w:spacing w:after="0" w:line="240" w:lineRule="auto"/>
              <w:jc w:val="right"/>
              <w:rPr>
                <w:rFonts w:ascii="Cambria" w:eastAsia="Times New Roman" w:hAnsi="Cambria" w:cs="Calibri"/>
                <w:color w:val="000000"/>
                <w:sz w:val="18"/>
              </w:rPr>
            </w:pPr>
          </w:p>
        </w:tc>
        <w:tc>
          <w:tcPr>
            <w:tcW w:w="426" w:type="dxa"/>
            <w:vMerge/>
            <w:tcBorders>
              <w:left w:val="nil"/>
              <w:bottom w:val="single" w:sz="8" w:space="0" w:color="auto"/>
              <w:right w:val="dotted" w:sz="4" w:space="0" w:color="auto"/>
            </w:tcBorders>
            <w:noWrap/>
            <w:vAlign w:val="center"/>
          </w:tcPr>
          <w:p w14:paraId="1303BB8C" w14:textId="77777777" w:rsidR="00503CB8" w:rsidRPr="001546E2" w:rsidDel="00B3099B" w:rsidRDefault="00503CB8" w:rsidP="001E1E3B">
            <w:pPr>
              <w:spacing w:after="0" w:line="240" w:lineRule="auto"/>
              <w:jc w:val="center"/>
              <w:rPr>
                <w:rFonts w:ascii="Cambria" w:eastAsia="Times New Roman" w:hAnsi="Cambria" w:cs="Calibri"/>
                <w:color w:val="000000"/>
                <w:sz w:val="18"/>
              </w:rPr>
            </w:pPr>
          </w:p>
        </w:tc>
        <w:tc>
          <w:tcPr>
            <w:tcW w:w="1264" w:type="dxa"/>
            <w:vMerge/>
            <w:tcBorders>
              <w:left w:val="nil"/>
              <w:bottom w:val="single" w:sz="8" w:space="0" w:color="auto"/>
              <w:right w:val="nil"/>
            </w:tcBorders>
            <w:noWrap/>
            <w:vAlign w:val="center"/>
          </w:tcPr>
          <w:p w14:paraId="113EA608" w14:textId="77777777" w:rsidR="00503CB8" w:rsidRPr="001546E2" w:rsidDel="00B3099B" w:rsidRDefault="00503CB8" w:rsidP="001E1E3B">
            <w:pPr>
              <w:spacing w:after="0" w:line="240" w:lineRule="auto"/>
              <w:jc w:val="right"/>
              <w:rPr>
                <w:rFonts w:ascii="Cambria" w:eastAsia="Times New Roman" w:hAnsi="Cambria" w:cs="Calibri"/>
                <w:color w:val="000000"/>
                <w:sz w:val="18"/>
                <w:szCs w:val="18"/>
              </w:rPr>
            </w:pPr>
          </w:p>
        </w:tc>
      </w:tr>
      <w:tr w:rsidR="00503CB8" w:rsidRPr="001546E2" w14:paraId="6FE6DED0" w14:textId="77777777" w:rsidTr="001E1E3B">
        <w:trPr>
          <w:trHeight w:val="300"/>
          <w:jc w:val="center"/>
        </w:trPr>
        <w:tc>
          <w:tcPr>
            <w:tcW w:w="1317" w:type="dxa"/>
            <w:tcBorders>
              <w:top w:val="single" w:sz="8" w:space="0" w:color="auto"/>
              <w:left w:val="nil"/>
              <w:bottom w:val="single" w:sz="8" w:space="0" w:color="auto"/>
              <w:right w:val="single" w:sz="8" w:space="0" w:color="auto"/>
            </w:tcBorders>
            <w:noWrap/>
            <w:vAlign w:val="center"/>
            <w:hideMark/>
          </w:tcPr>
          <w:p w14:paraId="23388EB7" w14:textId="77777777" w:rsidR="00503CB8" w:rsidRPr="001546E2" w:rsidRDefault="00503CB8" w:rsidP="001E1E3B">
            <w:pPr>
              <w:spacing w:after="0" w:line="240" w:lineRule="auto"/>
              <w:jc w:val="center"/>
              <w:rPr>
                <w:rFonts w:ascii="Cambria" w:eastAsia="Times New Roman" w:hAnsi="Cambria" w:cs="Calibri"/>
                <w:b/>
                <w:bCs/>
                <w:color w:val="000000"/>
                <w:sz w:val="18"/>
                <w:szCs w:val="18"/>
              </w:rPr>
            </w:pPr>
            <w:r w:rsidRPr="001546E2">
              <w:rPr>
                <w:rFonts w:ascii="Cambria" w:eastAsia="Times New Roman" w:hAnsi="Cambria" w:cs="Calibri"/>
                <w:b/>
                <w:bCs/>
                <w:color w:val="000000"/>
                <w:sz w:val="18"/>
              </w:rPr>
              <w:t>Total</w:t>
            </w:r>
          </w:p>
        </w:tc>
        <w:tc>
          <w:tcPr>
            <w:tcW w:w="1706" w:type="dxa"/>
            <w:gridSpan w:val="2"/>
            <w:tcBorders>
              <w:top w:val="single" w:sz="8" w:space="0" w:color="auto"/>
              <w:left w:val="nil"/>
              <w:bottom w:val="single" w:sz="8" w:space="0" w:color="auto"/>
              <w:right w:val="single" w:sz="8" w:space="0" w:color="auto"/>
            </w:tcBorders>
            <w:noWrap/>
            <w:vAlign w:val="center"/>
            <w:hideMark/>
          </w:tcPr>
          <w:p w14:paraId="4BC7D5CD"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000000"/>
                <w:sz w:val="18"/>
                <w:szCs w:val="18"/>
              </w:rPr>
              <w:t>244.832,98 €</w:t>
            </w:r>
          </w:p>
        </w:tc>
        <w:tc>
          <w:tcPr>
            <w:tcW w:w="1554" w:type="dxa"/>
            <w:gridSpan w:val="2"/>
            <w:tcBorders>
              <w:top w:val="single" w:sz="8" w:space="0" w:color="auto"/>
              <w:left w:val="single" w:sz="8" w:space="0" w:color="auto"/>
              <w:bottom w:val="single" w:sz="8" w:space="0" w:color="auto"/>
              <w:right w:val="single" w:sz="8" w:space="0" w:color="auto"/>
            </w:tcBorders>
            <w:noWrap/>
            <w:vAlign w:val="center"/>
          </w:tcPr>
          <w:p w14:paraId="4C61F2B6"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000000"/>
                <w:sz w:val="18"/>
                <w:szCs w:val="18"/>
              </w:rPr>
              <w:t>12.682,32 €</w:t>
            </w:r>
          </w:p>
        </w:tc>
        <w:tc>
          <w:tcPr>
            <w:tcW w:w="1608" w:type="dxa"/>
            <w:gridSpan w:val="2"/>
            <w:tcBorders>
              <w:top w:val="single" w:sz="8" w:space="0" w:color="auto"/>
              <w:left w:val="single" w:sz="8" w:space="0" w:color="auto"/>
              <w:bottom w:val="single" w:sz="8" w:space="0" w:color="auto"/>
              <w:right w:val="single" w:sz="8" w:space="0" w:color="auto"/>
            </w:tcBorders>
            <w:noWrap/>
            <w:vAlign w:val="center"/>
          </w:tcPr>
          <w:p w14:paraId="64A916C4"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000000"/>
                <w:sz w:val="18"/>
                <w:szCs w:val="18"/>
              </w:rPr>
              <w:t>25.897,62 €</w:t>
            </w:r>
          </w:p>
        </w:tc>
        <w:tc>
          <w:tcPr>
            <w:tcW w:w="1764" w:type="dxa"/>
            <w:gridSpan w:val="2"/>
            <w:tcBorders>
              <w:top w:val="single" w:sz="8" w:space="0" w:color="auto"/>
              <w:left w:val="single" w:sz="8" w:space="0" w:color="auto"/>
              <w:bottom w:val="single" w:sz="8" w:space="0" w:color="auto"/>
              <w:right w:val="single" w:sz="8" w:space="0" w:color="auto"/>
            </w:tcBorders>
            <w:noWrap/>
            <w:vAlign w:val="center"/>
          </w:tcPr>
          <w:p w14:paraId="45DB5790"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000000"/>
                <w:sz w:val="18"/>
                <w:szCs w:val="18"/>
              </w:rPr>
              <w:t>10.929,88 €</w:t>
            </w:r>
          </w:p>
        </w:tc>
        <w:tc>
          <w:tcPr>
            <w:tcW w:w="1690" w:type="dxa"/>
            <w:gridSpan w:val="2"/>
            <w:tcBorders>
              <w:top w:val="single" w:sz="8" w:space="0" w:color="auto"/>
              <w:left w:val="single" w:sz="8" w:space="0" w:color="auto"/>
              <w:bottom w:val="single" w:sz="8" w:space="0" w:color="auto"/>
            </w:tcBorders>
            <w:noWrap/>
            <w:vAlign w:val="center"/>
          </w:tcPr>
          <w:p w14:paraId="0ABAFA8B"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000000"/>
                <w:sz w:val="18"/>
                <w:szCs w:val="18"/>
              </w:rPr>
              <w:t>21.526,75 €</w:t>
            </w:r>
          </w:p>
          <w:p w14:paraId="422A680F" w14:textId="77777777" w:rsidR="00503CB8" w:rsidRPr="001546E2" w:rsidRDefault="00503CB8" w:rsidP="001E1E3B">
            <w:pPr>
              <w:spacing w:after="0" w:line="240" w:lineRule="auto"/>
              <w:jc w:val="right"/>
              <w:rPr>
                <w:rFonts w:ascii="Cambria" w:eastAsia="Times New Roman" w:hAnsi="Cambria" w:cs="Calibri"/>
                <w:b/>
                <w:bCs/>
                <w:color w:val="000000"/>
                <w:sz w:val="18"/>
                <w:szCs w:val="18"/>
              </w:rPr>
            </w:pPr>
            <w:r w:rsidRPr="001546E2">
              <w:rPr>
                <w:rFonts w:ascii="Cambria" w:eastAsia="Times New Roman" w:hAnsi="Cambria" w:cs="Calibri"/>
                <w:b/>
                <w:bCs/>
                <w:color w:val="EE0000"/>
                <w:sz w:val="18"/>
                <w:szCs w:val="18"/>
              </w:rPr>
              <w:t>84.759,74 €</w:t>
            </w:r>
          </w:p>
        </w:tc>
      </w:tr>
    </w:tbl>
    <w:p w14:paraId="3B38B419" w14:textId="77777777" w:rsidR="00503CB8" w:rsidRPr="001546E2" w:rsidRDefault="00503CB8" w:rsidP="00503CB8">
      <w:pPr>
        <w:autoSpaceDE w:val="0"/>
        <w:autoSpaceDN w:val="0"/>
        <w:adjustRightInd w:val="0"/>
        <w:spacing w:after="0" w:line="240" w:lineRule="auto"/>
        <w:ind w:left="720"/>
        <w:jc w:val="both"/>
        <w:rPr>
          <w:rFonts w:asciiTheme="majorHAnsi" w:hAnsiTheme="majorHAnsi"/>
          <w:i/>
          <w:iCs/>
          <w:sz w:val="20"/>
          <w:szCs w:val="20"/>
        </w:rPr>
      </w:pPr>
    </w:p>
    <w:p w14:paraId="14FCFA9A" w14:textId="5F939144"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du Groupe de travail sur les méthodes d’évaluation des stocks (</w:t>
      </w:r>
      <w:proofErr w:type="spellStart"/>
      <w:r w:rsidRPr="001546E2">
        <w:rPr>
          <w:rFonts w:asciiTheme="majorHAnsi" w:hAnsiTheme="majorHAnsi"/>
          <w:i/>
          <w:iCs/>
          <w:sz w:val="20"/>
          <w:szCs w:val="20"/>
        </w:rPr>
        <w:t>WGSAM</w:t>
      </w:r>
      <w:proofErr w:type="spellEnd"/>
      <w:r w:rsidRPr="001546E2">
        <w:rPr>
          <w:rFonts w:asciiTheme="majorHAnsi" w:hAnsiTheme="majorHAnsi"/>
          <w:i/>
          <w:iCs/>
          <w:sz w:val="20"/>
          <w:szCs w:val="20"/>
        </w:rPr>
        <w:t>)</w:t>
      </w:r>
    </w:p>
    <w:p w14:paraId="4826B16F"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de préparation des données sur le requin-taupe bleu</w:t>
      </w:r>
    </w:p>
    <w:p w14:paraId="0F71DC76" w14:textId="04DA3463"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de préparation des données sur le makaire blanc</w:t>
      </w:r>
    </w:p>
    <w:p w14:paraId="1E2350AB" w14:textId="3DACDF6A"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intersessions du Groupe d'espèces sur le thon rouge</w:t>
      </w:r>
    </w:p>
    <w:p w14:paraId="4BDA73A2"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de préparation des données sur le thon obèse</w:t>
      </w:r>
    </w:p>
    <w:p w14:paraId="1692DA95" w14:textId="595D7E71"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intersessions du Sous-comité des écosystèmes et des prises accessoires</w:t>
      </w:r>
    </w:p>
    <w:p w14:paraId="1AD8399B"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intersessions du Groupe d'espèces sur les thonidés mineurs</w:t>
      </w:r>
    </w:p>
    <w:p w14:paraId="7426C0FA"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d'évaluation du stock de requin-taupe bleu</w:t>
      </w:r>
    </w:p>
    <w:p w14:paraId="0DC63694"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d'évaluation du stock de makaire blanc</w:t>
      </w:r>
    </w:p>
    <w:p w14:paraId="082873B5" w14:textId="1693EAAC"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 xml:space="preserve">Réunion sur le plan stratégique pour la science du </w:t>
      </w:r>
      <w:proofErr w:type="spellStart"/>
      <w:r w:rsidRPr="001546E2">
        <w:rPr>
          <w:rFonts w:asciiTheme="majorHAnsi" w:hAnsiTheme="majorHAnsi"/>
          <w:i/>
          <w:iCs/>
          <w:sz w:val="20"/>
          <w:szCs w:val="20"/>
        </w:rPr>
        <w:t>SCRS</w:t>
      </w:r>
      <w:proofErr w:type="spellEnd"/>
    </w:p>
    <w:p w14:paraId="12EB931D" w14:textId="439E785D"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Réunion d'évaluation du stock de thon obèse</w:t>
      </w:r>
    </w:p>
    <w:p w14:paraId="72778763" w14:textId="77777777" w:rsidR="00503CB8" w:rsidRPr="001546E2" w:rsidRDefault="00503CB8" w:rsidP="00503CB8">
      <w:pPr>
        <w:numPr>
          <w:ilvl w:val="0"/>
          <w:numId w:val="12"/>
        </w:num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 xml:space="preserve">Réunions des Groupes d’espèces du </w:t>
      </w:r>
      <w:proofErr w:type="spellStart"/>
      <w:r w:rsidRPr="001546E2">
        <w:rPr>
          <w:rFonts w:asciiTheme="majorHAnsi" w:hAnsiTheme="majorHAnsi"/>
          <w:i/>
          <w:iCs/>
          <w:sz w:val="20"/>
          <w:szCs w:val="20"/>
        </w:rPr>
        <w:t>SCRS</w:t>
      </w:r>
      <w:proofErr w:type="spellEnd"/>
      <w:r w:rsidRPr="001546E2">
        <w:rPr>
          <w:rFonts w:asciiTheme="majorHAnsi" w:hAnsiTheme="majorHAnsi"/>
          <w:i/>
          <w:iCs/>
          <w:sz w:val="20"/>
          <w:szCs w:val="20"/>
        </w:rPr>
        <w:t xml:space="preserve"> et/ou séances plénière du </w:t>
      </w:r>
      <w:proofErr w:type="spellStart"/>
      <w:r w:rsidRPr="001546E2">
        <w:rPr>
          <w:rFonts w:asciiTheme="majorHAnsi" w:hAnsiTheme="majorHAnsi"/>
          <w:i/>
          <w:iCs/>
          <w:sz w:val="20"/>
          <w:szCs w:val="20"/>
        </w:rPr>
        <w:t>SCRS</w:t>
      </w:r>
      <w:proofErr w:type="spellEnd"/>
    </w:p>
    <w:p w14:paraId="0C1EA446" w14:textId="77777777" w:rsidR="00CE7EC7" w:rsidRPr="001546E2" w:rsidRDefault="00CE7EC7" w:rsidP="00503CB8">
      <w:pPr>
        <w:autoSpaceDE w:val="0"/>
        <w:autoSpaceDN w:val="0"/>
        <w:adjustRightInd w:val="0"/>
        <w:spacing w:after="0" w:line="240" w:lineRule="auto"/>
        <w:jc w:val="both"/>
        <w:rPr>
          <w:rFonts w:asciiTheme="majorHAnsi" w:hAnsiTheme="majorHAnsi"/>
          <w:i/>
          <w:iCs/>
          <w:sz w:val="20"/>
          <w:szCs w:val="20"/>
        </w:rPr>
      </w:pPr>
    </w:p>
    <w:p w14:paraId="6E91E895" w14:textId="7A001317" w:rsidR="00503CB8" w:rsidRPr="001546E2" w:rsidRDefault="00BD0628" w:rsidP="00503CB8">
      <w:pPr>
        <w:autoSpaceDE w:val="0"/>
        <w:autoSpaceDN w:val="0"/>
        <w:adjustRightInd w:val="0"/>
        <w:spacing w:after="0" w:line="240" w:lineRule="auto"/>
        <w:jc w:val="both"/>
        <w:rPr>
          <w:rFonts w:asciiTheme="majorHAnsi" w:hAnsiTheme="majorHAnsi"/>
          <w:i/>
          <w:iCs/>
          <w:sz w:val="20"/>
          <w:szCs w:val="20"/>
        </w:rPr>
      </w:pPr>
      <w:r w:rsidRPr="001546E2">
        <w:rPr>
          <w:rFonts w:asciiTheme="majorHAnsi" w:hAnsiTheme="majorHAnsi"/>
          <w:i/>
          <w:iCs/>
          <w:sz w:val="20"/>
          <w:szCs w:val="20"/>
        </w:rPr>
        <w:t>c</w:t>
      </w:r>
      <w:r w:rsidR="00503CB8" w:rsidRPr="001546E2">
        <w:rPr>
          <w:rFonts w:asciiTheme="majorHAnsi" w:hAnsiTheme="majorHAnsi"/>
          <w:i/>
          <w:iCs/>
          <w:sz w:val="20"/>
          <w:szCs w:val="20"/>
        </w:rPr>
        <w:t>: Voyage annulé</w:t>
      </w:r>
    </w:p>
    <w:p w14:paraId="6E9493A3" w14:textId="77777777" w:rsidR="00503CB8" w:rsidRPr="00503CB8" w:rsidRDefault="00503CB8" w:rsidP="00503CB8">
      <w:pPr>
        <w:autoSpaceDE w:val="0"/>
        <w:autoSpaceDN w:val="0"/>
        <w:adjustRightInd w:val="0"/>
        <w:spacing w:after="0" w:line="240" w:lineRule="auto"/>
        <w:jc w:val="both"/>
        <w:rPr>
          <w:rFonts w:asciiTheme="majorHAnsi" w:hAnsiTheme="majorHAnsi"/>
          <w:i/>
          <w:iCs/>
          <w:color w:val="EE0000"/>
          <w:sz w:val="20"/>
          <w:szCs w:val="20"/>
        </w:rPr>
      </w:pPr>
      <w:r w:rsidRPr="001546E2">
        <w:rPr>
          <w:rFonts w:asciiTheme="majorHAnsi" w:hAnsiTheme="majorHAnsi"/>
          <w:i/>
          <w:iCs/>
          <w:color w:val="EE0000"/>
          <w:sz w:val="20"/>
          <w:szCs w:val="20"/>
        </w:rPr>
        <w:t>Coûts estimés en instance en date du 27 octobre 2025</w:t>
      </w:r>
    </w:p>
    <w:p w14:paraId="54F0C9A0" w14:textId="77777777" w:rsidR="00503CB8" w:rsidRPr="00503CB8" w:rsidRDefault="00503CB8" w:rsidP="00503CB8">
      <w:pPr>
        <w:autoSpaceDE w:val="0"/>
        <w:autoSpaceDN w:val="0"/>
        <w:adjustRightInd w:val="0"/>
        <w:spacing w:after="0" w:line="240" w:lineRule="auto"/>
        <w:jc w:val="both"/>
        <w:rPr>
          <w:rFonts w:asciiTheme="majorHAnsi" w:hAnsiTheme="majorHAnsi"/>
          <w:sz w:val="20"/>
          <w:szCs w:val="20"/>
        </w:rPr>
      </w:pPr>
    </w:p>
    <w:p w14:paraId="6ED7218F" w14:textId="77777777" w:rsidR="00365C67" w:rsidRPr="00993FD5" w:rsidRDefault="00365C67" w:rsidP="00503CB8">
      <w:pPr>
        <w:autoSpaceDE w:val="0"/>
        <w:autoSpaceDN w:val="0"/>
        <w:adjustRightInd w:val="0"/>
        <w:spacing w:after="0" w:line="240" w:lineRule="auto"/>
        <w:jc w:val="both"/>
        <w:rPr>
          <w:rFonts w:asciiTheme="majorHAnsi" w:hAnsiTheme="majorHAnsi"/>
          <w:sz w:val="20"/>
          <w:szCs w:val="20"/>
        </w:rPr>
      </w:pPr>
    </w:p>
    <w:sectPr w:rsidR="00365C67" w:rsidRPr="00993FD5" w:rsidSect="00503CB8">
      <w:headerReference w:type="default" r:id="rId8"/>
      <w:pgSz w:w="11906" w:h="16838" w:code="9"/>
      <w:pgMar w:top="1418" w:right="1418" w:bottom="1134"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CD7" w14:textId="77777777" w:rsidR="000C45A4" w:rsidRDefault="000C45A4" w:rsidP="007C09E8">
      <w:pPr>
        <w:spacing w:after="0" w:line="240" w:lineRule="auto"/>
      </w:pPr>
      <w:r>
        <w:separator/>
      </w:r>
    </w:p>
  </w:endnote>
  <w:endnote w:type="continuationSeparator" w:id="0">
    <w:p w14:paraId="4521C4CF" w14:textId="77777777" w:rsidR="000C45A4" w:rsidRDefault="000C45A4" w:rsidP="007C09E8">
      <w:pPr>
        <w:spacing w:after="0" w:line="240" w:lineRule="auto"/>
      </w:pPr>
      <w:r>
        <w:continuationSeparator/>
      </w:r>
    </w:p>
  </w:endnote>
  <w:endnote w:type="continuationNotice" w:id="1">
    <w:p w14:paraId="7023C339" w14:textId="77777777" w:rsidR="000C45A4" w:rsidRDefault="000C4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1B21" w14:textId="77777777" w:rsidR="000C45A4" w:rsidRDefault="000C45A4" w:rsidP="007C09E8">
      <w:pPr>
        <w:spacing w:after="0" w:line="240" w:lineRule="auto"/>
      </w:pPr>
      <w:r>
        <w:separator/>
      </w:r>
    </w:p>
  </w:footnote>
  <w:footnote w:type="continuationSeparator" w:id="0">
    <w:p w14:paraId="1A13E71F" w14:textId="77777777" w:rsidR="000C45A4" w:rsidRDefault="000C45A4" w:rsidP="007C09E8">
      <w:pPr>
        <w:spacing w:after="0" w:line="240" w:lineRule="auto"/>
      </w:pPr>
      <w:r>
        <w:continuationSeparator/>
      </w:r>
    </w:p>
  </w:footnote>
  <w:footnote w:type="continuationNotice" w:id="1">
    <w:p w14:paraId="0AB6B88C" w14:textId="77777777" w:rsidR="000C45A4" w:rsidRDefault="000C45A4">
      <w:pPr>
        <w:spacing w:after="0" w:line="240" w:lineRule="auto"/>
      </w:pPr>
    </w:p>
  </w:footnote>
  <w:footnote w:id="2">
    <w:p w14:paraId="54000860" w14:textId="4E300C56" w:rsidR="00297345" w:rsidRPr="00970478" w:rsidRDefault="00297345">
      <w:pPr>
        <w:pStyle w:val="Notedebasdepage"/>
        <w:rPr>
          <w:rFonts w:asciiTheme="majorHAnsi" w:hAnsiTheme="majorHAnsi"/>
          <w:sz w:val="16"/>
          <w:szCs w:val="16"/>
          <w:lang w:val="es-ES"/>
        </w:rPr>
      </w:pPr>
      <w:r w:rsidRPr="001546E2">
        <w:rPr>
          <w:rStyle w:val="Appelnotedebasdep"/>
          <w:rFonts w:asciiTheme="majorHAnsi" w:hAnsiTheme="majorHAnsi"/>
          <w:sz w:val="16"/>
          <w:szCs w:val="16"/>
        </w:rPr>
        <w:footnoteRef/>
      </w:r>
      <w:r w:rsidRPr="001546E2">
        <w:rPr>
          <w:rFonts w:asciiTheme="majorHAnsi" w:hAnsiTheme="majorHAnsi"/>
          <w:sz w:val="16"/>
          <w:szCs w:val="16"/>
        </w:rPr>
        <w:t xml:space="preserve"> </w:t>
      </w:r>
      <w:proofErr w:type="spellStart"/>
      <w:r w:rsidRPr="001546E2">
        <w:rPr>
          <w:rFonts w:asciiTheme="majorHAnsi" w:hAnsiTheme="majorHAnsi"/>
          <w:sz w:val="16"/>
          <w:szCs w:val="16"/>
          <w:lang w:val="es-ES"/>
        </w:rPr>
        <w:t>Données</w:t>
      </w:r>
      <w:proofErr w:type="spellEnd"/>
      <w:r w:rsidRPr="001546E2">
        <w:rPr>
          <w:rFonts w:asciiTheme="majorHAnsi" w:hAnsiTheme="majorHAnsi"/>
          <w:sz w:val="16"/>
          <w:szCs w:val="16"/>
          <w:lang w:val="es-ES"/>
        </w:rPr>
        <w:t xml:space="preserve"> </w:t>
      </w:r>
      <w:proofErr w:type="spellStart"/>
      <w:r w:rsidRPr="001546E2">
        <w:rPr>
          <w:rFonts w:asciiTheme="majorHAnsi" w:hAnsiTheme="majorHAnsi"/>
          <w:sz w:val="16"/>
          <w:szCs w:val="16"/>
          <w:lang w:val="es-ES"/>
        </w:rPr>
        <w:t>rapportées</w:t>
      </w:r>
      <w:proofErr w:type="spellEnd"/>
      <w:r w:rsidRPr="001546E2">
        <w:rPr>
          <w:rFonts w:asciiTheme="majorHAnsi" w:hAnsiTheme="majorHAnsi"/>
          <w:sz w:val="16"/>
          <w:szCs w:val="16"/>
          <w:lang w:val="es-ES"/>
        </w:rPr>
        <w:t xml:space="preserve"> </w:t>
      </w:r>
      <w:proofErr w:type="spellStart"/>
      <w:r w:rsidRPr="001546E2">
        <w:rPr>
          <w:rFonts w:asciiTheme="majorHAnsi" w:hAnsiTheme="majorHAnsi"/>
          <w:sz w:val="16"/>
          <w:szCs w:val="16"/>
          <w:lang w:val="es-ES"/>
        </w:rPr>
        <w:t>au</w:t>
      </w:r>
      <w:proofErr w:type="spellEnd"/>
      <w:r w:rsidRPr="001546E2">
        <w:rPr>
          <w:rFonts w:asciiTheme="majorHAnsi" w:hAnsiTheme="majorHAnsi"/>
          <w:sz w:val="16"/>
          <w:szCs w:val="16"/>
          <w:lang w:val="es-ES"/>
        </w:rPr>
        <w:t xml:space="preserve"> </w:t>
      </w:r>
      <w:r w:rsidR="00356D15" w:rsidRPr="001546E2">
        <w:rPr>
          <w:rFonts w:asciiTheme="majorHAnsi" w:hAnsiTheme="majorHAnsi"/>
          <w:sz w:val="16"/>
          <w:szCs w:val="16"/>
          <w:lang w:val="es-ES"/>
        </w:rPr>
        <w:t xml:space="preserve">27 </w:t>
      </w:r>
      <w:proofErr w:type="spellStart"/>
      <w:r w:rsidR="00356D15" w:rsidRPr="001546E2">
        <w:rPr>
          <w:rFonts w:asciiTheme="majorHAnsi" w:hAnsiTheme="majorHAnsi"/>
          <w:sz w:val="16"/>
          <w:szCs w:val="16"/>
          <w:lang w:val="es-ES"/>
        </w:rPr>
        <w:t>octobre</w:t>
      </w:r>
      <w:proofErr w:type="spellEnd"/>
      <w:r w:rsidR="00356D15" w:rsidRPr="001546E2">
        <w:rPr>
          <w:rFonts w:asciiTheme="majorHAnsi" w:hAnsiTheme="majorHAnsi"/>
          <w:sz w:val="16"/>
          <w:szCs w:val="16"/>
          <w:lang w:val="es-ES"/>
        </w:rPr>
        <w:t xml:space="preserve"> </w:t>
      </w:r>
      <w:r w:rsidRPr="001546E2">
        <w:rPr>
          <w:rFonts w:asciiTheme="majorHAnsi" w:hAnsiTheme="majorHAnsi"/>
          <w:sz w:val="16"/>
          <w:szCs w:val="16"/>
          <w:lang w:val="es-ES"/>
        </w:rPr>
        <w:t>202</w:t>
      </w:r>
      <w:r w:rsidR="00356D15" w:rsidRPr="001546E2">
        <w:rPr>
          <w:rFonts w:asciiTheme="majorHAnsi" w:hAnsiTheme="majorHAnsi"/>
          <w:sz w:val="16"/>
          <w:szCs w:val="16"/>
          <w:lang w:val="es-ES"/>
        </w:rPr>
        <w:t>5</w:t>
      </w:r>
      <w:r w:rsidR="00970478" w:rsidRPr="001546E2">
        <w:rPr>
          <w:rFonts w:asciiTheme="majorHAnsi" w:hAnsiTheme="majorHAns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434" w14:textId="77777777" w:rsidR="00C632BF" w:rsidRPr="00E75E8D" w:rsidRDefault="00C632BF" w:rsidP="00C632BF">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eastAsia="en-US"/>
      </w:rPr>
    </w:pPr>
    <w:r w:rsidRPr="00E75E8D">
      <w:rPr>
        <w:rFonts w:ascii="Cambria" w:eastAsia="Times New Roman" w:hAnsi="Cambria" w:cs="Times New Roman"/>
        <w:b/>
        <w:bCs/>
        <w:sz w:val="20"/>
        <w:szCs w:val="20"/>
        <w:lang w:val="en-US" w:eastAsia="en-US"/>
      </w:rPr>
      <w:t>STF_20</w:t>
    </w:r>
    <w:r>
      <w:rPr>
        <w:rFonts w:ascii="Cambria" w:eastAsia="Times New Roman" w:hAnsi="Cambria" w:cs="Times New Roman"/>
        <w:b/>
        <w:bCs/>
        <w:sz w:val="20"/>
        <w:szCs w:val="20"/>
        <w:lang w:val="en-US" w:eastAsia="en-US"/>
      </w:rPr>
      <w:t>6</w:t>
    </w:r>
    <w:r w:rsidRPr="00E75E8D">
      <w:rPr>
        <w:rFonts w:ascii="Cambria" w:eastAsia="Times New Roman" w:hAnsi="Cambria" w:cs="Times New Roman"/>
        <w:b/>
        <w:bCs/>
        <w:sz w:val="20"/>
        <w:szCs w:val="20"/>
        <w:lang w:val="en-US" w:eastAsia="en-US"/>
      </w:rPr>
      <w:t>/2025</w:t>
    </w:r>
  </w:p>
  <w:p w14:paraId="753CB878" w14:textId="2DB203B1" w:rsidR="00C632BF" w:rsidRPr="00E75E8D" w:rsidRDefault="00C632BF" w:rsidP="00C632BF">
    <w:pPr>
      <w:tabs>
        <w:tab w:val="left" w:pos="7320"/>
      </w:tabs>
      <w:spacing w:after="0" w:line="240" w:lineRule="exact"/>
      <w:jc w:val="right"/>
      <w:rPr>
        <w:rFonts w:ascii="Times New Roman" w:eastAsia="Times New Roman" w:hAnsi="Times New Roman" w:cs="Times New Roman"/>
        <w:sz w:val="20"/>
        <w:szCs w:val="24"/>
        <w:lang w:eastAsia="en-US"/>
      </w:rPr>
    </w:pPr>
    <w:r w:rsidRPr="00E75E8D">
      <w:rPr>
        <w:rFonts w:ascii="Cambria" w:eastAsia="Times New Roman" w:hAnsi="Cambria" w:cs="Times New Roman"/>
        <w:b/>
        <w:bCs/>
        <w:sz w:val="16"/>
        <w:szCs w:val="16"/>
        <w:lang w:val="es-ES" w:eastAsia="en-US"/>
      </w:rPr>
      <w:fldChar w:fldCharType="begin"/>
    </w:r>
    <w:r w:rsidRPr="00E75E8D">
      <w:rPr>
        <w:rFonts w:ascii="Cambria" w:eastAsia="Times New Roman" w:hAnsi="Cambria" w:cs="Times New Roman"/>
        <w:b/>
        <w:bCs/>
        <w:sz w:val="16"/>
        <w:szCs w:val="16"/>
        <w:lang w:val="en-US" w:eastAsia="en-US"/>
      </w:rPr>
      <w:instrText xml:space="preserve"> TIME \@ "dd/MM/yyyy H:mm" </w:instrText>
    </w:r>
    <w:r w:rsidRPr="00E75E8D">
      <w:rPr>
        <w:rFonts w:ascii="Cambria" w:eastAsia="Times New Roman" w:hAnsi="Cambria" w:cs="Times New Roman"/>
        <w:b/>
        <w:bCs/>
        <w:sz w:val="16"/>
        <w:szCs w:val="16"/>
        <w:lang w:val="es-ES" w:eastAsia="en-US"/>
      </w:rPr>
      <w:fldChar w:fldCharType="separate"/>
    </w:r>
    <w:r w:rsidR="00B25C4F">
      <w:rPr>
        <w:rFonts w:ascii="Cambria" w:eastAsia="Times New Roman" w:hAnsi="Cambria" w:cs="Times New Roman"/>
        <w:b/>
        <w:bCs/>
        <w:noProof/>
        <w:sz w:val="16"/>
        <w:szCs w:val="16"/>
        <w:lang w:val="en-US" w:eastAsia="en-US"/>
      </w:rPr>
      <w:t>13/11/2025 15:04</w:t>
    </w:r>
    <w:r w:rsidRPr="00E75E8D">
      <w:rPr>
        <w:rFonts w:ascii="Cambria" w:eastAsia="Times New Roman" w:hAnsi="Cambria" w:cs="Times New Roman"/>
        <w:b/>
        <w:bCs/>
        <w:sz w:val="16"/>
        <w:szCs w:val="16"/>
        <w:lang w:val="es-ES_tradnl" w:eastAsia="en-US"/>
      </w:rPr>
      <w:fldChar w:fldCharType="end"/>
    </w:r>
  </w:p>
  <w:p w14:paraId="6076C7D7" w14:textId="77777777" w:rsidR="00C632BF" w:rsidRDefault="00C632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F7D"/>
    <w:multiLevelType w:val="hybridMultilevel"/>
    <w:tmpl w:val="F580E9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3568224B"/>
    <w:multiLevelType w:val="hybridMultilevel"/>
    <w:tmpl w:val="1E82D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D00957"/>
    <w:multiLevelType w:val="hybridMultilevel"/>
    <w:tmpl w:val="041C05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B33727"/>
    <w:multiLevelType w:val="hybridMultilevel"/>
    <w:tmpl w:val="CC9624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8116014">
    <w:abstractNumId w:val="10"/>
  </w:num>
  <w:num w:numId="2" w16cid:durableId="1696614624">
    <w:abstractNumId w:val="9"/>
  </w:num>
  <w:num w:numId="3" w16cid:durableId="1474710189">
    <w:abstractNumId w:val="6"/>
  </w:num>
  <w:num w:numId="4" w16cid:durableId="2020699175">
    <w:abstractNumId w:val="3"/>
  </w:num>
  <w:num w:numId="5" w16cid:durableId="2026902728">
    <w:abstractNumId w:val="4"/>
  </w:num>
  <w:num w:numId="6" w16cid:durableId="1210874773">
    <w:abstractNumId w:val="8"/>
  </w:num>
  <w:num w:numId="7" w16cid:durableId="415828608">
    <w:abstractNumId w:val="1"/>
  </w:num>
  <w:num w:numId="8" w16cid:durableId="143161445">
    <w:abstractNumId w:val="0"/>
  </w:num>
  <w:num w:numId="9" w16cid:durableId="867836639">
    <w:abstractNumId w:val="5"/>
  </w:num>
  <w:num w:numId="10" w16cid:durableId="1348286631">
    <w:abstractNumId w:val="2"/>
  </w:num>
  <w:num w:numId="11" w16cid:durableId="1751392824">
    <w:abstractNumId w:val="7"/>
  </w:num>
  <w:num w:numId="12" w16cid:durableId="474564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6B37"/>
    <w:rsid w:val="000105F9"/>
    <w:rsid w:val="000108AA"/>
    <w:rsid w:val="000118B5"/>
    <w:rsid w:val="00012F8E"/>
    <w:rsid w:val="000171FD"/>
    <w:rsid w:val="0002259C"/>
    <w:rsid w:val="00024950"/>
    <w:rsid w:val="00027FA0"/>
    <w:rsid w:val="0003256E"/>
    <w:rsid w:val="00034E3A"/>
    <w:rsid w:val="00037AB0"/>
    <w:rsid w:val="00040378"/>
    <w:rsid w:val="00050FC7"/>
    <w:rsid w:val="00054089"/>
    <w:rsid w:val="00056D0F"/>
    <w:rsid w:val="00057DFC"/>
    <w:rsid w:val="0006109A"/>
    <w:rsid w:val="000613AB"/>
    <w:rsid w:val="000650C5"/>
    <w:rsid w:val="000660F7"/>
    <w:rsid w:val="0006706F"/>
    <w:rsid w:val="000709C6"/>
    <w:rsid w:val="00070CAE"/>
    <w:rsid w:val="00072089"/>
    <w:rsid w:val="000740E6"/>
    <w:rsid w:val="0007585C"/>
    <w:rsid w:val="000772DF"/>
    <w:rsid w:val="00080667"/>
    <w:rsid w:val="000811A7"/>
    <w:rsid w:val="00081568"/>
    <w:rsid w:val="0008769D"/>
    <w:rsid w:val="00087AC1"/>
    <w:rsid w:val="000907C3"/>
    <w:rsid w:val="00092B09"/>
    <w:rsid w:val="000A1C06"/>
    <w:rsid w:val="000A7A79"/>
    <w:rsid w:val="000B04FB"/>
    <w:rsid w:val="000B1D8C"/>
    <w:rsid w:val="000B2841"/>
    <w:rsid w:val="000B3081"/>
    <w:rsid w:val="000B4E58"/>
    <w:rsid w:val="000B6C8C"/>
    <w:rsid w:val="000C45A4"/>
    <w:rsid w:val="000C47D7"/>
    <w:rsid w:val="000C5501"/>
    <w:rsid w:val="000D0243"/>
    <w:rsid w:val="000D3DEF"/>
    <w:rsid w:val="000E178A"/>
    <w:rsid w:val="000E5351"/>
    <w:rsid w:val="000F3052"/>
    <w:rsid w:val="000F3F24"/>
    <w:rsid w:val="000F54E5"/>
    <w:rsid w:val="00100A96"/>
    <w:rsid w:val="00102C75"/>
    <w:rsid w:val="00105ABD"/>
    <w:rsid w:val="00107411"/>
    <w:rsid w:val="00110BEE"/>
    <w:rsid w:val="001128B0"/>
    <w:rsid w:val="0011292A"/>
    <w:rsid w:val="00115E88"/>
    <w:rsid w:val="00116FDB"/>
    <w:rsid w:val="001212FD"/>
    <w:rsid w:val="00123895"/>
    <w:rsid w:val="00134EDB"/>
    <w:rsid w:val="00136D8E"/>
    <w:rsid w:val="00142333"/>
    <w:rsid w:val="00143369"/>
    <w:rsid w:val="0014417F"/>
    <w:rsid w:val="00144A76"/>
    <w:rsid w:val="00147CF8"/>
    <w:rsid w:val="001502EA"/>
    <w:rsid w:val="0015422E"/>
    <w:rsid w:val="0015433F"/>
    <w:rsid w:val="001546E2"/>
    <w:rsid w:val="00154A98"/>
    <w:rsid w:val="00154BBF"/>
    <w:rsid w:val="00154EB6"/>
    <w:rsid w:val="001620DF"/>
    <w:rsid w:val="0017217F"/>
    <w:rsid w:val="00180755"/>
    <w:rsid w:val="00181A1B"/>
    <w:rsid w:val="00182542"/>
    <w:rsid w:val="00187CD6"/>
    <w:rsid w:val="00192E8A"/>
    <w:rsid w:val="001A4F34"/>
    <w:rsid w:val="001A79FC"/>
    <w:rsid w:val="001B0760"/>
    <w:rsid w:val="001B0B71"/>
    <w:rsid w:val="001B6F39"/>
    <w:rsid w:val="001B78DF"/>
    <w:rsid w:val="001B7BE8"/>
    <w:rsid w:val="001C010E"/>
    <w:rsid w:val="001C036F"/>
    <w:rsid w:val="001C2A2A"/>
    <w:rsid w:val="001C5229"/>
    <w:rsid w:val="001C7219"/>
    <w:rsid w:val="001C7281"/>
    <w:rsid w:val="001D0C71"/>
    <w:rsid w:val="001D1799"/>
    <w:rsid w:val="001D2090"/>
    <w:rsid w:val="001D283D"/>
    <w:rsid w:val="001D4565"/>
    <w:rsid w:val="001E6839"/>
    <w:rsid w:val="001E6E12"/>
    <w:rsid w:val="001F0235"/>
    <w:rsid w:val="001F24D6"/>
    <w:rsid w:val="001F65DB"/>
    <w:rsid w:val="00200D04"/>
    <w:rsid w:val="00206FC0"/>
    <w:rsid w:val="002121EE"/>
    <w:rsid w:val="002179E3"/>
    <w:rsid w:val="0023120B"/>
    <w:rsid w:val="002458FE"/>
    <w:rsid w:val="00253631"/>
    <w:rsid w:val="00255092"/>
    <w:rsid w:val="00255477"/>
    <w:rsid w:val="00261650"/>
    <w:rsid w:val="00262A28"/>
    <w:rsid w:val="002642A4"/>
    <w:rsid w:val="00267024"/>
    <w:rsid w:val="00267D1E"/>
    <w:rsid w:val="00270359"/>
    <w:rsid w:val="00271BDB"/>
    <w:rsid w:val="00273BEF"/>
    <w:rsid w:val="00273E15"/>
    <w:rsid w:val="00274A4A"/>
    <w:rsid w:val="002762AA"/>
    <w:rsid w:val="00281114"/>
    <w:rsid w:val="00281115"/>
    <w:rsid w:val="00281909"/>
    <w:rsid w:val="00281F97"/>
    <w:rsid w:val="002829F4"/>
    <w:rsid w:val="00282F18"/>
    <w:rsid w:val="0028492C"/>
    <w:rsid w:val="0028709E"/>
    <w:rsid w:val="002922AA"/>
    <w:rsid w:val="00293798"/>
    <w:rsid w:val="00293D79"/>
    <w:rsid w:val="0029494D"/>
    <w:rsid w:val="00297345"/>
    <w:rsid w:val="002A1C0E"/>
    <w:rsid w:val="002A2012"/>
    <w:rsid w:val="002A77DB"/>
    <w:rsid w:val="002B3AC7"/>
    <w:rsid w:val="002B5FB4"/>
    <w:rsid w:val="002B755A"/>
    <w:rsid w:val="002C1D9A"/>
    <w:rsid w:val="002C383E"/>
    <w:rsid w:val="002C48F7"/>
    <w:rsid w:val="002D0436"/>
    <w:rsid w:val="002D13CF"/>
    <w:rsid w:val="002D2AB0"/>
    <w:rsid w:val="002D4621"/>
    <w:rsid w:val="002D5972"/>
    <w:rsid w:val="002D69F0"/>
    <w:rsid w:val="002E06FB"/>
    <w:rsid w:val="002E4D69"/>
    <w:rsid w:val="002E66BA"/>
    <w:rsid w:val="002E70C8"/>
    <w:rsid w:val="002E7197"/>
    <w:rsid w:val="002F0E44"/>
    <w:rsid w:val="002F2141"/>
    <w:rsid w:val="002F4BED"/>
    <w:rsid w:val="002F5A7D"/>
    <w:rsid w:val="002F789A"/>
    <w:rsid w:val="003013AF"/>
    <w:rsid w:val="0030157C"/>
    <w:rsid w:val="003038E4"/>
    <w:rsid w:val="0030453E"/>
    <w:rsid w:val="00315F27"/>
    <w:rsid w:val="00316E14"/>
    <w:rsid w:val="00324361"/>
    <w:rsid w:val="00326404"/>
    <w:rsid w:val="003276BD"/>
    <w:rsid w:val="00330D01"/>
    <w:rsid w:val="003322EE"/>
    <w:rsid w:val="00337239"/>
    <w:rsid w:val="00340AA7"/>
    <w:rsid w:val="003415E4"/>
    <w:rsid w:val="0034272B"/>
    <w:rsid w:val="00346B5F"/>
    <w:rsid w:val="003504B1"/>
    <w:rsid w:val="00350EC7"/>
    <w:rsid w:val="0035327C"/>
    <w:rsid w:val="00354B09"/>
    <w:rsid w:val="003557AF"/>
    <w:rsid w:val="00356D15"/>
    <w:rsid w:val="00357E77"/>
    <w:rsid w:val="00361EBC"/>
    <w:rsid w:val="003622C5"/>
    <w:rsid w:val="00363047"/>
    <w:rsid w:val="003632D3"/>
    <w:rsid w:val="003636FA"/>
    <w:rsid w:val="0036488A"/>
    <w:rsid w:val="00365C67"/>
    <w:rsid w:val="00367649"/>
    <w:rsid w:val="00373D60"/>
    <w:rsid w:val="003745C3"/>
    <w:rsid w:val="00375923"/>
    <w:rsid w:val="00381D9F"/>
    <w:rsid w:val="003868FE"/>
    <w:rsid w:val="00393961"/>
    <w:rsid w:val="00394256"/>
    <w:rsid w:val="00395628"/>
    <w:rsid w:val="00397B41"/>
    <w:rsid w:val="003A4CFF"/>
    <w:rsid w:val="003A5BFD"/>
    <w:rsid w:val="003B0C87"/>
    <w:rsid w:val="003B1DF8"/>
    <w:rsid w:val="003B2CAC"/>
    <w:rsid w:val="003C20DC"/>
    <w:rsid w:val="003C2C3B"/>
    <w:rsid w:val="003C3157"/>
    <w:rsid w:val="003C3B62"/>
    <w:rsid w:val="003C4EDD"/>
    <w:rsid w:val="003C5E95"/>
    <w:rsid w:val="003C7469"/>
    <w:rsid w:val="003D0248"/>
    <w:rsid w:val="003E0F1C"/>
    <w:rsid w:val="003E3E15"/>
    <w:rsid w:val="003E5750"/>
    <w:rsid w:val="003E7EBD"/>
    <w:rsid w:val="003F239C"/>
    <w:rsid w:val="003F2686"/>
    <w:rsid w:val="003F4C43"/>
    <w:rsid w:val="003F692E"/>
    <w:rsid w:val="00403A40"/>
    <w:rsid w:val="00410A7B"/>
    <w:rsid w:val="004113ED"/>
    <w:rsid w:val="00411634"/>
    <w:rsid w:val="004238AC"/>
    <w:rsid w:val="00423E92"/>
    <w:rsid w:val="00424649"/>
    <w:rsid w:val="004328E6"/>
    <w:rsid w:val="00436633"/>
    <w:rsid w:val="00436EAF"/>
    <w:rsid w:val="0044279D"/>
    <w:rsid w:val="00443EED"/>
    <w:rsid w:val="0045266D"/>
    <w:rsid w:val="00453FB2"/>
    <w:rsid w:val="00454071"/>
    <w:rsid w:val="004561AC"/>
    <w:rsid w:val="00456B33"/>
    <w:rsid w:val="0046137F"/>
    <w:rsid w:val="00461C53"/>
    <w:rsid w:val="0047329A"/>
    <w:rsid w:val="004737F4"/>
    <w:rsid w:val="00480DDC"/>
    <w:rsid w:val="004845B4"/>
    <w:rsid w:val="00484B61"/>
    <w:rsid w:val="00487B80"/>
    <w:rsid w:val="00491985"/>
    <w:rsid w:val="00494A80"/>
    <w:rsid w:val="00497701"/>
    <w:rsid w:val="004A1E4A"/>
    <w:rsid w:val="004A77BC"/>
    <w:rsid w:val="004B41EA"/>
    <w:rsid w:val="004B4F37"/>
    <w:rsid w:val="004C0755"/>
    <w:rsid w:val="004D3665"/>
    <w:rsid w:val="004D7A71"/>
    <w:rsid w:val="004E0B08"/>
    <w:rsid w:val="004E35B4"/>
    <w:rsid w:val="004E6A8F"/>
    <w:rsid w:val="004E6EA3"/>
    <w:rsid w:val="004F02FC"/>
    <w:rsid w:val="004F7C14"/>
    <w:rsid w:val="004F7D47"/>
    <w:rsid w:val="00503CB8"/>
    <w:rsid w:val="00504B9B"/>
    <w:rsid w:val="00505572"/>
    <w:rsid w:val="00511AB7"/>
    <w:rsid w:val="00512CAB"/>
    <w:rsid w:val="00513481"/>
    <w:rsid w:val="005178B1"/>
    <w:rsid w:val="00521A8D"/>
    <w:rsid w:val="00521BE6"/>
    <w:rsid w:val="00522C20"/>
    <w:rsid w:val="00523745"/>
    <w:rsid w:val="0053053B"/>
    <w:rsid w:val="00531C8A"/>
    <w:rsid w:val="0053601A"/>
    <w:rsid w:val="00537EE0"/>
    <w:rsid w:val="0054146F"/>
    <w:rsid w:val="00544B0F"/>
    <w:rsid w:val="00551989"/>
    <w:rsid w:val="00554BF4"/>
    <w:rsid w:val="00555E21"/>
    <w:rsid w:val="005603C4"/>
    <w:rsid w:val="005632B9"/>
    <w:rsid w:val="00563AA4"/>
    <w:rsid w:val="0056434C"/>
    <w:rsid w:val="00570B9F"/>
    <w:rsid w:val="00574154"/>
    <w:rsid w:val="0058005E"/>
    <w:rsid w:val="0058109A"/>
    <w:rsid w:val="00581523"/>
    <w:rsid w:val="005820B7"/>
    <w:rsid w:val="00592D5E"/>
    <w:rsid w:val="00593651"/>
    <w:rsid w:val="00594310"/>
    <w:rsid w:val="005946CD"/>
    <w:rsid w:val="005A0BA2"/>
    <w:rsid w:val="005A449A"/>
    <w:rsid w:val="005A463E"/>
    <w:rsid w:val="005A7721"/>
    <w:rsid w:val="005A7FF6"/>
    <w:rsid w:val="005B1573"/>
    <w:rsid w:val="005B2203"/>
    <w:rsid w:val="005B261C"/>
    <w:rsid w:val="005B2D38"/>
    <w:rsid w:val="005B4FDC"/>
    <w:rsid w:val="005B5F44"/>
    <w:rsid w:val="005C22E9"/>
    <w:rsid w:val="005C3CB7"/>
    <w:rsid w:val="005C70A7"/>
    <w:rsid w:val="005C7456"/>
    <w:rsid w:val="005D2356"/>
    <w:rsid w:val="005D260F"/>
    <w:rsid w:val="005D3DB6"/>
    <w:rsid w:val="005D7F09"/>
    <w:rsid w:val="005E4502"/>
    <w:rsid w:val="005E48B0"/>
    <w:rsid w:val="005E4F69"/>
    <w:rsid w:val="005F1A78"/>
    <w:rsid w:val="005F20C0"/>
    <w:rsid w:val="005F3924"/>
    <w:rsid w:val="005F4009"/>
    <w:rsid w:val="005F692D"/>
    <w:rsid w:val="00600B9A"/>
    <w:rsid w:val="006029BA"/>
    <w:rsid w:val="00602A6D"/>
    <w:rsid w:val="00603F4C"/>
    <w:rsid w:val="006043D1"/>
    <w:rsid w:val="006067DA"/>
    <w:rsid w:val="00611517"/>
    <w:rsid w:val="00612903"/>
    <w:rsid w:val="006172C6"/>
    <w:rsid w:val="006219E6"/>
    <w:rsid w:val="00621C0F"/>
    <w:rsid w:val="00622E50"/>
    <w:rsid w:val="00624504"/>
    <w:rsid w:val="00626056"/>
    <w:rsid w:val="00627986"/>
    <w:rsid w:val="00631C54"/>
    <w:rsid w:val="006346D1"/>
    <w:rsid w:val="00636010"/>
    <w:rsid w:val="00640751"/>
    <w:rsid w:val="00641808"/>
    <w:rsid w:val="006424E5"/>
    <w:rsid w:val="00643007"/>
    <w:rsid w:val="00644D6C"/>
    <w:rsid w:val="0064701F"/>
    <w:rsid w:val="00647E3E"/>
    <w:rsid w:val="00656D0C"/>
    <w:rsid w:val="006573BD"/>
    <w:rsid w:val="0066091C"/>
    <w:rsid w:val="006609F7"/>
    <w:rsid w:val="00661F5B"/>
    <w:rsid w:val="00662A89"/>
    <w:rsid w:val="00662DE2"/>
    <w:rsid w:val="00663EA8"/>
    <w:rsid w:val="0067516B"/>
    <w:rsid w:val="00675906"/>
    <w:rsid w:val="00677729"/>
    <w:rsid w:val="006778C4"/>
    <w:rsid w:val="00683816"/>
    <w:rsid w:val="00684305"/>
    <w:rsid w:val="00684BA7"/>
    <w:rsid w:val="00686DD1"/>
    <w:rsid w:val="0069622F"/>
    <w:rsid w:val="006A093B"/>
    <w:rsid w:val="006A1672"/>
    <w:rsid w:val="006A397A"/>
    <w:rsid w:val="006A5F87"/>
    <w:rsid w:val="006A6145"/>
    <w:rsid w:val="006A7BFA"/>
    <w:rsid w:val="006B31D3"/>
    <w:rsid w:val="006B74C9"/>
    <w:rsid w:val="006C2786"/>
    <w:rsid w:val="006C2C89"/>
    <w:rsid w:val="006C3F33"/>
    <w:rsid w:val="006C629E"/>
    <w:rsid w:val="006C7EE5"/>
    <w:rsid w:val="006D2C12"/>
    <w:rsid w:val="006D6ACB"/>
    <w:rsid w:val="006E0E73"/>
    <w:rsid w:val="006E306A"/>
    <w:rsid w:val="006E6141"/>
    <w:rsid w:val="006E6602"/>
    <w:rsid w:val="006F25D2"/>
    <w:rsid w:val="006F4C64"/>
    <w:rsid w:val="006F7EB7"/>
    <w:rsid w:val="007003F2"/>
    <w:rsid w:val="00700E64"/>
    <w:rsid w:val="007017E5"/>
    <w:rsid w:val="00701FB1"/>
    <w:rsid w:val="007034CE"/>
    <w:rsid w:val="00704462"/>
    <w:rsid w:val="00704FC2"/>
    <w:rsid w:val="007148F5"/>
    <w:rsid w:val="00714F6B"/>
    <w:rsid w:val="0071671F"/>
    <w:rsid w:val="00721C0E"/>
    <w:rsid w:val="00724B2F"/>
    <w:rsid w:val="007318A4"/>
    <w:rsid w:val="00733B41"/>
    <w:rsid w:val="00734101"/>
    <w:rsid w:val="00734CDF"/>
    <w:rsid w:val="007365D2"/>
    <w:rsid w:val="0073702B"/>
    <w:rsid w:val="00741195"/>
    <w:rsid w:val="00741796"/>
    <w:rsid w:val="007452FF"/>
    <w:rsid w:val="00745D81"/>
    <w:rsid w:val="00746709"/>
    <w:rsid w:val="00752615"/>
    <w:rsid w:val="007559D4"/>
    <w:rsid w:val="00755AD2"/>
    <w:rsid w:val="00756B4B"/>
    <w:rsid w:val="00761B82"/>
    <w:rsid w:val="00767868"/>
    <w:rsid w:val="00767AE3"/>
    <w:rsid w:val="00777CCA"/>
    <w:rsid w:val="0078510D"/>
    <w:rsid w:val="00787524"/>
    <w:rsid w:val="00787DDB"/>
    <w:rsid w:val="0079223E"/>
    <w:rsid w:val="00794B2A"/>
    <w:rsid w:val="007A298C"/>
    <w:rsid w:val="007A3581"/>
    <w:rsid w:val="007A5C09"/>
    <w:rsid w:val="007B1397"/>
    <w:rsid w:val="007B218F"/>
    <w:rsid w:val="007B2196"/>
    <w:rsid w:val="007B59D5"/>
    <w:rsid w:val="007C09E8"/>
    <w:rsid w:val="007C1B6F"/>
    <w:rsid w:val="007C239A"/>
    <w:rsid w:val="007D04E8"/>
    <w:rsid w:val="007D07B3"/>
    <w:rsid w:val="007D2571"/>
    <w:rsid w:val="007D5C3E"/>
    <w:rsid w:val="007E0E24"/>
    <w:rsid w:val="007E3AD4"/>
    <w:rsid w:val="007E3D12"/>
    <w:rsid w:val="007E5836"/>
    <w:rsid w:val="007E645A"/>
    <w:rsid w:val="007F3BDD"/>
    <w:rsid w:val="007F594F"/>
    <w:rsid w:val="007F62E7"/>
    <w:rsid w:val="007F6311"/>
    <w:rsid w:val="00800BD8"/>
    <w:rsid w:val="00801593"/>
    <w:rsid w:val="00802DCB"/>
    <w:rsid w:val="00807A91"/>
    <w:rsid w:val="008116EF"/>
    <w:rsid w:val="00813AC8"/>
    <w:rsid w:val="00813D7F"/>
    <w:rsid w:val="00814209"/>
    <w:rsid w:val="00822396"/>
    <w:rsid w:val="008232D4"/>
    <w:rsid w:val="00823D48"/>
    <w:rsid w:val="008265F4"/>
    <w:rsid w:val="008353CE"/>
    <w:rsid w:val="00835733"/>
    <w:rsid w:val="00841104"/>
    <w:rsid w:val="00844C57"/>
    <w:rsid w:val="00844F9D"/>
    <w:rsid w:val="008456C5"/>
    <w:rsid w:val="00846C61"/>
    <w:rsid w:val="00854228"/>
    <w:rsid w:val="008550F7"/>
    <w:rsid w:val="0085559A"/>
    <w:rsid w:val="0085587C"/>
    <w:rsid w:val="00857A97"/>
    <w:rsid w:val="0086071D"/>
    <w:rsid w:val="0086247A"/>
    <w:rsid w:val="00867ECB"/>
    <w:rsid w:val="008717D2"/>
    <w:rsid w:val="00872BC8"/>
    <w:rsid w:val="0087311C"/>
    <w:rsid w:val="00873728"/>
    <w:rsid w:val="00881BC7"/>
    <w:rsid w:val="00882C42"/>
    <w:rsid w:val="00885F1B"/>
    <w:rsid w:val="00890F85"/>
    <w:rsid w:val="00891F55"/>
    <w:rsid w:val="008A6D24"/>
    <w:rsid w:val="008B515A"/>
    <w:rsid w:val="008B573F"/>
    <w:rsid w:val="008B5EF3"/>
    <w:rsid w:val="008B6F00"/>
    <w:rsid w:val="008B72CC"/>
    <w:rsid w:val="008C0479"/>
    <w:rsid w:val="008C4BBD"/>
    <w:rsid w:val="008C54F2"/>
    <w:rsid w:val="008D13F2"/>
    <w:rsid w:val="008D186D"/>
    <w:rsid w:val="008D68D1"/>
    <w:rsid w:val="008D7AD9"/>
    <w:rsid w:val="008E4EE0"/>
    <w:rsid w:val="008F1B6E"/>
    <w:rsid w:val="008F1BA0"/>
    <w:rsid w:val="008F23F4"/>
    <w:rsid w:val="008F2B7A"/>
    <w:rsid w:val="008F34D3"/>
    <w:rsid w:val="00902232"/>
    <w:rsid w:val="00903258"/>
    <w:rsid w:val="00905C76"/>
    <w:rsid w:val="009070D3"/>
    <w:rsid w:val="00911844"/>
    <w:rsid w:val="009129AE"/>
    <w:rsid w:val="009133C3"/>
    <w:rsid w:val="00915EDF"/>
    <w:rsid w:val="00917747"/>
    <w:rsid w:val="009216F7"/>
    <w:rsid w:val="00921D33"/>
    <w:rsid w:val="009238D5"/>
    <w:rsid w:val="00923CF7"/>
    <w:rsid w:val="00923E0E"/>
    <w:rsid w:val="00931AAE"/>
    <w:rsid w:val="00931C7E"/>
    <w:rsid w:val="009366ED"/>
    <w:rsid w:val="00937A0C"/>
    <w:rsid w:val="009478B5"/>
    <w:rsid w:val="009519D0"/>
    <w:rsid w:val="009601F0"/>
    <w:rsid w:val="0096057A"/>
    <w:rsid w:val="00961621"/>
    <w:rsid w:val="00967412"/>
    <w:rsid w:val="00970478"/>
    <w:rsid w:val="00981C67"/>
    <w:rsid w:val="0098223F"/>
    <w:rsid w:val="00983183"/>
    <w:rsid w:val="00983645"/>
    <w:rsid w:val="009875E9"/>
    <w:rsid w:val="00990736"/>
    <w:rsid w:val="0099116B"/>
    <w:rsid w:val="00991324"/>
    <w:rsid w:val="009914A9"/>
    <w:rsid w:val="00993FD5"/>
    <w:rsid w:val="009A49A3"/>
    <w:rsid w:val="009B03A4"/>
    <w:rsid w:val="009B1438"/>
    <w:rsid w:val="009B5D22"/>
    <w:rsid w:val="009B61D4"/>
    <w:rsid w:val="009C24EF"/>
    <w:rsid w:val="009C34E0"/>
    <w:rsid w:val="009C6156"/>
    <w:rsid w:val="009C6252"/>
    <w:rsid w:val="009C7D13"/>
    <w:rsid w:val="009C7E62"/>
    <w:rsid w:val="009D272F"/>
    <w:rsid w:val="009D2809"/>
    <w:rsid w:val="009E0D86"/>
    <w:rsid w:val="009E2708"/>
    <w:rsid w:val="009E5294"/>
    <w:rsid w:val="009E7FCD"/>
    <w:rsid w:val="009F117C"/>
    <w:rsid w:val="009F5FCC"/>
    <w:rsid w:val="00A103B4"/>
    <w:rsid w:val="00A10935"/>
    <w:rsid w:val="00A151A3"/>
    <w:rsid w:val="00A21EEE"/>
    <w:rsid w:val="00A22EAE"/>
    <w:rsid w:val="00A24256"/>
    <w:rsid w:val="00A365DF"/>
    <w:rsid w:val="00A42285"/>
    <w:rsid w:val="00A433A4"/>
    <w:rsid w:val="00A44C74"/>
    <w:rsid w:val="00A44DE7"/>
    <w:rsid w:val="00A455A0"/>
    <w:rsid w:val="00A45621"/>
    <w:rsid w:val="00A514D3"/>
    <w:rsid w:val="00A52993"/>
    <w:rsid w:val="00A52EB0"/>
    <w:rsid w:val="00A53055"/>
    <w:rsid w:val="00A54EB9"/>
    <w:rsid w:val="00A575CA"/>
    <w:rsid w:val="00A60DA2"/>
    <w:rsid w:val="00A62FD9"/>
    <w:rsid w:val="00A63CB4"/>
    <w:rsid w:val="00A649DF"/>
    <w:rsid w:val="00A70F25"/>
    <w:rsid w:val="00A71E8E"/>
    <w:rsid w:val="00A74F36"/>
    <w:rsid w:val="00A759F7"/>
    <w:rsid w:val="00A76A8B"/>
    <w:rsid w:val="00A77ACA"/>
    <w:rsid w:val="00A84094"/>
    <w:rsid w:val="00A87D5F"/>
    <w:rsid w:val="00A90D49"/>
    <w:rsid w:val="00A92C95"/>
    <w:rsid w:val="00AA06D7"/>
    <w:rsid w:val="00AA0BB6"/>
    <w:rsid w:val="00AA17A0"/>
    <w:rsid w:val="00AA2901"/>
    <w:rsid w:val="00AA3B8D"/>
    <w:rsid w:val="00AA52B7"/>
    <w:rsid w:val="00AD0490"/>
    <w:rsid w:val="00AD28A1"/>
    <w:rsid w:val="00AD2A8D"/>
    <w:rsid w:val="00AD4160"/>
    <w:rsid w:val="00AD4D02"/>
    <w:rsid w:val="00AD5652"/>
    <w:rsid w:val="00AE18EB"/>
    <w:rsid w:val="00AE1B92"/>
    <w:rsid w:val="00AF4371"/>
    <w:rsid w:val="00AF5794"/>
    <w:rsid w:val="00B00065"/>
    <w:rsid w:val="00B0262F"/>
    <w:rsid w:val="00B0785E"/>
    <w:rsid w:val="00B1053F"/>
    <w:rsid w:val="00B111C1"/>
    <w:rsid w:val="00B15A76"/>
    <w:rsid w:val="00B204B5"/>
    <w:rsid w:val="00B250C4"/>
    <w:rsid w:val="00B25C4F"/>
    <w:rsid w:val="00B27812"/>
    <w:rsid w:val="00B3099B"/>
    <w:rsid w:val="00B31060"/>
    <w:rsid w:val="00B32FC7"/>
    <w:rsid w:val="00B35384"/>
    <w:rsid w:val="00B36B3D"/>
    <w:rsid w:val="00B50BA6"/>
    <w:rsid w:val="00B57775"/>
    <w:rsid w:val="00B622EF"/>
    <w:rsid w:val="00B623C7"/>
    <w:rsid w:val="00B63502"/>
    <w:rsid w:val="00B64CAF"/>
    <w:rsid w:val="00B6738D"/>
    <w:rsid w:val="00B70170"/>
    <w:rsid w:val="00B73180"/>
    <w:rsid w:val="00B73390"/>
    <w:rsid w:val="00B76891"/>
    <w:rsid w:val="00B77553"/>
    <w:rsid w:val="00B77B14"/>
    <w:rsid w:val="00B8135E"/>
    <w:rsid w:val="00B831D5"/>
    <w:rsid w:val="00B85DF0"/>
    <w:rsid w:val="00B86545"/>
    <w:rsid w:val="00B87B77"/>
    <w:rsid w:val="00B9350D"/>
    <w:rsid w:val="00B95D2A"/>
    <w:rsid w:val="00BA2C93"/>
    <w:rsid w:val="00BA5E47"/>
    <w:rsid w:val="00BB0B4F"/>
    <w:rsid w:val="00BB15C4"/>
    <w:rsid w:val="00BB1975"/>
    <w:rsid w:val="00BB6431"/>
    <w:rsid w:val="00BB6DA1"/>
    <w:rsid w:val="00BC0A31"/>
    <w:rsid w:val="00BC3F11"/>
    <w:rsid w:val="00BC63E9"/>
    <w:rsid w:val="00BD0628"/>
    <w:rsid w:val="00BD343F"/>
    <w:rsid w:val="00BD47C7"/>
    <w:rsid w:val="00BE4A13"/>
    <w:rsid w:val="00BE610C"/>
    <w:rsid w:val="00BF323B"/>
    <w:rsid w:val="00BF57F6"/>
    <w:rsid w:val="00C00145"/>
    <w:rsid w:val="00C00CFE"/>
    <w:rsid w:val="00C01764"/>
    <w:rsid w:val="00C02779"/>
    <w:rsid w:val="00C05EB1"/>
    <w:rsid w:val="00C069D1"/>
    <w:rsid w:val="00C11A93"/>
    <w:rsid w:val="00C1390F"/>
    <w:rsid w:val="00C166DE"/>
    <w:rsid w:val="00C22A9C"/>
    <w:rsid w:val="00C22B69"/>
    <w:rsid w:val="00C22C78"/>
    <w:rsid w:val="00C2373C"/>
    <w:rsid w:val="00C25E7D"/>
    <w:rsid w:val="00C26234"/>
    <w:rsid w:val="00C30393"/>
    <w:rsid w:val="00C32E44"/>
    <w:rsid w:val="00C41154"/>
    <w:rsid w:val="00C4168B"/>
    <w:rsid w:val="00C446AB"/>
    <w:rsid w:val="00C47765"/>
    <w:rsid w:val="00C51863"/>
    <w:rsid w:val="00C55BD8"/>
    <w:rsid w:val="00C61E06"/>
    <w:rsid w:val="00C632BF"/>
    <w:rsid w:val="00C72D78"/>
    <w:rsid w:val="00C72F9D"/>
    <w:rsid w:val="00C84564"/>
    <w:rsid w:val="00C8642C"/>
    <w:rsid w:val="00C86539"/>
    <w:rsid w:val="00C87E92"/>
    <w:rsid w:val="00C93738"/>
    <w:rsid w:val="00C96218"/>
    <w:rsid w:val="00CA1C07"/>
    <w:rsid w:val="00CA364B"/>
    <w:rsid w:val="00CA676F"/>
    <w:rsid w:val="00CB067B"/>
    <w:rsid w:val="00CB3CFB"/>
    <w:rsid w:val="00CB7C4E"/>
    <w:rsid w:val="00CC4D97"/>
    <w:rsid w:val="00CC79E1"/>
    <w:rsid w:val="00CC7A25"/>
    <w:rsid w:val="00CD12A2"/>
    <w:rsid w:val="00CD13D6"/>
    <w:rsid w:val="00CD4F9A"/>
    <w:rsid w:val="00CE0072"/>
    <w:rsid w:val="00CE7EC7"/>
    <w:rsid w:val="00CF5DB2"/>
    <w:rsid w:val="00D01D2B"/>
    <w:rsid w:val="00D026CE"/>
    <w:rsid w:val="00D0755C"/>
    <w:rsid w:val="00D10B9E"/>
    <w:rsid w:val="00D12D29"/>
    <w:rsid w:val="00D13351"/>
    <w:rsid w:val="00D13B87"/>
    <w:rsid w:val="00D15266"/>
    <w:rsid w:val="00D162F4"/>
    <w:rsid w:val="00D17BB4"/>
    <w:rsid w:val="00D20A5C"/>
    <w:rsid w:val="00D224DB"/>
    <w:rsid w:val="00D22B82"/>
    <w:rsid w:val="00D22F35"/>
    <w:rsid w:val="00D23FEE"/>
    <w:rsid w:val="00D25336"/>
    <w:rsid w:val="00D26B94"/>
    <w:rsid w:val="00D30071"/>
    <w:rsid w:val="00D30F6A"/>
    <w:rsid w:val="00D34BF5"/>
    <w:rsid w:val="00D35026"/>
    <w:rsid w:val="00D41FC9"/>
    <w:rsid w:val="00D447BD"/>
    <w:rsid w:val="00D466B0"/>
    <w:rsid w:val="00D54C33"/>
    <w:rsid w:val="00D6335F"/>
    <w:rsid w:val="00D65361"/>
    <w:rsid w:val="00D70DF6"/>
    <w:rsid w:val="00D71D1B"/>
    <w:rsid w:val="00D74193"/>
    <w:rsid w:val="00D75A14"/>
    <w:rsid w:val="00D75E6D"/>
    <w:rsid w:val="00D76E16"/>
    <w:rsid w:val="00D818F8"/>
    <w:rsid w:val="00D87EF5"/>
    <w:rsid w:val="00D90C9C"/>
    <w:rsid w:val="00D93D81"/>
    <w:rsid w:val="00D95737"/>
    <w:rsid w:val="00D96C2C"/>
    <w:rsid w:val="00DA11B2"/>
    <w:rsid w:val="00DA1A9A"/>
    <w:rsid w:val="00DA4945"/>
    <w:rsid w:val="00DB148D"/>
    <w:rsid w:val="00DB251C"/>
    <w:rsid w:val="00DB3055"/>
    <w:rsid w:val="00DB4392"/>
    <w:rsid w:val="00DC24F0"/>
    <w:rsid w:val="00DC480E"/>
    <w:rsid w:val="00DC61FF"/>
    <w:rsid w:val="00DC6A11"/>
    <w:rsid w:val="00DD0561"/>
    <w:rsid w:val="00DD6776"/>
    <w:rsid w:val="00DD6EC9"/>
    <w:rsid w:val="00DE0DFA"/>
    <w:rsid w:val="00DE1718"/>
    <w:rsid w:val="00DE19D7"/>
    <w:rsid w:val="00DE5E9D"/>
    <w:rsid w:val="00DF0968"/>
    <w:rsid w:val="00DF2336"/>
    <w:rsid w:val="00DF4D8A"/>
    <w:rsid w:val="00E00642"/>
    <w:rsid w:val="00E00BF5"/>
    <w:rsid w:val="00E02AC0"/>
    <w:rsid w:val="00E05AB0"/>
    <w:rsid w:val="00E177B1"/>
    <w:rsid w:val="00E27FFA"/>
    <w:rsid w:val="00E3074F"/>
    <w:rsid w:val="00E3133F"/>
    <w:rsid w:val="00E33DBC"/>
    <w:rsid w:val="00E4135D"/>
    <w:rsid w:val="00E41471"/>
    <w:rsid w:val="00E42A7B"/>
    <w:rsid w:val="00E47BC9"/>
    <w:rsid w:val="00E51283"/>
    <w:rsid w:val="00E51E12"/>
    <w:rsid w:val="00E5322A"/>
    <w:rsid w:val="00E60AC0"/>
    <w:rsid w:val="00E648F0"/>
    <w:rsid w:val="00E65504"/>
    <w:rsid w:val="00E65C85"/>
    <w:rsid w:val="00E664AE"/>
    <w:rsid w:val="00E675D1"/>
    <w:rsid w:val="00E7032D"/>
    <w:rsid w:val="00E70774"/>
    <w:rsid w:val="00E7363E"/>
    <w:rsid w:val="00E75AF8"/>
    <w:rsid w:val="00E75F82"/>
    <w:rsid w:val="00E77B4F"/>
    <w:rsid w:val="00E81455"/>
    <w:rsid w:val="00E81541"/>
    <w:rsid w:val="00E82DDB"/>
    <w:rsid w:val="00E83DE0"/>
    <w:rsid w:val="00E90805"/>
    <w:rsid w:val="00E977A0"/>
    <w:rsid w:val="00E97F6E"/>
    <w:rsid w:val="00EA089B"/>
    <w:rsid w:val="00EA1E48"/>
    <w:rsid w:val="00EA433F"/>
    <w:rsid w:val="00EA53A6"/>
    <w:rsid w:val="00EA5B13"/>
    <w:rsid w:val="00EA7255"/>
    <w:rsid w:val="00EB263F"/>
    <w:rsid w:val="00EB2FD8"/>
    <w:rsid w:val="00EB6C60"/>
    <w:rsid w:val="00EB74EF"/>
    <w:rsid w:val="00EB75A6"/>
    <w:rsid w:val="00EC49D4"/>
    <w:rsid w:val="00ED1AE8"/>
    <w:rsid w:val="00ED4EDD"/>
    <w:rsid w:val="00EE0CAB"/>
    <w:rsid w:val="00EE6DE4"/>
    <w:rsid w:val="00EE74BF"/>
    <w:rsid w:val="00EF029B"/>
    <w:rsid w:val="00EF111E"/>
    <w:rsid w:val="00EF2530"/>
    <w:rsid w:val="00EF4544"/>
    <w:rsid w:val="00EF79D7"/>
    <w:rsid w:val="00EF7AA0"/>
    <w:rsid w:val="00F00D58"/>
    <w:rsid w:val="00F030DA"/>
    <w:rsid w:val="00F1181B"/>
    <w:rsid w:val="00F2188F"/>
    <w:rsid w:val="00F22316"/>
    <w:rsid w:val="00F2694A"/>
    <w:rsid w:val="00F27FA5"/>
    <w:rsid w:val="00F31C4E"/>
    <w:rsid w:val="00F333F1"/>
    <w:rsid w:val="00F35950"/>
    <w:rsid w:val="00F3609E"/>
    <w:rsid w:val="00F37138"/>
    <w:rsid w:val="00F371AC"/>
    <w:rsid w:val="00F37234"/>
    <w:rsid w:val="00F410D5"/>
    <w:rsid w:val="00F42BE4"/>
    <w:rsid w:val="00F44D6B"/>
    <w:rsid w:val="00F5503F"/>
    <w:rsid w:val="00F633CB"/>
    <w:rsid w:val="00F638DF"/>
    <w:rsid w:val="00F661DF"/>
    <w:rsid w:val="00F725D2"/>
    <w:rsid w:val="00F72EC5"/>
    <w:rsid w:val="00F74A6F"/>
    <w:rsid w:val="00F74AC9"/>
    <w:rsid w:val="00F74BCD"/>
    <w:rsid w:val="00F750BA"/>
    <w:rsid w:val="00F754A6"/>
    <w:rsid w:val="00F76772"/>
    <w:rsid w:val="00F809C9"/>
    <w:rsid w:val="00F90D30"/>
    <w:rsid w:val="00F910A2"/>
    <w:rsid w:val="00F92774"/>
    <w:rsid w:val="00F95247"/>
    <w:rsid w:val="00F95EEA"/>
    <w:rsid w:val="00F97AC9"/>
    <w:rsid w:val="00F97CE9"/>
    <w:rsid w:val="00FA17F5"/>
    <w:rsid w:val="00FA26B8"/>
    <w:rsid w:val="00FA4958"/>
    <w:rsid w:val="00FA5030"/>
    <w:rsid w:val="00FA5B50"/>
    <w:rsid w:val="00FA7E6B"/>
    <w:rsid w:val="00FB133F"/>
    <w:rsid w:val="00FB24C6"/>
    <w:rsid w:val="00FB6804"/>
    <w:rsid w:val="00FB7CDE"/>
    <w:rsid w:val="00FC060B"/>
    <w:rsid w:val="00FC0DC6"/>
    <w:rsid w:val="00FD30CD"/>
    <w:rsid w:val="00FD56BE"/>
    <w:rsid w:val="00FD57E6"/>
    <w:rsid w:val="00FD68F3"/>
    <w:rsid w:val="00FD6E10"/>
    <w:rsid w:val="00FE1CB2"/>
    <w:rsid w:val="00FE42D1"/>
    <w:rsid w:val="00FE49BF"/>
    <w:rsid w:val="00FF107D"/>
    <w:rsid w:val="00FF2616"/>
    <w:rsid w:val="00FF3552"/>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63F1"/>
  <w15:docId w15:val="{FD05B120-C4DD-4A00-BB86-2B863154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09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09E8"/>
    <w:rPr>
      <w:sz w:val="20"/>
      <w:szCs w:val="20"/>
    </w:rPr>
  </w:style>
  <w:style w:type="character" w:styleId="Appelnotedebasdep">
    <w:name w:val="footnote reference"/>
    <w:basedOn w:val="Policepardfaut"/>
    <w:uiPriority w:val="99"/>
    <w:semiHidden/>
    <w:unhideWhenUsed/>
    <w:rsid w:val="007C09E8"/>
    <w:rPr>
      <w:vertAlign w:val="superscript"/>
    </w:rPr>
  </w:style>
  <w:style w:type="paragraph" w:styleId="En-tte">
    <w:name w:val="header"/>
    <w:basedOn w:val="Normal"/>
    <w:link w:val="En-tteCar"/>
    <w:uiPriority w:val="99"/>
    <w:unhideWhenUsed/>
    <w:rsid w:val="00931AAE"/>
    <w:pPr>
      <w:tabs>
        <w:tab w:val="center" w:pos="4252"/>
        <w:tab w:val="right" w:pos="8504"/>
      </w:tabs>
      <w:spacing w:after="0" w:line="240" w:lineRule="auto"/>
    </w:pPr>
  </w:style>
  <w:style w:type="character" w:customStyle="1" w:styleId="En-tteCar">
    <w:name w:val="En-tête Car"/>
    <w:basedOn w:val="Policepardfaut"/>
    <w:link w:val="En-tte"/>
    <w:uiPriority w:val="99"/>
    <w:rsid w:val="00931AAE"/>
  </w:style>
  <w:style w:type="paragraph" w:styleId="Pieddepage">
    <w:name w:val="footer"/>
    <w:basedOn w:val="Normal"/>
    <w:link w:val="PieddepageCar"/>
    <w:uiPriority w:val="99"/>
    <w:unhideWhenUsed/>
    <w:rsid w:val="00931AA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31AAE"/>
  </w:style>
  <w:style w:type="paragraph" w:styleId="Textedebulles">
    <w:name w:val="Balloon Text"/>
    <w:basedOn w:val="Normal"/>
    <w:link w:val="TextedebullesCar"/>
    <w:uiPriority w:val="99"/>
    <w:semiHidden/>
    <w:unhideWhenUsed/>
    <w:rsid w:val="00931A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1AAE"/>
    <w:rPr>
      <w:rFonts w:ascii="Tahoma" w:hAnsi="Tahoma" w:cs="Tahoma"/>
      <w:sz w:val="16"/>
      <w:szCs w:val="16"/>
    </w:rPr>
  </w:style>
  <w:style w:type="table" w:styleId="Grilledutableau">
    <w:name w:val="Table Grid"/>
    <w:basedOn w:val="Tableau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3133F"/>
    <w:rPr>
      <w:sz w:val="16"/>
      <w:szCs w:val="16"/>
    </w:rPr>
  </w:style>
  <w:style w:type="paragraph" w:styleId="Commentaire">
    <w:name w:val="annotation text"/>
    <w:basedOn w:val="Normal"/>
    <w:link w:val="CommentaireCar"/>
    <w:uiPriority w:val="99"/>
    <w:unhideWhenUsed/>
    <w:rsid w:val="00E3133F"/>
    <w:pPr>
      <w:spacing w:line="240" w:lineRule="auto"/>
    </w:pPr>
    <w:rPr>
      <w:sz w:val="20"/>
      <w:szCs w:val="20"/>
    </w:rPr>
  </w:style>
  <w:style w:type="character" w:customStyle="1" w:styleId="CommentaireCar">
    <w:name w:val="Commentaire Car"/>
    <w:basedOn w:val="Policepardfaut"/>
    <w:link w:val="Commentaire"/>
    <w:uiPriority w:val="99"/>
    <w:rsid w:val="00E3133F"/>
    <w:rPr>
      <w:sz w:val="20"/>
      <w:szCs w:val="20"/>
    </w:rPr>
  </w:style>
  <w:style w:type="paragraph" w:styleId="Objetducommentaire">
    <w:name w:val="annotation subject"/>
    <w:basedOn w:val="Commentaire"/>
    <w:next w:val="Commentaire"/>
    <w:link w:val="ObjetducommentaireCar"/>
    <w:uiPriority w:val="99"/>
    <w:semiHidden/>
    <w:unhideWhenUsed/>
    <w:rsid w:val="00E3133F"/>
    <w:rPr>
      <w:b/>
      <w:bCs/>
    </w:rPr>
  </w:style>
  <w:style w:type="character" w:customStyle="1" w:styleId="ObjetducommentaireCar">
    <w:name w:val="Objet du commentaire Car"/>
    <w:basedOn w:val="CommentaireCar"/>
    <w:link w:val="Objetducommentaire"/>
    <w:uiPriority w:val="99"/>
    <w:semiHidden/>
    <w:rsid w:val="00E3133F"/>
    <w:rPr>
      <w:b/>
      <w:bCs/>
      <w:sz w:val="20"/>
      <w:szCs w:val="20"/>
    </w:rPr>
  </w:style>
  <w:style w:type="paragraph" w:styleId="Rvision">
    <w:name w:val="Revision"/>
    <w:hidden/>
    <w:uiPriority w:val="99"/>
    <w:semiHidden/>
    <w:rsid w:val="00E3133F"/>
    <w:pPr>
      <w:spacing w:after="0" w:line="240" w:lineRule="auto"/>
    </w:pPr>
  </w:style>
  <w:style w:type="paragraph" w:styleId="Paragraphedeliste">
    <w:name w:val="List Paragraph"/>
    <w:basedOn w:val="Normal"/>
    <w:uiPriority w:val="34"/>
    <w:qFormat/>
    <w:rsid w:val="000A7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5231912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42289-8C8E-47D3-9DEE-9DA43846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1485</Words>
  <Characters>8172</Characters>
  <Application>Microsoft Office Word</Application>
  <DocSecurity>0</DocSecurity>
  <Lines>68</Lines>
  <Paragraphs>19</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christel navarret</cp:lastModifiedBy>
  <cp:revision>30</cp:revision>
  <cp:lastPrinted>2024-11-09T16:23:00Z</cp:lastPrinted>
  <dcterms:created xsi:type="dcterms:W3CDTF">2024-11-04T15:06:00Z</dcterms:created>
  <dcterms:modified xsi:type="dcterms:W3CDTF">2025-11-13T14:27:00Z</dcterms:modified>
</cp:coreProperties>
</file>