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0C2E" w14:textId="714B6578" w:rsidR="00931AAE" w:rsidRPr="00E33CC4" w:rsidRDefault="00C01764" w:rsidP="00E33CC4">
      <w:pPr>
        <w:spacing w:after="0"/>
        <w:jc w:val="right"/>
        <w:rPr>
          <w:rFonts w:asciiTheme="majorHAnsi" w:hAnsiTheme="majorHAnsi" w:cs="Times New Roman"/>
          <w:b/>
          <w:bCs/>
          <w:sz w:val="20"/>
          <w:szCs w:val="20"/>
        </w:rPr>
      </w:pPr>
      <w:r w:rsidRPr="00E33CC4">
        <w:rPr>
          <w:rFonts w:asciiTheme="majorHAnsi" w:hAnsiTheme="majorHAnsi"/>
          <w:b/>
          <w:sz w:val="20"/>
        </w:rPr>
        <w:t>Original: Spanish</w:t>
      </w:r>
    </w:p>
    <w:p w14:paraId="74809BDC" w14:textId="77777777" w:rsidR="009E0D86" w:rsidRPr="00E33CC4" w:rsidRDefault="009E0D86" w:rsidP="00E33CC4">
      <w:pPr>
        <w:spacing w:after="0"/>
        <w:jc w:val="right"/>
        <w:rPr>
          <w:rFonts w:asciiTheme="majorHAnsi" w:hAnsiTheme="majorHAnsi" w:cs="Times New Roman"/>
          <w:bCs/>
          <w:sz w:val="20"/>
          <w:szCs w:val="20"/>
        </w:rPr>
      </w:pPr>
    </w:p>
    <w:p w14:paraId="7BA2EDBD" w14:textId="6C0D12AE" w:rsidR="00574154" w:rsidRPr="00E33CC4" w:rsidRDefault="00F97AC9" w:rsidP="00E33CC4">
      <w:pPr>
        <w:autoSpaceDE w:val="0"/>
        <w:autoSpaceDN w:val="0"/>
        <w:adjustRightInd w:val="0"/>
        <w:spacing w:after="0" w:line="240" w:lineRule="auto"/>
        <w:jc w:val="center"/>
        <w:rPr>
          <w:rFonts w:asciiTheme="majorHAnsi" w:hAnsiTheme="majorHAnsi" w:cs="Times New Roman"/>
          <w:b/>
          <w:bCs/>
          <w:sz w:val="20"/>
          <w:szCs w:val="20"/>
        </w:rPr>
      </w:pPr>
      <w:r w:rsidRPr="00E33CC4">
        <w:rPr>
          <w:rFonts w:asciiTheme="majorHAnsi" w:hAnsiTheme="majorHAnsi"/>
          <w:b/>
          <w:sz w:val="20"/>
        </w:rPr>
        <w:t>Special Meeting Participation Fund</w:t>
      </w:r>
      <w:r w:rsidR="00E5322A" w:rsidRPr="00E33CC4">
        <w:rPr>
          <w:rStyle w:val="FootnoteReference"/>
          <w:rFonts w:asciiTheme="majorHAnsi" w:hAnsiTheme="majorHAnsi" w:cs="Times New Roman"/>
          <w:b/>
          <w:bCs/>
          <w:sz w:val="20"/>
          <w:szCs w:val="20"/>
        </w:rPr>
        <w:footnoteReference w:id="2"/>
      </w:r>
    </w:p>
    <w:p w14:paraId="3487723B" w14:textId="77777777" w:rsidR="00E5322A" w:rsidRPr="00E33CC4" w:rsidRDefault="00E5322A" w:rsidP="00E33CC4">
      <w:pPr>
        <w:autoSpaceDE w:val="0"/>
        <w:autoSpaceDN w:val="0"/>
        <w:adjustRightInd w:val="0"/>
        <w:spacing w:after="0" w:line="240" w:lineRule="auto"/>
        <w:jc w:val="center"/>
        <w:rPr>
          <w:rFonts w:asciiTheme="majorHAnsi" w:hAnsiTheme="majorHAnsi" w:cs="Times New Roman"/>
          <w:b/>
          <w:bCs/>
          <w:sz w:val="20"/>
          <w:szCs w:val="20"/>
        </w:rPr>
      </w:pPr>
    </w:p>
    <w:p w14:paraId="4B3623F7" w14:textId="31CBEE56" w:rsidR="001F0235" w:rsidRPr="00E33CC4" w:rsidRDefault="001F0235" w:rsidP="00E33CC4">
      <w:pPr>
        <w:autoSpaceDE w:val="0"/>
        <w:autoSpaceDN w:val="0"/>
        <w:adjustRightInd w:val="0"/>
        <w:spacing w:after="0" w:line="240" w:lineRule="auto"/>
        <w:jc w:val="both"/>
        <w:rPr>
          <w:rFonts w:asciiTheme="majorHAnsi" w:hAnsiTheme="majorHAnsi" w:cs="Times New Roman"/>
          <w:sz w:val="20"/>
          <w:szCs w:val="20"/>
        </w:rPr>
      </w:pPr>
      <w:r w:rsidRPr="00E33CC4">
        <w:rPr>
          <w:rFonts w:asciiTheme="majorHAnsi" w:hAnsiTheme="majorHAnsi"/>
          <w:sz w:val="20"/>
        </w:rPr>
        <w:t>In 2020 the Commission adopted the Recommendation by ICCAT Amending the Recommendation 14-14 on the Establishment of a Meeting Participation Fund for Developing ICCAT Contracting Parties (Rec. 20-09) which substitutes and repeals Rec. 14-14 in its entirety.</w:t>
      </w:r>
    </w:p>
    <w:p w14:paraId="770E8F19" w14:textId="77777777" w:rsidR="001F0235" w:rsidRPr="00E33CC4" w:rsidRDefault="001F0235" w:rsidP="00E33CC4">
      <w:pPr>
        <w:autoSpaceDE w:val="0"/>
        <w:autoSpaceDN w:val="0"/>
        <w:adjustRightInd w:val="0"/>
        <w:spacing w:after="0" w:line="240" w:lineRule="auto"/>
        <w:jc w:val="both"/>
        <w:rPr>
          <w:rFonts w:asciiTheme="majorHAnsi" w:hAnsiTheme="majorHAnsi" w:cs="Times New Roman"/>
          <w:sz w:val="20"/>
          <w:szCs w:val="20"/>
        </w:rPr>
      </w:pPr>
    </w:p>
    <w:p w14:paraId="0494A028" w14:textId="26757EDF" w:rsidR="00574154" w:rsidRPr="00E33CC4" w:rsidRDefault="001F0235" w:rsidP="00E33CC4">
      <w:pPr>
        <w:autoSpaceDE w:val="0"/>
        <w:autoSpaceDN w:val="0"/>
        <w:adjustRightInd w:val="0"/>
        <w:spacing w:after="0" w:line="240" w:lineRule="auto"/>
        <w:jc w:val="both"/>
        <w:rPr>
          <w:rFonts w:asciiTheme="majorHAnsi" w:hAnsiTheme="majorHAnsi" w:cs="Times New Roman"/>
          <w:sz w:val="20"/>
          <w:szCs w:val="20"/>
        </w:rPr>
      </w:pPr>
      <w:r w:rsidRPr="00E33CC4">
        <w:rPr>
          <w:rFonts w:asciiTheme="majorHAnsi" w:hAnsiTheme="majorHAnsi"/>
          <w:sz w:val="20"/>
        </w:rPr>
        <w:t xml:space="preserve">Recommendation 20-09 establishes a Meeting Participation Fund (MPF) to support representatives of those ICCAT Contracting Parties which are developing States for the purpose of attending and/or contributing to the work of the Commission and other subsidiary bodies.  This fund was initially provisioned with €60,000.00 from the Working Capital Fund.  </w:t>
      </w:r>
    </w:p>
    <w:p w14:paraId="54D0CB90" w14:textId="77777777" w:rsidR="00574154" w:rsidRPr="00E33CC4" w:rsidRDefault="00574154" w:rsidP="00E33CC4">
      <w:pPr>
        <w:autoSpaceDE w:val="0"/>
        <w:autoSpaceDN w:val="0"/>
        <w:adjustRightInd w:val="0"/>
        <w:spacing w:after="0" w:line="240" w:lineRule="auto"/>
        <w:jc w:val="both"/>
        <w:rPr>
          <w:rFonts w:asciiTheme="majorHAnsi" w:hAnsiTheme="majorHAnsi" w:cs="Times New Roman"/>
          <w:sz w:val="20"/>
          <w:szCs w:val="20"/>
        </w:rPr>
      </w:pPr>
    </w:p>
    <w:p w14:paraId="691E3385" w14:textId="154631E5" w:rsidR="001F0235" w:rsidRPr="00E33CC4" w:rsidRDefault="001F0235" w:rsidP="00E33CC4">
      <w:pPr>
        <w:autoSpaceDE w:val="0"/>
        <w:autoSpaceDN w:val="0"/>
        <w:adjustRightInd w:val="0"/>
        <w:spacing w:after="0" w:line="240" w:lineRule="auto"/>
        <w:jc w:val="both"/>
        <w:rPr>
          <w:rFonts w:asciiTheme="majorHAnsi" w:hAnsiTheme="majorHAnsi" w:cs="Times New Roman"/>
          <w:sz w:val="20"/>
          <w:szCs w:val="20"/>
        </w:rPr>
      </w:pPr>
      <w:r w:rsidRPr="00E33CC4">
        <w:rPr>
          <w:rFonts w:asciiTheme="majorHAnsi" w:hAnsiTheme="majorHAnsi"/>
          <w:sz w:val="20"/>
        </w:rPr>
        <w:t xml:space="preserve">The new Recommendation differs from the previous one in that some minimum criteria must be met </w:t>
      </w:r>
      <w:proofErr w:type="gramStart"/>
      <w:r w:rsidRPr="00E33CC4">
        <w:rPr>
          <w:rFonts w:asciiTheme="majorHAnsi" w:hAnsiTheme="majorHAnsi"/>
          <w:sz w:val="20"/>
        </w:rPr>
        <w:t>in order to</w:t>
      </w:r>
      <w:proofErr w:type="gramEnd"/>
      <w:r w:rsidRPr="00E33CC4">
        <w:rPr>
          <w:rFonts w:asciiTheme="majorHAnsi" w:hAnsiTheme="majorHAnsi"/>
          <w:sz w:val="20"/>
        </w:rPr>
        <w:t xml:space="preserve"> control costs and minimize the administrative burdens.  These minimum criteria are as follows: when a developing Contracting Party sends more than six official delegates to a Commission meeting or more than four to a subsidiary body meeting using its own resources, it will not be entitled to receive financial support from the MPF; in addition, the delegates must travel in the least expensive economy class or another that is more economical, and the flight itinerary must be defined at least 30 days in advance of the meeting.</w:t>
      </w:r>
    </w:p>
    <w:p w14:paraId="46AB57D9" w14:textId="77777777" w:rsidR="001C7281" w:rsidRPr="00E33CC4" w:rsidRDefault="001C7281" w:rsidP="00E33CC4">
      <w:pPr>
        <w:autoSpaceDE w:val="0"/>
        <w:autoSpaceDN w:val="0"/>
        <w:adjustRightInd w:val="0"/>
        <w:spacing w:after="0" w:line="240" w:lineRule="auto"/>
        <w:jc w:val="both"/>
        <w:rPr>
          <w:rFonts w:asciiTheme="majorHAnsi" w:hAnsiTheme="majorHAnsi" w:cs="Times New Roman"/>
          <w:sz w:val="20"/>
          <w:szCs w:val="20"/>
        </w:rPr>
      </w:pPr>
    </w:p>
    <w:p w14:paraId="549A5DF6" w14:textId="229759C6" w:rsidR="007B59D5" w:rsidRPr="00E33CC4" w:rsidRDefault="000772DF" w:rsidP="00E33CC4">
      <w:pPr>
        <w:autoSpaceDE w:val="0"/>
        <w:autoSpaceDN w:val="0"/>
        <w:adjustRightInd w:val="0"/>
        <w:spacing w:after="0" w:line="240" w:lineRule="auto"/>
        <w:jc w:val="both"/>
        <w:rPr>
          <w:rFonts w:asciiTheme="majorHAnsi" w:hAnsiTheme="majorHAnsi" w:cs="Times New Roman"/>
          <w:sz w:val="20"/>
          <w:szCs w:val="20"/>
        </w:rPr>
      </w:pPr>
      <w:r w:rsidRPr="00E33CC4">
        <w:rPr>
          <w:rFonts w:asciiTheme="majorHAnsi" w:hAnsiTheme="majorHAnsi"/>
          <w:sz w:val="20"/>
        </w:rPr>
        <w:t>This fund was financed in 2025 with an allocation of €250,000.00 charged to Chapter 13b) of the ICCAT budget, as approved by the Commission in 2024.</w:t>
      </w:r>
    </w:p>
    <w:p w14:paraId="1A86369A" w14:textId="77777777" w:rsidR="005B2D38" w:rsidRPr="00E33CC4" w:rsidRDefault="005B2D38" w:rsidP="00E33CC4">
      <w:pPr>
        <w:autoSpaceDE w:val="0"/>
        <w:autoSpaceDN w:val="0"/>
        <w:adjustRightInd w:val="0"/>
        <w:spacing w:after="0" w:line="240" w:lineRule="auto"/>
        <w:jc w:val="both"/>
        <w:rPr>
          <w:rFonts w:asciiTheme="majorHAnsi" w:hAnsiTheme="majorHAnsi"/>
          <w:sz w:val="20"/>
        </w:rPr>
      </w:pPr>
    </w:p>
    <w:p w14:paraId="29E95EE7" w14:textId="608B23BA" w:rsidR="005B2D38" w:rsidRPr="00E33CC4" w:rsidRDefault="00143369" w:rsidP="00E33CC4">
      <w:pPr>
        <w:autoSpaceDE w:val="0"/>
        <w:autoSpaceDN w:val="0"/>
        <w:adjustRightInd w:val="0"/>
        <w:spacing w:after="0" w:line="240" w:lineRule="auto"/>
        <w:jc w:val="both"/>
        <w:rPr>
          <w:rFonts w:asciiTheme="majorHAnsi" w:hAnsiTheme="majorHAnsi"/>
          <w:sz w:val="20"/>
        </w:rPr>
      </w:pPr>
      <w:r w:rsidRPr="00E33CC4">
        <w:rPr>
          <w:rFonts w:asciiTheme="majorHAnsi" w:hAnsiTheme="majorHAnsi"/>
          <w:sz w:val="20"/>
        </w:rPr>
        <w:t>To these funds, the carryover of financial year 2024 must be added, which amounted to €205,497.81.  Therefore, the available amount in 2025 has been €455,497.81.</w:t>
      </w:r>
    </w:p>
    <w:p w14:paraId="78EA9D28" w14:textId="75A8DAAA" w:rsidR="00CD4F9A" w:rsidRPr="00E33CC4" w:rsidRDefault="00CD4F9A" w:rsidP="00E33CC4">
      <w:pPr>
        <w:autoSpaceDE w:val="0"/>
        <w:autoSpaceDN w:val="0"/>
        <w:adjustRightInd w:val="0"/>
        <w:spacing w:after="0" w:line="240" w:lineRule="auto"/>
        <w:jc w:val="both"/>
        <w:rPr>
          <w:rFonts w:asciiTheme="majorHAnsi" w:hAnsiTheme="majorHAnsi"/>
          <w:sz w:val="20"/>
        </w:rPr>
      </w:pPr>
    </w:p>
    <w:p w14:paraId="2EE84B7C" w14:textId="42438AC3" w:rsidR="00767AE3" w:rsidRPr="00E33CC4" w:rsidRDefault="00767AE3" w:rsidP="00E33CC4">
      <w:pPr>
        <w:autoSpaceDE w:val="0"/>
        <w:autoSpaceDN w:val="0"/>
        <w:adjustRightInd w:val="0"/>
        <w:spacing w:after="0" w:line="240" w:lineRule="auto"/>
        <w:jc w:val="both"/>
        <w:rPr>
          <w:rFonts w:asciiTheme="majorHAnsi" w:hAnsiTheme="majorHAnsi" w:cs="Times New Roman"/>
          <w:sz w:val="20"/>
          <w:szCs w:val="20"/>
        </w:rPr>
      </w:pPr>
      <w:r w:rsidRPr="00E33CC4">
        <w:rPr>
          <w:rFonts w:asciiTheme="majorHAnsi" w:hAnsiTheme="majorHAnsi"/>
          <w:sz w:val="20"/>
        </w:rPr>
        <w:t xml:space="preserve">In 2025, 118 trips have been </w:t>
      </w:r>
      <w:proofErr w:type="gramStart"/>
      <w:r w:rsidRPr="00E33CC4">
        <w:rPr>
          <w:rFonts w:asciiTheme="majorHAnsi" w:hAnsiTheme="majorHAnsi"/>
          <w:sz w:val="20"/>
        </w:rPr>
        <w:t>organised</w:t>
      </w:r>
      <w:proofErr w:type="gramEnd"/>
      <w:r w:rsidRPr="00E33CC4">
        <w:rPr>
          <w:rFonts w:asciiTheme="majorHAnsi" w:hAnsiTheme="majorHAnsi"/>
          <w:sz w:val="20"/>
        </w:rPr>
        <w:t xml:space="preserve"> and 31 CPCs have benefitted.</w:t>
      </w:r>
    </w:p>
    <w:p w14:paraId="395C95A6" w14:textId="3ABC400D" w:rsidR="007452FF" w:rsidRPr="00E33CC4" w:rsidRDefault="007452FF" w:rsidP="00E33CC4">
      <w:pPr>
        <w:autoSpaceDE w:val="0"/>
        <w:autoSpaceDN w:val="0"/>
        <w:adjustRightInd w:val="0"/>
        <w:spacing w:after="0" w:line="240" w:lineRule="auto"/>
        <w:jc w:val="both"/>
        <w:rPr>
          <w:rFonts w:asciiTheme="majorHAnsi" w:hAnsiTheme="majorHAnsi" w:cs="Times New Roman"/>
          <w:sz w:val="20"/>
          <w:szCs w:val="20"/>
        </w:rPr>
      </w:pPr>
    </w:p>
    <w:p w14:paraId="62F208E3" w14:textId="6ED07B03" w:rsidR="007452FF" w:rsidRPr="00E33CC4" w:rsidRDefault="007452FF" w:rsidP="00E33CC4">
      <w:pPr>
        <w:autoSpaceDE w:val="0"/>
        <w:autoSpaceDN w:val="0"/>
        <w:adjustRightInd w:val="0"/>
        <w:spacing w:after="0" w:line="240" w:lineRule="auto"/>
        <w:jc w:val="both"/>
        <w:rPr>
          <w:rFonts w:asciiTheme="majorHAnsi" w:hAnsiTheme="majorHAnsi" w:cs="Times New Roman"/>
          <w:sz w:val="20"/>
          <w:szCs w:val="20"/>
        </w:rPr>
      </w:pPr>
      <w:r w:rsidRPr="00E33CC4">
        <w:rPr>
          <w:rFonts w:asciiTheme="majorHAnsi" w:hAnsiTheme="majorHAnsi"/>
          <w:sz w:val="20"/>
        </w:rPr>
        <w:t xml:space="preserve">For 2026, this fund will have a carryover from 2025 estimated to be €54,868.52. An estimation has been made of the possible requests for 2026, </w:t>
      </w:r>
      <w:proofErr w:type="gramStart"/>
      <w:r w:rsidRPr="00E33CC4">
        <w:rPr>
          <w:rFonts w:asciiTheme="majorHAnsi" w:hAnsiTheme="majorHAnsi"/>
          <w:sz w:val="20"/>
        </w:rPr>
        <w:t>taking into account</w:t>
      </w:r>
      <w:proofErr w:type="gramEnd"/>
      <w:r w:rsidRPr="00E33CC4">
        <w:rPr>
          <w:rFonts w:asciiTheme="majorHAnsi" w:hAnsiTheme="majorHAnsi"/>
          <w:sz w:val="20"/>
        </w:rPr>
        <w:t xml:space="preserve"> the meetings scheduled, and expense in 2026 is calculated to be €441,725.34. It will therefore be necessary to allocated to this fund at least €400,000.00, to reach a balance of €454,868.52.  However, if this trend continues, this heading must be increased for the following years, given that, otherwise, it will not be possible to fully cover the expense.</w:t>
      </w:r>
    </w:p>
    <w:p w14:paraId="58328CC8" w14:textId="77777777" w:rsidR="00970EFB" w:rsidRPr="00E33CC4" w:rsidRDefault="00970EFB" w:rsidP="00E33CC4">
      <w:pPr>
        <w:jc w:val="right"/>
        <w:rPr>
          <w:rFonts w:asciiTheme="majorHAnsi" w:hAnsiTheme="majorHAnsi"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6"/>
        <w:gridCol w:w="2011"/>
      </w:tblGrid>
      <w:tr w:rsidR="00970EFB" w:rsidRPr="00E33CC4" w14:paraId="5A2DEC93" w14:textId="77777777" w:rsidTr="00055D05">
        <w:trPr>
          <w:trHeight w:val="294"/>
          <w:jc w:val="center"/>
        </w:trPr>
        <w:tc>
          <w:tcPr>
            <w:tcW w:w="8647" w:type="dxa"/>
            <w:gridSpan w:val="2"/>
            <w:tcBorders>
              <w:bottom w:val="single" w:sz="4" w:space="0" w:color="auto"/>
            </w:tcBorders>
            <w:vAlign w:val="center"/>
          </w:tcPr>
          <w:p w14:paraId="264FB05F" w14:textId="77777777" w:rsidR="00970EFB" w:rsidRPr="00E33CC4" w:rsidRDefault="00970EFB" w:rsidP="00E33CC4">
            <w:pPr>
              <w:autoSpaceDE w:val="0"/>
              <w:autoSpaceDN w:val="0"/>
              <w:adjustRightInd w:val="0"/>
              <w:jc w:val="center"/>
              <w:rPr>
                <w:rFonts w:asciiTheme="majorHAnsi" w:hAnsiTheme="majorHAnsi" w:cs="Times New Roman"/>
                <w:sz w:val="20"/>
                <w:szCs w:val="20"/>
              </w:rPr>
            </w:pPr>
            <w:r w:rsidRPr="00E33CC4">
              <w:rPr>
                <w:rFonts w:asciiTheme="majorHAnsi" w:hAnsiTheme="majorHAnsi"/>
                <w:b/>
                <w:sz w:val="20"/>
              </w:rPr>
              <w:t>Special Meeting Participation Fund (MPF)</w:t>
            </w:r>
          </w:p>
        </w:tc>
      </w:tr>
      <w:tr w:rsidR="00970EFB" w:rsidRPr="00E33CC4" w14:paraId="13ABE59C" w14:textId="77777777" w:rsidTr="00055D05">
        <w:trPr>
          <w:trHeight w:val="587"/>
          <w:jc w:val="center"/>
        </w:trPr>
        <w:tc>
          <w:tcPr>
            <w:tcW w:w="6636" w:type="dxa"/>
            <w:tcBorders>
              <w:top w:val="single" w:sz="4" w:space="0" w:color="auto"/>
            </w:tcBorders>
            <w:vAlign w:val="center"/>
          </w:tcPr>
          <w:p w14:paraId="2ED9A8DB" w14:textId="77777777" w:rsidR="00970EFB" w:rsidRPr="00E33CC4" w:rsidRDefault="00970EFB" w:rsidP="00E33CC4">
            <w:pPr>
              <w:autoSpaceDE w:val="0"/>
              <w:autoSpaceDN w:val="0"/>
              <w:adjustRightInd w:val="0"/>
              <w:spacing w:line="276" w:lineRule="auto"/>
              <w:rPr>
                <w:rFonts w:asciiTheme="majorHAnsi" w:hAnsiTheme="majorHAnsi" w:cs="Times New Roman"/>
                <w:b/>
                <w:sz w:val="20"/>
                <w:szCs w:val="20"/>
              </w:rPr>
            </w:pPr>
            <w:r w:rsidRPr="00E33CC4">
              <w:rPr>
                <w:rFonts w:asciiTheme="majorHAnsi" w:hAnsiTheme="majorHAnsi"/>
                <w:b/>
                <w:sz w:val="20"/>
              </w:rPr>
              <w:t>Opening balance for financial year 2025</w:t>
            </w:r>
          </w:p>
        </w:tc>
        <w:tc>
          <w:tcPr>
            <w:tcW w:w="2011" w:type="dxa"/>
            <w:tcBorders>
              <w:top w:val="single" w:sz="4" w:space="0" w:color="auto"/>
            </w:tcBorders>
            <w:vAlign w:val="center"/>
          </w:tcPr>
          <w:p w14:paraId="6F2FB126" w14:textId="77777777" w:rsidR="00970EFB" w:rsidRPr="00E33CC4" w:rsidRDefault="00970EFB" w:rsidP="00E33CC4">
            <w:pPr>
              <w:autoSpaceDE w:val="0"/>
              <w:autoSpaceDN w:val="0"/>
              <w:adjustRightInd w:val="0"/>
              <w:jc w:val="right"/>
              <w:rPr>
                <w:rFonts w:asciiTheme="majorHAnsi" w:hAnsiTheme="majorHAnsi" w:cs="Times New Roman"/>
                <w:b/>
                <w:sz w:val="20"/>
                <w:szCs w:val="20"/>
              </w:rPr>
            </w:pPr>
            <w:r w:rsidRPr="00E33CC4">
              <w:rPr>
                <w:rFonts w:asciiTheme="majorHAnsi" w:hAnsiTheme="majorHAnsi"/>
                <w:b/>
                <w:sz w:val="20"/>
              </w:rPr>
              <w:t>€205,497.81</w:t>
            </w:r>
          </w:p>
        </w:tc>
      </w:tr>
      <w:tr w:rsidR="00970EFB" w:rsidRPr="00E33CC4" w14:paraId="005A91E8" w14:textId="77777777" w:rsidTr="00055D05">
        <w:trPr>
          <w:trHeight w:val="294"/>
          <w:jc w:val="center"/>
        </w:trPr>
        <w:tc>
          <w:tcPr>
            <w:tcW w:w="6636" w:type="dxa"/>
            <w:tcBorders>
              <w:bottom w:val="single" w:sz="4" w:space="0" w:color="auto"/>
            </w:tcBorders>
          </w:tcPr>
          <w:p w14:paraId="44944D3D" w14:textId="77777777" w:rsidR="00970EFB" w:rsidRPr="00E33CC4" w:rsidRDefault="00970EFB" w:rsidP="00E33CC4">
            <w:pPr>
              <w:autoSpaceDE w:val="0"/>
              <w:autoSpaceDN w:val="0"/>
              <w:adjustRightInd w:val="0"/>
              <w:spacing w:line="276" w:lineRule="auto"/>
              <w:jc w:val="both"/>
              <w:rPr>
                <w:rFonts w:asciiTheme="majorHAnsi" w:hAnsiTheme="majorHAnsi" w:cs="Times New Roman"/>
                <w:b/>
                <w:sz w:val="20"/>
                <w:szCs w:val="20"/>
              </w:rPr>
            </w:pPr>
            <w:r w:rsidRPr="00E33CC4">
              <w:rPr>
                <w:rFonts w:asciiTheme="majorHAnsi" w:hAnsiTheme="majorHAnsi"/>
                <w:b/>
                <w:sz w:val="20"/>
              </w:rPr>
              <w:t>REVENUE</w:t>
            </w:r>
          </w:p>
        </w:tc>
        <w:tc>
          <w:tcPr>
            <w:tcW w:w="2011" w:type="dxa"/>
            <w:tcBorders>
              <w:bottom w:val="single" w:sz="4" w:space="0" w:color="auto"/>
            </w:tcBorders>
          </w:tcPr>
          <w:p w14:paraId="08640683" w14:textId="77777777" w:rsidR="00970EFB" w:rsidRPr="00E33CC4" w:rsidRDefault="00970EFB" w:rsidP="00E33CC4">
            <w:pPr>
              <w:autoSpaceDE w:val="0"/>
              <w:autoSpaceDN w:val="0"/>
              <w:adjustRightInd w:val="0"/>
              <w:jc w:val="right"/>
              <w:rPr>
                <w:rFonts w:asciiTheme="majorHAnsi" w:hAnsiTheme="majorHAnsi" w:cs="Times New Roman"/>
                <w:b/>
                <w:sz w:val="20"/>
                <w:szCs w:val="20"/>
              </w:rPr>
            </w:pPr>
            <w:r w:rsidRPr="00E33CC4">
              <w:rPr>
                <w:rFonts w:asciiTheme="majorHAnsi" w:hAnsiTheme="majorHAnsi"/>
                <w:b/>
                <w:sz w:val="20"/>
              </w:rPr>
              <w:t>€250,000.00</w:t>
            </w:r>
          </w:p>
        </w:tc>
      </w:tr>
      <w:tr w:rsidR="00970EFB" w:rsidRPr="00E33CC4" w14:paraId="6E602977" w14:textId="77777777" w:rsidTr="00055D05">
        <w:trPr>
          <w:trHeight w:val="238"/>
          <w:jc w:val="center"/>
        </w:trPr>
        <w:tc>
          <w:tcPr>
            <w:tcW w:w="6636" w:type="dxa"/>
            <w:tcBorders>
              <w:top w:val="single" w:sz="4" w:space="0" w:color="auto"/>
              <w:bottom w:val="dotted" w:sz="4" w:space="0" w:color="auto"/>
            </w:tcBorders>
          </w:tcPr>
          <w:p w14:paraId="2D9C1B3E" w14:textId="77777777" w:rsidR="00970EFB" w:rsidRPr="00E33CC4" w:rsidRDefault="00970EFB" w:rsidP="00E33CC4">
            <w:pPr>
              <w:autoSpaceDE w:val="0"/>
              <w:autoSpaceDN w:val="0"/>
              <w:adjustRightInd w:val="0"/>
              <w:jc w:val="both"/>
              <w:rPr>
                <w:rFonts w:asciiTheme="majorHAnsi" w:hAnsiTheme="majorHAnsi" w:cs="Times New Roman"/>
                <w:sz w:val="20"/>
                <w:szCs w:val="20"/>
              </w:rPr>
            </w:pPr>
            <w:r w:rsidRPr="00E33CC4">
              <w:rPr>
                <w:rFonts w:asciiTheme="majorHAnsi" w:hAnsiTheme="majorHAnsi"/>
                <w:sz w:val="20"/>
              </w:rPr>
              <w:t>Financed by ICCAT</w:t>
            </w:r>
          </w:p>
        </w:tc>
        <w:tc>
          <w:tcPr>
            <w:tcW w:w="2011" w:type="dxa"/>
            <w:tcBorders>
              <w:top w:val="single" w:sz="4" w:space="0" w:color="auto"/>
              <w:bottom w:val="dotted" w:sz="4" w:space="0" w:color="auto"/>
            </w:tcBorders>
          </w:tcPr>
          <w:p w14:paraId="58CDE893" w14:textId="77777777" w:rsidR="00970EFB" w:rsidRPr="00E33CC4" w:rsidRDefault="00970EFB" w:rsidP="00E33CC4">
            <w:pPr>
              <w:autoSpaceDE w:val="0"/>
              <w:autoSpaceDN w:val="0"/>
              <w:adjustRightInd w:val="0"/>
              <w:jc w:val="right"/>
              <w:rPr>
                <w:rFonts w:asciiTheme="majorHAnsi" w:hAnsiTheme="majorHAnsi" w:cs="Times New Roman"/>
                <w:sz w:val="20"/>
                <w:szCs w:val="20"/>
              </w:rPr>
            </w:pPr>
            <w:r w:rsidRPr="00E33CC4">
              <w:rPr>
                <w:rFonts w:asciiTheme="majorHAnsi" w:hAnsiTheme="majorHAnsi"/>
                <w:sz w:val="20"/>
              </w:rPr>
              <w:t>€250,000.00</w:t>
            </w:r>
          </w:p>
        </w:tc>
      </w:tr>
      <w:tr w:rsidR="00970EFB" w:rsidRPr="00E33CC4" w14:paraId="3B952E37" w14:textId="77777777" w:rsidTr="00055D05">
        <w:trPr>
          <w:trHeight w:val="238"/>
          <w:jc w:val="center"/>
        </w:trPr>
        <w:tc>
          <w:tcPr>
            <w:tcW w:w="6636" w:type="dxa"/>
            <w:tcBorders>
              <w:top w:val="single" w:sz="4" w:space="0" w:color="auto"/>
              <w:bottom w:val="dotted" w:sz="4" w:space="0" w:color="auto"/>
            </w:tcBorders>
          </w:tcPr>
          <w:p w14:paraId="7A23A0CE" w14:textId="77777777" w:rsidR="00970EFB" w:rsidRPr="00E33CC4" w:rsidRDefault="00970EFB" w:rsidP="00E33CC4">
            <w:pPr>
              <w:autoSpaceDE w:val="0"/>
              <w:autoSpaceDN w:val="0"/>
              <w:adjustRightInd w:val="0"/>
              <w:jc w:val="both"/>
              <w:rPr>
                <w:rFonts w:asciiTheme="majorHAnsi" w:hAnsiTheme="majorHAnsi" w:cs="Times New Roman"/>
                <w:b/>
                <w:bCs/>
                <w:sz w:val="20"/>
                <w:szCs w:val="20"/>
              </w:rPr>
            </w:pPr>
          </w:p>
          <w:p w14:paraId="43DCF24D" w14:textId="77777777" w:rsidR="00970EFB" w:rsidRPr="00E33CC4" w:rsidRDefault="00970EFB" w:rsidP="00E33CC4">
            <w:pPr>
              <w:autoSpaceDE w:val="0"/>
              <w:autoSpaceDN w:val="0"/>
              <w:adjustRightInd w:val="0"/>
              <w:jc w:val="both"/>
              <w:rPr>
                <w:rFonts w:asciiTheme="majorHAnsi" w:hAnsiTheme="majorHAnsi" w:cs="Times New Roman"/>
                <w:b/>
                <w:bCs/>
                <w:sz w:val="20"/>
                <w:szCs w:val="20"/>
              </w:rPr>
            </w:pPr>
            <w:r w:rsidRPr="00E33CC4">
              <w:rPr>
                <w:rFonts w:asciiTheme="majorHAnsi" w:hAnsiTheme="majorHAnsi"/>
                <w:b/>
                <w:sz w:val="20"/>
              </w:rPr>
              <w:t>Available balance for the first semester</w:t>
            </w:r>
          </w:p>
        </w:tc>
        <w:tc>
          <w:tcPr>
            <w:tcW w:w="2011" w:type="dxa"/>
            <w:tcBorders>
              <w:top w:val="single" w:sz="4" w:space="0" w:color="auto"/>
              <w:bottom w:val="dotted" w:sz="4" w:space="0" w:color="auto"/>
            </w:tcBorders>
          </w:tcPr>
          <w:p w14:paraId="0E484A5E" w14:textId="77777777" w:rsidR="00970EFB" w:rsidRPr="00E33CC4" w:rsidRDefault="00970EFB" w:rsidP="00E33CC4">
            <w:pPr>
              <w:autoSpaceDE w:val="0"/>
              <w:autoSpaceDN w:val="0"/>
              <w:adjustRightInd w:val="0"/>
              <w:jc w:val="right"/>
              <w:rPr>
                <w:rFonts w:asciiTheme="majorHAnsi" w:hAnsiTheme="majorHAnsi" w:cs="Times New Roman"/>
                <w:b/>
                <w:bCs/>
                <w:sz w:val="20"/>
                <w:szCs w:val="20"/>
              </w:rPr>
            </w:pPr>
          </w:p>
          <w:p w14:paraId="0659BC30" w14:textId="77777777" w:rsidR="00970EFB" w:rsidRPr="00E33CC4" w:rsidRDefault="00970EFB" w:rsidP="00E33CC4">
            <w:pPr>
              <w:autoSpaceDE w:val="0"/>
              <w:autoSpaceDN w:val="0"/>
              <w:adjustRightInd w:val="0"/>
              <w:jc w:val="right"/>
              <w:rPr>
                <w:rFonts w:asciiTheme="majorHAnsi" w:hAnsiTheme="majorHAnsi" w:cs="Times New Roman"/>
                <w:b/>
                <w:bCs/>
                <w:sz w:val="20"/>
                <w:szCs w:val="20"/>
              </w:rPr>
            </w:pPr>
            <w:r w:rsidRPr="00E33CC4">
              <w:rPr>
                <w:rFonts w:asciiTheme="majorHAnsi" w:hAnsiTheme="majorHAnsi"/>
                <w:b/>
                <w:sz w:val="20"/>
              </w:rPr>
              <w:t>€227,748.91</w:t>
            </w:r>
          </w:p>
        </w:tc>
      </w:tr>
      <w:tr w:rsidR="00970EFB" w:rsidRPr="00E33CC4" w14:paraId="6070B8DF" w14:textId="77777777" w:rsidTr="00055D05">
        <w:trPr>
          <w:trHeight w:val="237"/>
          <w:jc w:val="center"/>
        </w:trPr>
        <w:tc>
          <w:tcPr>
            <w:tcW w:w="6636" w:type="dxa"/>
            <w:tcBorders>
              <w:top w:val="single" w:sz="4" w:space="0" w:color="auto"/>
              <w:bottom w:val="single" w:sz="4" w:space="0" w:color="auto"/>
            </w:tcBorders>
            <w:vAlign w:val="bottom"/>
          </w:tcPr>
          <w:p w14:paraId="651AD755" w14:textId="77777777" w:rsidR="00970EFB" w:rsidRPr="00E33CC4" w:rsidRDefault="00970EFB" w:rsidP="00E33CC4">
            <w:pPr>
              <w:autoSpaceDE w:val="0"/>
              <w:autoSpaceDN w:val="0"/>
              <w:adjustRightInd w:val="0"/>
              <w:rPr>
                <w:rFonts w:asciiTheme="majorHAnsi" w:hAnsiTheme="majorHAnsi"/>
                <w:bCs/>
                <w:sz w:val="20"/>
              </w:rPr>
            </w:pPr>
            <w:r w:rsidRPr="00E33CC4">
              <w:rPr>
                <w:rFonts w:asciiTheme="majorHAnsi" w:hAnsiTheme="majorHAnsi"/>
                <w:sz w:val="20"/>
              </w:rPr>
              <w:t>Expenses scientific meetings</w:t>
            </w:r>
          </w:p>
        </w:tc>
        <w:tc>
          <w:tcPr>
            <w:tcW w:w="2011" w:type="dxa"/>
            <w:tcBorders>
              <w:top w:val="single" w:sz="4" w:space="0" w:color="auto"/>
              <w:bottom w:val="single" w:sz="4" w:space="0" w:color="auto"/>
            </w:tcBorders>
            <w:vAlign w:val="bottom"/>
          </w:tcPr>
          <w:p w14:paraId="51C3D289" w14:textId="77777777" w:rsidR="00970EFB" w:rsidRPr="00E33CC4" w:rsidRDefault="00970EFB" w:rsidP="00E33CC4">
            <w:pPr>
              <w:autoSpaceDE w:val="0"/>
              <w:autoSpaceDN w:val="0"/>
              <w:adjustRightInd w:val="0"/>
              <w:jc w:val="right"/>
              <w:rPr>
                <w:rFonts w:asciiTheme="majorHAnsi" w:hAnsiTheme="majorHAnsi"/>
                <w:bCs/>
                <w:sz w:val="20"/>
              </w:rPr>
            </w:pPr>
            <w:r w:rsidRPr="00E33CC4">
              <w:rPr>
                <w:rFonts w:asciiTheme="majorHAnsi" w:hAnsiTheme="majorHAnsi"/>
                <w:sz w:val="20"/>
              </w:rPr>
              <w:t>€109,764.43</w:t>
            </w:r>
          </w:p>
        </w:tc>
      </w:tr>
      <w:tr w:rsidR="00970EFB" w:rsidRPr="00E33CC4" w14:paraId="2811155F" w14:textId="77777777" w:rsidTr="00055D05">
        <w:trPr>
          <w:trHeight w:val="238"/>
          <w:jc w:val="center"/>
        </w:trPr>
        <w:tc>
          <w:tcPr>
            <w:tcW w:w="6636" w:type="dxa"/>
            <w:tcBorders>
              <w:top w:val="dotted" w:sz="4" w:space="0" w:color="auto"/>
              <w:left w:val="nil"/>
              <w:bottom w:val="dotted" w:sz="4" w:space="0" w:color="auto"/>
              <w:right w:val="nil"/>
            </w:tcBorders>
          </w:tcPr>
          <w:p w14:paraId="5F711A74" w14:textId="77777777" w:rsidR="00970EFB" w:rsidRPr="00E33CC4" w:rsidRDefault="00970EFB" w:rsidP="00E33CC4">
            <w:pPr>
              <w:autoSpaceDE w:val="0"/>
              <w:autoSpaceDN w:val="0"/>
              <w:adjustRightInd w:val="0"/>
              <w:ind w:left="708"/>
              <w:rPr>
                <w:rFonts w:asciiTheme="majorHAnsi" w:hAnsiTheme="majorHAnsi"/>
                <w:i/>
                <w:sz w:val="20"/>
              </w:rPr>
            </w:pPr>
            <w:r w:rsidRPr="00E33CC4">
              <w:rPr>
                <w:rFonts w:asciiTheme="majorHAnsi" w:hAnsiTheme="majorHAnsi"/>
                <w:i/>
                <w:sz w:val="20"/>
              </w:rPr>
              <w:t>Meeting of the Working Group on Stock Assessment Methods (WGSAM) (hybrid/Madrid, Spain, 10-13 February 2025).</w:t>
            </w:r>
          </w:p>
        </w:tc>
        <w:tc>
          <w:tcPr>
            <w:tcW w:w="2011" w:type="dxa"/>
            <w:tcBorders>
              <w:top w:val="dotted" w:sz="4" w:space="0" w:color="auto"/>
              <w:left w:val="nil"/>
              <w:bottom w:val="dotted" w:sz="4" w:space="0" w:color="auto"/>
              <w:right w:val="nil"/>
            </w:tcBorders>
          </w:tcPr>
          <w:p w14:paraId="1110AD02" w14:textId="77777777" w:rsidR="00970EFB" w:rsidRPr="00E33CC4" w:rsidRDefault="00970EFB" w:rsidP="00E33CC4">
            <w:pPr>
              <w:autoSpaceDE w:val="0"/>
              <w:autoSpaceDN w:val="0"/>
              <w:adjustRightInd w:val="0"/>
              <w:jc w:val="right"/>
              <w:rPr>
                <w:rFonts w:asciiTheme="majorHAnsi" w:hAnsiTheme="majorHAnsi"/>
                <w:i/>
                <w:sz w:val="20"/>
              </w:rPr>
            </w:pPr>
          </w:p>
          <w:p w14:paraId="47C9E989" w14:textId="77777777" w:rsidR="00970EFB" w:rsidRPr="00E33CC4" w:rsidRDefault="00970EFB" w:rsidP="00E33CC4">
            <w:pPr>
              <w:autoSpaceDE w:val="0"/>
              <w:autoSpaceDN w:val="0"/>
              <w:adjustRightInd w:val="0"/>
              <w:jc w:val="right"/>
              <w:rPr>
                <w:rFonts w:asciiTheme="majorHAnsi" w:hAnsiTheme="majorHAnsi"/>
                <w:i/>
                <w:sz w:val="20"/>
              </w:rPr>
            </w:pPr>
            <w:r w:rsidRPr="00E33CC4">
              <w:rPr>
                <w:rFonts w:asciiTheme="majorHAnsi" w:hAnsiTheme="majorHAnsi"/>
                <w:i/>
                <w:sz w:val="20"/>
              </w:rPr>
              <w:t>€6,176.60</w:t>
            </w:r>
          </w:p>
        </w:tc>
      </w:tr>
      <w:tr w:rsidR="00970EFB" w:rsidRPr="00E33CC4" w14:paraId="0B2933C1" w14:textId="77777777" w:rsidTr="00055D05">
        <w:trPr>
          <w:trHeight w:val="238"/>
          <w:jc w:val="center"/>
        </w:trPr>
        <w:tc>
          <w:tcPr>
            <w:tcW w:w="6636" w:type="dxa"/>
            <w:tcBorders>
              <w:top w:val="dotted" w:sz="4" w:space="0" w:color="auto"/>
              <w:left w:val="nil"/>
              <w:bottom w:val="dotted" w:sz="4" w:space="0" w:color="auto"/>
              <w:right w:val="nil"/>
            </w:tcBorders>
          </w:tcPr>
          <w:p w14:paraId="326DA6DE" w14:textId="77777777" w:rsidR="00970EFB" w:rsidRPr="00E33CC4" w:rsidRDefault="00970EFB" w:rsidP="00E33CC4">
            <w:pPr>
              <w:autoSpaceDE w:val="0"/>
              <w:autoSpaceDN w:val="0"/>
              <w:adjustRightInd w:val="0"/>
              <w:ind w:left="708"/>
              <w:rPr>
                <w:rFonts w:asciiTheme="majorHAnsi" w:hAnsiTheme="majorHAnsi"/>
                <w:i/>
                <w:sz w:val="20"/>
              </w:rPr>
            </w:pPr>
            <w:r w:rsidRPr="00E33CC4">
              <w:rPr>
                <w:rFonts w:asciiTheme="majorHAnsi" w:hAnsiTheme="majorHAnsi"/>
                <w:i/>
                <w:iCs/>
                <w:sz w:val="20"/>
              </w:rPr>
              <w:t>Shortfin Mako Shark Data Preparatory Meeting</w:t>
            </w:r>
            <w:r w:rsidRPr="00E33CC4">
              <w:rPr>
                <w:rFonts w:asciiTheme="majorHAnsi" w:hAnsiTheme="majorHAnsi"/>
                <w:i/>
                <w:sz w:val="20"/>
              </w:rPr>
              <w:t xml:space="preserve"> (hybrid/Madrid, Spain, 10-14 March 2025).</w:t>
            </w:r>
          </w:p>
        </w:tc>
        <w:tc>
          <w:tcPr>
            <w:tcW w:w="2011" w:type="dxa"/>
            <w:tcBorders>
              <w:top w:val="dotted" w:sz="4" w:space="0" w:color="auto"/>
              <w:left w:val="nil"/>
              <w:bottom w:val="dotted" w:sz="4" w:space="0" w:color="auto"/>
              <w:right w:val="nil"/>
            </w:tcBorders>
          </w:tcPr>
          <w:p w14:paraId="33A765D2" w14:textId="77777777" w:rsidR="00970EFB" w:rsidRPr="00E33CC4" w:rsidRDefault="00970EFB" w:rsidP="00E33CC4">
            <w:pPr>
              <w:autoSpaceDE w:val="0"/>
              <w:autoSpaceDN w:val="0"/>
              <w:adjustRightInd w:val="0"/>
              <w:jc w:val="right"/>
              <w:rPr>
                <w:rFonts w:asciiTheme="majorHAnsi" w:hAnsiTheme="majorHAnsi"/>
                <w:i/>
                <w:sz w:val="20"/>
              </w:rPr>
            </w:pPr>
          </w:p>
          <w:p w14:paraId="37F9F498" w14:textId="77777777" w:rsidR="00970EFB" w:rsidRPr="00E33CC4" w:rsidRDefault="00970EFB" w:rsidP="00E33CC4">
            <w:pPr>
              <w:autoSpaceDE w:val="0"/>
              <w:autoSpaceDN w:val="0"/>
              <w:adjustRightInd w:val="0"/>
              <w:jc w:val="right"/>
              <w:rPr>
                <w:rFonts w:asciiTheme="majorHAnsi" w:hAnsiTheme="majorHAnsi"/>
                <w:i/>
                <w:sz w:val="20"/>
              </w:rPr>
            </w:pPr>
            <w:r w:rsidRPr="00E33CC4">
              <w:rPr>
                <w:rFonts w:asciiTheme="majorHAnsi" w:hAnsiTheme="majorHAnsi"/>
                <w:i/>
                <w:sz w:val="20"/>
              </w:rPr>
              <w:t>€9,378.72</w:t>
            </w:r>
          </w:p>
        </w:tc>
      </w:tr>
      <w:tr w:rsidR="00970EFB" w:rsidRPr="00E33CC4" w14:paraId="6E0C62B4" w14:textId="77777777" w:rsidTr="00055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jc w:val="center"/>
        </w:trPr>
        <w:tc>
          <w:tcPr>
            <w:tcW w:w="6636" w:type="dxa"/>
            <w:tcBorders>
              <w:top w:val="dotted" w:sz="4" w:space="0" w:color="auto"/>
              <w:left w:val="nil"/>
              <w:bottom w:val="dotted" w:sz="4" w:space="0" w:color="auto"/>
              <w:right w:val="nil"/>
            </w:tcBorders>
          </w:tcPr>
          <w:p w14:paraId="46B31FFF" w14:textId="77777777" w:rsidR="00970EFB" w:rsidRPr="00E33CC4" w:rsidRDefault="00970EFB" w:rsidP="00E33CC4">
            <w:pPr>
              <w:autoSpaceDE w:val="0"/>
              <w:autoSpaceDN w:val="0"/>
              <w:adjustRightInd w:val="0"/>
              <w:ind w:left="708"/>
              <w:rPr>
                <w:rFonts w:asciiTheme="majorHAnsi" w:hAnsiTheme="majorHAnsi"/>
                <w:i/>
                <w:sz w:val="20"/>
              </w:rPr>
            </w:pPr>
            <w:r w:rsidRPr="00E33CC4">
              <w:rPr>
                <w:rFonts w:asciiTheme="majorHAnsi" w:hAnsiTheme="majorHAnsi"/>
                <w:i/>
                <w:sz w:val="20"/>
              </w:rPr>
              <w:t>White Marlin Data Preparatory Meeting (Hybrid/Madrid, Spain, 24-28 March 2025).</w:t>
            </w:r>
          </w:p>
        </w:tc>
        <w:tc>
          <w:tcPr>
            <w:tcW w:w="2011" w:type="dxa"/>
            <w:tcBorders>
              <w:top w:val="dotted" w:sz="4" w:space="0" w:color="auto"/>
              <w:left w:val="nil"/>
              <w:bottom w:val="dotted" w:sz="4" w:space="0" w:color="auto"/>
              <w:right w:val="nil"/>
            </w:tcBorders>
          </w:tcPr>
          <w:p w14:paraId="60DF4BE8" w14:textId="77777777" w:rsidR="00970EFB" w:rsidRPr="00E33CC4" w:rsidRDefault="00970EFB" w:rsidP="00E33CC4">
            <w:pPr>
              <w:autoSpaceDE w:val="0"/>
              <w:autoSpaceDN w:val="0"/>
              <w:adjustRightInd w:val="0"/>
              <w:jc w:val="right"/>
              <w:rPr>
                <w:rFonts w:asciiTheme="majorHAnsi" w:hAnsiTheme="majorHAnsi"/>
                <w:i/>
                <w:sz w:val="20"/>
              </w:rPr>
            </w:pPr>
          </w:p>
          <w:p w14:paraId="716FEE0D" w14:textId="77777777" w:rsidR="00970EFB" w:rsidRPr="00E33CC4" w:rsidRDefault="00970EFB" w:rsidP="00E33CC4">
            <w:pPr>
              <w:autoSpaceDE w:val="0"/>
              <w:autoSpaceDN w:val="0"/>
              <w:adjustRightInd w:val="0"/>
              <w:jc w:val="right"/>
              <w:rPr>
                <w:rFonts w:asciiTheme="majorHAnsi" w:hAnsiTheme="majorHAnsi"/>
                <w:i/>
                <w:sz w:val="20"/>
              </w:rPr>
            </w:pPr>
            <w:r w:rsidRPr="00E33CC4">
              <w:rPr>
                <w:rFonts w:asciiTheme="majorHAnsi" w:hAnsiTheme="majorHAnsi"/>
                <w:i/>
                <w:sz w:val="20"/>
              </w:rPr>
              <w:t>€17,627.42</w:t>
            </w:r>
          </w:p>
        </w:tc>
      </w:tr>
      <w:tr w:rsidR="00970EFB" w:rsidRPr="00E33CC4" w14:paraId="0AF0C953" w14:textId="77777777" w:rsidTr="00055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jc w:val="center"/>
        </w:trPr>
        <w:tc>
          <w:tcPr>
            <w:tcW w:w="6636" w:type="dxa"/>
            <w:tcBorders>
              <w:top w:val="dotted" w:sz="4" w:space="0" w:color="auto"/>
              <w:left w:val="nil"/>
              <w:bottom w:val="dotted" w:sz="4" w:space="0" w:color="auto"/>
              <w:right w:val="nil"/>
            </w:tcBorders>
          </w:tcPr>
          <w:p w14:paraId="6C338880" w14:textId="4331B459" w:rsidR="00970EFB" w:rsidRPr="00E33CC4" w:rsidRDefault="00970EFB" w:rsidP="00E33CC4">
            <w:pPr>
              <w:autoSpaceDE w:val="0"/>
              <w:autoSpaceDN w:val="0"/>
              <w:adjustRightInd w:val="0"/>
              <w:ind w:left="708"/>
              <w:rPr>
                <w:rFonts w:asciiTheme="majorHAnsi" w:hAnsiTheme="majorHAnsi"/>
                <w:i/>
                <w:sz w:val="20"/>
              </w:rPr>
            </w:pPr>
            <w:r w:rsidRPr="00E33CC4">
              <w:rPr>
                <w:rFonts w:asciiTheme="majorHAnsi" w:hAnsiTheme="majorHAnsi"/>
                <w:i/>
                <w:sz w:val="20"/>
              </w:rPr>
              <w:t>Intersessional Meeting of the Bluefin Tuna Species Group (hybrid/</w:t>
            </w:r>
            <w:proofErr w:type="spellStart"/>
            <w:r w:rsidRPr="00E33CC4">
              <w:rPr>
                <w:rFonts w:asciiTheme="majorHAnsi" w:hAnsiTheme="majorHAnsi"/>
                <w:i/>
                <w:sz w:val="20"/>
              </w:rPr>
              <w:t>Sète</w:t>
            </w:r>
            <w:proofErr w:type="spellEnd"/>
            <w:r w:rsidRPr="00E33CC4">
              <w:rPr>
                <w:rFonts w:asciiTheme="majorHAnsi" w:hAnsiTheme="majorHAnsi"/>
                <w:i/>
                <w:sz w:val="20"/>
              </w:rPr>
              <w:t>, France, 8-11 April 2025).</w:t>
            </w:r>
          </w:p>
        </w:tc>
        <w:tc>
          <w:tcPr>
            <w:tcW w:w="2011" w:type="dxa"/>
            <w:tcBorders>
              <w:top w:val="dotted" w:sz="4" w:space="0" w:color="auto"/>
              <w:left w:val="nil"/>
              <w:bottom w:val="dotted" w:sz="4" w:space="0" w:color="auto"/>
              <w:right w:val="nil"/>
            </w:tcBorders>
          </w:tcPr>
          <w:p w14:paraId="1008931C" w14:textId="77777777" w:rsidR="00970EFB" w:rsidRPr="00E33CC4" w:rsidRDefault="00970EFB" w:rsidP="00E33CC4">
            <w:pPr>
              <w:autoSpaceDE w:val="0"/>
              <w:autoSpaceDN w:val="0"/>
              <w:adjustRightInd w:val="0"/>
              <w:jc w:val="right"/>
              <w:rPr>
                <w:rFonts w:asciiTheme="majorHAnsi" w:hAnsiTheme="majorHAnsi"/>
                <w:i/>
                <w:sz w:val="20"/>
              </w:rPr>
            </w:pPr>
          </w:p>
          <w:p w14:paraId="34004F59" w14:textId="77777777" w:rsidR="00970EFB" w:rsidRPr="00E33CC4" w:rsidRDefault="00970EFB" w:rsidP="00E33CC4">
            <w:pPr>
              <w:autoSpaceDE w:val="0"/>
              <w:autoSpaceDN w:val="0"/>
              <w:adjustRightInd w:val="0"/>
              <w:jc w:val="right"/>
              <w:rPr>
                <w:rFonts w:asciiTheme="majorHAnsi" w:hAnsiTheme="majorHAnsi"/>
                <w:i/>
                <w:sz w:val="20"/>
              </w:rPr>
            </w:pPr>
            <w:r w:rsidRPr="00E33CC4">
              <w:rPr>
                <w:rFonts w:asciiTheme="majorHAnsi" w:hAnsiTheme="majorHAnsi"/>
                <w:i/>
                <w:sz w:val="20"/>
              </w:rPr>
              <w:t>€2,013.93</w:t>
            </w:r>
          </w:p>
        </w:tc>
      </w:tr>
      <w:tr w:rsidR="00970EFB" w:rsidRPr="00E33CC4" w14:paraId="27223B52" w14:textId="77777777" w:rsidTr="00055D05">
        <w:trPr>
          <w:trHeight w:val="238"/>
          <w:jc w:val="center"/>
        </w:trPr>
        <w:tc>
          <w:tcPr>
            <w:tcW w:w="6636" w:type="dxa"/>
            <w:tcBorders>
              <w:top w:val="dotted" w:sz="4" w:space="0" w:color="auto"/>
              <w:left w:val="nil"/>
              <w:bottom w:val="dotted" w:sz="4" w:space="0" w:color="auto"/>
              <w:right w:val="nil"/>
            </w:tcBorders>
          </w:tcPr>
          <w:p w14:paraId="52682D46" w14:textId="77777777" w:rsidR="00970EFB" w:rsidRPr="00E33CC4" w:rsidRDefault="00970EFB" w:rsidP="00E33CC4">
            <w:pPr>
              <w:autoSpaceDE w:val="0"/>
              <w:autoSpaceDN w:val="0"/>
              <w:adjustRightInd w:val="0"/>
              <w:ind w:left="708"/>
              <w:rPr>
                <w:rFonts w:asciiTheme="majorHAnsi" w:hAnsiTheme="majorHAnsi"/>
                <w:i/>
                <w:sz w:val="20"/>
              </w:rPr>
            </w:pPr>
            <w:r w:rsidRPr="00E33CC4">
              <w:rPr>
                <w:rFonts w:asciiTheme="majorHAnsi" w:hAnsiTheme="majorHAnsi"/>
                <w:i/>
                <w:iCs/>
                <w:sz w:val="20"/>
              </w:rPr>
              <w:t>Bigeye Tuna Data Preparatory Meeting</w:t>
            </w:r>
            <w:r w:rsidRPr="00E33CC4">
              <w:rPr>
                <w:rFonts w:asciiTheme="majorHAnsi" w:hAnsiTheme="majorHAnsi"/>
                <w:i/>
                <w:sz w:val="20"/>
              </w:rPr>
              <w:t xml:space="preserve"> (hybrid/San Sebastián, Spain, 21-25 April 2025).</w:t>
            </w:r>
          </w:p>
        </w:tc>
        <w:tc>
          <w:tcPr>
            <w:tcW w:w="2011" w:type="dxa"/>
            <w:tcBorders>
              <w:top w:val="dotted" w:sz="4" w:space="0" w:color="auto"/>
              <w:left w:val="nil"/>
              <w:bottom w:val="dotted" w:sz="4" w:space="0" w:color="auto"/>
              <w:right w:val="nil"/>
            </w:tcBorders>
          </w:tcPr>
          <w:p w14:paraId="019DB225" w14:textId="77777777" w:rsidR="00970EFB" w:rsidRPr="00E33CC4" w:rsidRDefault="00970EFB" w:rsidP="00E33CC4">
            <w:pPr>
              <w:autoSpaceDE w:val="0"/>
              <w:autoSpaceDN w:val="0"/>
              <w:adjustRightInd w:val="0"/>
              <w:jc w:val="right"/>
              <w:rPr>
                <w:rFonts w:asciiTheme="majorHAnsi" w:hAnsiTheme="majorHAnsi"/>
                <w:i/>
                <w:sz w:val="20"/>
              </w:rPr>
            </w:pPr>
          </w:p>
          <w:p w14:paraId="19C7F582" w14:textId="77777777" w:rsidR="00970EFB" w:rsidRPr="00E33CC4" w:rsidRDefault="00970EFB" w:rsidP="00E33CC4">
            <w:pPr>
              <w:autoSpaceDE w:val="0"/>
              <w:autoSpaceDN w:val="0"/>
              <w:adjustRightInd w:val="0"/>
              <w:jc w:val="right"/>
              <w:rPr>
                <w:rFonts w:asciiTheme="majorHAnsi" w:hAnsiTheme="majorHAnsi"/>
                <w:i/>
                <w:sz w:val="20"/>
              </w:rPr>
            </w:pPr>
            <w:r w:rsidRPr="00E33CC4">
              <w:rPr>
                <w:rFonts w:asciiTheme="majorHAnsi" w:hAnsiTheme="majorHAnsi"/>
                <w:i/>
                <w:sz w:val="20"/>
              </w:rPr>
              <w:t>€29,039.11</w:t>
            </w:r>
          </w:p>
        </w:tc>
      </w:tr>
      <w:tr w:rsidR="00970EFB" w:rsidRPr="00E33CC4" w14:paraId="6B9ABF56" w14:textId="77777777" w:rsidTr="00055D05">
        <w:trPr>
          <w:trHeight w:val="238"/>
          <w:jc w:val="center"/>
        </w:trPr>
        <w:tc>
          <w:tcPr>
            <w:tcW w:w="6636" w:type="dxa"/>
            <w:tcBorders>
              <w:top w:val="dotted" w:sz="4" w:space="0" w:color="auto"/>
              <w:left w:val="nil"/>
              <w:bottom w:val="dotted" w:sz="4" w:space="0" w:color="auto"/>
              <w:right w:val="nil"/>
            </w:tcBorders>
          </w:tcPr>
          <w:p w14:paraId="674A7584" w14:textId="77777777" w:rsidR="00970EFB" w:rsidRPr="00E33CC4" w:rsidRDefault="00970EFB" w:rsidP="00E33CC4">
            <w:pPr>
              <w:autoSpaceDE w:val="0"/>
              <w:autoSpaceDN w:val="0"/>
              <w:adjustRightInd w:val="0"/>
              <w:ind w:left="708"/>
              <w:rPr>
                <w:rFonts w:asciiTheme="majorHAnsi" w:hAnsiTheme="majorHAnsi"/>
                <w:i/>
                <w:sz w:val="20"/>
              </w:rPr>
            </w:pPr>
            <w:r w:rsidRPr="00E33CC4">
              <w:rPr>
                <w:rFonts w:asciiTheme="majorHAnsi" w:hAnsiTheme="majorHAnsi"/>
                <w:i/>
                <w:sz w:val="20"/>
              </w:rPr>
              <w:lastRenderedPageBreak/>
              <w:t>Intersessional Meeting of the Subcommittee on Ecosystems and Bycatch (hybrid/Madrid, Spain, 12-16 May 2025).</w:t>
            </w:r>
          </w:p>
        </w:tc>
        <w:tc>
          <w:tcPr>
            <w:tcW w:w="2011" w:type="dxa"/>
            <w:tcBorders>
              <w:top w:val="dotted" w:sz="4" w:space="0" w:color="auto"/>
              <w:left w:val="nil"/>
              <w:bottom w:val="dotted" w:sz="4" w:space="0" w:color="auto"/>
              <w:right w:val="nil"/>
            </w:tcBorders>
          </w:tcPr>
          <w:p w14:paraId="2E8B3E68" w14:textId="77777777" w:rsidR="00970EFB" w:rsidRPr="00E33CC4" w:rsidRDefault="00970EFB" w:rsidP="00E33CC4">
            <w:pPr>
              <w:autoSpaceDE w:val="0"/>
              <w:autoSpaceDN w:val="0"/>
              <w:adjustRightInd w:val="0"/>
              <w:jc w:val="right"/>
              <w:rPr>
                <w:rFonts w:asciiTheme="majorHAnsi" w:hAnsiTheme="majorHAnsi"/>
                <w:i/>
                <w:sz w:val="20"/>
              </w:rPr>
            </w:pPr>
          </w:p>
          <w:p w14:paraId="2EE5D7BA" w14:textId="77777777" w:rsidR="00970EFB" w:rsidRPr="00E33CC4" w:rsidRDefault="00970EFB" w:rsidP="00E33CC4">
            <w:pPr>
              <w:autoSpaceDE w:val="0"/>
              <w:autoSpaceDN w:val="0"/>
              <w:adjustRightInd w:val="0"/>
              <w:jc w:val="right"/>
              <w:rPr>
                <w:rFonts w:asciiTheme="majorHAnsi" w:hAnsiTheme="majorHAnsi"/>
                <w:i/>
                <w:sz w:val="20"/>
              </w:rPr>
            </w:pPr>
          </w:p>
          <w:p w14:paraId="4291BA09" w14:textId="77777777" w:rsidR="00970EFB" w:rsidRPr="00E33CC4" w:rsidRDefault="00970EFB" w:rsidP="00E33CC4">
            <w:pPr>
              <w:autoSpaceDE w:val="0"/>
              <w:autoSpaceDN w:val="0"/>
              <w:adjustRightInd w:val="0"/>
              <w:jc w:val="right"/>
              <w:rPr>
                <w:rFonts w:asciiTheme="majorHAnsi" w:hAnsiTheme="majorHAnsi"/>
                <w:i/>
                <w:sz w:val="20"/>
              </w:rPr>
            </w:pPr>
            <w:r w:rsidRPr="00E33CC4">
              <w:rPr>
                <w:rFonts w:asciiTheme="majorHAnsi" w:hAnsiTheme="majorHAnsi"/>
                <w:i/>
                <w:sz w:val="20"/>
              </w:rPr>
              <w:t>€5,869.71</w:t>
            </w:r>
          </w:p>
        </w:tc>
      </w:tr>
      <w:tr w:rsidR="00970EFB" w:rsidRPr="00E33CC4" w14:paraId="0063210A" w14:textId="77777777" w:rsidTr="00055D05">
        <w:trPr>
          <w:trHeight w:val="238"/>
          <w:jc w:val="center"/>
        </w:trPr>
        <w:tc>
          <w:tcPr>
            <w:tcW w:w="6636" w:type="dxa"/>
            <w:tcBorders>
              <w:top w:val="dotted" w:sz="4" w:space="0" w:color="auto"/>
              <w:left w:val="nil"/>
              <w:bottom w:val="dotted" w:sz="4" w:space="0" w:color="auto"/>
              <w:right w:val="nil"/>
            </w:tcBorders>
          </w:tcPr>
          <w:p w14:paraId="2AAB3ECE" w14:textId="6DD5AF06" w:rsidR="00970EFB" w:rsidRPr="00E33CC4" w:rsidRDefault="00970EFB" w:rsidP="00E33CC4">
            <w:pPr>
              <w:autoSpaceDE w:val="0"/>
              <w:autoSpaceDN w:val="0"/>
              <w:adjustRightInd w:val="0"/>
              <w:ind w:left="708"/>
              <w:rPr>
                <w:rFonts w:asciiTheme="majorHAnsi" w:hAnsiTheme="majorHAnsi"/>
                <w:i/>
                <w:sz w:val="20"/>
              </w:rPr>
            </w:pPr>
            <w:r w:rsidRPr="00E33CC4">
              <w:rPr>
                <w:rFonts w:asciiTheme="majorHAnsi" w:hAnsiTheme="majorHAnsi"/>
                <w:i/>
                <w:sz w:val="20"/>
              </w:rPr>
              <w:t>Intersessional Meeting of the Small Tunas Species Group (hybrid/</w:t>
            </w:r>
            <w:proofErr w:type="spellStart"/>
            <w:r w:rsidRPr="00E33CC4">
              <w:rPr>
                <w:rFonts w:asciiTheme="majorHAnsi" w:hAnsiTheme="majorHAnsi"/>
                <w:i/>
                <w:sz w:val="20"/>
              </w:rPr>
              <w:t>Olhão</w:t>
            </w:r>
            <w:proofErr w:type="spellEnd"/>
            <w:r w:rsidRPr="00E33CC4">
              <w:rPr>
                <w:rFonts w:asciiTheme="majorHAnsi" w:hAnsiTheme="majorHAnsi"/>
                <w:i/>
                <w:sz w:val="20"/>
              </w:rPr>
              <w:t>, Portugal, 26-28 May 2025).</w:t>
            </w:r>
          </w:p>
        </w:tc>
        <w:tc>
          <w:tcPr>
            <w:tcW w:w="2011" w:type="dxa"/>
            <w:tcBorders>
              <w:top w:val="dotted" w:sz="4" w:space="0" w:color="auto"/>
              <w:left w:val="nil"/>
              <w:bottom w:val="dotted" w:sz="4" w:space="0" w:color="auto"/>
              <w:right w:val="nil"/>
            </w:tcBorders>
          </w:tcPr>
          <w:p w14:paraId="0695225B" w14:textId="77777777" w:rsidR="00970EFB" w:rsidRPr="00E33CC4" w:rsidRDefault="00970EFB" w:rsidP="00E33CC4">
            <w:pPr>
              <w:autoSpaceDE w:val="0"/>
              <w:autoSpaceDN w:val="0"/>
              <w:adjustRightInd w:val="0"/>
              <w:jc w:val="right"/>
              <w:rPr>
                <w:rFonts w:asciiTheme="majorHAnsi" w:hAnsiTheme="majorHAnsi"/>
                <w:i/>
                <w:sz w:val="20"/>
              </w:rPr>
            </w:pPr>
          </w:p>
          <w:p w14:paraId="2253B568" w14:textId="77777777" w:rsidR="00970EFB" w:rsidRPr="00E33CC4" w:rsidRDefault="00970EFB" w:rsidP="00E33CC4">
            <w:pPr>
              <w:autoSpaceDE w:val="0"/>
              <w:autoSpaceDN w:val="0"/>
              <w:adjustRightInd w:val="0"/>
              <w:jc w:val="right"/>
              <w:rPr>
                <w:rFonts w:asciiTheme="majorHAnsi" w:hAnsiTheme="majorHAnsi"/>
                <w:i/>
                <w:sz w:val="20"/>
              </w:rPr>
            </w:pPr>
            <w:r w:rsidRPr="00E33CC4">
              <w:rPr>
                <w:rFonts w:asciiTheme="majorHAnsi" w:hAnsiTheme="majorHAnsi"/>
                <w:i/>
                <w:sz w:val="20"/>
              </w:rPr>
              <w:t>€13,239.26</w:t>
            </w:r>
          </w:p>
        </w:tc>
      </w:tr>
      <w:tr w:rsidR="00970EFB" w:rsidRPr="00E33CC4" w14:paraId="44BAC3CC" w14:textId="77777777" w:rsidTr="00055D05">
        <w:trPr>
          <w:trHeight w:val="238"/>
          <w:jc w:val="center"/>
        </w:trPr>
        <w:tc>
          <w:tcPr>
            <w:tcW w:w="6636" w:type="dxa"/>
            <w:tcBorders>
              <w:top w:val="dotted" w:sz="4" w:space="0" w:color="auto"/>
              <w:left w:val="nil"/>
              <w:bottom w:val="dotted" w:sz="4" w:space="0" w:color="auto"/>
              <w:right w:val="nil"/>
            </w:tcBorders>
          </w:tcPr>
          <w:p w14:paraId="75F73055" w14:textId="77777777" w:rsidR="00970EFB" w:rsidRPr="00E33CC4" w:rsidRDefault="00970EFB" w:rsidP="00E33CC4">
            <w:pPr>
              <w:autoSpaceDE w:val="0"/>
              <w:autoSpaceDN w:val="0"/>
              <w:adjustRightInd w:val="0"/>
              <w:ind w:left="708"/>
              <w:rPr>
                <w:rFonts w:asciiTheme="majorHAnsi" w:hAnsiTheme="majorHAnsi"/>
                <w:i/>
                <w:sz w:val="20"/>
              </w:rPr>
            </w:pPr>
            <w:r w:rsidRPr="00E33CC4">
              <w:rPr>
                <w:rFonts w:asciiTheme="majorHAnsi" w:hAnsiTheme="majorHAnsi"/>
                <w:i/>
                <w:sz w:val="20"/>
              </w:rPr>
              <w:t>Shortfin Mako Stock Assessment Meeting (hybrid/Madrid, Spain, 9-13 June 2025).</w:t>
            </w:r>
          </w:p>
        </w:tc>
        <w:tc>
          <w:tcPr>
            <w:tcW w:w="2011" w:type="dxa"/>
            <w:tcBorders>
              <w:top w:val="dotted" w:sz="4" w:space="0" w:color="auto"/>
              <w:left w:val="nil"/>
              <w:bottom w:val="dotted" w:sz="4" w:space="0" w:color="auto"/>
              <w:right w:val="nil"/>
            </w:tcBorders>
          </w:tcPr>
          <w:p w14:paraId="27061376" w14:textId="77777777" w:rsidR="00970EFB" w:rsidRPr="00E33CC4" w:rsidRDefault="00970EFB" w:rsidP="00E33CC4">
            <w:pPr>
              <w:autoSpaceDE w:val="0"/>
              <w:autoSpaceDN w:val="0"/>
              <w:adjustRightInd w:val="0"/>
              <w:jc w:val="right"/>
              <w:rPr>
                <w:rFonts w:asciiTheme="majorHAnsi" w:hAnsiTheme="majorHAnsi"/>
                <w:i/>
                <w:sz w:val="20"/>
              </w:rPr>
            </w:pPr>
          </w:p>
          <w:p w14:paraId="2F254AFE" w14:textId="77777777" w:rsidR="00970EFB" w:rsidRPr="00E33CC4" w:rsidRDefault="00970EFB" w:rsidP="00E33CC4">
            <w:pPr>
              <w:autoSpaceDE w:val="0"/>
              <w:autoSpaceDN w:val="0"/>
              <w:adjustRightInd w:val="0"/>
              <w:jc w:val="right"/>
              <w:rPr>
                <w:rFonts w:asciiTheme="majorHAnsi" w:hAnsiTheme="majorHAnsi"/>
                <w:i/>
                <w:sz w:val="20"/>
              </w:rPr>
            </w:pPr>
            <w:r w:rsidRPr="00E33CC4">
              <w:rPr>
                <w:rFonts w:asciiTheme="majorHAnsi" w:hAnsiTheme="majorHAnsi"/>
                <w:i/>
                <w:sz w:val="20"/>
              </w:rPr>
              <w:t>€15,194.27</w:t>
            </w:r>
          </w:p>
        </w:tc>
      </w:tr>
      <w:tr w:rsidR="00970EFB" w:rsidRPr="00E33CC4" w14:paraId="4F573B6A" w14:textId="77777777" w:rsidTr="00055D05">
        <w:trPr>
          <w:trHeight w:val="238"/>
          <w:jc w:val="center"/>
        </w:trPr>
        <w:tc>
          <w:tcPr>
            <w:tcW w:w="6636" w:type="dxa"/>
            <w:tcBorders>
              <w:top w:val="dotted" w:sz="4" w:space="0" w:color="auto"/>
              <w:left w:val="nil"/>
              <w:bottom w:val="single" w:sz="4" w:space="0" w:color="auto"/>
              <w:right w:val="nil"/>
            </w:tcBorders>
          </w:tcPr>
          <w:p w14:paraId="4BF63490" w14:textId="77777777" w:rsidR="00970EFB" w:rsidRPr="00E33CC4" w:rsidRDefault="00970EFB" w:rsidP="00E33CC4">
            <w:pPr>
              <w:autoSpaceDE w:val="0"/>
              <w:autoSpaceDN w:val="0"/>
              <w:adjustRightInd w:val="0"/>
              <w:ind w:left="708"/>
              <w:rPr>
                <w:rFonts w:asciiTheme="majorHAnsi" w:hAnsiTheme="majorHAnsi"/>
                <w:i/>
                <w:sz w:val="20"/>
              </w:rPr>
            </w:pPr>
            <w:r w:rsidRPr="00E33CC4">
              <w:rPr>
                <w:rFonts w:asciiTheme="majorHAnsi" w:hAnsiTheme="majorHAnsi"/>
                <w:i/>
                <w:sz w:val="20"/>
              </w:rPr>
              <w:t>White Marlin Stock Assessment Meeting (hybrid/Madrid, Spain, 23-27 June 2025).</w:t>
            </w:r>
          </w:p>
        </w:tc>
        <w:tc>
          <w:tcPr>
            <w:tcW w:w="2011" w:type="dxa"/>
            <w:tcBorders>
              <w:top w:val="dotted" w:sz="4" w:space="0" w:color="auto"/>
              <w:left w:val="nil"/>
              <w:bottom w:val="single" w:sz="4" w:space="0" w:color="auto"/>
              <w:right w:val="nil"/>
            </w:tcBorders>
          </w:tcPr>
          <w:p w14:paraId="3F4B4EC8" w14:textId="77777777" w:rsidR="00970EFB" w:rsidRPr="00E33CC4" w:rsidRDefault="00970EFB" w:rsidP="00E33CC4">
            <w:pPr>
              <w:autoSpaceDE w:val="0"/>
              <w:autoSpaceDN w:val="0"/>
              <w:adjustRightInd w:val="0"/>
              <w:jc w:val="right"/>
              <w:rPr>
                <w:rFonts w:asciiTheme="majorHAnsi" w:hAnsiTheme="majorHAnsi"/>
                <w:i/>
                <w:sz w:val="20"/>
              </w:rPr>
            </w:pPr>
          </w:p>
          <w:p w14:paraId="471A19A9" w14:textId="77777777" w:rsidR="00970EFB" w:rsidRPr="00E33CC4" w:rsidRDefault="00970EFB" w:rsidP="00E33CC4">
            <w:pPr>
              <w:autoSpaceDE w:val="0"/>
              <w:autoSpaceDN w:val="0"/>
              <w:adjustRightInd w:val="0"/>
              <w:jc w:val="right"/>
              <w:rPr>
                <w:rFonts w:asciiTheme="majorHAnsi" w:hAnsiTheme="majorHAnsi"/>
                <w:i/>
                <w:sz w:val="20"/>
              </w:rPr>
            </w:pPr>
            <w:r w:rsidRPr="00E33CC4">
              <w:rPr>
                <w:rFonts w:asciiTheme="majorHAnsi" w:hAnsiTheme="majorHAnsi"/>
                <w:i/>
                <w:sz w:val="20"/>
              </w:rPr>
              <w:t>€11,225.41</w:t>
            </w:r>
          </w:p>
        </w:tc>
      </w:tr>
      <w:tr w:rsidR="00970EFB" w:rsidRPr="00E33CC4" w14:paraId="49F3E452" w14:textId="77777777" w:rsidTr="00055D05">
        <w:trPr>
          <w:trHeight w:val="238"/>
          <w:jc w:val="center"/>
        </w:trPr>
        <w:tc>
          <w:tcPr>
            <w:tcW w:w="6636" w:type="dxa"/>
            <w:tcBorders>
              <w:top w:val="single" w:sz="4" w:space="0" w:color="auto"/>
              <w:left w:val="nil"/>
              <w:bottom w:val="single" w:sz="4" w:space="0" w:color="auto"/>
              <w:right w:val="nil"/>
            </w:tcBorders>
          </w:tcPr>
          <w:p w14:paraId="608F353C" w14:textId="77777777" w:rsidR="00970EFB" w:rsidRPr="00E33CC4" w:rsidRDefault="00970EFB" w:rsidP="00E33CC4">
            <w:pPr>
              <w:autoSpaceDE w:val="0"/>
              <w:autoSpaceDN w:val="0"/>
              <w:adjustRightInd w:val="0"/>
              <w:rPr>
                <w:rFonts w:asciiTheme="majorHAnsi" w:hAnsiTheme="majorHAnsi"/>
                <w:iCs/>
                <w:sz w:val="20"/>
              </w:rPr>
            </w:pPr>
            <w:r w:rsidRPr="00E33CC4">
              <w:rPr>
                <w:rFonts w:asciiTheme="majorHAnsi" w:hAnsiTheme="majorHAnsi"/>
                <w:sz w:val="20"/>
              </w:rPr>
              <w:t>Intersessional Meeting of Panel 2</w:t>
            </w:r>
          </w:p>
        </w:tc>
        <w:tc>
          <w:tcPr>
            <w:tcW w:w="2011" w:type="dxa"/>
            <w:tcBorders>
              <w:top w:val="single" w:sz="4" w:space="0" w:color="auto"/>
              <w:left w:val="nil"/>
              <w:bottom w:val="single" w:sz="4" w:space="0" w:color="auto"/>
              <w:right w:val="nil"/>
            </w:tcBorders>
          </w:tcPr>
          <w:p w14:paraId="70FA35EE" w14:textId="77777777" w:rsidR="00970EFB" w:rsidRPr="00E33CC4" w:rsidRDefault="00970EFB" w:rsidP="00E33CC4">
            <w:pPr>
              <w:autoSpaceDE w:val="0"/>
              <w:autoSpaceDN w:val="0"/>
              <w:adjustRightInd w:val="0"/>
              <w:jc w:val="right"/>
              <w:rPr>
                <w:rFonts w:asciiTheme="majorHAnsi" w:hAnsiTheme="majorHAnsi"/>
                <w:iCs/>
                <w:sz w:val="20"/>
              </w:rPr>
            </w:pPr>
            <w:r w:rsidRPr="00E33CC4">
              <w:rPr>
                <w:rFonts w:asciiTheme="majorHAnsi" w:hAnsiTheme="majorHAnsi"/>
                <w:sz w:val="20"/>
              </w:rPr>
              <w:t>€12,682.32</w:t>
            </w:r>
          </w:p>
        </w:tc>
      </w:tr>
      <w:tr w:rsidR="00970EFB" w:rsidRPr="00E33CC4" w14:paraId="25E5DF9E" w14:textId="77777777" w:rsidTr="00055D05">
        <w:trPr>
          <w:trHeight w:val="238"/>
          <w:jc w:val="center"/>
        </w:trPr>
        <w:tc>
          <w:tcPr>
            <w:tcW w:w="6636" w:type="dxa"/>
            <w:tcBorders>
              <w:top w:val="single" w:sz="4" w:space="0" w:color="auto"/>
              <w:left w:val="nil"/>
              <w:bottom w:val="single" w:sz="4" w:space="0" w:color="auto"/>
              <w:right w:val="nil"/>
            </w:tcBorders>
          </w:tcPr>
          <w:p w14:paraId="2C8AF72E" w14:textId="77777777" w:rsidR="00970EFB" w:rsidRPr="00E33CC4" w:rsidRDefault="00970EFB" w:rsidP="00E33CC4">
            <w:pPr>
              <w:autoSpaceDE w:val="0"/>
              <w:autoSpaceDN w:val="0"/>
              <w:adjustRightInd w:val="0"/>
              <w:rPr>
                <w:rFonts w:asciiTheme="majorHAnsi" w:hAnsiTheme="majorHAnsi"/>
                <w:iCs/>
                <w:sz w:val="20"/>
              </w:rPr>
            </w:pPr>
            <w:r w:rsidRPr="00E33CC4">
              <w:rPr>
                <w:rFonts w:asciiTheme="majorHAnsi" w:hAnsiTheme="majorHAnsi"/>
                <w:sz w:val="20"/>
              </w:rPr>
              <w:t>Meeting of the Electronic Monitoring Systems Working Group (EMS WG) / Second Meeting of the Standing Catch Document Scheme Working Group (CDS WG) / 18th Intersessional Meeting of the Working Group on Integrated Monitoring Measures (IMM)</w:t>
            </w:r>
          </w:p>
        </w:tc>
        <w:tc>
          <w:tcPr>
            <w:tcW w:w="2011" w:type="dxa"/>
            <w:tcBorders>
              <w:top w:val="single" w:sz="4" w:space="0" w:color="auto"/>
              <w:left w:val="nil"/>
              <w:bottom w:val="single" w:sz="4" w:space="0" w:color="auto"/>
              <w:right w:val="nil"/>
            </w:tcBorders>
          </w:tcPr>
          <w:p w14:paraId="6A396DEF" w14:textId="77777777" w:rsidR="00970EFB" w:rsidRPr="00E33CC4" w:rsidRDefault="00970EFB" w:rsidP="00E33CC4">
            <w:pPr>
              <w:autoSpaceDE w:val="0"/>
              <w:autoSpaceDN w:val="0"/>
              <w:adjustRightInd w:val="0"/>
              <w:jc w:val="right"/>
              <w:rPr>
                <w:rFonts w:asciiTheme="majorHAnsi" w:hAnsiTheme="majorHAnsi"/>
                <w:iCs/>
                <w:sz w:val="20"/>
              </w:rPr>
            </w:pPr>
          </w:p>
          <w:p w14:paraId="383B5BF1" w14:textId="77777777" w:rsidR="00970EFB" w:rsidRPr="00E33CC4" w:rsidRDefault="00970EFB" w:rsidP="00E33CC4">
            <w:pPr>
              <w:autoSpaceDE w:val="0"/>
              <w:autoSpaceDN w:val="0"/>
              <w:adjustRightInd w:val="0"/>
              <w:jc w:val="right"/>
              <w:rPr>
                <w:rFonts w:asciiTheme="majorHAnsi" w:hAnsiTheme="majorHAnsi"/>
                <w:iCs/>
                <w:sz w:val="20"/>
              </w:rPr>
            </w:pPr>
          </w:p>
          <w:p w14:paraId="5842F887" w14:textId="77777777" w:rsidR="00970EFB" w:rsidRPr="00E33CC4" w:rsidRDefault="00970EFB" w:rsidP="00E33CC4">
            <w:pPr>
              <w:autoSpaceDE w:val="0"/>
              <w:autoSpaceDN w:val="0"/>
              <w:adjustRightInd w:val="0"/>
              <w:jc w:val="right"/>
              <w:rPr>
                <w:rFonts w:asciiTheme="majorHAnsi" w:hAnsiTheme="majorHAnsi"/>
                <w:iCs/>
                <w:sz w:val="20"/>
              </w:rPr>
            </w:pPr>
          </w:p>
          <w:p w14:paraId="1C4533EE" w14:textId="77777777" w:rsidR="00970EFB" w:rsidRPr="00E33CC4" w:rsidRDefault="00970EFB" w:rsidP="00E33CC4">
            <w:pPr>
              <w:autoSpaceDE w:val="0"/>
              <w:autoSpaceDN w:val="0"/>
              <w:adjustRightInd w:val="0"/>
              <w:jc w:val="right"/>
              <w:rPr>
                <w:rFonts w:asciiTheme="majorHAnsi" w:hAnsiTheme="majorHAnsi"/>
                <w:iCs/>
                <w:sz w:val="20"/>
              </w:rPr>
            </w:pPr>
            <w:r w:rsidRPr="00E33CC4">
              <w:rPr>
                <w:rFonts w:asciiTheme="majorHAnsi" w:hAnsiTheme="majorHAnsi"/>
                <w:sz w:val="20"/>
              </w:rPr>
              <w:t>€25,897.62</w:t>
            </w:r>
          </w:p>
        </w:tc>
      </w:tr>
      <w:tr w:rsidR="00970EFB" w:rsidRPr="00E33CC4" w14:paraId="1AA16C9E" w14:textId="77777777" w:rsidTr="00055D05">
        <w:trPr>
          <w:trHeight w:val="238"/>
          <w:jc w:val="center"/>
        </w:trPr>
        <w:tc>
          <w:tcPr>
            <w:tcW w:w="6636" w:type="dxa"/>
            <w:tcBorders>
              <w:top w:val="single" w:sz="4" w:space="0" w:color="auto"/>
              <w:left w:val="nil"/>
              <w:bottom w:val="single" w:sz="4" w:space="0" w:color="auto"/>
              <w:right w:val="nil"/>
            </w:tcBorders>
          </w:tcPr>
          <w:p w14:paraId="7EC0860A" w14:textId="77777777" w:rsidR="00970EFB" w:rsidRPr="00E33CC4" w:rsidRDefault="00970EFB" w:rsidP="00E33CC4">
            <w:pPr>
              <w:autoSpaceDE w:val="0"/>
              <w:autoSpaceDN w:val="0"/>
              <w:adjustRightInd w:val="0"/>
              <w:rPr>
                <w:rFonts w:asciiTheme="majorHAnsi" w:hAnsiTheme="majorHAnsi"/>
                <w:b/>
                <w:bCs/>
                <w:iCs/>
                <w:sz w:val="20"/>
              </w:rPr>
            </w:pPr>
          </w:p>
          <w:p w14:paraId="3AE31F13" w14:textId="77777777" w:rsidR="00970EFB" w:rsidRPr="00E33CC4" w:rsidRDefault="00970EFB" w:rsidP="00E33CC4">
            <w:pPr>
              <w:autoSpaceDE w:val="0"/>
              <w:autoSpaceDN w:val="0"/>
              <w:adjustRightInd w:val="0"/>
              <w:rPr>
                <w:rFonts w:asciiTheme="majorHAnsi" w:hAnsiTheme="majorHAnsi"/>
                <w:b/>
                <w:bCs/>
                <w:iCs/>
                <w:sz w:val="20"/>
              </w:rPr>
            </w:pPr>
            <w:r w:rsidRPr="00E33CC4">
              <w:rPr>
                <w:rFonts w:asciiTheme="majorHAnsi" w:hAnsiTheme="majorHAnsi"/>
                <w:b/>
                <w:sz w:val="20"/>
              </w:rPr>
              <w:t>Balance for first semester</w:t>
            </w:r>
          </w:p>
        </w:tc>
        <w:tc>
          <w:tcPr>
            <w:tcW w:w="2011" w:type="dxa"/>
            <w:tcBorders>
              <w:top w:val="single" w:sz="4" w:space="0" w:color="auto"/>
              <w:left w:val="nil"/>
              <w:bottom w:val="single" w:sz="4" w:space="0" w:color="auto"/>
              <w:right w:val="nil"/>
            </w:tcBorders>
          </w:tcPr>
          <w:p w14:paraId="362BF60B" w14:textId="77777777" w:rsidR="00970EFB" w:rsidRPr="00E33CC4" w:rsidRDefault="00970EFB" w:rsidP="00E33CC4">
            <w:pPr>
              <w:autoSpaceDE w:val="0"/>
              <w:autoSpaceDN w:val="0"/>
              <w:adjustRightInd w:val="0"/>
              <w:jc w:val="right"/>
              <w:rPr>
                <w:rFonts w:asciiTheme="majorHAnsi" w:hAnsiTheme="majorHAnsi"/>
                <w:b/>
                <w:bCs/>
                <w:iCs/>
                <w:sz w:val="20"/>
              </w:rPr>
            </w:pPr>
          </w:p>
          <w:p w14:paraId="4F8ACB2D" w14:textId="77777777" w:rsidR="00970EFB" w:rsidRPr="00E33CC4" w:rsidRDefault="00970EFB" w:rsidP="00E33CC4">
            <w:pPr>
              <w:autoSpaceDE w:val="0"/>
              <w:autoSpaceDN w:val="0"/>
              <w:adjustRightInd w:val="0"/>
              <w:jc w:val="right"/>
              <w:rPr>
                <w:rFonts w:asciiTheme="majorHAnsi" w:hAnsiTheme="majorHAnsi"/>
                <w:b/>
                <w:bCs/>
                <w:iCs/>
                <w:sz w:val="20"/>
              </w:rPr>
            </w:pPr>
            <w:r w:rsidRPr="00E33CC4">
              <w:rPr>
                <w:rFonts w:asciiTheme="majorHAnsi" w:hAnsiTheme="majorHAnsi"/>
                <w:b/>
                <w:sz w:val="20"/>
              </w:rPr>
              <w:t>€79,404.54</w:t>
            </w:r>
          </w:p>
        </w:tc>
      </w:tr>
      <w:tr w:rsidR="00970EFB" w:rsidRPr="00E33CC4" w14:paraId="33430988" w14:textId="77777777" w:rsidTr="00055D05">
        <w:trPr>
          <w:trHeight w:val="238"/>
          <w:jc w:val="center"/>
        </w:trPr>
        <w:tc>
          <w:tcPr>
            <w:tcW w:w="6636" w:type="dxa"/>
            <w:tcBorders>
              <w:top w:val="single" w:sz="4" w:space="0" w:color="auto"/>
              <w:left w:val="nil"/>
              <w:bottom w:val="dotted" w:sz="4" w:space="0" w:color="auto"/>
              <w:right w:val="nil"/>
            </w:tcBorders>
          </w:tcPr>
          <w:p w14:paraId="3DD0B91F" w14:textId="77777777" w:rsidR="00970EFB" w:rsidRPr="00E33CC4" w:rsidRDefault="00970EFB" w:rsidP="00E33CC4">
            <w:pPr>
              <w:autoSpaceDE w:val="0"/>
              <w:autoSpaceDN w:val="0"/>
              <w:adjustRightInd w:val="0"/>
              <w:rPr>
                <w:rFonts w:asciiTheme="majorHAnsi" w:hAnsiTheme="majorHAnsi"/>
                <w:b/>
                <w:bCs/>
                <w:iCs/>
                <w:sz w:val="20"/>
              </w:rPr>
            </w:pPr>
          </w:p>
        </w:tc>
        <w:tc>
          <w:tcPr>
            <w:tcW w:w="2011" w:type="dxa"/>
            <w:tcBorders>
              <w:top w:val="single" w:sz="4" w:space="0" w:color="auto"/>
              <w:left w:val="nil"/>
              <w:bottom w:val="dotted" w:sz="4" w:space="0" w:color="auto"/>
              <w:right w:val="nil"/>
            </w:tcBorders>
          </w:tcPr>
          <w:p w14:paraId="0B5ABE4B" w14:textId="77777777" w:rsidR="00970EFB" w:rsidRPr="00E33CC4" w:rsidRDefault="00970EFB" w:rsidP="00E33CC4">
            <w:pPr>
              <w:autoSpaceDE w:val="0"/>
              <w:autoSpaceDN w:val="0"/>
              <w:adjustRightInd w:val="0"/>
              <w:jc w:val="right"/>
              <w:rPr>
                <w:rFonts w:asciiTheme="majorHAnsi" w:hAnsiTheme="majorHAnsi"/>
                <w:b/>
                <w:bCs/>
                <w:iCs/>
                <w:sz w:val="20"/>
              </w:rPr>
            </w:pPr>
          </w:p>
        </w:tc>
      </w:tr>
      <w:tr w:rsidR="00970EFB" w:rsidRPr="00E33CC4" w14:paraId="268BD3CB" w14:textId="77777777" w:rsidTr="00055D05">
        <w:trPr>
          <w:trHeight w:val="238"/>
          <w:jc w:val="center"/>
        </w:trPr>
        <w:tc>
          <w:tcPr>
            <w:tcW w:w="6636" w:type="dxa"/>
            <w:tcBorders>
              <w:top w:val="dotted" w:sz="4" w:space="0" w:color="auto"/>
              <w:left w:val="nil"/>
              <w:bottom w:val="dotted" w:sz="4" w:space="0" w:color="auto"/>
              <w:right w:val="nil"/>
            </w:tcBorders>
          </w:tcPr>
          <w:p w14:paraId="2DD1686B" w14:textId="77777777" w:rsidR="00970EFB" w:rsidRPr="00E33CC4" w:rsidRDefault="00970EFB" w:rsidP="00E33CC4">
            <w:pPr>
              <w:autoSpaceDE w:val="0"/>
              <w:autoSpaceDN w:val="0"/>
              <w:adjustRightInd w:val="0"/>
              <w:rPr>
                <w:rFonts w:asciiTheme="majorHAnsi" w:hAnsiTheme="majorHAnsi"/>
                <w:b/>
                <w:bCs/>
                <w:iCs/>
                <w:sz w:val="20"/>
              </w:rPr>
            </w:pPr>
            <w:r w:rsidRPr="00E33CC4">
              <w:rPr>
                <w:rFonts w:asciiTheme="majorHAnsi" w:hAnsiTheme="majorHAnsi"/>
                <w:b/>
                <w:sz w:val="20"/>
              </w:rPr>
              <w:t>Transfer of balance for the first semester</w:t>
            </w:r>
          </w:p>
          <w:p w14:paraId="559FABAF" w14:textId="4C3AE468" w:rsidR="00970EFB" w:rsidRPr="00E33CC4" w:rsidRDefault="00970EFB" w:rsidP="00E33CC4">
            <w:pPr>
              <w:autoSpaceDE w:val="0"/>
              <w:autoSpaceDN w:val="0"/>
              <w:adjustRightInd w:val="0"/>
              <w:rPr>
                <w:rFonts w:asciiTheme="majorHAnsi" w:hAnsiTheme="majorHAnsi"/>
                <w:b/>
                <w:bCs/>
                <w:iCs/>
                <w:sz w:val="20"/>
              </w:rPr>
            </w:pPr>
            <w:r w:rsidRPr="00E33CC4">
              <w:rPr>
                <w:rFonts w:asciiTheme="majorHAnsi" w:hAnsiTheme="majorHAnsi"/>
                <w:b/>
                <w:sz w:val="20"/>
              </w:rPr>
              <w:t xml:space="preserve">Available balance for the </w:t>
            </w:r>
            <w:r w:rsidR="00125C55" w:rsidRPr="00E33CC4">
              <w:rPr>
                <w:rFonts w:asciiTheme="majorHAnsi" w:hAnsiTheme="majorHAnsi"/>
                <w:b/>
                <w:sz w:val="20"/>
              </w:rPr>
              <w:t>second</w:t>
            </w:r>
            <w:r w:rsidRPr="00E33CC4">
              <w:rPr>
                <w:rFonts w:asciiTheme="majorHAnsi" w:hAnsiTheme="majorHAnsi"/>
                <w:b/>
                <w:sz w:val="20"/>
              </w:rPr>
              <w:t xml:space="preserve"> semester</w:t>
            </w:r>
          </w:p>
        </w:tc>
        <w:tc>
          <w:tcPr>
            <w:tcW w:w="2011" w:type="dxa"/>
            <w:tcBorders>
              <w:top w:val="dotted" w:sz="4" w:space="0" w:color="auto"/>
              <w:left w:val="nil"/>
              <w:bottom w:val="dotted" w:sz="4" w:space="0" w:color="auto"/>
              <w:right w:val="nil"/>
            </w:tcBorders>
          </w:tcPr>
          <w:p w14:paraId="698A381B" w14:textId="77777777" w:rsidR="00970EFB" w:rsidRPr="00E33CC4" w:rsidRDefault="00970EFB" w:rsidP="00E33CC4">
            <w:pPr>
              <w:autoSpaceDE w:val="0"/>
              <w:autoSpaceDN w:val="0"/>
              <w:adjustRightInd w:val="0"/>
              <w:jc w:val="right"/>
              <w:rPr>
                <w:rFonts w:asciiTheme="majorHAnsi" w:hAnsiTheme="majorHAnsi"/>
                <w:b/>
                <w:bCs/>
                <w:iCs/>
                <w:sz w:val="20"/>
              </w:rPr>
            </w:pPr>
            <w:r w:rsidRPr="00E33CC4">
              <w:rPr>
                <w:rFonts w:asciiTheme="majorHAnsi" w:hAnsiTheme="majorHAnsi"/>
                <w:b/>
                <w:sz w:val="20"/>
              </w:rPr>
              <w:t>€79,404.54</w:t>
            </w:r>
          </w:p>
          <w:p w14:paraId="76975459" w14:textId="77777777" w:rsidR="00970EFB" w:rsidRPr="00E33CC4" w:rsidRDefault="00970EFB" w:rsidP="00E33CC4">
            <w:pPr>
              <w:autoSpaceDE w:val="0"/>
              <w:autoSpaceDN w:val="0"/>
              <w:adjustRightInd w:val="0"/>
              <w:jc w:val="right"/>
              <w:rPr>
                <w:rFonts w:asciiTheme="majorHAnsi" w:hAnsiTheme="majorHAnsi"/>
                <w:b/>
                <w:bCs/>
                <w:iCs/>
                <w:sz w:val="20"/>
              </w:rPr>
            </w:pPr>
            <w:r w:rsidRPr="00E33CC4">
              <w:rPr>
                <w:rFonts w:asciiTheme="majorHAnsi" w:hAnsiTheme="majorHAnsi"/>
                <w:b/>
                <w:sz w:val="20"/>
              </w:rPr>
              <w:t>€227,748.91</w:t>
            </w:r>
          </w:p>
        </w:tc>
      </w:tr>
      <w:tr w:rsidR="00970EFB" w:rsidRPr="00E33CC4" w14:paraId="261D33A1" w14:textId="77777777" w:rsidTr="00055D05">
        <w:trPr>
          <w:trHeight w:val="238"/>
          <w:jc w:val="center"/>
        </w:trPr>
        <w:tc>
          <w:tcPr>
            <w:tcW w:w="6636" w:type="dxa"/>
            <w:tcBorders>
              <w:top w:val="dotted" w:sz="4" w:space="0" w:color="auto"/>
              <w:left w:val="nil"/>
              <w:bottom w:val="single" w:sz="4" w:space="0" w:color="auto"/>
              <w:right w:val="nil"/>
            </w:tcBorders>
          </w:tcPr>
          <w:p w14:paraId="5D48D727" w14:textId="77777777" w:rsidR="00970EFB" w:rsidRPr="00E33CC4" w:rsidRDefault="00970EFB" w:rsidP="00E33CC4">
            <w:pPr>
              <w:autoSpaceDE w:val="0"/>
              <w:autoSpaceDN w:val="0"/>
              <w:adjustRightInd w:val="0"/>
              <w:rPr>
                <w:rFonts w:asciiTheme="majorHAnsi" w:hAnsiTheme="majorHAnsi"/>
                <w:b/>
                <w:bCs/>
                <w:iCs/>
                <w:sz w:val="20"/>
              </w:rPr>
            </w:pPr>
          </w:p>
          <w:p w14:paraId="4E72ED27" w14:textId="77777777" w:rsidR="00970EFB" w:rsidRPr="00E33CC4" w:rsidRDefault="00970EFB" w:rsidP="00E33CC4">
            <w:pPr>
              <w:autoSpaceDE w:val="0"/>
              <w:autoSpaceDN w:val="0"/>
              <w:adjustRightInd w:val="0"/>
              <w:rPr>
                <w:rFonts w:asciiTheme="majorHAnsi" w:hAnsiTheme="majorHAnsi"/>
                <w:b/>
                <w:bCs/>
                <w:iCs/>
                <w:sz w:val="20"/>
              </w:rPr>
            </w:pPr>
            <w:r w:rsidRPr="00E33CC4">
              <w:rPr>
                <w:rFonts w:asciiTheme="majorHAnsi" w:hAnsiTheme="majorHAnsi"/>
                <w:b/>
                <w:sz w:val="20"/>
              </w:rPr>
              <w:t>Total available for the second semester</w:t>
            </w:r>
          </w:p>
        </w:tc>
        <w:tc>
          <w:tcPr>
            <w:tcW w:w="2011" w:type="dxa"/>
            <w:tcBorders>
              <w:top w:val="dotted" w:sz="4" w:space="0" w:color="auto"/>
              <w:left w:val="nil"/>
              <w:bottom w:val="single" w:sz="4" w:space="0" w:color="auto"/>
              <w:right w:val="nil"/>
            </w:tcBorders>
          </w:tcPr>
          <w:p w14:paraId="2A00BFEB" w14:textId="77777777" w:rsidR="00970EFB" w:rsidRPr="00E33CC4" w:rsidRDefault="00970EFB" w:rsidP="00E33CC4">
            <w:pPr>
              <w:autoSpaceDE w:val="0"/>
              <w:autoSpaceDN w:val="0"/>
              <w:adjustRightInd w:val="0"/>
              <w:jc w:val="right"/>
              <w:rPr>
                <w:rFonts w:asciiTheme="majorHAnsi" w:hAnsiTheme="majorHAnsi"/>
                <w:b/>
                <w:bCs/>
                <w:iCs/>
                <w:sz w:val="20"/>
              </w:rPr>
            </w:pPr>
          </w:p>
          <w:p w14:paraId="79CF7089" w14:textId="77777777" w:rsidR="00970EFB" w:rsidRPr="00E33CC4" w:rsidRDefault="00970EFB" w:rsidP="00E33CC4">
            <w:pPr>
              <w:autoSpaceDE w:val="0"/>
              <w:autoSpaceDN w:val="0"/>
              <w:adjustRightInd w:val="0"/>
              <w:jc w:val="right"/>
              <w:rPr>
                <w:rFonts w:asciiTheme="majorHAnsi" w:hAnsiTheme="majorHAnsi"/>
                <w:b/>
                <w:bCs/>
                <w:iCs/>
                <w:sz w:val="20"/>
              </w:rPr>
            </w:pPr>
            <w:r w:rsidRPr="00E33CC4">
              <w:rPr>
                <w:rFonts w:asciiTheme="majorHAnsi" w:hAnsiTheme="majorHAnsi"/>
                <w:b/>
                <w:sz w:val="20"/>
              </w:rPr>
              <w:t>€307,153.44</w:t>
            </w:r>
          </w:p>
        </w:tc>
      </w:tr>
      <w:tr w:rsidR="00970EFB" w:rsidRPr="00E33CC4" w14:paraId="7F3A3130" w14:textId="77777777" w:rsidTr="00055D05">
        <w:trPr>
          <w:trHeight w:val="238"/>
          <w:jc w:val="center"/>
        </w:trPr>
        <w:tc>
          <w:tcPr>
            <w:tcW w:w="6636" w:type="dxa"/>
            <w:tcBorders>
              <w:top w:val="dotted" w:sz="4" w:space="0" w:color="auto"/>
              <w:left w:val="nil"/>
              <w:bottom w:val="dotted" w:sz="4" w:space="0" w:color="auto"/>
              <w:right w:val="nil"/>
            </w:tcBorders>
          </w:tcPr>
          <w:p w14:paraId="495264B4" w14:textId="77777777" w:rsidR="00970EFB" w:rsidRPr="00E33CC4" w:rsidRDefault="00970EFB" w:rsidP="00E33CC4">
            <w:pPr>
              <w:autoSpaceDE w:val="0"/>
              <w:autoSpaceDN w:val="0"/>
              <w:adjustRightInd w:val="0"/>
              <w:rPr>
                <w:rFonts w:asciiTheme="majorHAnsi" w:hAnsiTheme="majorHAnsi"/>
                <w:iCs/>
                <w:sz w:val="20"/>
              </w:rPr>
            </w:pPr>
          </w:p>
          <w:p w14:paraId="78EE3696" w14:textId="77777777" w:rsidR="00970EFB" w:rsidRPr="00E33CC4" w:rsidRDefault="00970EFB" w:rsidP="00E33CC4">
            <w:pPr>
              <w:autoSpaceDE w:val="0"/>
              <w:autoSpaceDN w:val="0"/>
              <w:adjustRightInd w:val="0"/>
              <w:rPr>
                <w:rFonts w:asciiTheme="majorHAnsi" w:hAnsiTheme="majorHAnsi"/>
                <w:iCs/>
                <w:sz w:val="20"/>
              </w:rPr>
            </w:pPr>
            <w:r w:rsidRPr="00E33CC4">
              <w:rPr>
                <w:rFonts w:asciiTheme="majorHAnsi" w:hAnsiTheme="majorHAnsi"/>
                <w:sz w:val="20"/>
              </w:rPr>
              <w:t>Expenses scientific meetings</w:t>
            </w:r>
          </w:p>
        </w:tc>
        <w:tc>
          <w:tcPr>
            <w:tcW w:w="2011" w:type="dxa"/>
            <w:tcBorders>
              <w:top w:val="dotted" w:sz="4" w:space="0" w:color="auto"/>
              <w:left w:val="nil"/>
              <w:bottom w:val="dotted" w:sz="4" w:space="0" w:color="auto"/>
              <w:right w:val="nil"/>
            </w:tcBorders>
          </w:tcPr>
          <w:p w14:paraId="65B11997" w14:textId="77777777" w:rsidR="00970EFB" w:rsidRPr="00E33CC4" w:rsidRDefault="00970EFB" w:rsidP="00E33CC4">
            <w:pPr>
              <w:autoSpaceDE w:val="0"/>
              <w:autoSpaceDN w:val="0"/>
              <w:adjustRightInd w:val="0"/>
              <w:jc w:val="right"/>
              <w:rPr>
                <w:rFonts w:asciiTheme="majorHAnsi" w:hAnsiTheme="majorHAnsi"/>
                <w:iCs/>
                <w:sz w:val="20"/>
              </w:rPr>
            </w:pPr>
          </w:p>
          <w:p w14:paraId="562FB4DC" w14:textId="77777777" w:rsidR="00970EFB" w:rsidRPr="00E33CC4" w:rsidRDefault="00970EFB" w:rsidP="00E33CC4">
            <w:pPr>
              <w:autoSpaceDE w:val="0"/>
              <w:autoSpaceDN w:val="0"/>
              <w:adjustRightInd w:val="0"/>
              <w:jc w:val="right"/>
              <w:rPr>
                <w:rFonts w:asciiTheme="majorHAnsi" w:hAnsiTheme="majorHAnsi"/>
                <w:iCs/>
                <w:sz w:val="20"/>
              </w:rPr>
            </w:pPr>
            <w:r w:rsidRPr="00E33CC4">
              <w:rPr>
                <w:rFonts w:asciiTheme="majorHAnsi" w:hAnsiTheme="majorHAnsi"/>
                <w:sz w:val="20"/>
              </w:rPr>
              <w:t>€135,068.55</w:t>
            </w:r>
          </w:p>
        </w:tc>
      </w:tr>
      <w:tr w:rsidR="00970EFB" w:rsidRPr="00E33CC4" w14:paraId="2651A027" w14:textId="77777777" w:rsidTr="00055D05">
        <w:trPr>
          <w:trHeight w:val="238"/>
          <w:jc w:val="center"/>
        </w:trPr>
        <w:tc>
          <w:tcPr>
            <w:tcW w:w="6636" w:type="dxa"/>
            <w:tcBorders>
              <w:top w:val="dotted" w:sz="4" w:space="0" w:color="auto"/>
              <w:left w:val="nil"/>
              <w:bottom w:val="dotted" w:sz="4" w:space="0" w:color="auto"/>
              <w:right w:val="nil"/>
            </w:tcBorders>
          </w:tcPr>
          <w:p w14:paraId="767DF366" w14:textId="77777777" w:rsidR="00970EFB" w:rsidRPr="00E33CC4" w:rsidRDefault="00970EFB" w:rsidP="00E33CC4">
            <w:pPr>
              <w:autoSpaceDE w:val="0"/>
              <w:autoSpaceDN w:val="0"/>
              <w:adjustRightInd w:val="0"/>
              <w:ind w:left="708"/>
              <w:rPr>
                <w:rFonts w:asciiTheme="majorHAnsi" w:hAnsiTheme="majorHAnsi"/>
                <w:i/>
                <w:sz w:val="20"/>
              </w:rPr>
            </w:pPr>
            <w:r w:rsidRPr="00E33CC4">
              <w:rPr>
                <w:rFonts w:asciiTheme="majorHAnsi" w:hAnsiTheme="majorHAnsi"/>
                <w:i/>
                <w:sz w:val="20"/>
              </w:rPr>
              <w:t>SCRS Science Strategic Plan Meeting (hybrid/Madrid, Spain, 9-11 July 2025).</w:t>
            </w:r>
          </w:p>
        </w:tc>
        <w:tc>
          <w:tcPr>
            <w:tcW w:w="2011" w:type="dxa"/>
            <w:tcBorders>
              <w:top w:val="dotted" w:sz="4" w:space="0" w:color="auto"/>
              <w:left w:val="nil"/>
              <w:bottom w:val="dotted" w:sz="4" w:space="0" w:color="auto"/>
              <w:right w:val="nil"/>
            </w:tcBorders>
          </w:tcPr>
          <w:p w14:paraId="58EF7EB9" w14:textId="77777777" w:rsidR="00970EFB" w:rsidRPr="00E33CC4" w:rsidRDefault="00970EFB" w:rsidP="00E33CC4">
            <w:pPr>
              <w:autoSpaceDE w:val="0"/>
              <w:autoSpaceDN w:val="0"/>
              <w:adjustRightInd w:val="0"/>
              <w:jc w:val="right"/>
              <w:rPr>
                <w:rFonts w:asciiTheme="majorHAnsi" w:hAnsiTheme="majorHAnsi"/>
                <w:i/>
                <w:sz w:val="20"/>
              </w:rPr>
            </w:pPr>
          </w:p>
          <w:p w14:paraId="76DD63FC" w14:textId="77777777" w:rsidR="00970EFB" w:rsidRPr="00E33CC4" w:rsidRDefault="00970EFB" w:rsidP="00E33CC4">
            <w:pPr>
              <w:autoSpaceDE w:val="0"/>
              <w:autoSpaceDN w:val="0"/>
              <w:adjustRightInd w:val="0"/>
              <w:jc w:val="right"/>
              <w:rPr>
                <w:rFonts w:asciiTheme="majorHAnsi" w:hAnsiTheme="majorHAnsi"/>
                <w:i/>
                <w:sz w:val="20"/>
              </w:rPr>
            </w:pPr>
            <w:r w:rsidRPr="00E33CC4">
              <w:rPr>
                <w:rFonts w:asciiTheme="majorHAnsi" w:hAnsiTheme="majorHAnsi"/>
                <w:i/>
                <w:sz w:val="20"/>
              </w:rPr>
              <w:t>€18,232.85</w:t>
            </w:r>
          </w:p>
        </w:tc>
      </w:tr>
      <w:tr w:rsidR="00970EFB" w:rsidRPr="00E33CC4" w14:paraId="52265D87" w14:textId="77777777" w:rsidTr="00055D05">
        <w:trPr>
          <w:trHeight w:val="238"/>
          <w:jc w:val="center"/>
        </w:trPr>
        <w:tc>
          <w:tcPr>
            <w:tcW w:w="6636" w:type="dxa"/>
            <w:tcBorders>
              <w:top w:val="dotted" w:sz="4" w:space="0" w:color="auto"/>
              <w:left w:val="nil"/>
              <w:bottom w:val="dotted" w:sz="4" w:space="0" w:color="auto"/>
              <w:right w:val="nil"/>
            </w:tcBorders>
          </w:tcPr>
          <w:p w14:paraId="2479B756" w14:textId="77777777" w:rsidR="00970EFB" w:rsidRPr="00E33CC4" w:rsidRDefault="00970EFB" w:rsidP="00E33CC4">
            <w:pPr>
              <w:autoSpaceDE w:val="0"/>
              <w:autoSpaceDN w:val="0"/>
              <w:adjustRightInd w:val="0"/>
              <w:ind w:left="708"/>
              <w:rPr>
                <w:rFonts w:asciiTheme="majorHAnsi" w:hAnsiTheme="majorHAnsi"/>
                <w:i/>
                <w:sz w:val="20"/>
              </w:rPr>
            </w:pPr>
            <w:r w:rsidRPr="00E33CC4">
              <w:rPr>
                <w:rFonts w:asciiTheme="majorHAnsi" w:hAnsiTheme="majorHAnsi"/>
                <w:i/>
                <w:sz w:val="20"/>
              </w:rPr>
              <w:t>Bigeye Tuna Stock Assessment Meeting (hybrid/Madrid, Spain, 14-18 July 2025).</w:t>
            </w:r>
          </w:p>
        </w:tc>
        <w:tc>
          <w:tcPr>
            <w:tcW w:w="2011" w:type="dxa"/>
            <w:tcBorders>
              <w:top w:val="dotted" w:sz="4" w:space="0" w:color="auto"/>
              <w:left w:val="nil"/>
              <w:bottom w:val="dotted" w:sz="4" w:space="0" w:color="auto"/>
              <w:right w:val="nil"/>
            </w:tcBorders>
          </w:tcPr>
          <w:p w14:paraId="6C7B1670" w14:textId="77777777" w:rsidR="00970EFB" w:rsidRPr="00E33CC4" w:rsidRDefault="00970EFB" w:rsidP="00E33CC4">
            <w:pPr>
              <w:autoSpaceDE w:val="0"/>
              <w:autoSpaceDN w:val="0"/>
              <w:adjustRightInd w:val="0"/>
              <w:jc w:val="right"/>
              <w:rPr>
                <w:rFonts w:asciiTheme="majorHAnsi" w:hAnsiTheme="majorHAnsi"/>
                <w:i/>
                <w:sz w:val="20"/>
              </w:rPr>
            </w:pPr>
          </w:p>
          <w:p w14:paraId="4918A95E" w14:textId="77777777" w:rsidR="00970EFB" w:rsidRPr="00E33CC4" w:rsidRDefault="00970EFB" w:rsidP="00E33CC4">
            <w:pPr>
              <w:autoSpaceDE w:val="0"/>
              <w:autoSpaceDN w:val="0"/>
              <w:adjustRightInd w:val="0"/>
              <w:jc w:val="right"/>
              <w:rPr>
                <w:rFonts w:asciiTheme="majorHAnsi" w:hAnsiTheme="majorHAnsi"/>
                <w:i/>
                <w:sz w:val="20"/>
              </w:rPr>
            </w:pPr>
            <w:r w:rsidRPr="00E33CC4">
              <w:rPr>
                <w:rFonts w:asciiTheme="majorHAnsi" w:hAnsiTheme="majorHAnsi"/>
                <w:i/>
                <w:sz w:val="20"/>
              </w:rPr>
              <w:t>€17,613.30</w:t>
            </w:r>
          </w:p>
        </w:tc>
      </w:tr>
      <w:tr w:rsidR="00970EFB" w:rsidRPr="00E33CC4" w14:paraId="4FC23A90" w14:textId="77777777" w:rsidTr="00055D05">
        <w:trPr>
          <w:trHeight w:val="238"/>
          <w:jc w:val="center"/>
        </w:trPr>
        <w:tc>
          <w:tcPr>
            <w:tcW w:w="6636" w:type="dxa"/>
            <w:tcBorders>
              <w:top w:val="dotted" w:sz="4" w:space="0" w:color="auto"/>
              <w:left w:val="nil"/>
              <w:bottom w:val="single" w:sz="4" w:space="0" w:color="auto"/>
              <w:right w:val="nil"/>
            </w:tcBorders>
          </w:tcPr>
          <w:p w14:paraId="24DEF0D7" w14:textId="77777777" w:rsidR="00970EFB" w:rsidRPr="00E33CC4" w:rsidRDefault="00970EFB" w:rsidP="00E33CC4">
            <w:pPr>
              <w:autoSpaceDE w:val="0"/>
              <w:autoSpaceDN w:val="0"/>
              <w:adjustRightInd w:val="0"/>
              <w:ind w:left="708"/>
              <w:rPr>
                <w:rFonts w:asciiTheme="majorHAnsi" w:hAnsiTheme="majorHAnsi"/>
                <w:i/>
                <w:sz w:val="20"/>
              </w:rPr>
            </w:pPr>
            <w:r w:rsidRPr="00E33CC4">
              <w:rPr>
                <w:rFonts w:asciiTheme="majorHAnsi" w:hAnsiTheme="majorHAnsi"/>
                <w:i/>
                <w:sz w:val="20"/>
              </w:rPr>
              <w:t>SCRS Species Groups Meeting and/or SCRS plenary meeting (hybrid/Madrid, Spain, 22 September to 3 October 2025).</w:t>
            </w:r>
          </w:p>
        </w:tc>
        <w:tc>
          <w:tcPr>
            <w:tcW w:w="2011" w:type="dxa"/>
            <w:tcBorders>
              <w:top w:val="dotted" w:sz="4" w:space="0" w:color="auto"/>
              <w:left w:val="nil"/>
              <w:bottom w:val="single" w:sz="4" w:space="0" w:color="auto"/>
              <w:right w:val="nil"/>
            </w:tcBorders>
          </w:tcPr>
          <w:p w14:paraId="17CA380F" w14:textId="77777777" w:rsidR="00970EFB" w:rsidRPr="00E33CC4" w:rsidRDefault="00970EFB" w:rsidP="00E33CC4">
            <w:pPr>
              <w:autoSpaceDE w:val="0"/>
              <w:autoSpaceDN w:val="0"/>
              <w:adjustRightInd w:val="0"/>
              <w:jc w:val="right"/>
              <w:rPr>
                <w:rFonts w:asciiTheme="majorHAnsi" w:hAnsiTheme="majorHAnsi"/>
                <w:i/>
                <w:sz w:val="20"/>
              </w:rPr>
            </w:pPr>
          </w:p>
          <w:p w14:paraId="43D543A8" w14:textId="77777777" w:rsidR="00970EFB" w:rsidRPr="00E33CC4" w:rsidRDefault="00970EFB" w:rsidP="00E33CC4">
            <w:pPr>
              <w:autoSpaceDE w:val="0"/>
              <w:autoSpaceDN w:val="0"/>
              <w:adjustRightInd w:val="0"/>
              <w:jc w:val="right"/>
              <w:rPr>
                <w:rFonts w:asciiTheme="majorHAnsi" w:hAnsiTheme="majorHAnsi"/>
                <w:i/>
                <w:sz w:val="20"/>
              </w:rPr>
            </w:pPr>
          </w:p>
          <w:p w14:paraId="67916450" w14:textId="77777777" w:rsidR="00970EFB" w:rsidRPr="00E33CC4" w:rsidRDefault="00970EFB" w:rsidP="00E33CC4">
            <w:pPr>
              <w:autoSpaceDE w:val="0"/>
              <w:autoSpaceDN w:val="0"/>
              <w:adjustRightInd w:val="0"/>
              <w:jc w:val="right"/>
              <w:rPr>
                <w:rFonts w:asciiTheme="majorHAnsi" w:hAnsiTheme="majorHAnsi"/>
                <w:i/>
                <w:sz w:val="20"/>
              </w:rPr>
            </w:pPr>
            <w:r w:rsidRPr="00E33CC4">
              <w:rPr>
                <w:rFonts w:asciiTheme="majorHAnsi" w:hAnsiTheme="majorHAnsi"/>
                <w:i/>
                <w:sz w:val="20"/>
              </w:rPr>
              <w:t>99,222.40</w:t>
            </w:r>
          </w:p>
        </w:tc>
      </w:tr>
      <w:tr w:rsidR="00970EFB" w:rsidRPr="00E33CC4" w14:paraId="3ECC1A68" w14:textId="77777777" w:rsidTr="00C52DB5">
        <w:trPr>
          <w:trHeight w:val="238"/>
          <w:jc w:val="center"/>
        </w:trPr>
        <w:tc>
          <w:tcPr>
            <w:tcW w:w="6636" w:type="dxa"/>
            <w:tcBorders>
              <w:top w:val="single" w:sz="4" w:space="0" w:color="auto"/>
              <w:left w:val="nil"/>
              <w:bottom w:val="single" w:sz="4" w:space="0" w:color="auto"/>
              <w:right w:val="nil"/>
            </w:tcBorders>
          </w:tcPr>
          <w:p w14:paraId="694D768F" w14:textId="2D65B749" w:rsidR="00970EFB" w:rsidRPr="00E33CC4" w:rsidRDefault="00970EFB" w:rsidP="00E33CC4">
            <w:pPr>
              <w:autoSpaceDE w:val="0"/>
              <w:autoSpaceDN w:val="0"/>
              <w:adjustRightInd w:val="0"/>
              <w:rPr>
                <w:rFonts w:asciiTheme="majorHAnsi" w:hAnsiTheme="majorHAnsi"/>
                <w:iCs/>
                <w:sz w:val="20"/>
              </w:rPr>
            </w:pPr>
            <w:r w:rsidRPr="00E33CC4">
              <w:rPr>
                <w:rFonts w:asciiTheme="majorHAnsi" w:hAnsiTheme="majorHAnsi"/>
                <w:sz w:val="20"/>
              </w:rPr>
              <w:t xml:space="preserve">Meeting of the Standing Working Group on Dialogue between Fisheries Scientists and Managers (SWGSM) </w:t>
            </w:r>
            <w:r w:rsidRPr="00E33CC4">
              <w:rPr>
                <w:rFonts w:asciiTheme="majorHAnsi" w:hAnsiTheme="majorHAnsi"/>
                <w:i/>
                <w:iCs/>
                <w:sz w:val="20"/>
              </w:rPr>
              <w:t>(hybrid/Madrid, Spain, 8 July 2025).</w:t>
            </w:r>
          </w:p>
        </w:tc>
        <w:tc>
          <w:tcPr>
            <w:tcW w:w="2011" w:type="dxa"/>
            <w:tcBorders>
              <w:top w:val="single" w:sz="4" w:space="0" w:color="auto"/>
              <w:left w:val="nil"/>
              <w:bottom w:val="single" w:sz="4" w:space="0" w:color="auto"/>
              <w:right w:val="nil"/>
            </w:tcBorders>
          </w:tcPr>
          <w:p w14:paraId="5BCA3A64" w14:textId="77777777" w:rsidR="00970EFB" w:rsidRPr="00E33CC4" w:rsidRDefault="00970EFB" w:rsidP="00E33CC4">
            <w:pPr>
              <w:autoSpaceDE w:val="0"/>
              <w:autoSpaceDN w:val="0"/>
              <w:adjustRightInd w:val="0"/>
              <w:jc w:val="right"/>
              <w:rPr>
                <w:rFonts w:asciiTheme="majorHAnsi" w:hAnsiTheme="majorHAnsi"/>
                <w:iCs/>
                <w:sz w:val="20"/>
              </w:rPr>
            </w:pPr>
          </w:p>
          <w:p w14:paraId="782F047D" w14:textId="77777777" w:rsidR="00970EFB" w:rsidRPr="00E33CC4" w:rsidRDefault="00970EFB" w:rsidP="00E33CC4">
            <w:pPr>
              <w:autoSpaceDE w:val="0"/>
              <w:autoSpaceDN w:val="0"/>
              <w:adjustRightInd w:val="0"/>
              <w:jc w:val="right"/>
              <w:rPr>
                <w:rFonts w:asciiTheme="majorHAnsi" w:hAnsiTheme="majorHAnsi"/>
                <w:iCs/>
                <w:sz w:val="20"/>
              </w:rPr>
            </w:pPr>
            <w:r w:rsidRPr="00E33CC4">
              <w:rPr>
                <w:rFonts w:asciiTheme="majorHAnsi" w:hAnsiTheme="majorHAnsi"/>
                <w:sz w:val="20"/>
              </w:rPr>
              <w:t>€10,929.88</w:t>
            </w:r>
          </w:p>
        </w:tc>
      </w:tr>
      <w:tr w:rsidR="00970EFB" w:rsidRPr="00E33CC4" w14:paraId="24055ED5" w14:textId="77777777" w:rsidTr="00C52DB5">
        <w:trPr>
          <w:trHeight w:val="238"/>
          <w:jc w:val="center"/>
        </w:trPr>
        <w:tc>
          <w:tcPr>
            <w:tcW w:w="6636" w:type="dxa"/>
            <w:tcBorders>
              <w:top w:val="single" w:sz="4" w:space="0" w:color="auto"/>
              <w:left w:val="nil"/>
              <w:bottom w:val="single" w:sz="4" w:space="0" w:color="auto"/>
              <w:right w:val="nil"/>
            </w:tcBorders>
          </w:tcPr>
          <w:p w14:paraId="371DF04F" w14:textId="706BC603" w:rsidR="00970EFB" w:rsidRPr="00E33CC4" w:rsidRDefault="00970EFB" w:rsidP="00E33CC4">
            <w:pPr>
              <w:autoSpaceDE w:val="0"/>
              <w:autoSpaceDN w:val="0"/>
              <w:adjustRightInd w:val="0"/>
              <w:jc w:val="both"/>
              <w:rPr>
                <w:rFonts w:asciiTheme="majorHAnsi" w:hAnsiTheme="majorHAnsi"/>
                <w:sz w:val="20"/>
              </w:rPr>
            </w:pPr>
            <w:r w:rsidRPr="00E33CC4">
              <w:rPr>
                <w:rFonts w:asciiTheme="majorHAnsi" w:hAnsiTheme="majorHAnsi"/>
                <w:sz w:val="20"/>
              </w:rPr>
              <w:t xml:space="preserve">Meeting of the Compliance Committee and/or </w:t>
            </w:r>
            <w:r w:rsidR="007579E7" w:rsidRPr="00E33CC4">
              <w:rPr>
                <w:rFonts w:asciiTheme="majorHAnsi" w:hAnsiTheme="majorHAnsi"/>
                <w:sz w:val="20"/>
              </w:rPr>
              <w:t xml:space="preserve">29th </w:t>
            </w:r>
            <w:r w:rsidRPr="00E33CC4">
              <w:rPr>
                <w:rFonts w:asciiTheme="majorHAnsi" w:hAnsiTheme="majorHAnsi"/>
                <w:sz w:val="20"/>
              </w:rPr>
              <w:t>Regular Meeting of the Commission (hybrid, Seville, Spain, 15-24 November 2025)</w:t>
            </w:r>
          </w:p>
        </w:tc>
        <w:tc>
          <w:tcPr>
            <w:tcW w:w="2011" w:type="dxa"/>
            <w:tcBorders>
              <w:top w:val="single" w:sz="4" w:space="0" w:color="auto"/>
              <w:left w:val="nil"/>
              <w:bottom w:val="single" w:sz="4" w:space="0" w:color="auto"/>
              <w:right w:val="nil"/>
            </w:tcBorders>
          </w:tcPr>
          <w:p w14:paraId="1298C917" w14:textId="77777777" w:rsidR="00970EFB" w:rsidRPr="00E33CC4" w:rsidRDefault="00970EFB" w:rsidP="00E33CC4">
            <w:pPr>
              <w:autoSpaceDE w:val="0"/>
              <w:autoSpaceDN w:val="0"/>
              <w:adjustRightInd w:val="0"/>
              <w:jc w:val="right"/>
              <w:rPr>
                <w:rFonts w:asciiTheme="majorHAnsi" w:hAnsiTheme="majorHAnsi"/>
                <w:sz w:val="20"/>
              </w:rPr>
            </w:pPr>
          </w:p>
          <w:p w14:paraId="0A67284A" w14:textId="77777777" w:rsidR="00970EFB" w:rsidRPr="00E33CC4" w:rsidRDefault="00970EFB" w:rsidP="00E33CC4">
            <w:pPr>
              <w:autoSpaceDE w:val="0"/>
              <w:autoSpaceDN w:val="0"/>
              <w:adjustRightInd w:val="0"/>
              <w:jc w:val="right"/>
              <w:rPr>
                <w:rFonts w:asciiTheme="majorHAnsi" w:hAnsiTheme="majorHAnsi"/>
                <w:sz w:val="20"/>
              </w:rPr>
            </w:pPr>
          </w:p>
          <w:p w14:paraId="32814373" w14:textId="262AF53C" w:rsidR="00970EFB" w:rsidRPr="00E33CC4" w:rsidRDefault="0069031D" w:rsidP="00E33CC4">
            <w:pPr>
              <w:autoSpaceDE w:val="0"/>
              <w:autoSpaceDN w:val="0"/>
              <w:adjustRightInd w:val="0"/>
              <w:jc w:val="right"/>
              <w:rPr>
                <w:rFonts w:asciiTheme="majorHAnsi" w:hAnsiTheme="majorHAnsi"/>
                <w:sz w:val="20"/>
              </w:rPr>
            </w:pPr>
            <w:r w:rsidRPr="00E33CC4">
              <w:rPr>
                <w:rFonts w:asciiTheme="majorHAnsi" w:hAnsiTheme="majorHAnsi"/>
                <w:sz w:val="20"/>
              </w:rPr>
              <w:t>€21,526.75</w:t>
            </w:r>
          </w:p>
        </w:tc>
      </w:tr>
      <w:tr w:rsidR="00970EFB" w:rsidRPr="00E33CC4" w14:paraId="0852BE42" w14:textId="77777777" w:rsidTr="00C52DB5">
        <w:trPr>
          <w:trHeight w:val="238"/>
          <w:jc w:val="center"/>
        </w:trPr>
        <w:tc>
          <w:tcPr>
            <w:tcW w:w="6636" w:type="dxa"/>
            <w:tcBorders>
              <w:top w:val="single" w:sz="4" w:space="0" w:color="auto"/>
              <w:left w:val="nil"/>
              <w:right w:val="nil"/>
            </w:tcBorders>
          </w:tcPr>
          <w:p w14:paraId="7D13D2DD" w14:textId="18D380D0" w:rsidR="00970EFB" w:rsidRPr="00E33CC4" w:rsidRDefault="00970EFB" w:rsidP="00E33CC4">
            <w:pPr>
              <w:autoSpaceDE w:val="0"/>
              <w:autoSpaceDN w:val="0"/>
              <w:adjustRightInd w:val="0"/>
              <w:jc w:val="both"/>
              <w:rPr>
                <w:rFonts w:asciiTheme="majorHAnsi" w:hAnsiTheme="majorHAnsi"/>
                <w:sz w:val="20"/>
              </w:rPr>
            </w:pPr>
            <w:r w:rsidRPr="00E33CC4">
              <w:rPr>
                <w:rFonts w:asciiTheme="majorHAnsi" w:hAnsiTheme="majorHAnsi"/>
                <w:sz w:val="20"/>
              </w:rPr>
              <w:t xml:space="preserve">Estimate of pending expenses - Meeting of the Compliance Committee and/or </w:t>
            </w:r>
            <w:r w:rsidR="007579E7" w:rsidRPr="00E33CC4">
              <w:rPr>
                <w:rFonts w:asciiTheme="majorHAnsi" w:hAnsiTheme="majorHAnsi"/>
                <w:sz w:val="20"/>
              </w:rPr>
              <w:t xml:space="preserve">29th </w:t>
            </w:r>
            <w:r w:rsidRPr="00E33CC4">
              <w:rPr>
                <w:rFonts w:asciiTheme="majorHAnsi" w:hAnsiTheme="majorHAnsi"/>
                <w:sz w:val="20"/>
              </w:rPr>
              <w:t>Regular Meeting of the Commission (hybrid, Seville, Spain, 15-24 November 2025)</w:t>
            </w:r>
          </w:p>
        </w:tc>
        <w:tc>
          <w:tcPr>
            <w:tcW w:w="2011" w:type="dxa"/>
            <w:tcBorders>
              <w:top w:val="single" w:sz="4" w:space="0" w:color="auto"/>
              <w:left w:val="nil"/>
              <w:right w:val="nil"/>
            </w:tcBorders>
          </w:tcPr>
          <w:p w14:paraId="7C8D5F0B" w14:textId="77777777" w:rsidR="00970EFB" w:rsidRPr="00E33CC4" w:rsidRDefault="00970EFB" w:rsidP="00E33CC4">
            <w:pPr>
              <w:autoSpaceDE w:val="0"/>
              <w:autoSpaceDN w:val="0"/>
              <w:adjustRightInd w:val="0"/>
              <w:jc w:val="right"/>
              <w:rPr>
                <w:rFonts w:asciiTheme="majorHAnsi" w:hAnsiTheme="majorHAnsi"/>
                <w:sz w:val="20"/>
              </w:rPr>
            </w:pPr>
          </w:p>
          <w:p w14:paraId="56842573" w14:textId="77777777" w:rsidR="00970EFB" w:rsidRPr="00E33CC4" w:rsidRDefault="00970EFB" w:rsidP="00E33CC4">
            <w:pPr>
              <w:autoSpaceDE w:val="0"/>
              <w:autoSpaceDN w:val="0"/>
              <w:adjustRightInd w:val="0"/>
              <w:jc w:val="right"/>
              <w:rPr>
                <w:rFonts w:asciiTheme="majorHAnsi" w:hAnsiTheme="majorHAnsi"/>
                <w:sz w:val="20"/>
              </w:rPr>
            </w:pPr>
          </w:p>
          <w:p w14:paraId="269DA1BE" w14:textId="6DE74665" w:rsidR="00970EFB" w:rsidRPr="00E33CC4" w:rsidRDefault="00E75E8D" w:rsidP="00E33CC4">
            <w:pPr>
              <w:autoSpaceDE w:val="0"/>
              <w:autoSpaceDN w:val="0"/>
              <w:adjustRightInd w:val="0"/>
              <w:jc w:val="right"/>
              <w:rPr>
                <w:rFonts w:asciiTheme="majorHAnsi" w:hAnsiTheme="majorHAnsi"/>
                <w:sz w:val="20"/>
              </w:rPr>
            </w:pPr>
            <w:r w:rsidRPr="00E33CC4">
              <w:rPr>
                <w:rFonts w:asciiTheme="majorHAnsi" w:hAnsiTheme="majorHAnsi"/>
                <w:sz w:val="20"/>
              </w:rPr>
              <w:t>€84,759.74</w:t>
            </w:r>
          </w:p>
        </w:tc>
      </w:tr>
      <w:tr w:rsidR="00970EFB" w:rsidRPr="00E33CC4" w14:paraId="5A495344" w14:textId="77777777" w:rsidTr="00055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jc w:val="center"/>
        </w:trPr>
        <w:tc>
          <w:tcPr>
            <w:tcW w:w="6636" w:type="dxa"/>
            <w:tcBorders>
              <w:top w:val="single" w:sz="4" w:space="0" w:color="auto"/>
              <w:left w:val="nil"/>
              <w:right w:val="nil"/>
            </w:tcBorders>
          </w:tcPr>
          <w:p w14:paraId="6959A159" w14:textId="77777777" w:rsidR="00970EFB" w:rsidRPr="00E33CC4" w:rsidRDefault="00970EFB" w:rsidP="00E33CC4">
            <w:pPr>
              <w:autoSpaceDE w:val="0"/>
              <w:autoSpaceDN w:val="0"/>
              <w:adjustRightInd w:val="0"/>
              <w:rPr>
                <w:rFonts w:asciiTheme="majorHAnsi" w:hAnsiTheme="majorHAnsi"/>
                <w:sz w:val="20"/>
              </w:rPr>
            </w:pPr>
          </w:p>
        </w:tc>
        <w:tc>
          <w:tcPr>
            <w:tcW w:w="2011" w:type="dxa"/>
            <w:tcBorders>
              <w:top w:val="single" w:sz="4" w:space="0" w:color="auto"/>
              <w:left w:val="nil"/>
              <w:right w:val="nil"/>
            </w:tcBorders>
          </w:tcPr>
          <w:p w14:paraId="2E8FB617" w14:textId="77777777" w:rsidR="00970EFB" w:rsidRPr="00E33CC4" w:rsidRDefault="00970EFB" w:rsidP="00E33CC4">
            <w:pPr>
              <w:autoSpaceDE w:val="0"/>
              <w:autoSpaceDN w:val="0"/>
              <w:adjustRightInd w:val="0"/>
              <w:jc w:val="right"/>
              <w:rPr>
                <w:rFonts w:asciiTheme="majorHAnsi" w:hAnsiTheme="majorHAnsi" w:cs="Times New Roman"/>
                <w:sz w:val="20"/>
                <w:szCs w:val="20"/>
              </w:rPr>
            </w:pPr>
          </w:p>
        </w:tc>
      </w:tr>
      <w:tr w:rsidR="00970EFB" w:rsidRPr="00E33CC4" w14:paraId="62918087" w14:textId="77777777" w:rsidTr="00055D05">
        <w:trPr>
          <w:trHeight w:val="411"/>
          <w:jc w:val="center"/>
        </w:trPr>
        <w:tc>
          <w:tcPr>
            <w:tcW w:w="6636" w:type="dxa"/>
            <w:tcBorders>
              <w:top w:val="single" w:sz="4" w:space="0" w:color="auto"/>
              <w:bottom w:val="single" w:sz="4" w:space="0" w:color="auto"/>
            </w:tcBorders>
            <w:vAlign w:val="bottom"/>
          </w:tcPr>
          <w:p w14:paraId="4A0C3969" w14:textId="77777777" w:rsidR="00970EFB" w:rsidRPr="00E33CC4" w:rsidRDefault="00970EFB" w:rsidP="00E33CC4">
            <w:pPr>
              <w:autoSpaceDE w:val="0"/>
              <w:autoSpaceDN w:val="0"/>
              <w:adjustRightInd w:val="0"/>
              <w:spacing w:line="276" w:lineRule="auto"/>
              <w:rPr>
                <w:rFonts w:asciiTheme="majorHAnsi" w:hAnsiTheme="majorHAnsi" w:cs="Times New Roman"/>
                <w:b/>
                <w:sz w:val="20"/>
                <w:szCs w:val="20"/>
              </w:rPr>
            </w:pPr>
            <w:r w:rsidRPr="00E33CC4">
              <w:rPr>
                <w:rFonts w:asciiTheme="majorHAnsi" w:hAnsiTheme="majorHAnsi"/>
                <w:b/>
                <w:sz w:val="20"/>
              </w:rPr>
              <w:t xml:space="preserve">Estimated available balance </w:t>
            </w:r>
            <w:proofErr w:type="gramStart"/>
            <w:r w:rsidRPr="00E33CC4">
              <w:rPr>
                <w:rFonts w:asciiTheme="majorHAnsi" w:hAnsiTheme="majorHAnsi"/>
                <w:b/>
                <w:sz w:val="20"/>
              </w:rPr>
              <w:t>at</w:t>
            </w:r>
            <w:proofErr w:type="gramEnd"/>
            <w:r w:rsidRPr="00E33CC4">
              <w:rPr>
                <w:rFonts w:asciiTheme="majorHAnsi" w:hAnsiTheme="majorHAnsi"/>
                <w:b/>
                <w:sz w:val="20"/>
              </w:rPr>
              <w:t xml:space="preserve"> 27 October 2025</w:t>
            </w:r>
          </w:p>
        </w:tc>
        <w:tc>
          <w:tcPr>
            <w:tcW w:w="2011" w:type="dxa"/>
            <w:tcBorders>
              <w:top w:val="single" w:sz="4" w:space="0" w:color="auto"/>
              <w:bottom w:val="single" w:sz="4" w:space="0" w:color="auto"/>
            </w:tcBorders>
            <w:vAlign w:val="bottom"/>
          </w:tcPr>
          <w:p w14:paraId="52034597" w14:textId="5512DD77" w:rsidR="00970EFB" w:rsidRPr="00E33CC4" w:rsidRDefault="00E75E8D" w:rsidP="00E33CC4">
            <w:pPr>
              <w:autoSpaceDE w:val="0"/>
              <w:autoSpaceDN w:val="0"/>
              <w:adjustRightInd w:val="0"/>
              <w:jc w:val="right"/>
              <w:rPr>
                <w:rFonts w:asciiTheme="majorHAnsi" w:hAnsiTheme="majorHAnsi"/>
                <w:b/>
                <w:sz w:val="20"/>
              </w:rPr>
            </w:pPr>
            <w:r w:rsidRPr="00E33CC4">
              <w:rPr>
                <w:rFonts w:asciiTheme="majorHAnsi" w:hAnsiTheme="majorHAnsi"/>
                <w:b/>
                <w:sz w:val="20"/>
              </w:rPr>
              <w:t>€54,868.52</w:t>
            </w:r>
          </w:p>
        </w:tc>
      </w:tr>
    </w:tbl>
    <w:p w14:paraId="18271918" w14:textId="77777777" w:rsidR="00365C67" w:rsidRPr="00E33CC4" w:rsidRDefault="00365C67" w:rsidP="00E33CC4">
      <w:pPr>
        <w:autoSpaceDE w:val="0"/>
        <w:autoSpaceDN w:val="0"/>
        <w:adjustRightInd w:val="0"/>
        <w:spacing w:after="0" w:line="240" w:lineRule="auto"/>
        <w:jc w:val="both"/>
        <w:rPr>
          <w:rFonts w:asciiTheme="majorHAnsi" w:hAnsiTheme="majorHAnsi"/>
          <w:sz w:val="20"/>
        </w:rPr>
      </w:pPr>
    </w:p>
    <w:p w14:paraId="046F9E39" w14:textId="77777777" w:rsidR="00365C67" w:rsidRPr="00E33CC4" w:rsidRDefault="00365C67" w:rsidP="00E33CC4">
      <w:pPr>
        <w:autoSpaceDE w:val="0"/>
        <w:autoSpaceDN w:val="0"/>
        <w:adjustRightInd w:val="0"/>
        <w:spacing w:after="0" w:line="240" w:lineRule="auto"/>
        <w:jc w:val="both"/>
        <w:rPr>
          <w:rFonts w:asciiTheme="majorHAnsi" w:hAnsiTheme="majorHAnsi"/>
          <w:sz w:val="20"/>
        </w:rPr>
      </w:pPr>
    </w:p>
    <w:p w14:paraId="2F6C3707" w14:textId="77777777" w:rsidR="00365C67" w:rsidRPr="00E33CC4" w:rsidRDefault="00365C67" w:rsidP="00E33CC4">
      <w:pPr>
        <w:autoSpaceDE w:val="0"/>
        <w:autoSpaceDN w:val="0"/>
        <w:adjustRightInd w:val="0"/>
        <w:spacing w:after="0" w:line="240" w:lineRule="auto"/>
        <w:jc w:val="both"/>
        <w:rPr>
          <w:rFonts w:asciiTheme="majorHAnsi" w:hAnsiTheme="majorHAnsi"/>
          <w:sz w:val="20"/>
        </w:rPr>
      </w:pPr>
    </w:p>
    <w:p w14:paraId="11F1395C" w14:textId="1EAE015B" w:rsidR="001E6839" w:rsidRPr="00E33CC4" w:rsidRDefault="001E6839" w:rsidP="00E33CC4">
      <w:pPr>
        <w:autoSpaceDE w:val="0"/>
        <w:autoSpaceDN w:val="0"/>
        <w:adjustRightInd w:val="0"/>
        <w:spacing w:after="0" w:line="240" w:lineRule="auto"/>
        <w:jc w:val="both"/>
        <w:rPr>
          <w:rFonts w:asciiTheme="majorHAnsi" w:hAnsiTheme="majorHAnsi"/>
          <w:i/>
          <w:iCs/>
          <w:sz w:val="20"/>
        </w:rPr>
      </w:pPr>
    </w:p>
    <w:p w14:paraId="677F2B6D" w14:textId="77777777" w:rsidR="00970EFB" w:rsidRPr="00E33CC4" w:rsidRDefault="00970EFB" w:rsidP="00E33CC4">
      <w:pPr>
        <w:autoSpaceDE w:val="0"/>
        <w:autoSpaceDN w:val="0"/>
        <w:adjustRightInd w:val="0"/>
        <w:spacing w:after="0" w:line="240" w:lineRule="auto"/>
        <w:jc w:val="both"/>
        <w:rPr>
          <w:rFonts w:asciiTheme="majorHAnsi" w:hAnsiTheme="majorHAnsi"/>
          <w:i/>
          <w:iCs/>
          <w:sz w:val="20"/>
        </w:rPr>
      </w:pPr>
    </w:p>
    <w:p w14:paraId="111380E7" w14:textId="77777777" w:rsidR="00970EFB" w:rsidRPr="00E33CC4" w:rsidRDefault="00970EFB" w:rsidP="00E33CC4">
      <w:pPr>
        <w:autoSpaceDE w:val="0"/>
        <w:autoSpaceDN w:val="0"/>
        <w:adjustRightInd w:val="0"/>
        <w:spacing w:after="0" w:line="240" w:lineRule="auto"/>
        <w:jc w:val="both"/>
        <w:rPr>
          <w:rFonts w:asciiTheme="majorHAnsi" w:hAnsiTheme="majorHAnsi"/>
          <w:i/>
          <w:iCs/>
          <w:sz w:val="20"/>
        </w:rPr>
      </w:pPr>
    </w:p>
    <w:p w14:paraId="271AA255" w14:textId="77777777" w:rsidR="00970EFB" w:rsidRPr="00E33CC4" w:rsidRDefault="00970EFB" w:rsidP="00E33CC4">
      <w:pPr>
        <w:autoSpaceDE w:val="0"/>
        <w:autoSpaceDN w:val="0"/>
        <w:adjustRightInd w:val="0"/>
        <w:spacing w:after="0" w:line="240" w:lineRule="auto"/>
        <w:jc w:val="both"/>
        <w:rPr>
          <w:rFonts w:asciiTheme="majorHAnsi" w:hAnsiTheme="majorHAnsi"/>
          <w:i/>
          <w:iCs/>
          <w:sz w:val="20"/>
        </w:rPr>
      </w:pPr>
    </w:p>
    <w:p w14:paraId="30D3BFE0" w14:textId="77777777" w:rsidR="00970EFB" w:rsidRPr="00E33CC4" w:rsidRDefault="00970EFB" w:rsidP="00E33CC4">
      <w:pPr>
        <w:autoSpaceDE w:val="0"/>
        <w:autoSpaceDN w:val="0"/>
        <w:adjustRightInd w:val="0"/>
        <w:spacing w:after="0" w:line="240" w:lineRule="auto"/>
        <w:jc w:val="both"/>
        <w:rPr>
          <w:rFonts w:asciiTheme="majorHAnsi" w:hAnsiTheme="majorHAnsi"/>
          <w:i/>
          <w:iCs/>
          <w:sz w:val="20"/>
        </w:rPr>
      </w:pPr>
    </w:p>
    <w:p w14:paraId="726CF60C" w14:textId="77777777" w:rsidR="00970EFB" w:rsidRPr="00E33CC4" w:rsidRDefault="00970EFB" w:rsidP="00E33CC4">
      <w:pPr>
        <w:autoSpaceDE w:val="0"/>
        <w:autoSpaceDN w:val="0"/>
        <w:adjustRightInd w:val="0"/>
        <w:spacing w:after="0" w:line="240" w:lineRule="auto"/>
        <w:jc w:val="both"/>
        <w:rPr>
          <w:rFonts w:asciiTheme="majorHAnsi" w:hAnsiTheme="majorHAnsi"/>
          <w:i/>
          <w:iCs/>
          <w:sz w:val="20"/>
        </w:rPr>
      </w:pPr>
    </w:p>
    <w:p w14:paraId="2F435501" w14:textId="77777777" w:rsidR="00970EFB" w:rsidRPr="00E33CC4" w:rsidRDefault="00970EFB" w:rsidP="00E33CC4">
      <w:pPr>
        <w:autoSpaceDE w:val="0"/>
        <w:autoSpaceDN w:val="0"/>
        <w:adjustRightInd w:val="0"/>
        <w:spacing w:after="0" w:line="240" w:lineRule="auto"/>
        <w:jc w:val="both"/>
        <w:rPr>
          <w:rFonts w:asciiTheme="majorHAnsi" w:hAnsiTheme="majorHAnsi"/>
          <w:i/>
          <w:iCs/>
          <w:sz w:val="20"/>
        </w:rPr>
      </w:pPr>
    </w:p>
    <w:p w14:paraId="3F76D1D2" w14:textId="77777777" w:rsidR="00970EFB" w:rsidRPr="00E33CC4" w:rsidRDefault="00970EFB" w:rsidP="00E33CC4">
      <w:pPr>
        <w:autoSpaceDE w:val="0"/>
        <w:autoSpaceDN w:val="0"/>
        <w:adjustRightInd w:val="0"/>
        <w:spacing w:after="0" w:line="240" w:lineRule="auto"/>
        <w:jc w:val="both"/>
        <w:rPr>
          <w:rFonts w:asciiTheme="majorHAnsi" w:hAnsiTheme="majorHAnsi"/>
          <w:i/>
          <w:iCs/>
          <w:sz w:val="20"/>
        </w:rPr>
      </w:pPr>
    </w:p>
    <w:p w14:paraId="63B8FE35" w14:textId="77777777" w:rsidR="00970EFB" w:rsidRPr="00E33CC4" w:rsidRDefault="00970EFB" w:rsidP="00E33CC4">
      <w:pPr>
        <w:autoSpaceDE w:val="0"/>
        <w:autoSpaceDN w:val="0"/>
        <w:adjustRightInd w:val="0"/>
        <w:spacing w:after="0" w:line="240" w:lineRule="auto"/>
        <w:jc w:val="both"/>
        <w:rPr>
          <w:rFonts w:asciiTheme="majorHAnsi" w:hAnsiTheme="majorHAnsi"/>
          <w:i/>
          <w:iCs/>
          <w:sz w:val="20"/>
        </w:rPr>
      </w:pPr>
    </w:p>
    <w:p w14:paraId="55121207" w14:textId="77777777" w:rsidR="00970EFB" w:rsidRPr="00E33CC4" w:rsidRDefault="00970EFB" w:rsidP="00E33CC4">
      <w:pPr>
        <w:autoSpaceDE w:val="0"/>
        <w:autoSpaceDN w:val="0"/>
        <w:adjustRightInd w:val="0"/>
        <w:spacing w:after="0" w:line="240" w:lineRule="auto"/>
        <w:jc w:val="both"/>
        <w:rPr>
          <w:rFonts w:asciiTheme="majorHAnsi" w:hAnsiTheme="majorHAnsi"/>
          <w:i/>
          <w:iCs/>
          <w:sz w:val="20"/>
        </w:rPr>
      </w:pPr>
    </w:p>
    <w:tbl>
      <w:tblPr>
        <w:tblW w:w="9639" w:type="dxa"/>
        <w:jc w:val="center"/>
        <w:tblLayout w:type="fixed"/>
        <w:tblCellMar>
          <w:left w:w="70" w:type="dxa"/>
          <w:right w:w="70" w:type="dxa"/>
        </w:tblCellMar>
        <w:tblLook w:val="04A0" w:firstRow="1" w:lastRow="0" w:firstColumn="1" w:lastColumn="0" w:noHBand="0" w:noVBand="1"/>
      </w:tblPr>
      <w:tblGrid>
        <w:gridCol w:w="1317"/>
        <w:gridCol w:w="475"/>
        <w:gridCol w:w="1231"/>
        <w:gridCol w:w="411"/>
        <w:gridCol w:w="1143"/>
        <w:gridCol w:w="377"/>
        <w:gridCol w:w="1231"/>
        <w:gridCol w:w="411"/>
        <w:gridCol w:w="1353"/>
        <w:gridCol w:w="426"/>
        <w:gridCol w:w="1264"/>
      </w:tblGrid>
      <w:tr w:rsidR="008E6EC6" w:rsidRPr="00E33CC4" w14:paraId="377618B8" w14:textId="77777777" w:rsidTr="00C52DB5">
        <w:trPr>
          <w:trHeight w:val="3808"/>
          <w:tblHeader/>
          <w:jc w:val="center"/>
        </w:trPr>
        <w:tc>
          <w:tcPr>
            <w:tcW w:w="1317" w:type="dxa"/>
            <w:tcBorders>
              <w:top w:val="single" w:sz="8" w:space="0" w:color="auto"/>
              <w:left w:val="nil"/>
              <w:bottom w:val="single" w:sz="4" w:space="0" w:color="auto"/>
              <w:right w:val="single" w:sz="8" w:space="0" w:color="auto"/>
            </w:tcBorders>
            <w:vAlign w:val="center"/>
            <w:hideMark/>
          </w:tcPr>
          <w:p w14:paraId="4AA715C9" w14:textId="77777777" w:rsidR="008E6EC6" w:rsidRPr="00E33CC4" w:rsidRDefault="008E6EC6" w:rsidP="00E33CC4">
            <w:pPr>
              <w:spacing w:after="0" w:line="240" w:lineRule="auto"/>
              <w:rPr>
                <w:rFonts w:ascii="Cambria" w:eastAsia="Times New Roman" w:hAnsi="Cambria" w:cs="Calibri"/>
                <w:b/>
                <w:bCs/>
                <w:color w:val="000000"/>
                <w:sz w:val="20"/>
              </w:rPr>
            </w:pPr>
            <w:r w:rsidRPr="00E33CC4">
              <w:rPr>
                <w:rFonts w:ascii="Cambria" w:hAnsi="Cambria"/>
                <w:b/>
                <w:color w:val="000000"/>
                <w:sz w:val="20"/>
              </w:rPr>
              <w:lastRenderedPageBreak/>
              <w:t>Summary of expenses</w:t>
            </w:r>
          </w:p>
          <w:p w14:paraId="50331BAA" w14:textId="77777777" w:rsidR="008E6EC6" w:rsidRPr="00E33CC4" w:rsidRDefault="008E6EC6" w:rsidP="00E33CC4">
            <w:pPr>
              <w:spacing w:after="0" w:line="240" w:lineRule="auto"/>
              <w:rPr>
                <w:rFonts w:ascii="Cambria" w:eastAsia="Times New Roman" w:hAnsi="Cambria" w:cs="Calibri"/>
                <w:b/>
                <w:bCs/>
                <w:color w:val="000000"/>
                <w:sz w:val="20"/>
                <w:szCs w:val="20"/>
              </w:rPr>
            </w:pPr>
          </w:p>
          <w:p w14:paraId="0D9155DF" w14:textId="77777777" w:rsidR="008E6EC6" w:rsidRPr="00E33CC4" w:rsidRDefault="008E6EC6" w:rsidP="00E33CC4">
            <w:pPr>
              <w:spacing w:after="0" w:line="240" w:lineRule="auto"/>
              <w:rPr>
                <w:rFonts w:ascii="Cambria" w:eastAsia="Times New Roman" w:hAnsi="Cambria" w:cs="Calibri"/>
                <w:b/>
                <w:bCs/>
                <w:color w:val="000000"/>
                <w:sz w:val="20"/>
                <w:szCs w:val="20"/>
              </w:rPr>
            </w:pPr>
          </w:p>
          <w:p w14:paraId="2B2F4A19" w14:textId="77777777" w:rsidR="008E6EC6" w:rsidRPr="00E33CC4" w:rsidRDefault="008E6EC6" w:rsidP="00E33CC4">
            <w:pPr>
              <w:spacing w:after="0" w:line="240" w:lineRule="auto"/>
              <w:rPr>
                <w:rFonts w:ascii="Cambria" w:eastAsia="Times New Roman" w:hAnsi="Cambria" w:cs="Calibri"/>
                <w:b/>
                <w:bCs/>
                <w:color w:val="000000"/>
                <w:sz w:val="20"/>
                <w:szCs w:val="20"/>
              </w:rPr>
            </w:pPr>
          </w:p>
          <w:p w14:paraId="31A3C720" w14:textId="77777777" w:rsidR="008E6EC6" w:rsidRPr="00E33CC4" w:rsidRDefault="008E6EC6" w:rsidP="00E33CC4">
            <w:pPr>
              <w:spacing w:after="0" w:line="240" w:lineRule="auto"/>
              <w:rPr>
                <w:rFonts w:ascii="Cambria" w:eastAsia="Times New Roman" w:hAnsi="Cambria" w:cs="Calibri"/>
                <w:b/>
                <w:bCs/>
                <w:color w:val="000000"/>
                <w:sz w:val="20"/>
                <w:szCs w:val="20"/>
              </w:rPr>
            </w:pPr>
          </w:p>
          <w:p w14:paraId="369A1793" w14:textId="77777777" w:rsidR="008E6EC6" w:rsidRPr="00E33CC4" w:rsidRDefault="008E6EC6" w:rsidP="00E33CC4">
            <w:pPr>
              <w:spacing w:after="0" w:line="240" w:lineRule="auto"/>
              <w:rPr>
                <w:rFonts w:ascii="Cambria" w:eastAsia="Times New Roman" w:hAnsi="Cambria" w:cs="Calibri"/>
                <w:b/>
                <w:bCs/>
                <w:color w:val="000000"/>
                <w:sz w:val="20"/>
                <w:szCs w:val="20"/>
              </w:rPr>
            </w:pPr>
          </w:p>
          <w:p w14:paraId="171548AB" w14:textId="77777777" w:rsidR="008E6EC6" w:rsidRPr="00E33CC4" w:rsidRDefault="008E6EC6" w:rsidP="00E33CC4">
            <w:pPr>
              <w:spacing w:after="0" w:line="240" w:lineRule="auto"/>
              <w:rPr>
                <w:rFonts w:ascii="Cambria" w:eastAsia="Times New Roman" w:hAnsi="Cambria" w:cs="Calibri"/>
                <w:b/>
                <w:bCs/>
                <w:color w:val="000000"/>
                <w:sz w:val="20"/>
                <w:szCs w:val="20"/>
              </w:rPr>
            </w:pPr>
          </w:p>
          <w:p w14:paraId="4435AAD0" w14:textId="77777777" w:rsidR="008E6EC6" w:rsidRPr="00E33CC4" w:rsidRDefault="008E6EC6" w:rsidP="00E33CC4">
            <w:pPr>
              <w:spacing w:after="0" w:line="240" w:lineRule="auto"/>
              <w:rPr>
                <w:rFonts w:ascii="Cambria" w:eastAsia="Times New Roman" w:hAnsi="Cambria" w:cs="Calibri"/>
                <w:b/>
                <w:bCs/>
                <w:color w:val="000000"/>
                <w:sz w:val="20"/>
                <w:szCs w:val="20"/>
              </w:rPr>
            </w:pPr>
          </w:p>
          <w:p w14:paraId="7F2414ED" w14:textId="08270A99" w:rsidR="008E6EC6" w:rsidRPr="00E33CC4" w:rsidRDefault="008E6EC6" w:rsidP="00E33CC4">
            <w:pPr>
              <w:spacing w:after="0" w:line="240" w:lineRule="auto"/>
              <w:rPr>
                <w:rFonts w:ascii="Cambria" w:eastAsia="Times New Roman" w:hAnsi="Cambria" w:cs="Calibri"/>
                <w:b/>
                <w:bCs/>
                <w:color w:val="000000"/>
                <w:sz w:val="20"/>
                <w:szCs w:val="20"/>
              </w:rPr>
            </w:pPr>
            <w:r w:rsidRPr="00E33CC4">
              <w:rPr>
                <w:rFonts w:ascii="Cambria" w:hAnsi="Cambria"/>
                <w:b/>
                <w:color w:val="000000"/>
                <w:sz w:val="20"/>
              </w:rPr>
              <w:t>CPC</w:t>
            </w:r>
          </w:p>
        </w:tc>
        <w:tc>
          <w:tcPr>
            <w:tcW w:w="1706" w:type="dxa"/>
            <w:gridSpan w:val="2"/>
            <w:tcBorders>
              <w:top w:val="single" w:sz="8" w:space="0" w:color="auto"/>
              <w:left w:val="single" w:sz="8" w:space="0" w:color="auto"/>
              <w:bottom w:val="single" w:sz="4" w:space="0" w:color="auto"/>
              <w:right w:val="single" w:sz="8" w:space="0" w:color="000000"/>
            </w:tcBorders>
            <w:vAlign w:val="center"/>
            <w:hideMark/>
          </w:tcPr>
          <w:p w14:paraId="2643BCC3" w14:textId="77777777" w:rsidR="008E6EC6" w:rsidRPr="00E33CC4" w:rsidRDefault="008E6EC6"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 xml:space="preserve">Scientific meetings </w:t>
            </w:r>
          </w:p>
        </w:tc>
        <w:tc>
          <w:tcPr>
            <w:tcW w:w="1554" w:type="dxa"/>
            <w:gridSpan w:val="2"/>
            <w:tcBorders>
              <w:top w:val="single" w:sz="8" w:space="0" w:color="auto"/>
              <w:left w:val="single" w:sz="8" w:space="0" w:color="auto"/>
              <w:bottom w:val="single" w:sz="4" w:space="0" w:color="auto"/>
              <w:right w:val="single" w:sz="8" w:space="0" w:color="000000"/>
            </w:tcBorders>
            <w:vAlign w:val="center"/>
            <w:hideMark/>
          </w:tcPr>
          <w:p w14:paraId="0FAD57A4" w14:textId="77777777" w:rsidR="008E6EC6" w:rsidRPr="00E33CC4" w:rsidRDefault="008E6EC6"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Intersessional Meeting of Panel 2</w:t>
            </w:r>
          </w:p>
        </w:tc>
        <w:tc>
          <w:tcPr>
            <w:tcW w:w="1608" w:type="dxa"/>
            <w:gridSpan w:val="2"/>
            <w:tcBorders>
              <w:top w:val="single" w:sz="8" w:space="0" w:color="auto"/>
              <w:left w:val="single" w:sz="8" w:space="0" w:color="auto"/>
              <w:bottom w:val="single" w:sz="4" w:space="0" w:color="auto"/>
              <w:right w:val="nil"/>
            </w:tcBorders>
            <w:vAlign w:val="center"/>
            <w:hideMark/>
          </w:tcPr>
          <w:p w14:paraId="0807D70B" w14:textId="77777777" w:rsidR="008E6EC6" w:rsidRPr="00E33CC4" w:rsidRDefault="008E6EC6"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Meeting of the Electronic Monitoring Systems Working Group (EMS WG) / Second Meeting of the Standing Catch Document Scheme Working Group (CDS WG) / 18th Intersessional Meeting of the Working Group on Integrated Monitoring Measures (IMM)</w:t>
            </w:r>
          </w:p>
        </w:tc>
        <w:tc>
          <w:tcPr>
            <w:tcW w:w="1764" w:type="dxa"/>
            <w:gridSpan w:val="2"/>
            <w:tcBorders>
              <w:top w:val="single" w:sz="8" w:space="0" w:color="auto"/>
              <w:left w:val="single" w:sz="8" w:space="0" w:color="auto"/>
              <w:bottom w:val="single" w:sz="4" w:space="0" w:color="auto"/>
              <w:right w:val="single" w:sz="8" w:space="0" w:color="000000"/>
            </w:tcBorders>
            <w:vAlign w:val="center"/>
            <w:hideMark/>
          </w:tcPr>
          <w:p w14:paraId="2FD177C5" w14:textId="77777777" w:rsidR="008E6EC6" w:rsidRPr="00E33CC4" w:rsidRDefault="008E6EC6" w:rsidP="00E33CC4">
            <w:pPr>
              <w:spacing w:after="0" w:line="240" w:lineRule="auto"/>
              <w:jc w:val="center"/>
              <w:rPr>
                <w:rFonts w:ascii="Cambria" w:eastAsia="Times New Roman" w:hAnsi="Cambria" w:cs="Calibri"/>
                <w:color w:val="000000"/>
                <w:sz w:val="18"/>
              </w:rPr>
            </w:pPr>
          </w:p>
          <w:p w14:paraId="11EC91F1" w14:textId="77777777" w:rsidR="008E6EC6" w:rsidRPr="00E33CC4" w:rsidRDefault="008E6EC6"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Meeting of the Standing Working Group on Dialogue between Fisheries Scientists and Managers (SWGSM)</w:t>
            </w:r>
          </w:p>
          <w:p w14:paraId="3BA78811" w14:textId="77777777" w:rsidR="008E6EC6" w:rsidRPr="00E33CC4" w:rsidRDefault="008E6EC6" w:rsidP="00E33CC4">
            <w:pPr>
              <w:spacing w:after="0" w:line="240" w:lineRule="auto"/>
              <w:jc w:val="center"/>
              <w:rPr>
                <w:rFonts w:ascii="Cambria" w:eastAsia="Times New Roman" w:hAnsi="Cambria" w:cs="Calibri"/>
                <w:color w:val="000000"/>
                <w:sz w:val="18"/>
                <w:szCs w:val="18"/>
              </w:rPr>
            </w:pPr>
          </w:p>
        </w:tc>
        <w:tc>
          <w:tcPr>
            <w:tcW w:w="1690" w:type="dxa"/>
            <w:gridSpan w:val="2"/>
            <w:tcBorders>
              <w:top w:val="single" w:sz="8" w:space="0" w:color="auto"/>
              <w:left w:val="single" w:sz="8" w:space="0" w:color="auto"/>
              <w:bottom w:val="single" w:sz="4" w:space="0" w:color="auto"/>
              <w:right w:val="nil"/>
            </w:tcBorders>
            <w:vAlign w:val="center"/>
            <w:hideMark/>
          </w:tcPr>
          <w:p w14:paraId="251BD2E3" w14:textId="5ABFA8E6" w:rsidR="008E6EC6" w:rsidRPr="00E33CC4" w:rsidRDefault="008E6EC6"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Compliance Committee Meeting and 29th Regular Meeting of the Commission</w:t>
            </w:r>
          </w:p>
        </w:tc>
      </w:tr>
      <w:tr w:rsidR="00970EFB" w:rsidRPr="00E33CC4" w14:paraId="30C7F4ED" w14:textId="77777777" w:rsidTr="00C52DB5">
        <w:trPr>
          <w:trHeight w:val="290"/>
          <w:jc w:val="center"/>
        </w:trPr>
        <w:tc>
          <w:tcPr>
            <w:tcW w:w="1317" w:type="dxa"/>
            <w:tcBorders>
              <w:top w:val="single" w:sz="4" w:space="0" w:color="auto"/>
              <w:left w:val="nil"/>
              <w:bottom w:val="dotted" w:sz="4" w:space="0" w:color="auto"/>
              <w:right w:val="single" w:sz="8" w:space="0" w:color="auto"/>
            </w:tcBorders>
            <w:noWrap/>
            <w:vAlign w:val="center"/>
          </w:tcPr>
          <w:p w14:paraId="4F873924"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Angola</w:t>
            </w:r>
          </w:p>
        </w:tc>
        <w:tc>
          <w:tcPr>
            <w:tcW w:w="475" w:type="dxa"/>
            <w:tcBorders>
              <w:top w:val="single" w:sz="4" w:space="0" w:color="auto"/>
              <w:left w:val="nil"/>
              <w:bottom w:val="dotted" w:sz="4" w:space="0" w:color="auto"/>
              <w:right w:val="dotted" w:sz="4" w:space="0" w:color="auto"/>
            </w:tcBorders>
            <w:noWrap/>
            <w:vAlign w:val="center"/>
          </w:tcPr>
          <w:p w14:paraId="11A80108"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31" w:type="dxa"/>
            <w:tcBorders>
              <w:top w:val="single" w:sz="4" w:space="0" w:color="auto"/>
              <w:left w:val="nil"/>
              <w:bottom w:val="dotted" w:sz="4" w:space="0" w:color="auto"/>
              <w:right w:val="single" w:sz="8" w:space="0" w:color="auto"/>
            </w:tcBorders>
            <w:noWrap/>
            <w:vAlign w:val="center"/>
          </w:tcPr>
          <w:p w14:paraId="753C5968"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411" w:type="dxa"/>
            <w:tcBorders>
              <w:top w:val="single" w:sz="4" w:space="0" w:color="auto"/>
              <w:left w:val="nil"/>
              <w:bottom w:val="dotted" w:sz="4" w:space="0" w:color="auto"/>
              <w:right w:val="dotted" w:sz="4" w:space="0" w:color="auto"/>
            </w:tcBorders>
            <w:noWrap/>
            <w:vAlign w:val="center"/>
          </w:tcPr>
          <w:p w14:paraId="273EF241"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tcBorders>
              <w:top w:val="single" w:sz="4" w:space="0" w:color="auto"/>
              <w:left w:val="nil"/>
              <w:bottom w:val="dotted" w:sz="4" w:space="0" w:color="auto"/>
              <w:right w:val="single" w:sz="8" w:space="0" w:color="auto"/>
            </w:tcBorders>
            <w:noWrap/>
            <w:vAlign w:val="center"/>
          </w:tcPr>
          <w:p w14:paraId="34E06AAD"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tcBorders>
              <w:top w:val="single" w:sz="4" w:space="0" w:color="auto"/>
              <w:left w:val="nil"/>
              <w:bottom w:val="dotted" w:sz="4" w:space="0" w:color="auto"/>
              <w:right w:val="dotted" w:sz="4" w:space="0" w:color="auto"/>
            </w:tcBorders>
            <w:noWrap/>
            <w:vAlign w:val="center"/>
          </w:tcPr>
          <w:p w14:paraId="20693821"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31" w:type="dxa"/>
            <w:tcBorders>
              <w:top w:val="single" w:sz="4" w:space="0" w:color="auto"/>
              <w:left w:val="nil"/>
              <w:bottom w:val="dotted" w:sz="4" w:space="0" w:color="auto"/>
              <w:right w:val="single" w:sz="8" w:space="0" w:color="auto"/>
            </w:tcBorders>
            <w:noWrap/>
            <w:vAlign w:val="center"/>
          </w:tcPr>
          <w:p w14:paraId="7F9B1630"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single" w:sz="4" w:space="0" w:color="auto"/>
              <w:left w:val="nil"/>
              <w:bottom w:val="dotted" w:sz="4" w:space="0" w:color="auto"/>
              <w:right w:val="dotted" w:sz="4" w:space="0" w:color="auto"/>
            </w:tcBorders>
            <w:noWrap/>
            <w:vAlign w:val="center"/>
          </w:tcPr>
          <w:p w14:paraId="7BAF2539"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tcBorders>
              <w:top w:val="single" w:sz="4" w:space="0" w:color="auto"/>
              <w:left w:val="nil"/>
              <w:bottom w:val="dotted" w:sz="4" w:space="0" w:color="auto"/>
              <w:right w:val="single" w:sz="8" w:space="0" w:color="auto"/>
            </w:tcBorders>
            <w:noWrap/>
            <w:vAlign w:val="center"/>
          </w:tcPr>
          <w:p w14:paraId="0933EA3B"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tcBorders>
              <w:top w:val="single" w:sz="4" w:space="0" w:color="auto"/>
              <w:left w:val="nil"/>
              <w:bottom w:val="dotted" w:sz="4" w:space="0" w:color="auto"/>
              <w:right w:val="dotted" w:sz="4" w:space="0" w:color="auto"/>
            </w:tcBorders>
            <w:noWrap/>
            <w:vAlign w:val="center"/>
          </w:tcPr>
          <w:p w14:paraId="27AD89EA"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X</w:t>
            </w:r>
          </w:p>
        </w:tc>
        <w:tc>
          <w:tcPr>
            <w:tcW w:w="1264" w:type="dxa"/>
            <w:tcBorders>
              <w:top w:val="single" w:sz="4" w:space="0" w:color="auto"/>
              <w:left w:val="nil"/>
              <w:bottom w:val="dotted" w:sz="4" w:space="0" w:color="auto"/>
            </w:tcBorders>
            <w:noWrap/>
            <w:vAlign w:val="center"/>
          </w:tcPr>
          <w:p w14:paraId="3D51C520" w14:textId="77777777" w:rsidR="00970EFB"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€888.32</w:t>
            </w:r>
          </w:p>
          <w:p w14:paraId="47909D7D" w14:textId="209E4DF3" w:rsidR="00250F9E"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€2,914.00</w:t>
            </w:r>
          </w:p>
        </w:tc>
      </w:tr>
      <w:tr w:rsidR="00970EFB" w:rsidRPr="00E33CC4" w14:paraId="3195016D" w14:textId="77777777" w:rsidTr="00055D05">
        <w:trPr>
          <w:trHeight w:val="290"/>
          <w:jc w:val="center"/>
        </w:trPr>
        <w:tc>
          <w:tcPr>
            <w:tcW w:w="1317" w:type="dxa"/>
            <w:vMerge w:val="restart"/>
            <w:tcBorders>
              <w:top w:val="dotted" w:sz="4" w:space="0" w:color="auto"/>
              <w:left w:val="nil"/>
              <w:right w:val="single" w:sz="8" w:space="0" w:color="auto"/>
            </w:tcBorders>
            <w:noWrap/>
            <w:vAlign w:val="center"/>
          </w:tcPr>
          <w:p w14:paraId="3EC57C0A"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Algeria</w:t>
            </w:r>
          </w:p>
        </w:tc>
        <w:tc>
          <w:tcPr>
            <w:tcW w:w="475" w:type="dxa"/>
            <w:tcBorders>
              <w:top w:val="dotted" w:sz="4" w:space="0" w:color="auto"/>
              <w:left w:val="nil"/>
              <w:bottom w:val="nil"/>
              <w:right w:val="dotted" w:sz="4" w:space="0" w:color="auto"/>
            </w:tcBorders>
            <w:noWrap/>
            <w:vAlign w:val="center"/>
          </w:tcPr>
          <w:p w14:paraId="39347129"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nil"/>
              <w:right w:val="single" w:sz="8" w:space="0" w:color="auto"/>
            </w:tcBorders>
            <w:noWrap/>
            <w:vAlign w:val="center"/>
          </w:tcPr>
          <w:p w14:paraId="2BE61075"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€3,021.17</w:t>
            </w:r>
          </w:p>
        </w:tc>
        <w:tc>
          <w:tcPr>
            <w:tcW w:w="411" w:type="dxa"/>
            <w:vMerge w:val="restart"/>
            <w:tcBorders>
              <w:top w:val="dotted" w:sz="4" w:space="0" w:color="auto"/>
              <w:left w:val="nil"/>
              <w:right w:val="dotted" w:sz="4" w:space="0" w:color="auto"/>
            </w:tcBorders>
            <w:noWrap/>
            <w:vAlign w:val="center"/>
          </w:tcPr>
          <w:p w14:paraId="341214D2"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X</w:t>
            </w:r>
          </w:p>
        </w:tc>
        <w:tc>
          <w:tcPr>
            <w:tcW w:w="1143" w:type="dxa"/>
            <w:vMerge w:val="restart"/>
            <w:tcBorders>
              <w:top w:val="dotted" w:sz="4" w:space="0" w:color="auto"/>
              <w:left w:val="nil"/>
              <w:right w:val="single" w:sz="8" w:space="0" w:color="auto"/>
            </w:tcBorders>
            <w:noWrap/>
            <w:vAlign w:val="center"/>
          </w:tcPr>
          <w:p w14:paraId="34B59E99"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€2,608.51</w:t>
            </w:r>
          </w:p>
        </w:tc>
        <w:tc>
          <w:tcPr>
            <w:tcW w:w="377" w:type="dxa"/>
            <w:vMerge w:val="restart"/>
            <w:tcBorders>
              <w:top w:val="dotted" w:sz="4" w:space="0" w:color="auto"/>
              <w:left w:val="nil"/>
              <w:right w:val="dotted" w:sz="4" w:space="0" w:color="auto"/>
            </w:tcBorders>
            <w:noWrap/>
            <w:vAlign w:val="center"/>
          </w:tcPr>
          <w:p w14:paraId="3692130C"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val="restart"/>
            <w:tcBorders>
              <w:top w:val="dotted" w:sz="4" w:space="0" w:color="auto"/>
              <w:left w:val="nil"/>
              <w:right w:val="single" w:sz="8" w:space="0" w:color="auto"/>
            </w:tcBorders>
            <w:noWrap/>
            <w:vAlign w:val="center"/>
          </w:tcPr>
          <w:p w14:paraId="1CF1876E"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nil"/>
              <w:right w:val="dotted" w:sz="4" w:space="0" w:color="auto"/>
            </w:tcBorders>
            <w:noWrap/>
            <w:vAlign w:val="center"/>
          </w:tcPr>
          <w:p w14:paraId="78E5592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val="restart"/>
            <w:tcBorders>
              <w:top w:val="dotted" w:sz="4" w:space="0" w:color="auto"/>
              <w:left w:val="nil"/>
              <w:right w:val="single" w:sz="8" w:space="0" w:color="auto"/>
            </w:tcBorders>
            <w:noWrap/>
            <w:vAlign w:val="center"/>
          </w:tcPr>
          <w:p w14:paraId="119A3757"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val="restart"/>
            <w:tcBorders>
              <w:top w:val="dotted" w:sz="4" w:space="0" w:color="auto"/>
              <w:left w:val="nil"/>
              <w:right w:val="dotted" w:sz="4" w:space="0" w:color="auto"/>
            </w:tcBorders>
            <w:noWrap/>
            <w:vAlign w:val="center"/>
          </w:tcPr>
          <w:p w14:paraId="6449B5FB"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EE0000"/>
                <w:sz w:val="18"/>
              </w:rPr>
              <w:t>X</w:t>
            </w:r>
          </w:p>
        </w:tc>
        <w:tc>
          <w:tcPr>
            <w:tcW w:w="1264" w:type="dxa"/>
            <w:vMerge w:val="restart"/>
            <w:tcBorders>
              <w:top w:val="dotted" w:sz="4" w:space="0" w:color="auto"/>
              <w:left w:val="nil"/>
            </w:tcBorders>
            <w:noWrap/>
            <w:vAlign w:val="center"/>
          </w:tcPr>
          <w:p w14:paraId="0487887E" w14:textId="77777777" w:rsidR="00970EFB" w:rsidRPr="00E33CC4" w:rsidRDefault="00250F9E" w:rsidP="00E33CC4">
            <w:pPr>
              <w:spacing w:after="0" w:line="240" w:lineRule="auto"/>
              <w:jc w:val="right"/>
              <w:rPr>
                <w:rFonts w:ascii="Cambria" w:eastAsia="Times New Roman" w:hAnsi="Cambria" w:cs="Calibri"/>
                <w:color w:val="EE0000"/>
                <w:sz w:val="18"/>
                <w:szCs w:val="18"/>
              </w:rPr>
            </w:pPr>
            <w:r w:rsidRPr="00E33CC4">
              <w:rPr>
                <w:rFonts w:ascii="Cambria" w:hAnsi="Cambria"/>
                <w:color w:val="EE0000"/>
                <w:sz w:val="18"/>
              </w:rPr>
              <w:t>€370.05</w:t>
            </w:r>
          </w:p>
          <w:p w14:paraId="7AD752EB" w14:textId="0BF26FD1" w:rsidR="00250F9E" w:rsidRPr="00E33CC4" w:rsidDel="00B3099B"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€2,666.00</w:t>
            </w:r>
          </w:p>
        </w:tc>
      </w:tr>
      <w:tr w:rsidR="00970EFB" w:rsidRPr="00E33CC4" w14:paraId="1F735202" w14:textId="77777777" w:rsidTr="00055D05">
        <w:trPr>
          <w:trHeight w:val="290"/>
          <w:jc w:val="center"/>
        </w:trPr>
        <w:tc>
          <w:tcPr>
            <w:tcW w:w="1317" w:type="dxa"/>
            <w:vMerge/>
            <w:tcBorders>
              <w:left w:val="nil"/>
              <w:right w:val="single" w:sz="8" w:space="0" w:color="auto"/>
            </w:tcBorders>
            <w:noWrap/>
            <w:vAlign w:val="center"/>
          </w:tcPr>
          <w:p w14:paraId="3C647669"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751F5C61"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nil"/>
              <w:right w:val="single" w:sz="8" w:space="0" w:color="auto"/>
            </w:tcBorders>
            <w:noWrap/>
            <w:vAlign w:val="center"/>
          </w:tcPr>
          <w:p w14:paraId="4F27E4F5"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€2,706.40</w:t>
            </w:r>
          </w:p>
        </w:tc>
        <w:tc>
          <w:tcPr>
            <w:tcW w:w="411" w:type="dxa"/>
            <w:vMerge/>
            <w:tcBorders>
              <w:left w:val="nil"/>
              <w:right w:val="dotted" w:sz="4" w:space="0" w:color="auto"/>
            </w:tcBorders>
            <w:noWrap/>
            <w:vAlign w:val="center"/>
          </w:tcPr>
          <w:p w14:paraId="48875E40"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0C378F86"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4A89CC1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236761FA"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50268292"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706BF134"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781153BE"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4BC6A9F7"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4230432E" w14:textId="77777777" w:rsidTr="00055D05">
        <w:trPr>
          <w:trHeight w:val="290"/>
          <w:jc w:val="center"/>
        </w:trPr>
        <w:tc>
          <w:tcPr>
            <w:tcW w:w="1317" w:type="dxa"/>
            <w:tcBorders>
              <w:top w:val="dotted" w:sz="4" w:space="0" w:color="auto"/>
              <w:left w:val="nil"/>
              <w:bottom w:val="dotted" w:sz="4" w:space="0" w:color="auto"/>
              <w:right w:val="single" w:sz="8" w:space="0" w:color="auto"/>
            </w:tcBorders>
            <w:noWrap/>
            <w:vAlign w:val="center"/>
            <w:hideMark/>
          </w:tcPr>
          <w:p w14:paraId="261DD212"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Belize</w:t>
            </w:r>
          </w:p>
        </w:tc>
        <w:tc>
          <w:tcPr>
            <w:tcW w:w="475" w:type="dxa"/>
            <w:tcBorders>
              <w:top w:val="dotted" w:sz="4" w:space="0" w:color="auto"/>
              <w:left w:val="nil"/>
              <w:bottom w:val="dotted" w:sz="4" w:space="0" w:color="auto"/>
              <w:right w:val="dotted" w:sz="4" w:space="0" w:color="auto"/>
            </w:tcBorders>
            <w:noWrap/>
            <w:vAlign w:val="center"/>
          </w:tcPr>
          <w:p w14:paraId="6110D0FB"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5D2E2238"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nil"/>
              <w:bottom w:val="dotted" w:sz="4" w:space="0" w:color="auto"/>
              <w:right w:val="dotted" w:sz="4" w:space="0" w:color="auto"/>
            </w:tcBorders>
            <w:noWrap/>
            <w:vAlign w:val="center"/>
          </w:tcPr>
          <w:p w14:paraId="4DE3B3E8"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tcBorders>
              <w:top w:val="dotted" w:sz="4" w:space="0" w:color="auto"/>
              <w:left w:val="nil"/>
              <w:bottom w:val="dotted" w:sz="4" w:space="0" w:color="auto"/>
              <w:right w:val="single" w:sz="8" w:space="0" w:color="auto"/>
            </w:tcBorders>
            <w:noWrap/>
            <w:vAlign w:val="center"/>
          </w:tcPr>
          <w:p w14:paraId="3379A4E6"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tcBorders>
              <w:top w:val="dotted" w:sz="4" w:space="0" w:color="auto"/>
              <w:left w:val="nil"/>
              <w:bottom w:val="dotted" w:sz="4" w:space="0" w:color="auto"/>
              <w:right w:val="dotted" w:sz="4" w:space="0" w:color="auto"/>
            </w:tcBorders>
            <w:noWrap/>
            <w:vAlign w:val="center"/>
          </w:tcPr>
          <w:p w14:paraId="5CB7C852"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118CD78B"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6335BC98"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bottom w:val="dotted" w:sz="4" w:space="0" w:color="auto"/>
              <w:right w:val="single" w:sz="8" w:space="0" w:color="auto"/>
            </w:tcBorders>
            <w:noWrap/>
            <w:vAlign w:val="center"/>
          </w:tcPr>
          <w:p w14:paraId="1F910FE7"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tcBorders>
              <w:top w:val="dotted" w:sz="4" w:space="0" w:color="auto"/>
              <w:left w:val="nil"/>
              <w:bottom w:val="dotted" w:sz="4" w:space="0" w:color="auto"/>
              <w:right w:val="dotted" w:sz="4" w:space="0" w:color="auto"/>
            </w:tcBorders>
            <w:noWrap/>
            <w:vAlign w:val="center"/>
          </w:tcPr>
          <w:p w14:paraId="1B1BCDFD"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64" w:type="dxa"/>
            <w:tcBorders>
              <w:top w:val="dotted" w:sz="4" w:space="0" w:color="auto"/>
              <w:left w:val="nil"/>
              <w:bottom w:val="dotted" w:sz="4" w:space="0" w:color="auto"/>
              <w:right w:val="nil"/>
            </w:tcBorders>
            <w:noWrap/>
            <w:vAlign w:val="center"/>
          </w:tcPr>
          <w:p w14:paraId="5AD940A3" w14:textId="77777777" w:rsidR="00250F9E"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€1,775.57</w:t>
            </w:r>
          </w:p>
          <w:p w14:paraId="14BA17D0" w14:textId="44FF6AF3" w:rsidR="00970EFB"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€3,176.40</w:t>
            </w:r>
          </w:p>
        </w:tc>
      </w:tr>
      <w:tr w:rsidR="00970EFB" w:rsidRPr="00E33CC4" w14:paraId="61153ECE" w14:textId="77777777" w:rsidTr="00055D05">
        <w:trPr>
          <w:trHeight w:val="290"/>
          <w:jc w:val="center"/>
        </w:trPr>
        <w:tc>
          <w:tcPr>
            <w:tcW w:w="1317" w:type="dxa"/>
            <w:vMerge w:val="restart"/>
            <w:tcBorders>
              <w:top w:val="dotted" w:sz="4" w:space="0" w:color="auto"/>
              <w:left w:val="nil"/>
              <w:right w:val="single" w:sz="8" w:space="0" w:color="auto"/>
            </w:tcBorders>
            <w:noWrap/>
            <w:vAlign w:val="center"/>
          </w:tcPr>
          <w:p w14:paraId="508E1387"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Brazil</w:t>
            </w:r>
          </w:p>
        </w:tc>
        <w:tc>
          <w:tcPr>
            <w:tcW w:w="475" w:type="dxa"/>
            <w:tcBorders>
              <w:top w:val="dotted" w:sz="4" w:space="0" w:color="auto"/>
              <w:left w:val="nil"/>
              <w:bottom w:val="nil"/>
              <w:right w:val="dotted" w:sz="4" w:space="0" w:color="auto"/>
            </w:tcBorders>
            <w:noWrap/>
            <w:vAlign w:val="center"/>
          </w:tcPr>
          <w:p w14:paraId="758FF762"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b)</w:t>
            </w:r>
          </w:p>
        </w:tc>
        <w:tc>
          <w:tcPr>
            <w:tcW w:w="1231" w:type="dxa"/>
            <w:tcBorders>
              <w:top w:val="dotted" w:sz="4" w:space="0" w:color="auto"/>
              <w:left w:val="nil"/>
              <w:bottom w:val="nil"/>
              <w:right w:val="single" w:sz="8" w:space="0" w:color="auto"/>
            </w:tcBorders>
            <w:noWrap/>
            <w:vAlign w:val="center"/>
          </w:tcPr>
          <w:p w14:paraId="2F126689"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€3,308.86</w:t>
            </w:r>
          </w:p>
        </w:tc>
        <w:tc>
          <w:tcPr>
            <w:tcW w:w="411" w:type="dxa"/>
            <w:vMerge w:val="restart"/>
            <w:tcBorders>
              <w:top w:val="dotted" w:sz="4" w:space="0" w:color="auto"/>
              <w:left w:val="nil"/>
              <w:right w:val="dotted" w:sz="4" w:space="0" w:color="auto"/>
            </w:tcBorders>
            <w:noWrap/>
            <w:vAlign w:val="center"/>
          </w:tcPr>
          <w:p w14:paraId="6FF45A07"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0C2EAA98"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755339FF"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val="restart"/>
            <w:tcBorders>
              <w:top w:val="dotted" w:sz="4" w:space="0" w:color="auto"/>
              <w:left w:val="nil"/>
              <w:right w:val="single" w:sz="8" w:space="0" w:color="auto"/>
            </w:tcBorders>
            <w:noWrap/>
            <w:vAlign w:val="center"/>
          </w:tcPr>
          <w:p w14:paraId="14E4CEFF"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nil"/>
              <w:right w:val="dotted" w:sz="4" w:space="0" w:color="auto"/>
            </w:tcBorders>
            <w:noWrap/>
            <w:vAlign w:val="center"/>
          </w:tcPr>
          <w:p w14:paraId="28E5BAB8"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353" w:type="dxa"/>
            <w:vMerge w:val="restart"/>
            <w:tcBorders>
              <w:top w:val="dotted" w:sz="4" w:space="0" w:color="auto"/>
              <w:left w:val="nil"/>
              <w:right w:val="single" w:sz="8" w:space="0" w:color="auto"/>
            </w:tcBorders>
            <w:noWrap/>
            <w:vAlign w:val="center"/>
          </w:tcPr>
          <w:p w14:paraId="1038F386"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€1,208.35</w:t>
            </w:r>
          </w:p>
        </w:tc>
        <w:tc>
          <w:tcPr>
            <w:tcW w:w="426" w:type="dxa"/>
            <w:vMerge w:val="restart"/>
            <w:tcBorders>
              <w:top w:val="dotted" w:sz="4" w:space="0" w:color="auto"/>
              <w:left w:val="nil"/>
              <w:right w:val="dotted" w:sz="4" w:space="0" w:color="auto"/>
            </w:tcBorders>
            <w:noWrap/>
            <w:vAlign w:val="center"/>
          </w:tcPr>
          <w:p w14:paraId="73E30483"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64" w:type="dxa"/>
            <w:vMerge w:val="restart"/>
            <w:tcBorders>
              <w:top w:val="dotted" w:sz="4" w:space="0" w:color="auto"/>
              <w:left w:val="nil"/>
            </w:tcBorders>
            <w:noWrap/>
            <w:vAlign w:val="center"/>
          </w:tcPr>
          <w:p w14:paraId="02487051" w14:textId="77777777" w:rsidR="00250F9E"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€1,127.11</w:t>
            </w:r>
          </w:p>
          <w:p w14:paraId="67311591" w14:textId="5E09722F" w:rsidR="00970EFB"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€2,852.00</w:t>
            </w:r>
          </w:p>
        </w:tc>
      </w:tr>
      <w:tr w:rsidR="00970EFB" w:rsidRPr="00E33CC4" w14:paraId="7EE559D8" w14:textId="77777777" w:rsidTr="00055D05">
        <w:trPr>
          <w:trHeight w:val="290"/>
          <w:jc w:val="center"/>
        </w:trPr>
        <w:tc>
          <w:tcPr>
            <w:tcW w:w="1317" w:type="dxa"/>
            <w:vMerge/>
            <w:tcBorders>
              <w:top w:val="dotted" w:sz="4" w:space="0" w:color="auto"/>
              <w:left w:val="nil"/>
              <w:right w:val="single" w:sz="8" w:space="0" w:color="auto"/>
            </w:tcBorders>
            <w:noWrap/>
            <w:vAlign w:val="center"/>
          </w:tcPr>
          <w:p w14:paraId="07174A98"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23954FF5"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e)</w:t>
            </w:r>
          </w:p>
        </w:tc>
        <w:tc>
          <w:tcPr>
            <w:tcW w:w="1231" w:type="dxa"/>
            <w:tcBorders>
              <w:top w:val="dotted" w:sz="4" w:space="0" w:color="auto"/>
              <w:left w:val="nil"/>
              <w:bottom w:val="nil"/>
              <w:right w:val="single" w:sz="8" w:space="0" w:color="auto"/>
            </w:tcBorders>
            <w:noWrap/>
            <w:vAlign w:val="center"/>
          </w:tcPr>
          <w:p w14:paraId="32294053"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€5,196.37</w:t>
            </w:r>
          </w:p>
        </w:tc>
        <w:tc>
          <w:tcPr>
            <w:tcW w:w="411" w:type="dxa"/>
            <w:vMerge/>
            <w:tcBorders>
              <w:top w:val="dotted" w:sz="4" w:space="0" w:color="auto"/>
              <w:left w:val="nil"/>
              <w:right w:val="dotted" w:sz="4" w:space="0" w:color="auto"/>
            </w:tcBorders>
            <w:noWrap/>
            <w:vAlign w:val="center"/>
          </w:tcPr>
          <w:p w14:paraId="73956D37"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tcBorders>
              <w:top w:val="dotted" w:sz="4" w:space="0" w:color="auto"/>
              <w:left w:val="nil"/>
              <w:right w:val="single" w:sz="8" w:space="0" w:color="auto"/>
            </w:tcBorders>
            <w:noWrap/>
            <w:vAlign w:val="center"/>
          </w:tcPr>
          <w:p w14:paraId="468BD89B"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tcBorders>
              <w:top w:val="dotted" w:sz="4" w:space="0" w:color="auto"/>
              <w:left w:val="nil"/>
              <w:right w:val="dotted" w:sz="4" w:space="0" w:color="auto"/>
            </w:tcBorders>
            <w:noWrap/>
            <w:vAlign w:val="center"/>
          </w:tcPr>
          <w:p w14:paraId="7E01956F"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top w:val="dotted" w:sz="4" w:space="0" w:color="auto"/>
              <w:left w:val="nil"/>
              <w:right w:val="single" w:sz="8" w:space="0" w:color="auto"/>
            </w:tcBorders>
            <w:noWrap/>
            <w:vAlign w:val="center"/>
          </w:tcPr>
          <w:p w14:paraId="1DCECF71"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nil"/>
              <w:right w:val="dotted" w:sz="4" w:space="0" w:color="auto"/>
            </w:tcBorders>
            <w:noWrap/>
            <w:vAlign w:val="center"/>
          </w:tcPr>
          <w:p w14:paraId="21F8EF4E"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right w:val="single" w:sz="8" w:space="0" w:color="auto"/>
            </w:tcBorders>
            <w:noWrap/>
            <w:vAlign w:val="center"/>
          </w:tcPr>
          <w:p w14:paraId="6601413A"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right w:val="dotted" w:sz="4" w:space="0" w:color="auto"/>
            </w:tcBorders>
            <w:noWrap/>
            <w:vAlign w:val="center"/>
          </w:tcPr>
          <w:p w14:paraId="59302942"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64" w:type="dxa"/>
            <w:vMerge/>
            <w:tcBorders>
              <w:top w:val="dotted" w:sz="4" w:space="0" w:color="auto"/>
              <w:left w:val="nil"/>
            </w:tcBorders>
            <w:noWrap/>
            <w:vAlign w:val="center"/>
          </w:tcPr>
          <w:p w14:paraId="27ABA4FE"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76F4C9EC" w14:textId="77777777" w:rsidTr="00055D05">
        <w:trPr>
          <w:trHeight w:val="290"/>
          <w:jc w:val="center"/>
        </w:trPr>
        <w:tc>
          <w:tcPr>
            <w:tcW w:w="1317" w:type="dxa"/>
            <w:vMerge/>
            <w:tcBorders>
              <w:top w:val="dotted" w:sz="4" w:space="0" w:color="auto"/>
              <w:left w:val="nil"/>
              <w:right w:val="single" w:sz="8" w:space="0" w:color="auto"/>
            </w:tcBorders>
            <w:noWrap/>
            <w:vAlign w:val="center"/>
          </w:tcPr>
          <w:p w14:paraId="3FB4AECD"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11A2C7B7"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f) C</w:t>
            </w:r>
          </w:p>
        </w:tc>
        <w:tc>
          <w:tcPr>
            <w:tcW w:w="1231" w:type="dxa"/>
            <w:tcBorders>
              <w:top w:val="dotted" w:sz="4" w:space="0" w:color="auto"/>
              <w:left w:val="nil"/>
              <w:bottom w:val="nil"/>
              <w:right w:val="single" w:sz="8" w:space="0" w:color="auto"/>
            </w:tcBorders>
            <w:noWrap/>
            <w:vAlign w:val="center"/>
          </w:tcPr>
          <w:p w14:paraId="2CD477C5"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€18.00</w:t>
            </w:r>
          </w:p>
        </w:tc>
        <w:tc>
          <w:tcPr>
            <w:tcW w:w="411" w:type="dxa"/>
            <w:vMerge/>
            <w:tcBorders>
              <w:top w:val="dotted" w:sz="4" w:space="0" w:color="auto"/>
              <w:left w:val="nil"/>
              <w:right w:val="dotted" w:sz="4" w:space="0" w:color="auto"/>
            </w:tcBorders>
            <w:noWrap/>
            <w:vAlign w:val="center"/>
          </w:tcPr>
          <w:p w14:paraId="6E03948F"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tcBorders>
              <w:top w:val="dotted" w:sz="4" w:space="0" w:color="auto"/>
              <w:left w:val="nil"/>
              <w:right w:val="single" w:sz="8" w:space="0" w:color="auto"/>
            </w:tcBorders>
            <w:noWrap/>
            <w:vAlign w:val="center"/>
          </w:tcPr>
          <w:p w14:paraId="1A67238B"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tcBorders>
              <w:top w:val="dotted" w:sz="4" w:space="0" w:color="auto"/>
              <w:left w:val="nil"/>
              <w:right w:val="dotted" w:sz="4" w:space="0" w:color="auto"/>
            </w:tcBorders>
            <w:noWrap/>
            <w:vAlign w:val="center"/>
          </w:tcPr>
          <w:p w14:paraId="01CB4D10"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top w:val="dotted" w:sz="4" w:space="0" w:color="auto"/>
              <w:left w:val="nil"/>
              <w:right w:val="single" w:sz="8" w:space="0" w:color="auto"/>
            </w:tcBorders>
            <w:noWrap/>
            <w:vAlign w:val="center"/>
          </w:tcPr>
          <w:p w14:paraId="6F580FD0"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nil"/>
              <w:right w:val="dotted" w:sz="4" w:space="0" w:color="auto"/>
            </w:tcBorders>
            <w:noWrap/>
            <w:vAlign w:val="center"/>
          </w:tcPr>
          <w:p w14:paraId="206396D4"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right w:val="single" w:sz="8" w:space="0" w:color="auto"/>
            </w:tcBorders>
            <w:noWrap/>
            <w:vAlign w:val="center"/>
          </w:tcPr>
          <w:p w14:paraId="279DFB97"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right w:val="dotted" w:sz="4" w:space="0" w:color="auto"/>
            </w:tcBorders>
            <w:noWrap/>
            <w:vAlign w:val="center"/>
          </w:tcPr>
          <w:p w14:paraId="72C988A6"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64" w:type="dxa"/>
            <w:vMerge/>
            <w:tcBorders>
              <w:top w:val="dotted" w:sz="4" w:space="0" w:color="auto"/>
              <w:left w:val="nil"/>
            </w:tcBorders>
            <w:noWrap/>
            <w:vAlign w:val="center"/>
          </w:tcPr>
          <w:p w14:paraId="388C3C5F"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19259F8F" w14:textId="77777777" w:rsidTr="00055D05">
        <w:trPr>
          <w:trHeight w:val="290"/>
          <w:jc w:val="center"/>
        </w:trPr>
        <w:tc>
          <w:tcPr>
            <w:tcW w:w="1317" w:type="dxa"/>
            <w:vMerge/>
            <w:tcBorders>
              <w:top w:val="dotted" w:sz="4" w:space="0" w:color="auto"/>
              <w:left w:val="nil"/>
              <w:right w:val="single" w:sz="8" w:space="0" w:color="auto"/>
            </w:tcBorders>
            <w:noWrap/>
            <w:vAlign w:val="center"/>
          </w:tcPr>
          <w:p w14:paraId="27F35287"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3CB1DF2F"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g)</w:t>
            </w:r>
          </w:p>
        </w:tc>
        <w:tc>
          <w:tcPr>
            <w:tcW w:w="1231" w:type="dxa"/>
            <w:tcBorders>
              <w:top w:val="dotted" w:sz="4" w:space="0" w:color="auto"/>
              <w:left w:val="nil"/>
              <w:bottom w:val="nil"/>
              <w:right w:val="single" w:sz="8" w:space="0" w:color="auto"/>
            </w:tcBorders>
            <w:noWrap/>
            <w:vAlign w:val="center"/>
          </w:tcPr>
          <w:p w14:paraId="0ECBD542"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€1,944.91</w:t>
            </w:r>
          </w:p>
        </w:tc>
        <w:tc>
          <w:tcPr>
            <w:tcW w:w="411" w:type="dxa"/>
            <w:vMerge/>
            <w:tcBorders>
              <w:top w:val="dotted" w:sz="4" w:space="0" w:color="auto"/>
              <w:left w:val="nil"/>
              <w:right w:val="dotted" w:sz="4" w:space="0" w:color="auto"/>
            </w:tcBorders>
            <w:noWrap/>
            <w:vAlign w:val="center"/>
          </w:tcPr>
          <w:p w14:paraId="3CC10DE2"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tcBorders>
              <w:top w:val="dotted" w:sz="4" w:space="0" w:color="auto"/>
              <w:left w:val="nil"/>
              <w:right w:val="single" w:sz="8" w:space="0" w:color="auto"/>
            </w:tcBorders>
            <w:noWrap/>
            <w:vAlign w:val="center"/>
          </w:tcPr>
          <w:p w14:paraId="553E66D3"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tcBorders>
              <w:top w:val="dotted" w:sz="4" w:space="0" w:color="auto"/>
              <w:left w:val="nil"/>
              <w:right w:val="dotted" w:sz="4" w:space="0" w:color="auto"/>
            </w:tcBorders>
            <w:noWrap/>
            <w:vAlign w:val="center"/>
          </w:tcPr>
          <w:p w14:paraId="55FB90AE"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top w:val="dotted" w:sz="4" w:space="0" w:color="auto"/>
              <w:left w:val="nil"/>
              <w:right w:val="single" w:sz="8" w:space="0" w:color="auto"/>
            </w:tcBorders>
            <w:noWrap/>
            <w:vAlign w:val="center"/>
          </w:tcPr>
          <w:p w14:paraId="2EEA4FDC"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nil"/>
              <w:right w:val="dotted" w:sz="4" w:space="0" w:color="auto"/>
            </w:tcBorders>
            <w:noWrap/>
            <w:vAlign w:val="center"/>
          </w:tcPr>
          <w:p w14:paraId="6E066CEE"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right w:val="single" w:sz="8" w:space="0" w:color="auto"/>
            </w:tcBorders>
            <w:noWrap/>
            <w:vAlign w:val="center"/>
          </w:tcPr>
          <w:p w14:paraId="078DE7A4"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right w:val="dotted" w:sz="4" w:space="0" w:color="auto"/>
            </w:tcBorders>
            <w:noWrap/>
            <w:vAlign w:val="center"/>
          </w:tcPr>
          <w:p w14:paraId="69FC37BF"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64" w:type="dxa"/>
            <w:vMerge/>
            <w:tcBorders>
              <w:top w:val="dotted" w:sz="4" w:space="0" w:color="auto"/>
              <w:left w:val="nil"/>
            </w:tcBorders>
            <w:noWrap/>
            <w:vAlign w:val="center"/>
          </w:tcPr>
          <w:p w14:paraId="0BF38AEF"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6AF41978" w14:textId="77777777" w:rsidTr="00055D05">
        <w:trPr>
          <w:trHeight w:val="290"/>
          <w:jc w:val="center"/>
        </w:trPr>
        <w:tc>
          <w:tcPr>
            <w:tcW w:w="1317" w:type="dxa"/>
            <w:vMerge/>
            <w:tcBorders>
              <w:top w:val="dotted" w:sz="4" w:space="0" w:color="auto"/>
              <w:left w:val="nil"/>
              <w:right w:val="single" w:sz="8" w:space="0" w:color="auto"/>
            </w:tcBorders>
            <w:noWrap/>
            <w:vAlign w:val="center"/>
          </w:tcPr>
          <w:p w14:paraId="5366F548"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2FDCBE2C"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h)</w:t>
            </w:r>
          </w:p>
        </w:tc>
        <w:tc>
          <w:tcPr>
            <w:tcW w:w="1231" w:type="dxa"/>
            <w:tcBorders>
              <w:top w:val="dotted" w:sz="4" w:space="0" w:color="auto"/>
              <w:left w:val="nil"/>
              <w:bottom w:val="nil"/>
              <w:right w:val="single" w:sz="8" w:space="0" w:color="auto"/>
            </w:tcBorders>
            <w:noWrap/>
            <w:vAlign w:val="center"/>
          </w:tcPr>
          <w:p w14:paraId="427870DB"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€2,896.28</w:t>
            </w:r>
          </w:p>
        </w:tc>
        <w:tc>
          <w:tcPr>
            <w:tcW w:w="411" w:type="dxa"/>
            <w:vMerge/>
            <w:tcBorders>
              <w:top w:val="dotted" w:sz="4" w:space="0" w:color="auto"/>
              <w:left w:val="nil"/>
              <w:right w:val="dotted" w:sz="4" w:space="0" w:color="auto"/>
            </w:tcBorders>
            <w:noWrap/>
            <w:vAlign w:val="center"/>
          </w:tcPr>
          <w:p w14:paraId="218E575B"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tcBorders>
              <w:top w:val="dotted" w:sz="4" w:space="0" w:color="auto"/>
              <w:left w:val="nil"/>
              <w:right w:val="single" w:sz="8" w:space="0" w:color="auto"/>
            </w:tcBorders>
            <w:noWrap/>
            <w:vAlign w:val="center"/>
          </w:tcPr>
          <w:p w14:paraId="6CB9F0B5"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tcBorders>
              <w:top w:val="dotted" w:sz="4" w:space="0" w:color="auto"/>
              <w:left w:val="nil"/>
              <w:right w:val="dotted" w:sz="4" w:space="0" w:color="auto"/>
            </w:tcBorders>
            <w:noWrap/>
            <w:vAlign w:val="center"/>
          </w:tcPr>
          <w:p w14:paraId="345447DD"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top w:val="dotted" w:sz="4" w:space="0" w:color="auto"/>
              <w:left w:val="nil"/>
              <w:right w:val="single" w:sz="8" w:space="0" w:color="auto"/>
            </w:tcBorders>
            <w:noWrap/>
            <w:vAlign w:val="center"/>
          </w:tcPr>
          <w:p w14:paraId="2055C9B8"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nil"/>
              <w:right w:val="dotted" w:sz="4" w:space="0" w:color="auto"/>
            </w:tcBorders>
            <w:noWrap/>
            <w:vAlign w:val="center"/>
          </w:tcPr>
          <w:p w14:paraId="162868EB"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right w:val="single" w:sz="8" w:space="0" w:color="auto"/>
            </w:tcBorders>
            <w:noWrap/>
            <w:vAlign w:val="center"/>
          </w:tcPr>
          <w:p w14:paraId="274DC761"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right w:val="dotted" w:sz="4" w:space="0" w:color="auto"/>
            </w:tcBorders>
            <w:noWrap/>
            <w:vAlign w:val="center"/>
          </w:tcPr>
          <w:p w14:paraId="6DE69D11"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64" w:type="dxa"/>
            <w:vMerge/>
            <w:tcBorders>
              <w:top w:val="dotted" w:sz="4" w:space="0" w:color="auto"/>
              <w:left w:val="nil"/>
            </w:tcBorders>
            <w:noWrap/>
            <w:vAlign w:val="center"/>
          </w:tcPr>
          <w:p w14:paraId="4324844B"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300002D5" w14:textId="77777777" w:rsidTr="00055D05">
        <w:trPr>
          <w:trHeight w:val="290"/>
          <w:jc w:val="center"/>
        </w:trPr>
        <w:tc>
          <w:tcPr>
            <w:tcW w:w="1317" w:type="dxa"/>
            <w:vMerge/>
            <w:tcBorders>
              <w:top w:val="dotted" w:sz="4" w:space="0" w:color="auto"/>
              <w:left w:val="nil"/>
              <w:right w:val="single" w:sz="8" w:space="0" w:color="auto"/>
            </w:tcBorders>
            <w:noWrap/>
            <w:vAlign w:val="center"/>
          </w:tcPr>
          <w:p w14:paraId="318203D6"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63D9EA4D" w14:textId="77777777" w:rsidR="00970EFB" w:rsidRPr="00E33CC4" w:rsidRDefault="00970EFB" w:rsidP="00E33CC4">
            <w:pPr>
              <w:spacing w:after="0" w:line="240" w:lineRule="auto"/>
              <w:jc w:val="center"/>
              <w:rPr>
                <w:rFonts w:ascii="Cambria" w:eastAsia="Times New Roman" w:hAnsi="Cambria" w:cs="Calibri"/>
                <w:color w:val="000000"/>
                <w:sz w:val="18"/>
              </w:rPr>
            </w:pPr>
            <w:proofErr w:type="spellStart"/>
            <w:r w:rsidRPr="00E33CC4">
              <w:rPr>
                <w:rFonts w:ascii="Cambria" w:hAnsi="Cambria"/>
                <w:color w:val="000000"/>
                <w:sz w:val="18"/>
              </w:rPr>
              <w:t>i</w:t>
            </w:r>
            <w:proofErr w:type="spellEnd"/>
            <w:r w:rsidRPr="00E33CC4">
              <w:rPr>
                <w:rFonts w:ascii="Cambria" w:hAnsi="Cambria"/>
                <w:color w:val="000000"/>
                <w:sz w:val="18"/>
              </w:rPr>
              <w:t>)</w:t>
            </w:r>
          </w:p>
        </w:tc>
        <w:tc>
          <w:tcPr>
            <w:tcW w:w="1231" w:type="dxa"/>
            <w:tcBorders>
              <w:top w:val="dotted" w:sz="4" w:space="0" w:color="auto"/>
              <w:left w:val="nil"/>
              <w:bottom w:val="nil"/>
              <w:right w:val="single" w:sz="8" w:space="0" w:color="auto"/>
            </w:tcBorders>
            <w:noWrap/>
            <w:vAlign w:val="center"/>
          </w:tcPr>
          <w:p w14:paraId="39FE89B4"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€3,623.92</w:t>
            </w:r>
          </w:p>
        </w:tc>
        <w:tc>
          <w:tcPr>
            <w:tcW w:w="411" w:type="dxa"/>
            <w:vMerge/>
            <w:tcBorders>
              <w:top w:val="dotted" w:sz="4" w:space="0" w:color="auto"/>
              <w:left w:val="nil"/>
              <w:right w:val="dotted" w:sz="4" w:space="0" w:color="auto"/>
            </w:tcBorders>
            <w:noWrap/>
            <w:vAlign w:val="center"/>
          </w:tcPr>
          <w:p w14:paraId="74F59049"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tcBorders>
              <w:top w:val="dotted" w:sz="4" w:space="0" w:color="auto"/>
              <w:left w:val="nil"/>
              <w:right w:val="single" w:sz="8" w:space="0" w:color="auto"/>
            </w:tcBorders>
            <w:noWrap/>
            <w:vAlign w:val="center"/>
          </w:tcPr>
          <w:p w14:paraId="0BAD2ED1"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tcBorders>
              <w:top w:val="dotted" w:sz="4" w:space="0" w:color="auto"/>
              <w:left w:val="nil"/>
              <w:right w:val="dotted" w:sz="4" w:space="0" w:color="auto"/>
            </w:tcBorders>
            <w:noWrap/>
            <w:vAlign w:val="center"/>
          </w:tcPr>
          <w:p w14:paraId="0DE9C9CB"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top w:val="dotted" w:sz="4" w:space="0" w:color="auto"/>
              <w:left w:val="nil"/>
              <w:right w:val="single" w:sz="8" w:space="0" w:color="auto"/>
            </w:tcBorders>
            <w:noWrap/>
            <w:vAlign w:val="center"/>
          </w:tcPr>
          <w:p w14:paraId="5CEF1742"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nil"/>
              <w:right w:val="dotted" w:sz="4" w:space="0" w:color="auto"/>
            </w:tcBorders>
            <w:noWrap/>
            <w:vAlign w:val="center"/>
          </w:tcPr>
          <w:p w14:paraId="5B5C26C0"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right w:val="single" w:sz="8" w:space="0" w:color="auto"/>
            </w:tcBorders>
            <w:noWrap/>
            <w:vAlign w:val="center"/>
          </w:tcPr>
          <w:p w14:paraId="7947838A"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right w:val="dotted" w:sz="4" w:space="0" w:color="auto"/>
            </w:tcBorders>
            <w:noWrap/>
            <w:vAlign w:val="center"/>
          </w:tcPr>
          <w:p w14:paraId="478E45A2"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64" w:type="dxa"/>
            <w:vMerge/>
            <w:tcBorders>
              <w:top w:val="dotted" w:sz="4" w:space="0" w:color="auto"/>
              <w:left w:val="nil"/>
            </w:tcBorders>
            <w:noWrap/>
            <w:vAlign w:val="center"/>
          </w:tcPr>
          <w:p w14:paraId="38124579"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6D060429" w14:textId="77777777" w:rsidTr="00055D05">
        <w:trPr>
          <w:trHeight w:val="290"/>
          <w:jc w:val="center"/>
        </w:trPr>
        <w:tc>
          <w:tcPr>
            <w:tcW w:w="1317" w:type="dxa"/>
            <w:vMerge/>
            <w:tcBorders>
              <w:left w:val="nil"/>
              <w:right w:val="single" w:sz="8" w:space="0" w:color="auto"/>
            </w:tcBorders>
            <w:noWrap/>
            <w:vAlign w:val="center"/>
          </w:tcPr>
          <w:p w14:paraId="0B7970FC"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4CF03196"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j)</w:t>
            </w:r>
          </w:p>
        </w:tc>
        <w:tc>
          <w:tcPr>
            <w:tcW w:w="1231" w:type="dxa"/>
            <w:tcBorders>
              <w:top w:val="dotted" w:sz="4" w:space="0" w:color="auto"/>
              <w:left w:val="nil"/>
              <w:bottom w:val="nil"/>
              <w:right w:val="single" w:sz="8" w:space="0" w:color="auto"/>
            </w:tcBorders>
            <w:noWrap/>
            <w:vAlign w:val="center"/>
          </w:tcPr>
          <w:p w14:paraId="35AB309E"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€2,335.35</w:t>
            </w:r>
          </w:p>
        </w:tc>
        <w:tc>
          <w:tcPr>
            <w:tcW w:w="411" w:type="dxa"/>
            <w:vMerge/>
            <w:tcBorders>
              <w:left w:val="nil"/>
              <w:right w:val="dotted" w:sz="4" w:space="0" w:color="auto"/>
            </w:tcBorders>
            <w:noWrap/>
            <w:vAlign w:val="center"/>
          </w:tcPr>
          <w:p w14:paraId="0374F12C"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3854DB4F"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2A6E33A0"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60BF575E"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27878D9D"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1650790F"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2840F0B1"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5E5E91A3"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64DCFFD9" w14:textId="77777777" w:rsidTr="00055D05">
        <w:trPr>
          <w:trHeight w:val="290"/>
          <w:jc w:val="center"/>
        </w:trPr>
        <w:tc>
          <w:tcPr>
            <w:tcW w:w="1317" w:type="dxa"/>
            <w:vMerge/>
            <w:tcBorders>
              <w:left w:val="nil"/>
              <w:right w:val="single" w:sz="8" w:space="0" w:color="auto"/>
            </w:tcBorders>
            <w:noWrap/>
            <w:vAlign w:val="center"/>
          </w:tcPr>
          <w:p w14:paraId="1ADA92F5"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4E44706F"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k)</w:t>
            </w:r>
          </w:p>
        </w:tc>
        <w:tc>
          <w:tcPr>
            <w:tcW w:w="1231" w:type="dxa"/>
            <w:tcBorders>
              <w:top w:val="dotted" w:sz="4" w:space="0" w:color="auto"/>
              <w:left w:val="nil"/>
              <w:bottom w:val="nil"/>
              <w:right w:val="single" w:sz="8" w:space="0" w:color="auto"/>
            </w:tcBorders>
            <w:noWrap/>
            <w:vAlign w:val="center"/>
          </w:tcPr>
          <w:p w14:paraId="329A2B57"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€3,390.81</w:t>
            </w:r>
          </w:p>
        </w:tc>
        <w:tc>
          <w:tcPr>
            <w:tcW w:w="411" w:type="dxa"/>
            <w:vMerge/>
            <w:tcBorders>
              <w:left w:val="nil"/>
              <w:right w:val="dotted" w:sz="4" w:space="0" w:color="auto"/>
            </w:tcBorders>
            <w:noWrap/>
            <w:vAlign w:val="center"/>
          </w:tcPr>
          <w:p w14:paraId="5F7D7A5A"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6BCBAF0D"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00077632"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394E0201"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00AFAFCB"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6EF7AE2C"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2EE1CD5D"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27904613"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52291B88" w14:textId="77777777" w:rsidTr="00055D05">
        <w:trPr>
          <w:trHeight w:val="290"/>
          <w:jc w:val="center"/>
        </w:trPr>
        <w:tc>
          <w:tcPr>
            <w:tcW w:w="1317" w:type="dxa"/>
            <w:vMerge/>
            <w:tcBorders>
              <w:left w:val="nil"/>
              <w:right w:val="single" w:sz="8" w:space="0" w:color="auto"/>
            </w:tcBorders>
            <w:noWrap/>
            <w:vAlign w:val="center"/>
          </w:tcPr>
          <w:p w14:paraId="0D500379"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51A1F20D"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nil"/>
              <w:right w:val="single" w:sz="8" w:space="0" w:color="auto"/>
            </w:tcBorders>
            <w:noWrap/>
            <w:vAlign w:val="center"/>
          </w:tcPr>
          <w:p w14:paraId="4CCFC64C"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€4,161.81</w:t>
            </w:r>
          </w:p>
        </w:tc>
        <w:tc>
          <w:tcPr>
            <w:tcW w:w="411" w:type="dxa"/>
            <w:vMerge/>
            <w:tcBorders>
              <w:left w:val="nil"/>
              <w:right w:val="dotted" w:sz="4" w:space="0" w:color="auto"/>
            </w:tcBorders>
            <w:noWrap/>
            <w:vAlign w:val="center"/>
          </w:tcPr>
          <w:p w14:paraId="59F728D3"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79E610F9"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0A2616FF"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724CF5E6"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0D825A6A"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5CD350AC"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31CAD138"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4CC9190D"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6CE43993" w14:textId="77777777" w:rsidTr="00055D05">
        <w:trPr>
          <w:trHeight w:val="290"/>
          <w:jc w:val="center"/>
        </w:trPr>
        <w:tc>
          <w:tcPr>
            <w:tcW w:w="1317" w:type="dxa"/>
            <w:tcBorders>
              <w:top w:val="dotted" w:sz="4" w:space="0" w:color="auto"/>
              <w:left w:val="nil"/>
              <w:right w:val="single" w:sz="8" w:space="0" w:color="auto"/>
            </w:tcBorders>
            <w:noWrap/>
            <w:vAlign w:val="center"/>
          </w:tcPr>
          <w:p w14:paraId="092A0E3D"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Cabo Verde</w:t>
            </w:r>
          </w:p>
        </w:tc>
        <w:tc>
          <w:tcPr>
            <w:tcW w:w="475" w:type="dxa"/>
            <w:tcBorders>
              <w:top w:val="dotted" w:sz="4" w:space="0" w:color="auto"/>
              <w:left w:val="nil"/>
              <w:bottom w:val="dotted" w:sz="4" w:space="0" w:color="auto"/>
              <w:right w:val="dotted" w:sz="4" w:space="0" w:color="auto"/>
            </w:tcBorders>
            <w:noWrap/>
            <w:vAlign w:val="center"/>
          </w:tcPr>
          <w:p w14:paraId="2D70FA73"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g)</w:t>
            </w:r>
          </w:p>
        </w:tc>
        <w:tc>
          <w:tcPr>
            <w:tcW w:w="1231" w:type="dxa"/>
            <w:tcBorders>
              <w:top w:val="dotted" w:sz="4" w:space="0" w:color="auto"/>
              <w:left w:val="nil"/>
              <w:bottom w:val="dotted" w:sz="4" w:space="0" w:color="auto"/>
              <w:right w:val="single" w:sz="8" w:space="0" w:color="auto"/>
            </w:tcBorders>
            <w:noWrap/>
            <w:vAlign w:val="center"/>
          </w:tcPr>
          <w:p w14:paraId="6244E1C5"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€1,732.94</w:t>
            </w:r>
          </w:p>
        </w:tc>
        <w:tc>
          <w:tcPr>
            <w:tcW w:w="411" w:type="dxa"/>
            <w:tcBorders>
              <w:top w:val="dotted" w:sz="4" w:space="0" w:color="auto"/>
              <w:left w:val="nil"/>
              <w:right w:val="dotted" w:sz="4" w:space="0" w:color="auto"/>
            </w:tcBorders>
            <w:noWrap/>
            <w:vAlign w:val="center"/>
          </w:tcPr>
          <w:p w14:paraId="07963429"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tcBorders>
              <w:top w:val="dotted" w:sz="4" w:space="0" w:color="auto"/>
              <w:left w:val="nil"/>
              <w:right w:val="single" w:sz="8" w:space="0" w:color="auto"/>
            </w:tcBorders>
            <w:noWrap/>
            <w:vAlign w:val="center"/>
          </w:tcPr>
          <w:p w14:paraId="285BCA75"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tcBorders>
              <w:top w:val="dotted" w:sz="4" w:space="0" w:color="auto"/>
              <w:left w:val="nil"/>
              <w:right w:val="dotted" w:sz="4" w:space="0" w:color="auto"/>
            </w:tcBorders>
            <w:noWrap/>
            <w:vAlign w:val="center"/>
          </w:tcPr>
          <w:p w14:paraId="6472C1DE"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right w:val="single" w:sz="8" w:space="0" w:color="auto"/>
            </w:tcBorders>
            <w:noWrap/>
            <w:vAlign w:val="center"/>
          </w:tcPr>
          <w:p w14:paraId="218459E9"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nil"/>
              <w:right w:val="dotted" w:sz="4" w:space="0" w:color="auto"/>
            </w:tcBorders>
            <w:noWrap/>
            <w:vAlign w:val="center"/>
          </w:tcPr>
          <w:p w14:paraId="6D7A0793"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353" w:type="dxa"/>
            <w:tcBorders>
              <w:top w:val="dotted" w:sz="4" w:space="0" w:color="auto"/>
              <w:left w:val="nil"/>
              <w:right w:val="single" w:sz="8" w:space="0" w:color="auto"/>
            </w:tcBorders>
            <w:noWrap/>
            <w:vAlign w:val="center"/>
          </w:tcPr>
          <w:p w14:paraId="7D817AA0"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426" w:type="dxa"/>
            <w:tcBorders>
              <w:top w:val="dotted" w:sz="4" w:space="0" w:color="auto"/>
              <w:left w:val="nil"/>
              <w:right w:val="dotted" w:sz="4" w:space="0" w:color="auto"/>
            </w:tcBorders>
            <w:noWrap/>
            <w:vAlign w:val="center"/>
          </w:tcPr>
          <w:p w14:paraId="6B4A3F70"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64" w:type="dxa"/>
            <w:tcBorders>
              <w:top w:val="dotted" w:sz="4" w:space="0" w:color="auto"/>
              <w:left w:val="nil"/>
            </w:tcBorders>
            <w:noWrap/>
            <w:vAlign w:val="center"/>
          </w:tcPr>
          <w:p w14:paraId="1A709A82"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4A4B46AD" w14:textId="77777777" w:rsidTr="00055D05">
        <w:trPr>
          <w:trHeight w:val="290"/>
          <w:jc w:val="center"/>
        </w:trPr>
        <w:tc>
          <w:tcPr>
            <w:tcW w:w="1317" w:type="dxa"/>
            <w:vMerge w:val="restart"/>
            <w:tcBorders>
              <w:top w:val="dotted" w:sz="4" w:space="0" w:color="auto"/>
              <w:left w:val="nil"/>
              <w:right w:val="single" w:sz="8" w:space="0" w:color="auto"/>
            </w:tcBorders>
            <w:noWrap/>
            <w:vAlign w:val="center"/>
          </w:tcPr>
          <w:p w14:paraId="0A81C021"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Costa Rica</w:t>
            </w:r>
          </w:p>
        </w:tc>
        <w:tc>
          <w:tcPr>
            <w:tcW w:w="475" w:type="dxa"/>
            <w:tcBorders>
              <w:top w:val="dotted" w:sz="4" w:space="0" w:color="auto"/>
              <w:left w:val="nil"/>
              <w:bottom w:val="dotted" w:sz="4" w:space="0" w:color="auto"/>
              <w:right w:val="dotted" w:sz="4" w:space="0" w:color="auto"/>
            </w:tcBorders>
            <w:noWrap/>
            <w:vAlign w:val="center"/>
          </w:tcPr>
          <w:p w14:paraId="2EB4720E"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j)</w:t>
            </w:r>
          </w:p>
        </w:tc>
        <w:tc>
          <w:tcPr>
            <w:tcW w:w="1231" w:type="dxa"/>
            <w:tcBorders>
              <w:top w:val="dotted" w:sz="4" w:space="0" w:color="auto"/>
              <w:left w:val="nil"/>
              <w:bottom w:val="dotted" w:sz="4" w:space="0" w:color="auto"/>
              <w:right w:val="single" w:sz="8" w:space="0" w:color="auto"/>
            </w:tcBorders>
            <w:noWrap/>
            <w:vAlign w:val="center"/>
          </w:tcPr>
          <w:p w14:paraId="5B88422D"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€2,311.04</w:t>
            </w:r>
          </w:p>
        </w:tc>
        <w:tc>
          <w:tcPr>
            <w:tcW w:w="411" w:type="dxa"/>
            <w:vMerge w:val="restart"/>
            <w:tcBorders>
              <w:top w:val="dotted" w:sz="4" w:space="0" w:color="auto"/>
              <w:left w:val="nil"/>
              <w:right w:val="dotted" w:sz="4" w:space="0" w:color="auto"/>
            </w:tcBorders>
            <w:noWrap/>
            <w:vAlign w:val="center"/>
          </w:tcPr>
          <w:p w14:paraId="155F8FF1"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0E21D0FE"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425B5BD7"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31" w:type="dxa"/>
            <w:vMerge w:val="restart"/>
            <w:tcBorders>
              <w:top w:val="dotted" w:sz="4" w:space="0" w:color="auto"/>
              <w:left w:val="nil"/>
              <w:right w:val="single" w:sz="8" w:space="0" w:color="auto"/>
            </w:tcBorders>
            <w:noWrap/>
            <w:vAlign w:val="center"/>
          </w:tcPr>
          <w:p w14:paraId="45DF3074"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€3,400.00</w:t>
            </w:r>
          </w:p>
        </w:tc>
        <w:tc>
          <w:tcPr>
            <w:tcW w:w="411" w:type="dxa"/>
            <w:vMerge w:val="restart"/>
            <w:tcBorders>
              <w:top w:val="dotted" w:sz="4" w:space="0" w:color="auto"/>
              <w:left w:val="nil"/>
              <w:right w:val="dotted" w:sz="4" w:space="0" w:color="auto"/>
            </w:tcBorders>
            <w:noWrap/>
            <w:vAlign w:val="center"/>
          </w:tcPr>
          <w:p w14:paraId="1E52BAD1"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X</w:t>
            </w:r>
          </w:p>
        </w:tc>
        <w:tc>
          <w:tcPr>
            <w:tcW w:w="1353" w:type="dxa"/>
            <w:vMerge w:val="restart"/>
            <w:tcBorders>
              <w:top w:val="dotted" w:sz="4" w:space="0" w:color="auto"/>
              <w:left w:val="nil"/>
              <w:right w:val="single" w:sz="8" w:space="0" w:color="auto"/>
            </w:tcBorders>
            <w:noWrap/>
            <w:vAlign w:val="center"/>
          </w:tcPr>
          <w:p w14:paraId="66D5B43F"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€1,184.03</w:t>
            </w:r>
          </w:p>
        </w:tc>
        <w:tc>
          <w:tcPr>
            <w:tcW w:w="426" w:type="dxa"/>
            <w:vMerge w:val="restart"/>
            <w:tcBorders>
              <w:top w:val="dotted" w:sz="4" w:space="0" w:color="auto"/>
              <w:left w:val="nil"/>
              <w:right w:val="dotted" w:sz="4" w:space="0" w:color="auto"/>
            </w:tcBorders>
            <w:noWrap/>
            <w:vAlign w:val="center"/>
          </w:tcPr>
          <w:p w14:paraId="2F70CA4D"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X</w:t>
            </w:r>
          </w:p>
        </w:tc>
        <w:tc>
          <w:tcPr>
            <w:tcW w:w="1264" w:type="dxa"/>
            <w:vMerge w:val="restart"/>
            <w:tcBorders>
              <w:top w:val="dotted" w:sz="4" w:space="0" w:color="auto"/>
              <w:left w:val="nil"/>
            </w:tcBorders>
            <w:noWrap/>
            <w:vAlign w:val="center"/>
          </w:tcPr>
          <w:p w14:paraId="438F64B3" w14:textId="77777777" w:rsidR="00250F9E"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€1,163.58</w:t>
            </w:r>
          </w:p>
          <w:p w14:paraId="150DB7A7" w14:textId="38E3EB72" w:rsidR="00970EFB" w:rsidRPr="00E33CC4" w:rsidDel="005E48B0"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€2,914.00</w:t>
            </w:r>
          </w:p>
        </w:tc>
      </w:tr>
      <w:tr w:rsidR="00970EFB" w:rsidRPr="00E33CC4" w14:paraId="6D45150F" w14:textId="77777777" w:rsidTr="00055D05">
        <w:trPr>
          <w:trHeight w:val="290"/>
          <w:jc w:val="center"/>
        </w:trPr>
        <w:tc>
          <w:tcPr>
            <w:tcW w:w="1317" w:type="dxa"/>
            <w:vMerge/>
            <w:tcBorders>
              <w:left w:val="nil"/>
              <w:right w:val="single" w:sz="8" w:space="0" w:color="auto"/>
            </w:tcBorders>
            <w:noWrap/>
            <w:vAlign w:val="center"/>
          </w:tcPr>
          <w:p w14:paraId="44E33FDA"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5D156257" w14:textId="77777777" w:rsidR="00970EFB" w:rsidRPr="00E33CC4" w:rsidDel="00A35D2E"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186A7CC6" w14:textId="77777777" w:rsidR="00970EFB" w:rsidRPr="00E33CC4" w:rsidDel="00A35D2E"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€6,640.57</w:t>
            </w:r>
          </w:p>
        </w:tc>
        <w:tc>
          <w:tcPr>
            <w:tcW w:w="411" w:type="dxa"/>
            <w:vMerge/>
            <w:tcBorders>
              <w:left w:val="nil"/>
              <w:right w:val="dotted" w:sz="4" w:space="0" w:color="auto"/>
            </w:tcBorders>
            <w:noWrap/>
            <w:vAlign w:val="center"/>
          </w:tcPr>
          <w:p w14:paraId="48417140"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11A27C5E"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2189ED01"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43560473"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55F57562"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44A526FD"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0ED59174"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3239C4F1"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7637142F" w14:textId="77777777" w:rsidTr="00055D05">
        <w:trPr>
          <w:trHeight w:val="290"/>
          <w:jc w:val="center"/>
        </w:trPr>
        <w:tc>
          <w:tcPr>
            <w:tcW w:w="1317" w:type="dxa"/>
            <w:vMerge w:val="restart"/>
            <w:tcBorders>
              <w:top w:val="dotted" w:sz="4" w:space="0" w:color="auto"/>
              <w:left w:val="nil"/>
              <w:right w:val="single" w:sz="8" w:space="0" w:color="auto"/>
            </w:tcBorders>
            <w:noWrap/>
            <w:vAlign w:val="center"/>
            <w:hideMark/>
          </w:tcPr>
          <w:p w14:paraId="0E45D38B"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Côte d’Ivoire</w:t>
            </w:r>
          </w:p>
        </w:tc>
        <w:tc>
          <w:tcPr>
            <w:tcW w:w="475" w:type="dxa"/>
            <w:tcBorders>
              <w:top w:val="dotted" w:sz="4" w:space="0" w:color="auto"/>
              <w:left w:val="nil"/>
              <w:bottom w:val="dotted" w:sz="4" w:space="0" w:color="auto"/>
              <w:right w:val="dotted" w:sz="4" w:space="0" w:color="auto"/>
            </w:tcBorders>
            <w:noWrap/>
            <w:vAlign w:val="center"/>
          </w:tcPr>
          <w:p w14:paraId="27D12EF9"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c)</w:t>
            </w:r>
          </w:p>
        </w:tc>
        <w:tc>
          <w:tcPr>
            <w:tcW w:w="1231" w:type="dxa"/>
            <w:tcBorders>
              <w:top w:val="dotted" w:sz="4" w:space="0" w:color="auto"/>
              <w:left w:val="nil"/>
              <w:bottom w:val="dotted" w:sz="4" w:space="0" w:color="auto"/>
              <w:right w:val="single" w:sz="8" w:space="0" w:color="auto"/>
            </w:tcBorders>
            <w:noWrap/>
            <w:vAlign w:val="center"/>
          </w:tcPr>
          <w:p w14:paraId="1F03D822"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€3,276.39</w:t>
            </w:r>
          </w:p>
        </w:tc>
        <w:tc>
          <w:tcPr>
            <w:tcW w:w="411" w:type="dxa"/>
            <w:vMerge w:val="restart"/>
            <w:tcBorders>
              <w:top w:val="dotted" w:sz="4" w:space="0" w:color="auto"/>
              <w:left w:val="nil"/>
              <w:right w:val="dotted" w:sz="4" w:space="0" w:color="auto"/>
            </w:tcBorders>
            <w:noWrap/>
            <w:vAlign w:val="center"/>
          </w:tcPr>
          <w:p w14:paraId="71874360"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6D30AE76"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7FA1D6FB"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31" w:type="dxa"/>
            <w:vMerge w:val="restart"/>
            <w:tcBorders>
              <w:top w:val="dotted" w:sz="4" w:space="0" w:color="auto"/>
              <w:left w:val="nil"/>
              <w:right w:val="single" w:sz="8" w:space="0" w:color="auto"/>
            </w:tcBorders>
            <w:noWrap/>
            <w:vAlign w:val="center"/>
          </w:tcPr>
          <w:p w14:paraId="7EC14D98"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€3,898.94</w:t>
            </w:r>
          </w:p>
        </w:tc>
        <w:tc>
          <w:tcPr>
            <w:tcW w:w="411" w:type="dxa"/>
            <w:vMerge w:val="restart"/>
            <w:tcBorders>
              <w:top w:val="dotted" w:sz="4" w:space="0" w:color="auto"/>
              <w:left w:val="nil"/>
              <w:right w:val="dotted" w:sz="4" w:space="0" w:color="auto"/>
            </w:tcBorders>
            <w:noWrap/>
            <w:vAlign w:val="center"/>
          </w:tcPr>
          <w:p w14:paraId="58CACE82"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val="restart"/>
            <w:tcBorders>
              <w:top w:val="dotted" w:sz="4" w:space="0" w:color="auto"/>
              <w:left w:val="nil"/>
              <w:right w:val="single" w:sz="8" w:space="0" w:color="auto"/>
            </w:tcBorders>
            <w:noWrap/>
            <w:vAlign w:val="center"/>
          </w:tcPr>
          <w:p w14:paraId="776128AA"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val="restart"/>
            <w:tcBorders>
              <w:top w:val="dotted" w:sz="4" w:space="0" w:color="auto"/>
              <w:left w:val="nil"/>
              <w:right w:val="dotted" w:sz="4" w:space="0" w:color="auto"/>
            </w:tcBorders>
            <w:noWrap/>
            <w:vAlign w:val="center"/>
          </w:tcPr>
          <w:p w14:paraId="656200FC"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64" w:type="dxa"/>
            <w:vMerge w:val="restart"/>
            <w:tcBorders>
              <w:top w:val="dotted" w:sz="4" w:space="0" w:color="auto"/>
              <w:left w:val="nil"/>
            </w:tcBorders>
            <w:noWrap/>
            <w:vAlign w:val="center"/>
          </w:tcPr>
          <w:p w14:paraId="6DC578CE" w14:textId="77777777" w:rsidR="00970EFB"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€663.37</w:t>
            </w:r>
          </w:p>
          <w:p w14:paraId="7BCCADDE" w14:textId="2085CF7F" w:rsidR="00250F9E"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€2,914.00</w:t>
            </w:r>
          </w:p>
        </w:tc>
      </w:tr>
      <w:tr w:rsidR="00970EFB" w:rsidRPr="00E33CC4" w14:paraId="1949FE03" w14:textId="77777777" w:rsidTr="00055D05">
        <w:trPr>
          <w:trHeight w:val="290"/>
          <w:jc w:val="center"/>
        </w:trPr>
        <w:tc>
          <w:tcPr>
            <w:tcW w:w="1317" w:type="dxa"/>
            <w:vMerge/>
            <w:tcBorders>
              <w:left w:val="nil"/>
              <w:right w:val="single" w:sz="8" w:space="0" w:color="auto"/>
            </w:tcBorders>
            <w:noWrap/>
            <w:vAlign w:val="center"/>
          </w:tcPr>
          <w:p w14:paraId="3A0E36B3"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4E5552F5"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e)</w:t>
            </w:r>
          </w:p>
        </w:tc>
        <w:tc>
          <w:tcPr>
            <w:tcW w:w="1231" w:type="dxa"/>
            <w:tcBorders>
              <w:top w:val="dotted" w:sz="4" w:space="0" w:color="auto"/>
              <w:left w:val="nil"/>
              <w:bottom w:val="dotted" w:sz="4" w:space="0" w:color="auto"/>
              <w:right w:val="single" w:sz="8" w:space="0" w:color="auto"/>
            </w:tcBorders>
            <w:noWrap/>
            <w:vAlign w:val="center"/>
          </w:tcPr>
          <w:p w14:paraId="3A5C6A5B"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€4,382.25</w:t>
            </w:r>
          </w:p>
        </w:tc>
        <w:tc>
          <w:tcPr>
            <w:tcW w:w="411" w:type="dxa"/>
            <w:vMerge/>
            <w:tcBorders>
              <w:left w:val="nil"/>
              <w:right w:val="dotted" w:sz="4" w:space="0" w:color="auto"/>
            </w:tcBorders>
            <w:noWrap/>
            <w:vAlign w:val="center"/>
          </w:tcPr>
          <w:p w14:paraId="0668E760"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0180F7D7"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4BB09BCB" w14:textId="77777777" w:rsidR="00970EFB" w:rsidRPr="00E33CC4" w:rsidDel="00B3099B"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5155866D"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5912D412"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425E9386"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414E657B" w14:textId="77777777" w:rsidR="00970EFB" w:rsidRPr="00E33CC4" w:rsidDel="00B3099B" w:rsidRDefault="00970EFB" w:rsidP="00E33CC4">
            <w:pPr>
              <w:spacing w:after="0" w:line="240" w:lineRule="auto"/>
              <w:jc w:val="center"/>
              <w:rPr>
                <w:rFonts w:ascii="Cambria" w:eastAsia="Times New Roman" w:hAnsi="Cambria" w:cs="Calibri"/>
                <w:color w:val="000000"/>
                <w:sz w:val="18"/>
                <w:szCs w:val="18"/>
              </w:rPr>
            </w:pPr>
          </w:p>
        </w:tc>
        <w:tc>
          <w:tcPr>
            <w:tcW w:w="1264" w:type="dxa"/>
            <w:vMerge/>
            <w:tcBorders>
              <w:left w:val="nil"/>
            </w:tcBorders>
            <w:noWrap/>
            <w:vAlign w:val="center"/>
          </w:tcPr>
          <w:p w14:paraId="7797E570"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0A0BCC08" w14:textId="77777777" w:rsidTr="00055D05">
        <w:trPr>
          <w:trHeight w:val="290"/>
          <w:jc w:val="center"/>
        </w:trPr>
        <w:tc>
          <w:tcPr>
            <w:tcW w:w="1317" w:type="dxa"/>
            <w:vMerge/>
            <w:tcBorders>
              <w:left w:val="nil"/>
              <w:right w:val="single" w:sz="8" w:space="0" w:color="auto"/>
            </w:tcBorders>
            <w:noWrap/>
            <w:vAlign w:val="center"/>
          </w:tcPr>
          <w:p w14:paraId="46A28A89"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64A9949E"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58B74BFC"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€784.00</w:t>
            </w:r>
          </w:p>
        </w:tc>
        <w:tc>
          <w:tcPr>
            <w:tcW w:w="411" w:type="dxa"/>
            <w:vMerge/>
            <w:tcBorders>
              <w:left w:val="nil"/>
              <w:right w:val="dotted" w:sz="4" w:space="0" w:color="auto"/>
            </w:tcBorders>
            <w:noWrap/>
            <w:vAlign w:val="center"/>
          </w:tcPr>
          <w:p w14:paraId="0AEAF38B"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728DCBAC"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44CB7DD2" w14:textId="77777777" w:rsidR="00970EFB" w:rsidRPr="00E33CC4" w:rsidDel="00B3099B"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4DA6B057"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0EC7C549"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20E84688"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09E68E0D" w14:textId="77777777" w:rsidR="00970EFB" w:rsidRPr="00E33CC4" w:rsidDel="00B3099B" w:rsidRDefault="00970EFB" w:rsidP="00E33CC4">
            <w:pPr>
              <w:spacing w:after="0" w:line="240" w:lineRule="auto"/>
              <w:jc w:val="center"/>
              <w:rPr>
                <w:rFonts w:ascii="Cambria" w:eastAsia="Times New Roman" w:hAnsi="Cambria" w:cs="Calibri"/>
                <w:color w:val="000000"/>
                <w:sz w:val="18"/>
                <w:szCs w:val="18"/>
              </w:rPr>
            </w:pPr>
          </w:p>
        </w:tc>
        <w:tc>
          <w:tcPr>
            <w:tcW w:w="1264" w:type="dxa"/>
            <w:vMerge/>
            <w:tcBorders>
              <w:left w:val="nil"/>
            </w:tcBorders>
            <w:noWrap/>
            <w:vAlign w:val="center"/>
          </w:tcPr>
          <w:p w14:paraId="6CE43680"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616411F6" w14:textId="77777777" w:rsidTr="00055D05">
        <w:trPr>
          <w:trHeight w:val="290"/>
          <w:jc w:val="center"/>
        </w:trPr>
        <w:tc>
          <w:tcPr>
            <w:tcW w:w="1317" w:type="dxa"/>
            <w:vMerge/>
            <w:tcBorders>
              <w:left w:val="nil"/>
              <w:bottom w:val="dotted" w:sz="4" w:space="0" w:color="auto"/>
              <w:right w:val="single" w:sz="8" w:space="0" w:color="auto"/>
            </w:tcBorders>
            <w:noWrap/>
            <w:vAlign w:val="center"/>
          </w:tcPr>
          <w:p w14:paraId="019F0861"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4D1130ED"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278EDD13"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€3,603.80</w:t>
            </w:r>
          </w:p>
        </w:tc>
        <w:tc>
          <w:tcPr>
            <w:tcW w:w="411" w:type="dxa"/>
            <w:vMerge/>
            <w:tcBorders>
              <w:left w:val="nil"/>
              <w:bottom w:val="dotted" w:sz="4" w:space="0" w:color="auto"/>
              <w:right w:val="dotted" w:sz="4" w:space="0" w:color="auto"/>
            </w:tcBorders>
            <w:noWrap/>
            <w:vAlign w:val="center"/>
          </w:tcPr>
          <w:p w14:paraId="2EC3F333"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2E55C871"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2BF75385" w14:textId="77777777" w:rsidR="00970EFB" w:rsidRPr="00E33CC4" w:rsidDel="00B3099B"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bottom w:val="dotted" w:sz="4" w:space="0" w:color="auto"/>
              <w:right w:val="single" w:sz="8" w:space="0" w:color="auto"/>
            </w:tcBorders>
            <w:noWrap/>
            <w:vAlign w:val="center"/>
          </w:tcPr>
          <w:p w14:paraId="4A4BDF32"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nil"/>
              <w:bottom w:val="dotted" w:sz="4" w:space="0" w:color="auto"/>
              <w:right w:val="dotted" w:sz="4" w:space="0" w:color="auto"/>
            </w:tcBorders>
            <w:noWrap/>
            <w:vAlign w:val="center"/>
          </w:tcPr>
          <w:p w14:paraId="5BBE5EC0"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3145C092"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5BF96C31" w14:textId="77777777" w:rsidR="00970EFB" w:rsidRPr="00E33CC4" w:rsidDel="00B3099B" w:rsidRDefault="00970EFB" w:rsidP="00E33CC4">
            <w:pPr>
              <w:spacing w:after="0" w:line="240" w:lineRule="auto"/>
              <w:jc w:val="center"/>
              <w:rPr>
                <w:rFonts w:ascii="Cambria" w:eastAsia="Times New Roman" w:hAnsi="Cambria" w:cs="Calibri"/>
                <w:color w:val="000000"/>
                <w:sz w:val="18"/>
                <w:szCs w:val="18"/>
              </w:rPr>
            </w:pPr>
          </w:p>
        </w:tc>
        <w:tc>
          <w:tcPr>
            <w:tcW w:w="1264" w:type="dxa"/>
            <w:vMerge/>
            <w:tcBorders>
              <w:left w:val="nil"/>
              <w:bottom w:val="dotted" w:sz="4" w:space="0" w:color="auto"/>
            </w:tcBorders>
            <w:noWrap/>
            <w:vAlign w:val="center"/>
          </w:tcPr>
          <w:p w14:paraId="0AB874C3"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57B7BB28" w14:textId="77777777" w:rsidTr="00055D05">
        <w:trPr>
          <w:trHeight w:val="290"/>
          <w:jc w:val="center"/>
        </w:trPr>
        <w:tc>
          <w:tcPr>
            <w:tcW w:w="1317" w:type="dxa"/>
            <w:vMerge w:val="restart"/>
            <w:tcBorders>
              <w:top w:val="nil"/>
              <w:left w:val="nil"/>
              <w:right w:val="single" w:sz="8" w:space="0" w:color="auto"/>
            </w:tcBorders>
            <w:noWrap/>
            <w:vAlign w:val="center"/>
            <w:hideMark/>
          </w:tcPr>
          <w:p w14:paraId="57120240"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Egypt</w:t>
            </w:r>
          </w:p>
        </w:tc>
        <w:tc>
          <w:tcPr>
            <w:tcW w:w="475" w:type="dxa"/>
            <w:tcBorders>
              <w:top w:val="dotted" w:sz="4" w:space="0" w:color="auto"/>
              <w:left w:val="nil"/>
              <w:bottom w:val="dotted" w:sz="4" w:space="0" w:color="auto"/>
              <w:right w:val="dotted" w:sz="4" w:space="0" w:color="auto"/>
            </w:tcBorders>
            <w:noWrap/>
            <w:vAlign w:val="center"/>
          </w:tcPr>
          <w:p w14:paraId="68ED4310"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f)</w:t>
            </w:r>
          </w:p>
        </w:tc>
        <w:tc>
          <w:tcPr>
            <w:tcW w:w="1231" w:type="dxa"/>
            <w:tcBorders>
              <w:top w:val="dotted" w:sz="4" w:space="0" w:color="auto"/>
              <w:left w:val="nil"/>
              <w:bottom w:val="dotted" w:sz="4" w:space="0" w:color="auto"/>
              <w:right w:val="single" w:sz="8" w:space="0" w:color="auto"/>
            </w:tcBorders>
            <w:noWrap/>
            <w:vAlign w:val="center"/>
          </w:tcPr>
          <w:p w14:paraId="7132B9A4"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€3,353.81</w:t>
            </w:r>
          </w:p>
        </w:tc>
        <w:tc>
          <w:tcPr>
            <w:tcW w:w="411" w:type="dxa"/>
            <w:vMerge w:val="restart"/>
            <w:tcBorders>
              <w:top w:val="dotted" w:sz="4" w:space="0" w:color="auto"/>
              <w:left w:val="nil"/>
              <w:right w:val="dotted" w:sz="4" w:space="0" w:color="auto"/>
            </w:tcBorders>
            <w:noWrap/>
            <w:vAlign w:val="center"/>
          </w:tcPr>
          <w:p w14:paraId="4208B9F2"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63D24C02"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15BAD36D"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31" w:type="dxa"/>
            <w:vMerge w:val="restart"/>
            <w:tcBorders>
              <w:top w:val="dotted" w:sz="4" w:space="0" w:color="auto"/>
              <w:left w:val="nil"/>
              <w:right w:val="single" w:sz="8" w:space="0" w:color="auto"/>
            </w:tcBorders>
            <w:noWrap/>
            <w:vAlign w:val="center"/>
          </w:tcPr>
          <w:p w14:paraId="3B4DC940"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€2,921.26</w:t>
            </w:r>
          </w:p>
        </w:tc>
        <w:tc>
          <w:tcPr>
            <w:tcW w:w="411" w:type="dxa"/>
            <w:vMerge w:val="restart"/>
            <w:tcBorders>
              <w:top w:val="dotted" w:sz="4" w:space="0" w:color="auto"/>
              <w:left w:val="nil"/>
              <w:right w:val="dotted" w:sz="4" w:space="0" w:color="auto"/>
            </w:tcBorders>
            <w:noWrap/>
            <w:vAlign w:val="center"/>
          </w:tcPr>
          <w:p w14:paraId="322E6F1F"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353" w:type="dxa"/>
            <w:vMerge w:val="restart"/>
            <w:tcBorders>
              <w:top w:val="dotted" w:sz="4" w:space="0" w:color="auto"/>
              <w:left w:val="nil"/>
              <w:right w:val="single" w:sz="8" w:space="0" w:color="auto"/>
            </w:tcBorders>
            <w:noWrap/>
            <w:vAlign w:val="center"/>
          </w:tcPr>
          <w:p w14:paraId="3A69CE0E"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€897.56</w:t>
            </w:r>
          </w:p>
        </w:tc>
        <w:tc>
          <w:tcPr>
            <w:tcW w:w="426" w:type="dxa"/>
            <w:vMerge w:val="restart"/>
            <w:tcBorders>
              <w:top w:val="dotted" w:sz="4" w:space="0" w:color="auto"/>
              <w:left w:val="nil"/>
              <w:right w:val="dotted" w:sz="4" w:space="0" w:color="auto"/>
            </w:tcBorders>
            <w:noWrap/>
            <w:vAlign w:val="center"/>
          </w:tcPr>
          <w:p w14:paraId="0812C81B"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EE0000"/>
                <w:sz w:val="18"/>
              </w:rPr>
              <w:t>X</w:t>
            </w:r>
          </w:p>
        </w:tc>
        <w:tc>
          <w:tcPr>
            <w:tcW w:w="1264" w:type="dxa"/>
            <w:vMerge w:val="restart"/>
            <w:tcBorders>
              <w:top w:val="dotted" w:sz="4" w:space="0" w:color="auto"/>
              <w:left w:val="nil"/>
            </w:tcBorders>
            <w:noWrap/>
            <w:vAlign w:val="center"/>
          </w:tcPr>
          <w:p w14:paraId="2ED83799" w14:textId="47626B95" w:rsidR="00970EFB" w:rsidRPr="00E33CC4" w:rsidRDefault="00E75E8D" w:rsidP="00E33CC4">
            <w:pPr>
              <w:spacing w:after="0" w:line="240" w:lineRule="auto"/>
              <w:jc w:val="right"/>
              <w:rPr>
                <w:rFonts w:ascii="Cambria" w:eastAsia="Times New Roman" w:hAnsi="Cambria" w:cs="Calibri"/>
                <w:color w:val="EE0000"/>
                <w:sz w:val="18"/>
                <w:szCs w:val="18"/>
              </w:rPr>
            </w:pPr>
            <w:r w:rsidRPr="00E33CC4">
              <w:rPr>
                <w:rFonts w:ascii="Cambria" w:hAnsi="Cambria"/>
                <w:color w:val="EE0000"/>
                <w:sz w:val="18"/>
              </w:rPr>
              <w:t>€715.48</w:t>
            </w:r>
          </w:p>
          <w:p w14:paraId="53935F31" w14:textId="738FC4E0" w:rsidR="00250F9E" w:rsidRPr="00E33CC4" w:rsidRDefault="00250F9E" w:rsidP="00E33CC4">
            <w:pPr>
              <w:spacing w:after="0" w:line="240" w:lineRule="auto"/>
              <w:jc w:val="right"/>
              <w:rPr>
                <w:rFonts w:ascii="Cambria" w:eastAsia="Times New Roman" w:hAnsi="Cambria" w:cs="Calibri"/>
                <w:color w:val="EE0000"/>
                <w:sz w:val="18"/>
                <w:szCs w:val="18"/>
              </w:rPr>
            </w:pPr>
            <w:r w:rsidRPr="00E33CC4">
              <w:rPr>
                <w:rFonts w:ascii="Cambria" w:hAnsi="Cambria"/>
                <w:color w:val="EE0000"/>
                <w:sz w:val="18"/>
              </w:rPr>
              <w:t>€2,914.00</w:t>
            </w:r>
          </w:p>
        </w:tc>
      </w:tr>
      <w:tr w:rsidR="00970EFB" w:rsidRPr="00E33CC4" w14:paraId="43BCE65A" w14:textId="77777777" w:rsidTr="00055D05">
        <w:trPr>
          <w:trHeight w:val="290"/>
          <w:jc w:val="center"/>
        </w:trPr>
        <w:tc>
          <w:tcPr>
            <w:tcW w:w="1317" w:type="dxa"/>
            <w:vMerge/>
            <w:tcBorders>
              <w:left w:val="nil"/>
              <w:right w:val="single" w:sz="8" w:space="0" w:color="auto"/>
            </w:tcBorders>
            <w:noWrap/>
            <w:vAlign w:val="center"/>
          </w:tcPr>
          <w:p w14:paraId="3E93DE00"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nil"/>
              <w:left w:val="nil"/>
              <w:bottom w:val="dotted" w:sz="4" w:space="0" w:color="auto"/>
              <w:right w:val="dotted" w:sz="4" w:space="0" w:color="auto"/>
            </w:tcBorders>
            <w:noWrap/>
            <w:vAlign w:val="center"/>
          </w:tcPr>
          <w:p w14:paraId="49B87220"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g)</w:t>
            </w:r>
          </w:p>
        </w:tc>
        <w:tc>
          <w:tcPr>
            <w:tcW w:w="1231" w:type="dxa"/>
            <w:tcBorders>
              <w:top w:val="nil"/>
              <w:left w:val="nil"/>
              <w:bottom w:val="dotted" w:sz="4" w:space="0" w:color="auto"/>
              <w:right w:val="single" w:sz="8" w:space="0" w:color="auto"/>
            </w:tcBorders>
            <w:noWrap/>
            <w:vAlign w:val="center"/>
          </w:tcPr>
          <w:p w14:paraId="43FF2472"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€1,447.01</w:t>
            </w:r>
          </w:p>
        </w:tc>
        <w:tc>
          <w:tcPr>
            <w:tcW w:w="411" w:type="dxa"/>
            <w:vMerge/>
            <w:tcBorders>
              <w:left w:val="nil"/>
              <w:right w:val="dotted" w:sz="4" w:space="0" w:color="auto"/>
            </w:tcBorders>
            <w:noWrap/>
            <w:vAlign w:val="center"/>
          </w:tcPr>
          <w:p w14:paraId="2E25F5B1"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tcBorders>
              <w:left w:val="nil"/>
              <w:right w:val="single" w:sz="8" w:space="0" w:color="auto"/>
            </w:tcBorders>
            <w:noWrap/>
            <w:vAlign w:val="center"/>
          </w:tcPr>
          <w:p w14:paraId="014F5DB2"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tcBorders>
              <w:left w:val="nil"/>
              <w:right w:val="dotted" w:sz="4" w:space="0" w:color="auto"/>
            </w:tcBorders>
            <w:noWrap/>
            <w:vAlign w:val="center"/>
          </w:tcPr>
          <w:p w14:paraId="5CCA39B3"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55145F2B"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nil"/>
              <w:bottom w:val="dotted" w:sz="4" w:space="0" w:color="auto"/>
              <w:right w:val="dotted" w:sz="4" w:space="0" w:color="auto"/>
            </w:tcBorders>
            <w:noWrap/>
            <w:vAlign w:val="center"/>
          </w:tcPr>
          <w:p w14:paraId="0993E372" w14:textId="77777777" w:rsidR="00970EFB" w:rsidRPr="00E33CC4" w:rsidDel="005E48B0" w:rsidRDefault="00970EFB" w:rsidP="00E33CC4">
            <w:pPr>
              <w:spacing w:after="0" w:line="240" w:lineRule="auto"/>
              <w:jc w:val="center"/>
              <w:rPr>
                <w:rFonts w:ascii="Cambria" w:eastAsia="Times New Roman" w:hAnsi="Cambria" w:cs="Calibri"/>
                <w:color w:val="000000"/>
                <w:sz w:val="18"/>
                <w:szCs w:val="18"/>
              </w:rPr>
            </w:pPr>
          </w:p>
        </w:tc>
        <w:tc>
          <w:tcPr>
            <w:tcW w:w="1353" w:type="dxa"/>
            <w:vMerge/>
            <w:tcBorders>
              <w:left w:val="nil"/>
              <w:bottom w:val="dotted" w:sz="4" w:space="0" w:color="auto"/>
              <w:right w:val="single" w:sz="8" w:space="0" w:color="auto"/>
            </w:tcBorders>
            <w:noWrap/>
            <w:vAlign w:val="center"/>
          </w:tcPr>
          <w:p w14:paraId="09893255"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c>
          <w:tcPr>
            <w:tcW w:w="426" w:type="dxa"/>
            <w:vMerge/>
            <w:tcBorders>
              <w:left w:val="nil"/>
              <w:right w:val="dotted" w:sz="4" w:space="0" w:color="auto"/>
            </w:tcBorders>
            <w:noWrap/>
            <w:vAlign w:val="center"/>
          </w:tcPr>
          <w:p w14:paraId="6F5C96E8"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64" w:type="dxa"/>
            <w:vMerge/>
            <w:tcBorders>
              <w:left w:val="nil"/>
            </w:tcBorders>
            <w:noWrap/>
            <w:vAlign w:val="center"/>
          </w:tcPr>
          <w:p w14:paraId="4E162CAE"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53773A5E" w14:textId="77777777" w:rsidTr="00055D05">
        <w:trPr>
          <w:trHeight w:val="290"/>
          <w:jc w:val="center"/>
        </w:trPr>
        <w:tc>
          <w:tcPr>
            <w:tcW w:w="1317" w:type="dxa"/>
            <w:vMerge/>
            <w:tcBorders>
              <w:left w:val="nil"/>
              <w:right w:val="single" w:sz="8" w:space="0" w:color="auto"/>
            </w:tcBorders>
            <w:noWrap/>
            <w:vAlign w:val="center"/>
          </w:tcPr>
          <w:p w14:paraId="40DDEE0D"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nil"/>
              <w:left w:val="nil"/>
              <w:bottom w:val="dotted" w:sz="4" w:space="0" w:color="auto"/>
              <w:right w:val="dotted" w:sz="4" w:space="0" w:color="auto"/>
            </w:tcBorders>
            <w:noWrap/>
            <w:vAlign w:val="center"/>
          </w:tcPr>
          <w:p w14:paraId="1D023D05"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roofErr w:type="spellStart"/>
            <w:r w:rsidRPr="00E33CC4">
              <w:rPr>
                <w:rFonts w:ascii="Cambria" w:hAnsi="Cambria"/>
                <w:color w:val="000000"/>
                <w:sz w:val="18"/>
              </w:rPr>
              <w:t>i</w:t>
            </w:r>
            <w:proofErr w:type="spellEnd"/>
            <w:r w:rsidRPr="00E33CC4">
              <w:rPr>
                <w:rFonts w:ascii="Cambria" w:hAnsi="Cambria"/>
                <w:color w:val="000000"/>
                <w:sz w:val="18"/>
              </w:rPr>
              <w:t>)</w:t>
            </w:r>
          </w:p>
        </w:tc>
        <w:tc>
          <w:tcPr>
            <w:tcW w:w="1231" w:type="dxa"/>
            <w:tcBorders>
              <w:top w:val="nil"/>
              <w:left w:val="nil"/>
              <w:bottom w:val="dotted" w:sz="4" w:space="0" w:color="auto"/>
              <w:right w:val="single" w:sz="8" w:space="0" w:color="auto"/>
            </w:tcBorders>
            <w:noWrap/>
            <w:vAlign w:val="center"/>
          </w:tcPr>
          <w:p w14:paraId="79EBA98D"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€1,975.55</w:t>
            </w:r>
          </w:p>
        </w:tc>
        <w:tc>
          <w:tcPr>
            <w:tcW w:w="411" w:type="dxa"/>
            <w:vMerge/>
            <w:tcBorders>
              <w:left w:val="nil"/>
              <w:right w:val="dotted" w:sz="4" w:space="0" w:color="auto"/>
            </w:tcBorders>
            <w:noWrap/>
            <w:vAlign w:val="center"/>
          </w:tcPr>
          <w:p w14:paraId="60D4840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53D9D97B"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677934D3" w14:textId="77777777" w:rsidR="00970EFB" w:rsidRPr="00E33CC4" w:rsidDel="00B3099B"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2FEC6722"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nil"/>
              <w:right w:val="dotted" w:sz="4" w:space="0" w:color="auto"/>
            </w:tcBorders>
            <w:noWrap/>
            <w:vAlign w:val="center"/>
          </w:tcPr>
          <w:p w14:paraId="1B3D4D15" w14:textId="77777777" w:rsidR="00970EFB" w:rsidRPr="00E33CC4" w:rsidDel="00B3099B"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353" w:type="dxa"/>
            <w:vMerge w:val="restart"/>
            <w:tcBorders>
              <w:top w:val="dotted" w:sz="4" w:space="0" w:color="auto"/>
              <w:left w:val="nil"/>
              <w:right w:val="single" w:sz="8" w:space="0" w:color="auto"/>
            </w:tcBorders>
            <w:noWrap/>
            <w:vAlign w:val="center"/>
          </w:tcPr>
          <w:p w14:paraId="19C2EE48"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€1,692.90</w:t>
            </w:r>
          </w:p>
        </w:tc>
        <w:tc>
          <w:tcPr>
            <w:tcW w:w="426" w:type="dxa"/>
            <w:vMerge/>
            <w:tcBorders>
              <w:left w:val="nil"/>
              <w:right w:val="dotted" w:sz="4" w:space="0" w:color="auto"/>
            </w:tcBorders>
            <w:noWrap/>
            <w:vAlign w:val="center"/>
          </w:tcPr>
          <w:p w14:paraId="663BF6DA" w14:textId="77777777" w:rsidR="00970EFB" w:rsidRPr="00E33CC4" w:rsidDel="00B3099B" w:rsidRDefault="00970EFB" w:rsidP="00E33CC4">
            <w:pPr>
              <w:spacing w:after="0" w:line="240" w:lineRule="auto"/>
              <w:jc w:val="center"/>
              <w:rPr>
                <w:rFonts w:ascii="Cambria" w:eastAsia="Times New Roman" w:hAnsi="Cambria" w:cs="Calibri"/>
                <w:color w:val="000000"/>
                <w:sz w:val="18"/>
                <w:szCs w:val="18"/>
              </w:rPr>
            </w:pPr>
          </w:p>
        </w:tc>
        <w:tc>
          <w:tcPr>
            <w:tcW w:w="1264" w:type="dxa"/>
            <w:vMerge/>
            <w:tcBorders>
              <w:left w:val="nil"/>
            </w:tcBorders>
            <w:noWrap/>
            <w:vAlign w:val="center"/>
          </w:tcPr>
          <w:p w14:paraId="2579F9F7"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295C22F4" w14:textId="77777777" w:rsidTr="00055D05">
        <w:trPr>
          <w:trHeight w:val="290"/>
          <w:jc w:val="center"/>
        </w:trPr>
        <w:tc>
          <w:tcPr>
            <w:tcW w:w="1317" w:type="dxa"/>
            <w:vMerge/>
            <w:tcBorders>
              <w:left w:val="nil"/>
              <w:right w:val="single" w:sz="8" w:space="0" w:color="auto"/>
            </w:tcBorders>
            <w:noWrap/>
            <w:vAlign w:val="center"/>
          </w:tcPr>
          <w:p w14:paraId="2007067C"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nil"/>
              <w:left w:val="nil"/>
              <w:bottom w:val="dotted" w:sz="4" w:space="0" w:color="auto"/>
              <w:right w:val="dotted" w:sz="4" w:space="0" w:color="auto"/>
            </w:tcBorders>
            <w:noWrap/>
            <w:vAlign w:val="center"/>
          </w:tcPr>
          <w:p w14:paraId="489090D2"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nil"/>
              <w:left w:val="nil"/>
              <w:bottom w:val="dotted" w:sz="4" w:space="0" w:color="auto"/>
              <w:right w:val="single" w:sz="8" w:space="0" w:color="auto"/>
            </w:tcBorders>
            <w:noWrap/>
            <w:vAlign w:val="center"/>
          </w:tcPr>
          <w:p w14:paraId="6D10B6F5"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€3,574.04</w:t>
            </w:r>
          </w:p>
        </w:tc>
        <w:tc>
          <w:tcPr>
            <w:tcW w:w="411" w:type="dxa"/>
            <w:vMerge/>
            <w:tcBorders>
              <w:left w:val="nil"/>
              <w:right w:val="dotted" w:sz="4" w:space="0" w:color="auto"/>
            </w:tcBorders>
            <w:noWrap/>
            <w:vAlign w:val="center"/>
          </w:tcPr>
          <w:p w14:paraId="3547B9B5"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1BAC3364"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383C469D"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7B6DD337"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3F4CF18C"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right w:val="single" w:sz="8" w:space="0" w:color="auto"/>
            </w:tcBorders>
            <w:noWrap/>
            <w:vAlign w:val="center"/>
          </w:tcPr>
          <w:p w14:paraId="05DB5869"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tcBorders>
              <w:left w:val="nil"/>
              <w:right w:val="dotted" w:sz="4" w:space="0" w:color="auto"/>
            </w:tcBorders>
            <w:noWrap/>
            <w:vAlign w:val="center"/>
          </w:tcPr>
          <w:p w14:paraId="4ADB71BC"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5FA71EF9"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078034AC" w14:textId="77777777" w:rsidTr="00055D05">
        <w:trPr>
          <w:trHeight w:val="290"/>
          <w:jc w:val="center"/>
        </w:trPr>
        <w:tc>
          <w:tcPr>
            <w:tcW w:w="1317" w:type="dxa"/>
            <w:vMerge/>
            <w:tcBorders>
              <w:left w:val="nil"/>
              <w:bottom w:val="dotted" w:sz="4" w:space="0" w:color="auto"/>
              <w:right w:val="single" w:sz="8" w:space="0" w:color="auto"/>
            </w:tcBorders>
            <w:noWrap/>
            <w:vAlign w:val="center"/>
          </w:tcPr>
          <w:p w14:paraId="4EB5C514"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nil"/>
              <w:left w:val="nil"/>
              <w:bottom w:val="dotted" w:sz="4" w:space="0" w:color="auto"/>
              <w:right w:val="dotted" w:sz="4" w:space="0" w:color="auto"/>
            </w:tcBorders>
            <w:noWrap/>
            <w:vAlign w:val="center"/>
          </w:tcPr>
          <w:p w14:paraId="2E567352"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nil"/>
              <w:left w:val="nil"/>
              <w:bottom w:val="dotted" w:sz="4" w:space="0" w:color="auto"/>
              <w:right w:val="single" w:sz="8" w:space="0" w:color="auto"/>
            </w:tcBorders>
            <w:noWrap/>
            <w:vAlign w:val="center"/>
          </w:tcPr>
          <w:p w14:paraId="4592EF93"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€3,271.12</w:t>
            </w:r>
          </w:p>
        </w:tc>
        <w:tc>
          <w:tcPr>
            <w:tcW w:w="411" w:type="dxa"/>
            <w:vMerge/>
            <w:tcBorders>
              <w:left w:val="nil"/>
              <w:bottom w:val="dotted" w:sz="4" w:space="0" w:color="auto"/>
              <w:right w:val="dotted" w:sz="4" w:space="0" w:color="auto"/>
            </w:tcBorders>
            <w:noWrap/>
            <w:vAlign w:val="center"/>
          </w:tcPr>
          <w:p w14:paraId="30FDABA0"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0EADEF12"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41B94621"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bottom w:val="dotted" w:sz="4" w:space="0" w:color="auto"/>
              <w:right w:val="single" w:sz="8" w:space="0" w:color="auto"/>
            </w:tcBorders>
            <w:noWrap/>
            <w:vAlign w:val="center"/>
          </w:tcPr>
          <w:p w14:paraId="7BC4297D"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bottom w:val="dotted" w:sz="4" w:space="0" w:color="auto"/>
              <w:right w:val="dotted" w:sz="4" w:space="0" w:color="auto"/>
            </w:tcBorders>
            <w:noWrap/>
            <w:vAlign w:val="center"/>
          </w:tcPr>
          <w:p w14:paraId="2F78A7E2"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bottom w:val="dotted" w:sz="4" w:space="0" w:color="auto"/>
              <w:right w:val="single" w:sz="8" w:space="0" w:color="auto"/>
            </w:tcBorders>
            <w:noWrap/>
            <w:vAlign w:val="center"/>
          </w:tcPr>
          <w:p w14:paraId="42CD4C2A"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tcBorders>
              <w:left w:val="nil"/>
              <w:bottom w:val="dotted" w:sz="4" w:space="0" w:color="auto"/>
              <w:right w:val="dotted" w:sz="4" w:space="0" w:color="auto"/>
            </w:tcBorders>
            <w:noWrap/>
            <w:vAlign w:val="center"/>
          </w:tcPr>
          <w:p w14:paraId="58EFB089"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tcBorders>
            <w:noWrap/>
            <w:vAlign w:val="center"/>
          </w:tcPr>
          <w:p w14:paraId="7E546A55"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491FAC44" w14:textId="77777777" w:rsidTr="00055D05">
        <w:trPr>
          <w:trHeight w:val="290"/>
          <w:jc w:val="center"/>
        </w:trPr>
        <w:tc>
          <w:tcPr>
            <w:tcW w:w="1317" w:type="dxa"/>
            <w:tcBorders>
              <w:top w:val="dotted" w:sz="4" w:space="0" w:color="auto"/>
              <w:left w:val="nil"/>
              <w:bottom w:val="dotted" w:sz="4" w:space="0" w:color="auto"/>
              <w:right w:val="single" w:sz="8" w:space="0" w:color="auto"/>
            </w:tcBorders>
            <w:noWrap/>
            <w:vAlign w:val="center"/>
            <w:hideMark/>
          </w:tcPr>
          <w:p w14:paraId="5C714C47"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El Salvador</w:t>
            </w:r>
          </w:p>
        </w:tc>
        <w:tc>
          <w:tcPr>
            <w:tcW w:w="475" w:type="dxa"/>
            <w:tcBorders>
              <w:top w:val="dotted" w:sz="4" w:space="0" w:color="auto"/>
              <w:left w:val="nil"/>
              <w:bottom w:val="dotted" w:sz="4" w:space="0" w:color="auto"/>
              <w:right w:val="dotted" w:sz="4" w:space="0" w:color="auto"/>
            </w:tcBorders>
            <w:noWrap/>
            <w:vAlign w:val="center"/>
          </w:tcPr>
          <w:p w14:paraId="01881690"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5CD652D3"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nil"/>
              <w:bottom w:val="dotted" w:sz="4" w:space="0" w:color="auto"/>
              <w:right w:val="dotted" w:sz="4" w:space="0" w:color="auto"/>
            </w:tcBorders>
            <w:noWrap/>
            <w:vAlign w:val="center"/>
          </w:tcPr>
          <w:p w14:paraId="2534518E"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tcBorders>
              <w:top w:val="dotted" w:sz="4" w:space="0" w:color="auto"/>
              <w:left w:val="nil"/>
              <w:bottom w:val="dotted" w:sz="4" w:space="0" w:color="auto"/>
              <w:right w:val="single" w:sz="8" w:space="0" w:color="auto"/>
            </w:tcBorders>
            <w:noWrap/>
            <w:vAlign w:val="center"/>
          </w:tcPr>
          <w:p w14:paraId="63297EEA"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tcBorders>
              <w:top w:val="dotted" w:sz="4" w:space="0" w:color="auto"/>
              <w:left w:val="nil"/>
              <w:bottom w:val="dotted" w:sz="4" w:space="0" w:color="auto"/>
              <w:right w:val="dotted" w:sz="4" w:space="0" w:color="auto"/>
            </w:tcBorders>
            <w:noWrap/>
            <w:vAlign w:val="center"/>
          </w:tcPr>
          <w:p w14:paraId="49F6B80A"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18FF3A17"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126451C2"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bottom w:val="dotted" w:sz="4" w:space="0" w:color="auto"/>
              <w:right w:val="single" w:sz="8" w:space="0" w:color="auto"/>
            </w:tcBorders>
            <w:noWrap/>
            <w:vAlign w:val="center"/>
          </w:tcPr>
          <w:p w14:paraId="2DA14B4E"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tcBorders>
              <w:top w:val="dotted" w:sz="4" w:space="0" w:color="auto"/>
              <w:left w:val="nil"/>
              <w:bottom w:val="dotted" w:sz="4" w:space="0" w:color="auto"/>
              <w:right w:val="dotted" w:sz="4" w:space="0" w:color="auto"/>
            </w:tcBorders>
            <w:noWrap/>
            <w:vAlign w:val="center"/>
          </w:tcPr>
          <w:p w14:paraId="1FD2C249"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64" w:type="dxa"/>
            <w:tcBorders>
              <w:top w:val="dotted" w:sz="4" w:space="0" w:color="auto"/>
              <w:left w:val="nil"/>
              <w:bottom w:val="dotted" w:sz="4" w:space="0" w:color="auto"/>
              <w:right w:val="nil"/>
            </w:tcBorders>
            <w:noWrap/>
            <w:vAlign w:val="center"/>
          </w:tcPr>
          <w:p w14:paraId="073EC424" w14:textId="77777777" w:rsidR="00970EFB"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€2,818.17</w:t>
            </w:r>
          </w:p>
          <w:p w14:paraId="737420EA" w14:textId="2986C67A" w:rsidR="00250F9E"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€2,914.00</w:t>
            </w:r>
          </w:p>
        </w:tc>
      </w:tr>
      <w:tr w:rsidR="00970EFB" w:rsidRPr="00E33CC4" w14:paraId="277CE5E1" w14:textId="77777777" w:rsidTr="00055D05">
        <w:trPr>
          <w:trHeight w:val="290"/>
          <w:jc w:val="center"/>
        </w:trPr>
        <w:tc>
          <w:tcPr>
            <w:tcW w:w="1317" w:type="dxa"/>
            <w:tcBorders>
              <w:top w:val="dotted" w:sz="4" w:space="0" w:color="auto"/>
              <w:left w:val="nil"/>
              <w:right w:val="single" w:sz="8" w:space="0" w:color="auto"/>
            </w:tcBorders>
            <w:noWrap/>
            <w:vAlign w:val="center"/>
            <w:hideMark/>
          </w:tcPr>
          <w:p w14:paraId="5F207EE6"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Gabon</w:t>
            </w:r>
          </w:p>
        </w:tc>
        <w:tc>
          <w:tcPr>
            <w:tcW w:w="475" w:type="dxa"/>
            <w:tcBorders>
              <w:top w:val="dotted" w:sz="4" w:space="0" w:color="auto"/>
              <w:left w:val="nil"/>
              <w:bottom w:val="dotted" w:sz="4" w:space="0" w:color="auto"/>
              <w:right w:val="dotted" w:sz="4" w:space="0" w:color="auto"/>
            </w:tcBorders>
            <w:noWrap/>
            <w:vAlign w:val="center"/>
          </w:tcPr>
          <w:p w14:paraId="7CB1215B"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g)</w:t>
            </w:r>
          </w:p>
        </w:tc>
        <w:tc>
          <w:tcPr>
            <w:tcW w:w="1231" w:type="dxa"/>
            <w:tcBorders>
              <w:top w:val="dotted" w:sz="4" w:space="0" w:color="auto"/>
              <w:left w:val="nil"/>
              <w:bottom w:val="dotted" w:sz="4" w:space="0" w:color="auto"/>
              <w:right w:val="single" w:sz="8" w:space="0" w:color="auto"/>
            </w:tcBorders>
            <w:noWrap/>
            <w:vAlign w:val="center"/>
          </w:tcPr>
          <w:p w14:paraId="32599E2A"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€2,361.87</w:t>
            </w:r>
          </w:p>
        </w:tc>
        <w:tc>
          <w:tcPr>
            <w:tcW w:w="411" w:type="dxa"/>
            <w:tcBorders>
              <w:top w:val="dotted" w:sz="4" w:space="0" w:color="auto"/>
              <w:left w:val="nil"/>
              <w:right w:val="dotted" w:sz="4" w:space="0" w:color="auto"/>
            </w:tcBorders>
            <w:noWrap/>
            <w:vAlign w:val="center"/>
          </w:tcPr>
          <w:p w14:paraId="33157FB5"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tcBorders>
              <w:top w:val="dotted" w:sz="4" w:space="0" w:color="auto"/>
              <w:left w:val="nil"/>
              <w:right w:val="single" w:sz="8" w:space="0" w:color="auto"/>
            </w:tcBorders>
            <w:noWrap/>
            <w:vAlign w:val="center"/>
          </w:tcPr>
          <w:p w14:paraId="5AD12369"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tcBorders>
              <w:top w:val="dotted" w:sz="4" w:space="0" w:color="auto"/>
              <w:left w:val="nil"/>
              <w:right w:val="dotted" w:sz="4" w:space="0" w:color="auto"/>
            </w:tcBorders>
            <w:noWrap/>
            <w:vAlign w:val="center"/>
          </w:tcPr>
          <w:p w14:paraId="24485920"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right w:val="single" w:sz="8" w:space="0" w:color="auto"/>
            </w:tcBorders>
            <w:noWrap/>
            <w:vAlign w:val="center"/>
          </w:tcPr>
          <w:p w14:paraId="068FDC46"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nil"/>
              <w:right w:val="dotted" w:sz="4" w:space="0" w:color="auto"/>
            </w:tcBorders>
            <w:noWrap/>
            <w:vAlign w:val="center"/>
          </w:tcPr>
          <w:p w14:paraId="58020D05"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right w:val="single" w:sz="8" w:space="0" w:color="auto"/>
            </w:tcBorders>
            <w:noWrap/>
            <w:vAlign w:val="center"/>
          </w:tcPr>
          <w:p w14:paraId="61BA5D5E"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tcBorders>
              <w:top w:val="dotted" w:sz="4" w:space="0" w:color="auto"/>
              <w:left w:val="nil"/>
              <w:right w:val="dotted" w:sz="4" w:space="0" w:color="auto"/>
            </w:tcBorders>
            <w:noWrap/>
            <w:vAlign w:val="center"/>
          </w:tcPr>
          <w:p w14:paraId="459CD636"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64" w:type="dxa"/>
            <w:tcBorders>
              <w:top w:val="dotted" w:sz="4" w:space="0" w:color="auto"/>
              <w:left w:val="nil"/>
            </w:tcBorders>
            <w:noWrap/>
            <w:vAlign w:val="center"/>
          </w:tcPr>
          <w:p w14:paraId="734CE129" w14:textId="77777777" w:rsidR="00970EFB"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€1,352.52</w:t>
            </w:r>
          </w:p>
          <w:p w14:paraId="2CD2A125" w14:textId="1EA3E799" w:rsidR="00250F9E" w:rsidRPr="00E33CC4"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€3,162.00</w:t>
            </w:r>
          </w:p>
        </w:tc>
      </w:tr>
      <w:tr w:rsidR="00970EFB" w:rsidRPr="00E33CC4" w14:paraId="0D5F727D" w14:textId="77777777" w:rsidTr="00055D05">
        <w:trPr>
          <w:trHeight w:val="290"/>
          <w:jc w:val="center"/>
        </w:trPr>
        <w:tc>
          <w:tcPr>
            <w:tcW w:w="1317" w:type="dxa"/>
            <w:vMerge w:val="restart"/>
            <w:tcBorders>
              <w:top w:val="dotted" w:sz="4" w:space="0" w:color="auto"/>
              <w:left w:val="nil"/>
              <w:right w:val="single" w:sz="8" w:space="0" w:color="auto"/>
            </w:tcBorders>
            <w:noWrap/>
            <w:vAlign w:val="center"/>
          </w:tcPr>
          <w:p w14:paraId="7D8BAF9E"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The Gambia</w:t>
            </w:r>
          </w:p>
        </w:tc>
        <w:tc>
          <w:tcPr>
            <w:tcW w:w="475" w:type="dxa"/>
            <w:tcBorders>
              <w:top w:val="dotted" w:sz="4" w:space="0" w:color="auto"/>
              <w:left w:val="nil"/>
              <w:bottom w:val="dotted" w:sz="4" w:space="0" w:color="auto"/>
              <w:right w:val="dotted" w:sz="4" w:space="0" w:color="auto"/>
            </w:tcBorders>
            <w:noWrap/>
            <w:vAlign w:val="center"/>
          </w:tcPr>
          <w:p w14:paraId="72DD3A27"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a)</w:t>
            </w:r>
          </w:p>
        </w:tc>
        <w:tc>
          <w:tcPr>
            <w:tcW w:w="1231" w:type="dxa"/>
            <w:tcBorders>
              <w:top w:val="dotted" w:sz="4" w:space="0" w:color="auto"/>
              <w:left w:val="nil"/>
              <w:bottom w:val="dotted" w:sz="4" w:space="0" w:color="auto"/>
              <w:right w:val="single" w:sz="8" w:space="0" w:color="auto"/>
            </w:tcBorders>
            <w:noWrap/>
            <w:vAlign w:val="center"/>
          </w:tcPr>
          <w:p w14:paraId="2C0CF0D1"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€3,157.47</w:t>
            </w:r>
          </w:p>
        </w:tc>
        <w:tc>
          <w:tcPr>
            <w:tcW w:w="411" w:type="dxa"/>
            <w:vMerge w:val="restart"/>
            <w:tcBorders>
              <w:top w:val="dotted" w:sz="4" w:space="0" w:color="auto"/>
              <w:left w:val="nil"/>
              <w:right w:val="dotted" w:sz="4" w:space="0" w:color="auto"/>
            </w:tcBorders>
            <w:noWrap/>
            <w:vAlign w:val="center"/>
          </w:tcPr>
          <w:p w14:paraId="077F4524"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388C26EF"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73BE62C8"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val="restart"/>
            <w:tcBorders>
              <w:top w:val="dotted" w:sz="4" w:space="0" w:color="auto"/>
              <w:left w:val="nil"/>
              <w:right w:val="single" w:sz="8" w:space="0" w:color="auto"/>
            </w:tcBorders>
            <w:noWrap/>
            <w:vAlign w:val="center"/>
          </w:tcPr>
          <w:p w14:paraId="69E08931"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nil"/>
              <w:right w:val="dotted" w:sz="4" w:space="0" w:color="auto"/>
            </w:tcBorders>
            <w:noWrap/>
            <w:vAlign w:val="center"/>
          </w:tcPr>
          <w:p w14:paraId="65FC046D"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val="restart"/>
            <w:tcBorders>
              <w:top w:val="dotted" w:sz="4" w:space="0" w:color="auto"/>
              <w:left w:val="nil"/>
              <w:right w:val="single" w:sz="8" w:space="0" w:color="auto"/>
            </w:tcBorders>
            <w:noWrap/>
            <w:vAlign w:val="center"/>
          </w:tcPr>
          <w:p w14:paraId="1042AB75"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val="restart"/>
            <w:tcBorders>
              <w:top w:val="dotted" w:sz="4" w:space="0" w:color="auto"/>
              <w:left w:val="nil"/>
              <w:right w:val="dotted" w:sz="4" w:space="0" w:color="auto"/>
            </w:tcBorders>
            <w:noWrap/>
            <w:vAlign w:val="center"/>
          </w:tcPr>
          <w:p w14:paraId="68B86385"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EE0000"/>
                <w:sz w:val="18"/>
              </w:rPr>
              <w:t>X</w:t>
            </w:r>
          </w:p>
        </w:tc>
        <w:tc>
          <w:tcPr>
            <w:tcW w:w="1264" w:type="dxa"/>
            <w:vMerge w:val="restart"/>
            <w:tcBorders>
              <w:top w:val="dotted" w:sz="4" w:space="0" w:color="auto"/>
              <w:left w:val="nil"/>
            </w:tcBorders>
            <w:noWrap/>
            <w:vAlign w:val="center"/>
          </w:tcPr>
          <w:p w14:paraId="635414EA" w14:textId="2BAF9EFF" w:rsidR="00970EFB" w:rsidRPr="00E33CC4" w:rsidRDefault="00E75E8D" w:rsidP="00E33CC4">
            <w:pPr>
              <w:spacing w:after="0" w:line="240" w:lineRule="auto"/>
              <w:jc w:val="right"/>
              <w:rPr>
                <w:rFonts w:ascii="Cambria" w:eastAsia="Times New Roman" w:hAnsi="Cambria" w:cs="Calibri"/>
                <w:color w:val="EE0000"/>
                <w:sz w:val="18"/>
                <w:szCs w:val="18"/>
              </w:rPr>
            </w:pPr>
            <w:r w:rsidRPr="00E33CC4">
              <w:rPr>
                <w:rFonts w:ascii="Cambria" w:hAnsi="Cambria"/>
                <w:color w:val="EE0000"/>
                <w:sz w:val="18"/>
              </w:rPr>
              <w:t>€795.72</w:t>
            </w:r>
          </w:p>
          <w:p w14:paraId="04CED21E" w14:textId="1098C7E9" w:rsidR="00250F9E" w:rsidRPr="00E33CC4" w:rsidDel="00B3099B" w:rsidRDefault="00250F9E"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€2,914.00</w:t>
            </w:r>
          </w:p>
        </w:tc>
      </w:tr>
      <w:tr w:rsidR="00970EFB" w:rsidRPr="00E33CC4" w14:paraId="1EA29EB2" w14:textId="77777777" w:rsidTr="00055D05">
        <w:trPr>
          <w:trHeight w:val="290"/>
          <w:jc w:val="center"/>
        </w:trPr>
        <w:tc>
          <w:tcPr>
            <w:tcW w:w="1317" w:type="dxa"/>
            <w:vMerge/>
            <w:tcBorders>
              <w:top w:val="dotted" w:sz="4" w:space="0" w:color="auto"/>
              <w:left w:val="nil"/>
              <w:right w:val="single" w:sz="8" w:space="0" w:color="auto"/>
            </w:tcBorders>
            <w:noWrap/>
            <w:vAlign w:val="center"/>
          </w:tcPr>
          <w:p w14:paraId="21B7D19F"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23F17AAF"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j)</w:t>
            </w:r>
          </w:p>
        </w:tc>
        <w:tc>
          <w:tcPr>
            <w:tcW w:w="1231" w:type="dxa"/>
            <w:tcBorders>
              <w:top w:val="dotted" w:sz="4" w:space="0" w:color="auto"/>
              <w:left w:val="nil"/>
              <w:bottom w:val="dotted" w:sz="4" w:space="0" w:color="auto"/>
              <w:right w:val="single" w:sz="8" w:space="0" w:color="auto"/>
            </w:tcBorders>
            <w:noWrap/>
            <w:vAlign w:val="center"/>
          </w:tcPr>
          <w:p w14:paraId="01FC4EB7"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€2,804.67</w:t>
            </w:r>
          </w:p>
        </w:tc>
        <w:tc>
          <w:tcPr>
            <w:tcW w:w="411" w:type="dxa"/>
            <w:vMerge/>
            <w:tcBorders>
              <w:left w:val="nil"/>
              <w:right w:val="dotted" w:sz="4" w:space="0" w:color="auto"/>
            </w:tcBorders>
            <w:noWrap/>
            <w:vAlign w:val="center"/>
          </w:tcPr>
          <w:p w14:paraId="47646C5E"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729E1A3B"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3661303C"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49844FBA"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73F37BEB"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5EE5CF0B"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3144CFC2"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37E31B7F"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126D2044" w14:textId="77777777" w:rsidTr="00C52DB5">
        <w:trPr>
          <w:trHeight w:val="290"/>
          <w:jc w:val="center"/>
        </w:trPr>
        <w:tc>
          <w:tcPr>
            <w:tcW w:w="1317" w:type="dxa"/>
            <w:vMerge/>
            <w:tcBorders>
              <w:left w:val="nil"/>
              <w:bottom w:val="dotted" w:sz="4" w:space="0" w:color="auto"/>
              <w:right w:val="single" w:sz="8" w:space="0" w:color="auto"/>
            </w:tcBorders>
            <w:noWrap/>
            <w:vAlign w:val="center"/>
          </w:tcPr>
          <w:p w14:paraId="5FAED80C"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51A325D7"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7AEF8F01"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€3,257.73</w:t>
            </w:r>
          </w:p>
        </w:tc>
        <w:tc>
          <w:tcPr>
            <w:tcW w:w="411" w:type="dxa"/>
            <w:vMerge/>
            <w:tcBorders>
              <w:left w:val="nil"/>
              <w:bottom w:val="dotted" w:sz="4" w:space="0" w:color="auto"/>
              <w:right w:val="dotted" w:sz="4" w:space="0" w:color="auto"/>
            </w:tcBorders>
            <w:noWrap/>
            <w:vAlign w:val="center"/>
          </w:tcPr>
          <w:p w14:paraId="534E1AC3"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76659F5A"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339F2AD8"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bottom w:val="dotted" w:sz="4" w:space="0" w:color="auto"/>
              <w:right w:val="single" w:sz="8" w:space="0" w:color="auto"/>
            </w:tcBorders>
            <w:noWrap/>
            <w:vAlign w:val="center"/>
          </w:tcPr>
          <w:p w14:paraId="7C3B70B7"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nil"/>
              <w:bottom w:val="dotted" w:sz="4" w:space="0" w:color="auto"/>
              <w:right w:val="dotted" w:sz="4" w:space="0" w:color="auto"/>
            </w:tcBorders>
            <w:noWrap/>
            <w:vAlign w:val="center"/>
          </w:tcPr>
          <w:p w14:paraId="0F600AEE"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728FF60B"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17DEFCEF"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tcBorders>
            <w:noWrap/>
            <w:vAlign w:val="center"/>
          </w:tcPr>
          <w:p w14:paraId="609A16E4"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437E03FE" w14:textId="77777777" w:rsidTr="00C52DB5">
        <w:trPr>
          <w:trHeight w:val="290"/>
          <w:jc w:val="center"/>
        </w:trPr>
        <w:tc>
          <w:tcPr>
            <w:tcW w:w="1317" w:type="dxa"/>
            <w:tcBorders>
              <w:top w:val="dotted" w:sz="4" w:space="0" w:color="auto"/>
              <w:left w:val="nil"/>
              <w:right w:val="single" w:sz="8" w:space="0" w:color="auto"/>
            </w:tcBorders>
            <w:noWrap/>
            <w:vAlign w:val="center"/>
          </w:tcPr>
          <w:p w14:paraId="7F7B98B5"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Ghana</w:t>
            </w:r>
          </w:p>
        </w:tc>
        <w:tc>
          <w:tcPr>
            <w:tcW w:w="475" w:type="dxa"/>
            <w:tcBorders>
              <w:top w:val="dotted" w:sz="4" w:space="0" w:color="auto"/>
              <w:left w:val="nil"/>
              <w:right w:val="dotted" w:sz="4" w:space="0" w:color="auto"/>
            </w:tcBorders>
            <w:noWrap/>
            <w:vAlign w:val="center"/>
          </w:tcPr>
          <w:p w14:paraId="439E46F3"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a)</w:t>
            </w:r>
          </w:p>
        </w:tc>
        <w:tc>
          <w:tcPr>
            <w:tcW w:w="1231" w:type="dxa"/>
            <w:tcBorders>
              <w:top w:val="dotted" w:sz="4" w:space="0" w:color="auto"/>
              <w:left w:val="nil"/>
              <w:right w:val="single" w:sz="8" w:space="0" w:color="auto"/>
            </w:tcBorders>
            <w:noWrap/>
            <w:vAlign w:val="center"/>
          </w:tcPr>
          <w:p w14:paraId="2A14A109"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€3,019.13</w:t>
            </w:r>
          </w:p>
        </w:tc>
        <w:tc>
          <w:tcPr>
            <w:tcW w:w="411" w:type="dxa"/>
            <w:vMerge w:val="restart"/>
            <w:tcBorders>
              <w:top w:val="dotted" w:sz="4" w:space="0" w:color="auto"/>
              <w:left w:val="nil"/>
              <w:right w:val="dotted" w:sz="4" w:space="0" w:color="auto"/>
            </w:tcBorders>
            <w:noWrap/>
            <w:vAlign w:val="center"/>
          </w:tcPr>
          <w:p w14:paraId="7472980E"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6B403D5B"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1A7EB808"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val="restart"/>
            <w:tcBorders>
              <w:top w:val="dotted" w:sz="4" w:space="0" w:color="auto"/>
              <w:left w:val="nil"/>
              <w:right w:val="single" w:sz="8" w:space="0" w:color="auto"/>
            </w:tcBorders>
            <w:noWrap/>
            <w:vAlign w:val="center"/>
          </w:tcPr>
          <w:p w14:paraId="0A66DB02"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nil"/>
              <w:right w:val="dotted" w:sz="4" w:space="0" w:color="auto"/>
            </w:tcBorders>
            <w:noWrap/>
            <w:vAlign w:val="center"/>
          </w:tcPr>
          <w:p w14:paraId="26EC95DF"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val="restart"/>
            <w:tcBorders>
              <w:top w:val="dotted" w:sz="4" w:space="0" w:color="auto"/>
              <w:left w:val="nil"/>
              <w:right w:val="single" w:sz="8" w:space="0" w:color="auto"/>
            </w:tcBorders>
            <w:noWrap/>
            <w:vAlign w:val="center"/>
          </w:tcPr>
          <w:p w14:paraId="5D3E640D"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val="restart"/>
            <w:tcBorders>
              <w:top w:val="dotted" w:sz="4" w:space="0" w:color="auto"/>
              <w:left w:val="nil"/>
              <w:right w:val="dotted" w:sz="4" w:space="0" w:color="auto"/>
            </w:tcBorders>
            <w:noWrap/>
            <w:vAlign w:val="center"/>
          </w:tcPr>
          <w:p w14:paraId="3D9130F9"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EE0000"/>
                <w:sz w:val="18"/>
              </w:rPr>
              <w:t>X</w:t>
            </w:r>
          </w:p>
        </w:tc>
        <w:tc>
          <w:tcPr>
            <w:tcW w:w="1264" w:type="dxa"/>
            <w:vMerge w:val="restart"/>
            <w:tcBorders>
              <w:top w:val="dotted" w:sz="4" w:space="0" w:color="auto"/>
              <w:left w:val="nil"/>
            </w:tcBorders>
            <w:noWrap/>
            <w:vAlign w:val="center"/>
          </w:tcPr>
          <w:p w14:paraId="37A394CF" w14:textId="77777777" w:rsidR="00970EFB" w:rsidRPr="00E33CC4" w:rsidRDefault="00DC6A2C" w:rsidP="00E33CC4">
            <w:pPr>
              <w:spacing w:after="0" w:line="240" w:lineRule="auto"/>
              <w:jc w:val="right"/>
              <w:rPr>
                <w:rFonts w:ascii="Cambria" w:eastAsia="Times New Roman" w:hAnsi="Cambria" w:cs="Calibri"/>
                <w:color w:val="EE0000"/>
                <w:sz w:val="18"/>
                <w:szCs w:val="18"/>
              </w:rPr>
            </w:pPr>
            <w:r w:rsidRPr="00E33CC4">
              <w:rPr>
                <w:rFonts w:ascii="Cambria" w:hAnsi="Cambria"/>
                <w:color w:val="EE0000"/>
                <w:sz w:val="18"/>
              </w:rPr>
              <w:t>€1,094.09</w:t>
            </w:r>
          </w:p>
          <w:p w14:paraId="061089AA" w14:textId="06C7FAB0" w:rsidR="00DC6A2C" w:rsidRPr="00E33CC4" w:rsidDel="00B3099B" w:rsidRDefault="00DC6A2C" w:rsidP="00E33CC4">
            <w:pPr>
              <w:spacing w:after="0" w:line="240" w:lineRule="auto"/>
              <w:jc w:val="right"/>
              <w:rPr>
                <w:rFonts w:ascii="Cambria" w:eastAsia="Times New Roman" w:hAnsi="Cambria" w:cs="Calibri"/>
                <w:color w:val="EE0000"/>
                <w:sz w:val="18"/>
                <w:szCs w:val="18"/>
              </w:rPr>
            </w:pPr>
            <w:r w:rsidRPr="00E33CC4">
              <w:rPr>
                <w:rFonts w:ascii="Cambria" w:hAnsi="Cambria"/>
                <w:color w:val="EE0000"/>
                <w:sz w:val="18"/>
              </w:rPr>
              <w:t>€3,206.25</w:t>
            </w:r>
          </w:p>
        </w:tc>
      </w:tr>
      <w:tr w:rsidR="00970EFB" w:rsidRPr="00E33CC4" w14:paraId="5290A4E4" w14:textId="77777777" w:rsidTr="00C52DB5">
        <w:trPr>
          <w:trHeight w:val="290"/>
          <w:jc w:val="center"/>
        </w:trPr>
        <w:tc>
          <w:tcPr>
            <w:tcW w:w="1317" w:type="dxa"/>
            <w:tcBorders>
              <w:left w:val="nil"/>
              <w:bottom w:val="dotted" w:sz="4" w:space="0" w:color="auto"/>
              <w:right w:val="single" w:sz="8" w:space="0" w:color="auto"/>
            </w:tcBorders>
            <w:noWrap/>
            <w:vAlign w:val="center"/>
          </w:tcPr>
          <w:p w14:paraId="546BFAD1"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left w:val="nil"/>
              <w:bottom w:val="dotted" w:sz="4" w:space="0" w:color="auto"/>
              <w:right w:val="dotted" w:sz="4" w:space="0" w:color="auto"/>
            </w:tcBorders>
            <w:noWrap/>
            <w:vAlign w:val="center"/>
          </w:tcPr>
          <w:p w14:paraId="4D821212"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left w:val="nil"/>
              <w:bottom w:val="dotted" w:sz="4" w:space="0" w:color="auto"/>
              <w:right w:val="single" w:sz="8" w:space="0" w:color="auto"/>
            </w:tcBorders>
            <w:noWrap/>
            <w:vAlign w:val="center"/>
          </w:tcPr>
          <w:p w14:paraId="11FC16D5"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€5,657.73</w:t>
            </w:r>
          </w:p>
        </w:tc>
        <w:tc>
          <w:tcPr>
            <w:tcW w:w="411" w:type="dxa"/>
            <w:vMerge/>
            <w:tcBorders>
              <w:left w:val="nil"/>
              <w:bottom w:val="dotted" w:sz="4" w:space="0" w:color="auto"/>
              <w:right w:val="dotted" w:sz="4" w:space="0" w:color="auto"/>
            </w:tcBorders>
            <w:noWrap/>
            <w:vAlign w:val="center"/>
          </w:tcPr>
          <w:p w14:paraId="0F049823"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3E4D3761"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335254B6"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bottom w:val="dotted" w:sz="4" w:space="0" w:color="auto"/>
              <w:right w:val="single" w:sz="8" w:space="0" w:color="auto"/>
            </w:tcBorders>
            <w:noWrap/>
            <w:vAlign w:val="center"/>
          </w:tcPr>
          <w:p w14:paraId="7888A71A"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nil"/>
              <w:bottom w:val="dotted" w:sz="4" w:space="0" w:color="auto"/>
              <w:right w:val="dotted" w:sz="4" w:space="0" w:color="auto"/>
            </w:tcBorders>
            <w:noWrap/>
            <w:vAlign w:val="center"/>
          </w:tcPr>
          <w:p w14:paraId="2D7F7A3F"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0E8188A6"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1A63FFE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tcBorders>
            <w:noWrap/>
            <w:vAlign w:val="center"/>
          </w:tcPr>
          <w:p w14:paraId="095D1238"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0731F80F" w14:textId="77777777" w:rsidTr="00C52DB5">
        <w:trPr>
          <w:trHeight w:val="290"/>
          <w:jc w:val="center"/>
        </w:trPr>
        <w:tc>
          <w:tcPr>
            <w:tcW w:w="1317" w:type="dxa"/>
            <w:vMerge w:val="restart"/>
            <w:tcBorders>
              <w:top w:val="dotted" w:sz="4" w:space="0" w:color="auto"/>
              <w:left w:val="nil"/>
              <w:right w:val="single" w:sz="8" w:space="0" w:color="auto"/>
            </w:tcBorders>
            <w:noWrap/>
            <w:vAlign w:val="center"/>
            <w:hideMark/>
          </w:tcPr>
          <w:p w14:paraId="1212A1A9"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Guatemala</w:t>
            </w:r>
          </w:p>
        </w:tc>
        <w:tc>
          <w:tcPr>
            <w:tcW w:w="475" w:type="dxa"/>
            <w:tcBorders>
              <w:top w:val="dotted" w:sz="4" w:space="0" w:color="auto"/>
              <w:left w:val="nil"/>
              <w:bottom w:val="dotted" w:sz="4" w:space="0" w:color="auto"/>
              <w:right w:val="dotted" w:sz="4" w:space="0" w:color="auto"/>
            </w:tcBorders>
            <w:noWrap/>
            <w:vAlign w:val="center"/>
          </w:tcPr>
          <w:p w14:paraId="6FD09A45"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j)</w:t>
            </w:r>
          </w:p>
        </w:tc>
        <w:tc>
          <w:tcPr>
            <w:tcW w:w="1231" w:type="dxa"/>
            <w:tcBorders>
              <w:top w:val="dotted" w:sz="4" w:space="0" w:color="auto"/>
              <w:left w:val="nil"/>
              <w:bottom w:val="dotted" w:sz="4" w:space="0" w:color="auto"/>
              <w:right w:val="single" w:sz="8" w:space="0" w:color="auto"/>
            </w:tcBorders>
            <w:noWrap/>
            <w:vAlign w:val="center"/>
          </w:tcPr>
          <w:p w14:paraId="30BB4D04"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€2,227.30</w:t>
            </w:r>
          </w:p>
        </w:tc>
        <w:tc>
          <w:tcPr>
            <w:tcW w:w="411" w:type="dxa"/>
            <w:vMerge w:val="restart"/>
            <w:tcBorders>
              <w:top w:val="dotted" w:sz="4" w:space="0" w:color="auto"/>
              <w:left w:val="nil"/>
              <w:right w:val="dotted" w:sz="4" w:space="0" w:color="auto"/>
            </w:tcBorders>
            <w:noWrap/>
            <w:vAlign w:val="center"/>
          </w:tcPr>
          <w:p w14:paraId="1C866759"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6B379373"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4E20A5FA"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val="restart"/>
            <w:tcBorders>
              <w:top w:val="dotted" w:sz="4" w:space="0" w:color="auto"/>
              <w:left w:val="nil"/>
              <w:right w:val="single" w:sz="8" w:space="0" w:color="auto"/>
            </w:tcBorders>
            <w:noWrap/>
            <w:vAlign w:val="center"/>
          </w:tcPr>
          <w:p w14:paraId="558C43C2"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01103E73"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353" w:type="dxa"/>
            <w:vMerge w:val="restart"/>
            <w:tcBorders>
              <w:top w:val="dotted" w:sz="4" w:space="0" w:color="auto"/>
              <w:left w:val="nil"/>
              <w:right w:val="single" w:sz="8" w:space="0" w:color="auto"/>
            </w:tcBorders>
            <w:noWrap/>
            <w:vAlign w:val="center"/>
          </w:tcPr>
          <w:p w14:paraId="67387480"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€1,073.08</w:t>
            </w:r>
          </w:p>
        </w:tc>
        <w:tc>
          <w:tcPr>
            <w:tcW w:w="426" w:type="dxa"/>
            <w:vMerge w:val="restart"/>
            <w:tcBorders>
              <w:top w:val="dotted" w:sz="4" w:space="0" w:color="auto"/>
              <w:left w:val="nil"/>
              <w:right w:val="dotted" w:sz="4" w:space="0" w:color="auto"/>
            </w:tcBorders>
            <w:noWrap/>
            <w:vAlign w:val="center"/>
          </w:tcPr>
          <w:p w14:paraId="7BDA5194"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sz w:val="18"/>
              </w:rPr>
              <w:t>X</w:t>
            </w:r>
          </w:p>
        </w:tc>
        <w:tc>
          <w:tcPr>
            <w:tcW w:w="1264" w:type="dxa"/>
            <w:vMerge w:val="restart"/>
            <w:tcBorders>
              <w:top w:val="dotted" w:sz="4" w:space="0" w:color="auto"/>
              <w:left w:val="nil"/>
              <w:right w:val="nil"/>
            </w:tcBorders>
            <w:noWrap/>
            <w:vAlign w:val="center"/>
          </w:tcPr>
          <w:p w14:paraId="577B6473" w14:textId="08C4DB43" w:rsidR="00DC6A2C" w:rsidRPr="00E33CC4" w:rsidRDefault="00DC6A2C"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€1,654.72</w:t>
            </w:r>
          </w:p>
          <w:p w14:paraId="01788278" w14:textId="51BDF8D3" w:rsidR="00970EFB" w:rsidRPr="00E33CC4" w:rsidRDefault="00DC6A2C"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€2,914.00</w:t>
            </w:r>
          </w:p>
        </w:tc>
      </w:tr>
      <w:tr w:rsidR="00970EFB" w:rsidRPr="00E33CC4" w14:paraId="153D9DC2" w14:textId="77777777" w:rsidTr="00055D05">
        <w:trPr>
          <w:trHeight w:val="290"/>
          <w:jc w:val="center"/>
        </w:trPr>
        <w:tc>
          <w:tcPr>
            <w:tcW w:w="1317" w:type="dxa"/>
            <w:vMerge/>
            <w:tcBorders>
              <w:left w:val="nil"/>
              <w:right w:val="single" w:sz="8" w:space="0" w:color="auto"/>
            </w:tcBorders>
            <w:noWrap/>
            <w:vAlign w:val="center"/>
          </w:tcPr>
          <w:p w14:paraId="23060F59"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3A879BA4"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k)</w:t>
            </w:r>
          </w:p>
        </w:tc>
        <w:tc>
          <w:tcPr>
            <w:tcW w:w="1231" w:type="dxa"/>
            <w:tcBorders>
              <w:top w:val="dotted" w:sz="4" w:space="0" w:color="auto"/>
              <w:left w:val="nil"/>
              <w:bottom w:val="dotted" w:sz="4" w:space="0" w:color="auto"/>
              <w:right w:val="single" w:sz="8" w:space="0" w:color="auto"/>
            </w:tcBorders>
            <w:noWrap/>
            <w:vAlign w:val="center"/>
          </w:tcPr>
          <w:p w14:paraId="7F6ABDA6"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€3,381.55</w:t>
            </w:r>
          </w:p>
        </w:tc>
        <w:tc>
          <w:tcPr>
            <w:tcW w:w="411" w:type="dxa"/>
            <w:vMerge/>
            <w:tcBorders>
              <w:left w:val="nil"/>
              <w:right w:val="dotted" w:sz="4" w:space="0" w:color="auto"/>
            </w:tcBorders>
            <w:noWrap/>
            <w:vAlign w:val="center"/>
          </w:tcPr>
          <w:p w14:paraId="3CFA945F"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tcBorders>
              <w:left w:val="nil"/>
              <w:right w:val="single" w:sz="8" w:space="0" w:color="auto"/>
            </w:tcBorders>
            <w:noWrap/>
            <w:vAlign w:val="center"/>
          </w:tcPr>
          <w:p w14:paraId="741ADF25"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tcBorders>
              <w:left w:val="nil"/>
              <w:right w:val="dotted" w:sz="4" w:space="0" w:color="auto"/>
            </w:tcBorders>
            <w:noWrap/>
            <w:vAlign w:val="center"/>
          </w:tcPr>
          <w:p w14:paraId="45EF7817"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0EDEE8B2"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18919C14"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251D7393"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75E78CBD"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4F0F33A8"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4B03AEB8" w14:textId="77777777" w:rsidTr="00055D05">
        <w:trPr>
          <w:trHeight w:val="290"/>
          <w:jc w:val="center"/>
        </w:trPr>
        <w:tc>
          <w:tcPr>
            <w:tcW w:w="1317" w:type="dxa"/>
            <w:vMerge/>
            <w:tcBorders>
              <w:left w:val="nil"/>
              <w:bottom w:val="dotted" w:sz="4" w:space="0" w:color="auto"/>
              <w:right w:val="single" w:sz="8" w:space="0" w:color="auto"/>
            </w:tcBorders>
            <w:noWrap/>
            <w:vAlign w:val="center"/>
          </w:tcPr>
          <w:p w14:paraId="77D9DA43"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7B9744C8"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7536A404"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€4,370.36</w:t>
            </w:r>
          </w:p>
        </w:tc>
        <w:tc>
          <w:tcPr>
            <w:tcW w:w="411" w:type="dxa"/>
            <w:vMerge/>
            <w:tcBorders>
              <w:left w:val="nil"/>
              <w:bottom w:val="dotted" w:sz="4" w:space="0" w:color="auto"/>
              <w:right w:val="dotted" w:sz="4" w:space="0" w:color="auto"/>
            </w:tcBorders>
            <w:noWrap/>
            <w:vAlign w:val="center"/>
          </w:tcPr>
          <w:p w14:paraId="4C3F14EE"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2B12C275"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09BACDBC"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bottom w:val="dotted" w:sz="4" w:space="0" w:color="auto"/>
              <w:right w:val="single" w:sz="8" w:space="0" w:color="auto"/>
            </w:tcBorders>
            <w:noWrap/>
            <w:vAlign w:val="center"/>
          </w:tcPr>
          <w:p w14:paraId="5E7366DC"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bottom w:val="dotted" w:sz="4" w:space="0" w:color="auto"/>
              <w:right w:val="dotted" w:sz="4" w:space="0" w:color="auto"/>
            </w:tcBorders>
            <w:noWrap/>
            <w:vAlign w:val="center"/>
          </w:tcPr>
          <w:p w14:paraId="0C3DDD4B"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3C5F31C8"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2B058D9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right w:val="nil"/>
            </w:tcBorders>
            <w:noWrap/>
            <w:vAlign w:val="center"/>
          </w:tcPr>
          <w:p w14:paraId="0F159BB9"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36FDF8A8" w14:textId="77777777" w:rsidTr="00055D05">
        <w:trPr>
          <w:trHeight w:val="290"/>
          <w:jc w:val="center"/>
        </w:trPr>
        <w:tc>
          <w:tcPr>
            <w:tcW w:w="1317" w:type="dxa"/>
            <w:vMerge w:val="restart"/>
            <w:tcBorders>
              <w:top w:val="nil"/>
              <w:left w:val="nil"/>
              <w:right w:val="single" w:sz="8" w:space="0" w:color="auto"/>
            </w:tcBorders>
            <w:noWrap/>
            <w:vAlign w:val="center"/>
          </w:tcPr>
          <w:p w14:paraId="6752B09E"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 xml:space="preserve"> Guinea (Rep.)</w:t>
            </w:r>
          </w:p>
        </w:tc>
        <w:tc>
          <w:tcPr>
            <w:tcW w:w="475" w:type="dxa"/>
            <w:tcBorders>
              <w:top w:val="dotted" w:sz="4" w:space="0" w:color="auto"/>
              <w:left w:val="nil"/>
              <w:bottom w:val="dotted" w:sz="4" w:space="0" w:color="auto"/>
              <w:right w:val="dotted" w:sz="4" w:space="0" w:color="auto"/>
            </w:tcBorders>
            <w:noWrap/>
            <w:vAlign w:val="center"/>
          </w:tcPr>
          <w:p w14:paraId="6A4E8D30"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e)</w:t>
            </w:r>
          </w:p>
        </w:tc>
        <w:tc>
          <w:tcPr>
            <w:tcW w:w="1231" w:type="dxa"/>
            <w:tcBorders>
              <w:top w:val="dotted" w:sz="4" w:space="0" w:color="auto"/>
              <w:left w:val="nil"/>
              <w:bottom w:val="dotted" w:sz="4" w:space="0" w:color="auto"/>
              <w:right w:val="single" w:sz="8" w:space="0" w:color="auto"/>
            </w:tcBorders>
            <w:noWrap/>
            <w:vAlign w:val="center"/>
          </w:tcPr>
          <w:p w14:paraId="628B6AF0"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€4,726.69</w:t>
            </w:r>
          </w:p>
        </w:tc>
        <w:tc>
          <w:tcPr>
            <w:tcW w:w="411" w:type="dxa"/>
            <w:vMerge w:val="restart"/>
            <w:tcBorders>
              <w:top w:val="dotted" w:sz="4" w:space="0" w:color="auto"/>
              <w:left w:val="nil"/>
              <w:right w:val="dotted" w:sz="4" w:space="0" w:color="auto"/>
            </w:tcBorders>
            <w:noWrap/>
            <w:vAlign w:val="center"/>
          </w:tcPr>
          <w:p w14:paraId="199266BC"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207C0334"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5093B19D"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val="restart"/>
            <w:tcBorders>
              <w:top w:val="dotted" w:sz="4" w:space="0" w:color="auto"/>
              <w:left w:val="nil"/>
              <w:right w:val="single" w:sz="8" w:space="0" w:color="auto"/>
            </w:tcBorders>
            <w:noWrap/>
            <w:vAlign w:val="center"/>
          </w:tcPr>
          <w:p w14:paraId="4D11B810"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3BCF2A76"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val="restart"/>
            <w:tcBorders>
              <w:top w:val="dotted" w:sz="4" w:space="0" w:color="auto"/>
              <w:left w:val="nil"/>
              <w:right w:val="single" w:sz="8" w:space="0" w:color="auto"/>
            </w:tcBorders>
            <w:noWrap/>
            <w:vAlign w:val="center"/>
          </w:tcPr>
          <w:p w14:paraId="159CB2E2"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val="restart"/>
            <w:tcBorders>
              <w:top w:val="nil"/>
              <w:left w:val="nil"/>
              <w:right w:val="dotted" w:sz="4" w:space="0" w:color="auto"/>
            </w:tcBorders>
            <w:noWrap/>
            <w:vAlign w:val="center"/>
          </w:tcPr>
          <w:p w14:paraId="37873C8D"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EE0000"/>
                <w:sz w:val="18"/>
              </w:rPr>
              <w:t>X</w:t>
            </w:r>
          </w:p>
        </w:tc>
        <w:tc>
          <w:tcPr>
            <w:tcW w:w="1264" w:type="dxa"/>
            <w:vMerge w:val="restart"/>
            <w:tcBorders>
              <w:top w:val="nil"/>
              <w:left w:val="nil"/>
              <w:right w:val="nil"/>
            </w:tcBorders>
            <w:noWrap/>
            <w:vAlign w:val="center"/>
          </w:tcPr>
          <w:p w14:paraId="1B219D18" w14:textId="77777777" w:rsidR="00970EFB" w:rsidRPr="00E33CC4" w:rsidRDefault="00577860" w:rsidP="00E33CC4">
            <w:pPr>
              <w:spacing w:after="0" w:line="240" w:lineRule="auto"/>
              <w:jc w:val="right"/>
              <w:rPr>
                <w:rFonts w:ascii="Cambria" w:eastAsia="Times New Roman" w:hAnsi="Cambria" w:cs="Calibri"/>
                <w:color w:val="EE0000"/>
                <w:sz w:val="18"/>
                <w:szCs w:val="18"/>
              </w:rPr>
            </w:pPr>
            <w:r w:rsidRPr="00E33CC4">
              <w:rPr>
                <w:rFonts w:ascii="Cambria" w:hAnsi="Cambria"/>
                <w:color w:val="EE0000"/>
                <w:sz w:val="18"/>
              </w:rPr>
              <w:t>€1,278.51</w:t>
            </w:r>
          </w:p>
          <w:p w14:paraId="5A2ACCC1" w14:textId="773E382F" w:rsidR="00577860" w:rsidRPr="00E33CC4" w:rsidDel="00B3099B" w:rsidRDefault="00577860"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€2,992.97</w:t>
            </w:r>
          </w:p>
        </w:tc>
      </w:tr>
      <w:tr w:rsidR="00970EFB" w:rsidRPr="00E33CC4" w14:paraId="4641D007" w14:textId="77777777" w:rsidTr="00055D05">
        <w:trPr>
          <w:trHeight w:val="290"/>
          <w:jc w:val="center"/>
        </w:trPr>
        <w:tc>
          <w:tcPr>
            <w:tcW w:w="1317" w:type="dxa"/>
            <w:vMerge/>
            <w:tcBorders>
              <w:left w:val="nil"/>
              <w:right w:val="single" w:sz="8" w:space="0" w:color="auto"/>
            </w:tcBorders>
            <w:noWrap/>
            <w:vAlign w:val="center"/>
          </w:tcPr>
          <w:p w14:paraId="48391820"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515F6E52"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551832CE"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€6,899.98</w:t>
            </w:r>
          </w:p>
        </w:tc>
        <w:tc>
          <w:tcPr>
            <w:tcW w:w="411" w:type="dxa"/>
            <w:vMerge/>
            <w:tcBorders>
              <w:left w:val="nil"/>
              <w:right w:val="dotted" w:sz="4" w:space="0" w:color="auto"/>
            </w:tcBorders>
            <w:noWrap/>
            <w:vAlign w:val="center"/>
          </w:tcPr>
          <w:p w14:paraId="1C61DBB6"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7136848B"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5387C7E0"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1B0BAE20"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2A23BB9F"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37E18CDE"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62E5ECC6"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29B956C0"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75B75F06" w14:textId="77777777" w:rsidTr="00055D05">
        <w:trPr>
          <w:trHeight w:val="290"/>
          <w:jc w:val="center"/>
        </w:trPr>
        <w:tc>
          <w:tcPr>
            <w:tcW w:w="1317" w:type="dxa"/>
            <w:tcBorders>
              <w:top w:val="dotted" w:sz="4" w:space="0" w:color="auto"/>
              <w:left w:val="nil"/>
              <w:bottom w:val="dotted" w:sz="4" w:space="0" w:color="auto"/>
              <w:right w:val="single" w:sz="8" w:space="0" w:color="auto"/>
            </w:tcBorders>
            <w:noWrap/>
            <w:vAlign w:val="center"/>
            <w:hideMark/>
          </w:tcPr>
          <w:p w14:paraId="65D672EF"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Honduras</w:t>
            </w:r>
          </w:p>
        </w:tc>
        <w:tc>
          <w:tcPr>
            <w:tcW w:w="475" w:type="dxa"/>
            <w:tcBorders>
              <w:top w:val="dotted" w:sz="4" w:space="0" w:color="auto"/>
              <w:left w:val="nil"/>
              <w:bottom w:val="dotted" w:sz="4" w:space="0" w:color="auto"/>
              <w:right w:val="dotted" w:sz="4" w:space="0" w:color="auto"/>
            </w:tcBorders>
            <w:noWrap/>
            <w:vAlign w:val="center"/>
          </w:tcPr>
          <w:p w14:paraId="6F042538"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0D14D2DA"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nil"/>
              <w:bottom w:val="dotted" w:sz="4" w:space="0" w:color="auto"/>
              <w:right w:val="dotted" w:sz="4" w:space="0" w:color="auto"/>
            </w:tcBorders>
            <w:noWrap/>
            <w:vAlign w:val="center"/>
          </w:tcPr>
          <w:p w14:paraId="72E9B242"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tcBorders>
              <w:top w:val="dotted" w:sz="4" w:space="0" w:color="auto"/>
              <w:left w:val="nil"/>
              <w:bottom w:val="dotted" w:sz="4" w:space="0" w:color="auto"/>
              <w:right w:val="single" w:sz="8" w:space="0" w:color="auto"/>
            </w:tcBorders>
            <w:noWrap/>
            <w:vAlign w:val="center"/>
          </w:tcPr>
          <w:p w14:paraId="0A688F9B"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tcBorders>
              <w:top w:val="dotted" w:sz="4" w:space="0" w:color="auto"/>
              <w:left w:val="nil"/>
              <w:bottom w:val="dotted" w:sz="4" w:space="0" w:color="auto"/>
              <w:right w:val="dotted" w:sz="4" w:space="0" w:color="auto"/>
            </w:tcBorders>
            <w:noWrap/>
            <w:vAlign w:val="center"/>
          </w:tcPr>
          <w:p w14:paraId="6859EA13"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5C75C0A7"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2C6CBA22"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bottom w:val="dotted" w:sz="4" w:space="0" w:color="auto"/>
              <w:right w:val="single" w:sz="8" w:space="0" w:color="auto"/>
            </w:tcBorders>
            <w:noWrap/>
            <w:vAlign w:val="center"/>
          </w:tcPr>
          <w:p w14:paraId="622D80AB"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tcBorders>
              <w:top w:val="dotted" w:sz="4" w:space="0" w:color="auto"/>
              <w:left w:val="nil"/>
              <w:bottom w:val="dotted" w:sz="4" w:space="0" w:color="auto"/>
              <w:right w:val="dotted" w:sz="4" w:space="0" w:color="auto"/>
            </w:tcBorders>
            <w:noWrap/>
            <w:vAlign w:val="center"/>
          </w:tcPr>
          <w:p w14:paraId="06AE038E"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64" w:type="dxa"/>
            <w:tcBorders>
              <w:top w:val="dotted" w:sz="4" w:space="0" w:color="auto"/>
              <w:left w:val="nil"/>
              <w:bottom w:val="dotted" w:sz="4" w:space="0" w:color="auto"/>
              <w:right w:val="nil"/>
            </w:tcBorders>
            <w:noWrap/>
            <w:vAlign w:val="center"/>
          </w:tcPr>
          <w:p w14:paraId="2C56A415" w14:textId="77777777" w:rsidR="00970EFB" w:rsidRPr="00E33CC4" w:rsidRDefault="00542D35"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€1,344.08</w:t>
            </w:r>
          </w:p>
          <w:p w14:paraId="5CCB137C" w14:textId="4ADED440" w:rsidR="00542D35" w:rsidRPr="00E33CC4" w:rsidRDefault="00542D35"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€3,083.51</w:t>
            </w:r>
          </w:p>
        </w:tc>
      </w:tr>
      <w:tr w:rsidR="00970EFB" w:rsidRPr="00E33CC4" w14:paraId="696B23DA" w14:textId="77777777" w:rsidTr="00055D05">
        <w:trPr>
          <w:trHeight w:val="290"/>
          <w:jc w:val="center"/>
        </w:trPr>
        <w:tc>
          <w:tcPr>
            <w:tcW w:w="1317" w:type="dxa"/>
            <w:tcBorders>
              <w:top w:val="dotted" w:sz="4" w:space="0" w:color="auto"/>
              <w:left w:val="nil"/>
              <w:bottom w:val="dotted" w:sz="4" w:space="0" w:color="auto"/>
              <w:right w:val="single" w:sz="8" w:space="0" w:color="auto"/>
            </w:tcBorders>
            <w:noWrap/>
            <w:vAlign w:val="center"/>
          </w:tcPr>
          <w:p w14:paraId="16C5675D"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 xml:space="preserve">Libya </w:t>
            </w:r>
          </w:p>
        </w:tc>
        <w:tc>
          <w:tcPr>
            <w:tcW w:w="475" w:type="dxa"/>
            <w:tcBorders>
              <w:top w:val="dotted" w:sz="4" w:space="0" w:color="auto"/>
              <w:left w:val="nil"/>
              <w:bottom w:val="nil"/>
              <w:right w:val="dotted" w:sz="4" w:space="0" w:color="auto"/>
            </w:tcBorders>
            <w:noWrap/>
            <w:vAlign w:val="center"/>
          </w:tcPr>
          <w:p w14:paraId="2E1B09C4"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nil"/>
              <w:right w:val="single" w:sz="8" w:space="0" w:color="auto"/>
            </w:tcBorders>
            <w:noWrap/>
            <w:vAlign w:val="center"/>
          </w:tcPr>
          <w:p w14:paraId="5E5279C5"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411" w:type="dxa"/>
            <w:tcBorders>
              <w:top w:val="dotted" w:sz="4" w:space="0" w:color="auto"/>
              <w:left w:val="nil"/>
              <w:bottom w:val="nil"/>
              <w:right w:val="dotted" w:sz="4" w:space="0" w:color="auto"/>
            </w:tcBorders>
            <w:noWrap/>
            <w:vAlign w:val="center"/>
          </w:tcPr>
          <w:p w14:paraId="1D16650B"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143" w:type="dxa"/>
            <w:tcBorders>
              <w:top w:val="dotted" w:sz="4" w:space="0" w:color="auto"/>
              <w:left w:val="nil"/>
              <w:bottom w:val="nil"/>
              <w:right w:val="single" w:sz="8" w:space="0" w:color="auto"/>
            </w:tcBorders>
            <w:noWrap/>
            <w:vAlign w:val="center"/>
          </w:tcPr>
          <w:p w14:paraId="7F2F0EBD"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377" w:type="dxa"/>
            <w:tcBorders>
              <w:top w:val="dotted" w:sz="4" w:space="0" w:color="auto"/>
              <w:left w:val="nil"/>
              <w:bottom w:val="dotted" w:sz="4" w:space="0" w:color="auto"/>
              <w:right w:val="dotted" w:sz="4" w:space="0" w:color="auto"/>
            </w:tcBorders>
            <w:noWrap/>
            <w:vAlign w:val="center"/>
          </w:tcPr>
          <w:p w14:paraId="4B556E42"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dotted" w:sz="4" w:space="0" w:color="auto"/>
              <w:right w:val="single" w:sz="8" w:space="0" w:color="auto"/>
            </w:tcBorders>
            <w:noWrap/>
            <w:vAlign w:val="center"/>
          </w:tcPr>
          <w:p w14:paraId="2773AEB9"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411" w:type="dxa"/>
            <w:tcBorders>
              <w:top w:val="dotted" w:sz="4" w:space="0" w:color="auto"/>
              <w:left w:val="single" w:sz="8" w:space="0" w:color="auto"/>
              <w:bottom w:val="nil"/>
              <w:right w:val="dotted" w:sz="4" w:space="0" w:color="auto"/>
            </w:tcBorders>
            <w:noWrap/>
            <w:vAlign w:val="center"/>
          </w:tcPr>
          <w:p w14:paraId="1C02B365"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tcBorders>
              <w:top w:val="dotted" w:sz="4" w:space="0" w:color="auto"/>
              <w:left w:val="nil"/>
              <w:bottom w:val="nil"/>
              <w:right w:val="single" w:sz="8" w:space="0" w:color="auto"/>
            </w:tcBorders>
            <w:noWrap/>
            <w:vAlign w:val="center"/>
          </w:tcPr>
          <w:p w14:paraId="2EA8E868"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tcBorders>
              <w:top w:val="dotted" w:sz="4" w:space="0" w:color="auto"/>
              <w:left w:val="nil"/>
              <w:bottom w:val="dotted" w:sz="4" w:space="0" w:color="auto"/>
              <w:right w:val="dotted" w:sz="4" w:space="0" w:color="auto"/>
            </w:tcBorders>
            <w:noWrap/>
            <w:vAlign w:val="center"/>
          </w:tcPr>
          <w:p w14:paraId="20E8B8E5"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EE0000"/>
                <w:sz w:val="18"/>
              </w:rPr>
              <w:t>X</w:t>
            </w:r>
          </w:p>
        </w:tc>
        <w:tc>
          <w:tcPr>
            <w:tcW w:w="1264" w:type="dxa"/>
            <w:tcBorders>
              <w:top w:val="dotted" w:sz="4" w:space="0" w:color="auto"/>
              <w:left w:val="nil"/>
              <w:bottom w:val="dotted" w:sz="4" w:space="0" w:color="auto"/>
              <w:right w:val="nil"/>
            </w:tcBorders>
            <w:noWrap/>
            <w:vAlign w:val="center"/>
          </w:tcPr>
          <w:p w14:paraId="668F1583" w14:textId="77777777" w:rsidR="00970EFB" w:rsidRPr="00E33CC4" w:rsidRDefault="002220C9" w:rsidP="00E33CC4">
            <w:pPr>
              <w:spacing w:after="0" w:line="240" w:lineRule="auto"/>
              <w:jc w:val="right"/>
              <w:rPr>
                <w:rFonts w:ascii="Cambria" w:eastAsia="Times New Roman" w:hAnsi="Cambria" w:cs="Calibri"/>
                <w:color w:val="EE0000"/>
                <w:sz w:val="18"/>
              </w:rPr>
            </w:pPr>
            <w:r w:rsidRPr="00E33CC4">
              <w:rPr>
                <w:rFonts w:ascii="Cambria" w:hAnsi="Cambria"/>
                <w:color w:val="EE0000"/>
                <w:sz w:val="18"/>
              </w:rPr>
              <w:t>€761.23</w:t>
            </w:r>
          </w:p>
          <w:p w14:paraId="1B09FE3D" w14:textId="455530CB" w:rsidR="002220C9" w:rsidRPr="00E33CC4" w:rsidDel="00B3099B" w:rsidRDefault="002220C9" w:rsidP="00E33CC4">
            <w:pPr>
              <w:spacing w:after="0" w:line="240" w:lineRule="auto"/>
              <w:jc w:val="right"/>
              <w:rPr>
                <w:rFonts w:ascii="Cambria" w:eastAsia="Times New Roman" w:hAnsi="Cambria" w:cs="Calibri"/>
                <w:color w:val="EE0000"/>
                <w:sz w:val="18"/>
              </w:rPr>
            </w:pPr>
            <w:r w:rsidRPr="00E33CC4">
              <w:rPr>
                <w:rFonts w:ascii="Cambria" w:hAnsi="Cambria"/>
                <w:color w:val="EE0000"/>
                <w:sz w:val="18"/>
              </w:rPr>
              <w:t>€3,162.00</w:t>
            </w:r>
          </w:p>
        </w:tc>
      </w:tr>
      <w:tr w:rsidR="00970EFB" w:rsidRPr="00E33CC4" w14:paraId="5CDD81E2" w14:textId="77777777" w:rsidTr="00055D05">
        <w:trPr>
          <w:trHeight w:val="290"/>
          <w:jc w:val="center"/>
        </w:trPr>
        <w:tc>
          <w:tcPr>
            <w:tcW w:w="1317" w:type="dxa"/>
            <w:tcBorders>
              <w:top w:val="nil"/>
              <w:left w:val="nil"/>
              <w:bottom w:val="dotted" w:sz="4" w:space="0" w:color="auto"/>
              <w:right w:val="single" w:sz="8" w:space="0" w:color="auto"/>
            </w:tcBorders>
            <w:noWrap/>
            <w:vAlign w:val="center"/>
            <w:hideMark/>
          </w:tcPr>
          <w:p w14:paraId="4E4B5D27"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Mauritania</w:t>
            </w:r>
          </w:p>
        </w:tc>
        <w:tc>
          <w:tcPr>
            <w:tcW w:w="475" w:type="dxa"/>
            <w:tcBorders>
              <w:top w:val="dotted" w:sz="4" w:space="0" w:color="auto"/>
              <w:left w:val="nil"/>
              <w:bottom w:val="dotted" w:sz="4" w:space="0" w:color="auto"/>
              <w:right w:val="dotted" w:sz="4" w:space="0" w:color="auto"/>
            </w:tcBorders>
            <w:noWrap/>
            <w:vAlign w:val="center"/>
          </w:tcPr>
          <w:p w14:paraId="3C417DC8"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3783289D"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€5,584.24</w:t>
            </w:r>
          </w:p>
        </w:tc>
        <w:tc>
          <w:tcPr>
            <w:tcW w:w="411" w:type="dxa"/>
            <w:tcBorders>
              <w:top w:val="dotted" w:sz="4" w:space="0" w:color="auto"/>
              <w:left w:val="nil"/>
              <w:bottom w:val="dotted" w:sz="4" w:space="0" w:color="auto"/>
              <w:right w:val="dotted" w:sz="4" w:space="0" w:color="auto"/>
            </w:tcBorders>
            <w:noWrap/>
            <w:vAlign w:val="center"/>
          </w:tcPr>
          <w:p w14:paraId="3DB9E966"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143" w:type="dxa"/>
            <w:tcBorders>
              <w:top w:val="dotted" w:sz="4" w:space="0" w:color="auto"/>
              <w:left w:val="nil"/>
              <w:bottom w:val="dotted" w:sz="4" w:space="0" w:color="auto"/>
              <w:right w:val="single" w:sz="8" w:space="0" w:color="auto"/>
            </w:tcBorders>
            <w:noWrap/>
            <w:vAlign w:val="center"/>
          </w:tcPr>
          <w:p w14:paraId="203BCA25"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€2,834.38</w:t>
            </w:r>
          </w:p>
        </w:tc>
        <w:tc>
          <w:tcPr>
            <w:tcW w:w="377" w:type="dxa"/>
            <w:tcBorders>
              <w:top w:val="dotted" w:sz="4" w:space="0" w:color="auto"/>
              <w:left w:val="nil"/>
              <w:bottom w:val="dotted" w:sz="4" w:space="0" w:color="auto"/>
              <w:right w:val="dotted" w:sz="4" w:space="0" w:color="auto"/>
            </w:tcBorders>
            <w:noWrap/>
            <w:vAlign w:val="center"/>
          </w:tcPr>
          <w:p w14:paraId="30C6A9FC"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31" w:type="dxa"/>
            <w:tcBorders>
              <w:top w:val="dotted" w:sz="4" w:space="0" w:color="auto"/>
              <w:left w:val="nil"/>
              <w:bottom w:val="dotted" w:sz="4" w:space="0" w:color="auto"/>
              <w:right w:val="single" w:sz="8" w:space="0" w:color="auto"/>
            </w:tcBorders>
            <w:noWrap/>
            <w:vAlign w:val="center"/>
          </w:tcPr>
          <w:p w14:paraId="5073F965"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€3,030.60</w:t>
            </w:r>
          </w:p>
        </w:tc>
        <w:tc>
          <w:tcPr>
            <w:tcW w:w="411" w:type="dxa"/>
            <w:tcBorders>
              <w:top w:val="dotted" w:sz="4" w:space="0" w:color="auto"/>
              <w:left w:val="single" w:sz="8" w:space="0" w:color="auto"/>
              <w:bottom w:val="dotted" w:sz="4" w:space="0" w:color="auto"/>
              <w:right w:val="dotted" w:sz="4" w:space="0" w:color="auto"/>
            </w:tcBorders>
            <w:noWrap/>
            <w:vAlign w:val="center"/>
          </w:tcPr>
          <w:p w14:paraId="0C337129"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bottom w:val="dotted" w:sz="4" w:space="0" w:color="auto"/>
              <w:right w:val="single" w:sz="8" w:space="0" w:color="auto"/>
            </w:tcBorders>
            <w:noWrap/>
            <w:vAlign w:val="center"/>
          </w:tcPr>
          <w:p w14:paraId="2C88E0BA"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tcBorders>
              <w:top w:val="nil"/>
              <w:left w:val="nil"/>
              <w:bottom w:val="dotted" w:sz="4" w:space="0" w:color="auto"/>
              <w:right w:val="dotted" w:sz="4" w:space="0" w:color="auto"/>
            </w:tcBorders>
            <w:noWrap/>
            <w:vAlign w:val="center"/>
          </w:tcPr>
          <w:p w14:paraId="1A220734"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64" w:type="dxa"/>
            <w:tcBorders>
              <w:top w:val="nil"/>
              <w:left w:val="nil"/>
              <w:bottom w:val="dotted" w:sz="4" w:space="0" w:color="auto"/>
              <w:right w:val="nil"/>
            </w:tcBorders>
            <w:noWrap/>
            <w:vAlign w:val="center"/>
          </w:tcPr>
          <w:p w14:paraId="267B223F"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4E81869D" w14:textId="77777777" w:rsidTr="00055D05">
        <w:trPr>
          <w:trHeight w:val="290"/>
          <w:jc w:val="center"/>
        </w:trPr>
        <w:tc>
          <w:tcPr>
            <w:tcW w:w="1317" w:type="dxa"/>
            <w:tcBorders>
              <w:top w:val="dotted" w:sz="4" w:space="0" w:color="auto"/>
              <w:left w:val="nil"/>
              <w:bottom w:val="dotted" w:sz="4" w:space="0" w:color="auto"/>
              <w:right w:val="single" w:sz="8" w:space="0" w:color="auto"/>
            </w:tcBorders>
            <w:noWrap/>
            <w:vAlign w:val="center"/>
          </w:tcPr>
          <w:p w14:paraId="38CCA161"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Mexico</w:t>
            </w:r>
          </w:p>
        </w:tc>
        <w:tc>
          <w:tcPr>
            <w:tcW w:w="475" w:type="dxa"/>
            <w:tcBorders>
              <w:top w:val="dotted" w:sz="4" w:space="0" w:color="auto"/>
              <w:left w:val="nil"/>
              <w:bottom w:val="dotted" w:sz="4" w:space="0" w:color="auto"/>
              <w:right w:val="dotted" w:sz="4" w:space="0" w:color="auto"/>
            </w:tcBorders>
            <w:noWrap/>
            <w:vAlign w:val="center"/>
          </w:tcPr>
          <w:p w14:paraId="1D57DDC2"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j)</w:t>
            </w:r>
          </w:p>
        </w:tc>
        <w:tc>
          <w:tcPr>
            <w:tcW w:w="1231" w:type="dxa"/>
            <w:tcBorders>
              <w:top w:val="dotted" w:sz="4" w:space="0" w:color="auto"/>
              <w:left w:val="nil"/>
              <w:bottom w:val="dotted" w:sz="4" w:space="0" w:color="auto"/>
              <w:right w:val="single" w:sz="8" w:space="0" w:color="auto"/>
            </w:tcBorders>
            <w:noWrap/>
            <w:vAlign w:val="center"/>
          </w:tcPr>
          <w:p w14:paraId="4EE314F2"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€2,664.04</w:t>
            </w:r>
          </w:p>
        </w:tc>
        <w:tc>
          <w:tcPr>
            <w:tcW w:w="411" w:type="dxa"/>
            <w:tcBorders>
              <w:top w:val="dotted" w:sz="4" w:space="0" w:color="auto"/>
              <w:left w:val="nil"/>
              <w:bottom w:val="dotted" w:sz="4" w:space="0" w:color="auto"/>
              <w:right w:val="dotted" w:sz="4" w:space="0" w:color="auto"/>
            </w:tcBorders>
            <w:noWrap/>
            <w:vAlign w:val="center"/>
          </w:tcPr>
          <w:p w14:paraId="78A76DF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tcBorders>
              <w:top w:val="dotted" w:sz="4" w:space="0" w:color="auto"/>
              <w:left w:val="nil"/>
              <w:bottom w:val="dotted" w:sz="4" w:space="0" w:color="auto"/>
              <w:right w:val="single" w:sz="8" w:space="0" w:color="auto"/>
            </w:tcBorders>
            <w:noWrap/>
            <w:vAlign w:val="center"/>
          </w:tcPr>
          <w:p w14:paraId="4A3285B4"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tcBorders>
              <w:top w:val="dotted" w:sz="4" w:space="0" w:color="auto"/>
              <w:left w:val="nil"/>
              <w:bottom w:val="dotted" w:sz="4" w:space="0" w:color="auto"/>
              <w:right w:val="dotted" w:sz="4" w:space="0" w:color="auto"/>
            </w:tcBorders>
            <w:noWrap/>
            <w:vAlign w:val="center"/>
          </w:tcPr>
          <w:p w14:paraId="0F4036AA"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dotted" w:sz="4" w:space="0" w:color="auto"/>
              <w:right w:val="single" w:sz="8" w:space="0" w:color="auto"/>
            </w:tcBorders>
            <w:noWrap/>
            <w:vAlign w:val="center"/>
          </w:tcPr>
          <w:p w14:paraId="2D7DDD4B"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509F4F4D"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X</w:t>
            </w:r>
          </w:p>
        </w:tc>
        <w:tc>
          <w:tcPr>
            <w:tcW w:w="1353" w:type="dxa"/>
            <w:tcBorders>
              <w:top w:val="dotted" w:sz="4" w:space="0" w:color="auto"/>
              <w:left w:val="nil"/>
              <w:bottom w:val="dotted" w:sz="4" w:space="0" w:color="auto"/>
              <w:right w:val="single" w:sz="8" w:space="0" w:color="auto"/>
            </w:tcBorders>
            <w:noWrap/>
            <w:vAlign w:val="center"/>
          </w:tcPr>
          <w:p w14:paraId="0AB21AA3"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€1,488.03</w:t>
            </w:r>
          </w:p>
        </w:tc>
        <w:tc>
          <w:tcPr>
            <w:tcW w:w="426" w:type="dxa"/>
            <w:tcBorders>
              <w:top w:val="dotted" w:sz="4" w:space="0" w:color="auto"/>
              <w:left w:val="nil"/>
              <w:bottom w:val="dotted" w:sz="4" w:space="0" w:color="auto"/>
              <w:right w:val="dotted" w:sz="4" w:space="0" w:color="auto"/>
            </w:tcBorders>
            <w:noWrap/>
            <w:vAlign w:val="center"/>
          </w:tcPr>
          <w:p w14:paraId="6DB494A3"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tcBorders>
              <w:top w:val="dotted" w:sz="4" w:space="0" w:color="auto"/>
              <w:left w:val="nil"/>
              <w:bottom w:val="dotted" w:sz="4" w:space="0" w:color="auto"/>
              <w:right w:val="nil"/>
            </w:tcBorders>
            <w:noWrap/>
            <w:vAlign w:val="center"/>
          </w:tcPr>
          <w:p w14:paraId="43B71E9C"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7F83CDCD" w14:textId="77777777" w:rsidTr="00055D05">
        <w:trPr>
          <w:trHeight w:val="290"/>
          <w:jc w:val="center"/>
        </w:trPr>
        <w:tc>
          <w:tcPr>
            <w:tcW w:w="1317" w:type="dxa"/>
            <w:vMerge w:val="restart"/>
            <w:tcBorders>
              <w:top w:val="dotted" w:sz="4" w:space="0" w:color="auto"/>
              <w:left w:val="nil"/>
              <w:bottom w:val="dotted" w:sz="4" w:space="0" w:color="auto"/>
              <w:right w:val="single" w:sz="8" w:space="0" w:color="auto"/>
            </w:tcBorders>
            <w:noWrap/>
            <w:vAlign w:val="center"/>
          </w:tcPr>
          <w:p w14:paraId="16F18655"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Namibia</w:t>
            </w:r>
          </w:p>
        </w:tc>
        <w:tc>
          <w:tcPr>
            <w:tcW w:w="475" w:type="dxa"/>
            <w:tcBorders>
              <w:top w:val="dotted" w:sz="4" w:space="0" w:color="auto"/>
              <w:left w:val="nil"/>
              <w:bottom w:val="dotted" w:sz="4" w:space="0" w:color="auto"/>
              <w:right w:val="dotted" w:sz="4" w:space="0" w:color="auto"/>
            </w:tcBorders>
            <w:noWrap/>
            <w:vAlign w:val="center"/>
          </w:tcPr>
          <w:p w14:paraId="4ABB27CC"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b)</w:t>
            </w:r>
          </w:p>
        </w:tc>
        <w:tc>
          <w:tcPr>
            <w:tcW w:w="1231" w:type="dxa"/>
            <w:tcBorders>
              <w:top w:val="dotted" w:sz="4" w:space="0" w:color="auto"/>
              <w:left w:val="nil"/>
              <w:bottom w:val="dotted" w:sz="4" w:space="0" w:color="auto"/>
              <w:right w:val="single" w:sz="8" w:space="0" w:color="auto"/>
            </w:tcBorders>
            <w:noWrap/>
            <w:vAlign w:val="center"/>
          </w:tcPr>
          <w:p w14:paraId="08F28A70"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€3,398.98</w:t>
            </w:r>
          </w:p>
        </w:tc>
        <w:tc>
          <w:tcPr>
            <w:tcW w:w="411" w:type="dxa"/>
            <w:vMerge w:val="restart"/>
            <w:tcBorders>
              <w:top w:val="dotted" w:sz="4" w:space="0" w:color="auto"/>
              <w:left w:val="nil"/>
              <w:right w:val="dotted" w:sz="4" w:space="0" w:color="auto"/>
            </w:tcBorders>
            <w:noWrap/>
            <w:vAlign w:val="center"/>
          </w:tcPr>
          <w:p w14:paraId="5BB5AF8C"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641C64ED"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3058B47C"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val="restart"/>
            <w:tcBorders>
              <w:top w:val="dotted" w:sz="4" w:space="0" w:color="auto"/>
              <w:left w:val="nil"/>
              <w:right w:val="single" w:sz="8" w:space="0" w:color="auto"/>
            </w:tcBorders>
            <w:noWrap/>
            <w:vAlign w:val="center"/>
          </w:tcPr>
          <w:p w14:paraId="5610D176"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5E408298"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val="restart"/>
            <w:tcBorders>
              <w:top w:val="dotted" w:sz="4" w:space="0" w:color="auto"/>
              <w:left w:val="nil"/>
              <w:right w:val="single" w:sz="8" w:space="0" w:color="auto"/>
            </w:tcBorders>
            <w:noWrap/>
            <w:vAlign w:val="center"/>
          </w:tcPr>
          <w:p w14:paraId="6BDEDC2E"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val="restart"/>
            <w:tcBorders>
              <w:top w:val="dotted" w:sz="4" w:space="0" w:color="auto"/>
              <w:left w:val="nil"/>
              <w:right w:val="dotted" w:sz="4" w:space="0" w:color="auto"/>
            </w:tcBorders>
            <w:noWrap/>
            <w:vAlign w:val="center"/>
          </w:tcPr>
          <w:p w14:paraId="5FB1BE2E"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EE0000"/>
                <w:sz w:val="18"/>
              </w:rPr>
              <w:t>X</w:t>
            </w:r>
          </w:p>
        </w:tc>
        <w:tc>
          <w:tcPr>
            <w:tcW w:w="1264" w:type="dxa"/>
            <w:vMerge w:val="restart"/>
            <w:tcBorders>
              <w:top w:val="dotted" w:sz="4" w:space="0" w:color="auto"/>
              <w:left w:val="nil"/>
              <w:right w:val="nil"/>
            </w:tcBorders>
            <w:noWrap/>
            <w:vAlign w:val="center"/>
          </w:tcPr>
          <w:p w14:paraId="40D9D316" w14:textId="51F80283" w:rsidR="00970EFB" w:rsidRPr="00E33CC4" w:rsidDel="005E48B0" w:rsidRDefault="00585C39"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€3,268.25</w:t>
            </w:r>
          </w:p>
        </w:tc>
      </w:tr>
      <w:tr w:rsidR="00970EFB" w:rsidRPr="00E33CC4" w14:paraId="0DFE51F4" w14:textId="77777777" w:rsidTr="00055D05">
        <w:trPr>
          <w:trHeight w:val="290"/>
          <w:jc w:val="center"/>
        </w:trPr>
        <w:tc>
          <w:tcPr>
            <w:tcW w:w="1317" w:type="dxa"/>
            <w:vMerge/>
            <w:tcBorders>
              <w:left w:val="nil"/>
              <w:bottom w:val="dotted" w:sz="4" w:space="0" w:color="auto"/>
              <w:right w:val="single" w:sz="8" w:space="0" w:color="auto"/>
            </w:tcBorders>
            <w:noWrap/>
            <w:vAlign w:val="center"/>
          </w:tcPr>
          <w:p w14:paraId="7E7B375E"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580801C4"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e)</w:t>
            </w:r>
          </w:p>
        </w:tc>
        <w:tc>
          <w:tcPr>
            <w:tcW w:w="1231" w:type="dxa"/>
            <w:tcBorders>
              <w:top w:val="dotted" w:sz="4" w:space="0" w:color="auto"/>
              <w:left w:val="nil"/>
              <w:bottom w:val="dotted" w:sz="4" w:space="0" w:color="auto"/>
              <w:right w:val="single" w:sz="8" w:space="0" w:color="auto"/>
            </w:tcBorders>
            <w:noWrap/>
            <w:vAlign w:val="center"/>
          </w:tcPr>
          <w:p w14:paraId="46389658"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€6,171.91</w:t>
            </w:r>
          </w:p>
        </w:tc>
        <w:tc>
          <w:tcPr>
            <w:tcW w:w="411" w:type="dxa"/>
            <w:vMerge/>
            <w:tcBorders>
              <w:top w:val="dotted" w:sz="4" w:space="0" w:color="auto"/>
              <w:left w:val="nil"/>
              <w:right w:val="dotted" w:sz="4" w:space="0" w:color="auto"/>
            </w:tcBorders>
            <w:noWrap/>
            <w:vAlign w:val="center"/>
          </w:tcPr>
          <w:p w14:paraId="03EC7528"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21572213"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26C302A1"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22489828"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5601FCD0"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tcBorders>
              <w:left w:val="nil"/>
              <w:right w:val="single" w:sz="8" w:space="0" w:color="auto"/>
            </w:tcBorders>
            <w:noWrap/>
            <w:vAlign w:val="center"/>
          </w:tcPr>
          <w:p w14:paraId="254C9FF1"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tcBorders>
              <w:left w:val="nil"/>
              <w:right w:val="dotted" w:sz="4" w:space="0" w:color="auto"/>
            </w:tcBorders>
            <w:noWrap/>
            <w:vAlign w:val="center"/>
          </w:tcPr>
          <w:p w14:paraId="07A09501"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36810089"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6BA3D8D6" w14:textId="77777777" w:rsidTr="00055D05">
        <w:trPr>
          <w:trHeight w:val="290"/>
          <w:jc w:val="center"/>
        </w:trPr>
        <w:tc>
          <w:tcPr>
            <w:tcW w:w="1317" w:type="dxa"/>
            <w:vMerge/>
            <w:tcBorders>
              <w:left w:val="nil"/>
              <w:bottom w:val="dotted" w:sz="4" w:space="0" w:color="auto"/>
              <w:right w:val="single" w:sz="8" w:space="0" w:color="auto"/>
            </w:tcBorders>
            <w:noWrap/>
            <w:vAlign w:val="center"/>
          </w:tcPr>
          <w:p w14:paraId="709AAA5F"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7886E935"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h)</w:t>
            </w:r>
          </w:p>
        </w:tc>
        <w:tc>
          <w:tcPr>
            <w:tcW w:w="1231" w:type="dxa"/>
            <w:tcBorders>
              <w:top w:val="dotted" w:sz="4" w:space="0" w:color="auto"/>
              <w:left w:val="nil"/>
              <w:bottom w:val="dotted" w:sz="4" w:space="0" w:color="auto"/>
              <w:right w:val="single" w:sz="8" w:space="0" w:color="auto"/>
            </w:tcBorders>
            <w:noWrap/>
            <w:vAlign w:val="center"/>
          </w:tcPr>
          <w:p w14:paraId="6AAD8944"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€4,289.10</w:t>
            </w:r>
          </w:p>
        </w:tc>
        <w:tc>
          <w:tcPr>
            <w:tcW w:w="411" w:type="dxa"/>
            <w:vMerge/>
            <w:tcBorders>
              <w:top w:val="dotted" w:sz="4" w:space="0" w:color="auto"/>
              <w:left w:val="nil"/>
              <w:right w:val="dotted" w:sz="4" w:space="0" w:color="auto"/>
            </w:tcBorders>
            <w:noWrap/>
            <w:vAlign w:val="center"/>
          </w:tcPr>
          <w:p w14:paraId="1E77EF04"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7A1922D9"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315ADA17"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bottom w:val="dotted" w:sz="4" w:space="0" w:color="auto"/>
              <w:right w:val="single" w:sz="8" w:space="0" w:color="auto"/>
            </w:tcBorders>
            <w:noWrap/>
            <w:vAlign w:val="center"/>
          </w:tcPr>
          <w:p w14:paraId="056D768E"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bottom w:val="dotted" w:sz="4" w:space="0" w:color="auto"/>
              <w:right w:val="dotted" w:sz="4" w:space="0" w:color="auto"/>
            </w:tcBorders>
            <w:noWrap/>
            <w:vAlign w:val="center"/>
          </w:tcPr>
          <w:p w14:paraId="5369E307"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tcBorders>
              <w:left w:val="nil"/>
              <w:bottom w:val="dotted" w:sz="4" w:space="0" w:color="auto"/>
              <w:right w:val="single" w:sz="8" w:space="0" w:color="auto"/>
            </w:tcBorders>
            <w:noWrap/>
            <w:vAlign w:val="center"/>
          </w:tcPr>
          <w:p w14:paraId="20375B49"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tcBorders>
              <w:left w:val="nil"/>
              <w:bottom w:val="dotted" w:sz="4" w:space="0" w:color="auto"/>
              <w:right w:val="dotted" w:sz="4" w:space="0" w:color="auto"/>
            </w:tcBorders>
            <w:noWrap/>
            <w:vAlign w:val="center"/>
          </w:tcPr>
          <w:p w14:paraId="06B5CDE6"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right w:val="nil"/>
            </w:tcBorders>
            <w:noWrap/>
            <w:vAlign w:val="center"/>
          </w:tcPr>
          <w:p w14:paraId="07A8A3E2"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5EC9A0EF" w14:textId="77777777" w:rsidTr="00055D05">
        <w:trPr>
          <w:trHeight w:val="290"/>
          <w:jc w:val="center"/>
        </w:trPr>
        <w:tc>
          <w:tcPr>
            <w:tcW w:w="1317" w:type="dxa"/>
            <w:tcBorders>
              <w:top w:val="dotted" w:sz="4" w:space="0" w:color="auto"/>
              <w:left w:val="nil"/>
              <w:bottom w:val="dotted" w:sz="4" w:space="0" w:color="auto"/>
              <w:right w:val="single" w:sz="8" w:space="0" w:color="auto"/>
            </w:tcBorders>
            <w:noWrap/>
            <w:vAlign w:val="center"/>
            <w:hideMark/>
          </w:tcPr>
          <w:p w14:paraId="07C26B61"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Nicaragua</w:t>
            </w:r>
          </w:p>
        </w:tc>
        <w:tc>
          <w:tcPr>
            <w:tcW w:w="475" w:type="dxa"/>
            <w:tcBorders>
              <w:top w:val="dotted" w:sz="4" w:space="0" w:color="auto"/>
              <w:left w:val="nil"/>
              <w:bottom w:val="dotted" w:sz="4" w:space="0" w:color="auto"/>
              <w:right w:val="dotted" w:sz="4" w:space="0" w:color="auto"/>
            </w:tcBorders>
            <w:noWrap/>
            <w:vAlign w:val="center"/>
          </w:tcPr>
          <w:p w14:paraId="489E0F6D"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72C2A25C"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nil"/>
              <w:bottom w:val="dotted" w:sz="4" w:space="0" w:color="auto"/>
              <w:right w:val="dotted" w:sz="4" w:space="0" w:color="auto"/>
            </w:tcBorders>
            <w:noWrap/>
            <w:vAlign w:val="center"/>
          </w:tcPr>
          <w:p w14:paraId="2FDB947D"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tcBorders>
              <w:top w:val="dotted" w:sz="4" w:space="0" w:color="auto"/>
              <w:left w:val="nil"/>
              <w:bottom w:val="dotted" w:sz="4" w:space="0" w:color="auto"/>
              <w:right w:val="single" w:sz="8" w:space="0" w:color="auto"/>
            </w:tcBorders>
            <w:noWrap/>
            <w:vAlign w:val="center"/>
          </w:tcPr>
          <w:p w14:paraId="15DC5D00"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tcBorders>
              <w:top w:val="dotted" w:sz="4" w:space="0" w:color="auto"/>
              <w:left w:val="nil"/>
              <w:bottom w:val="dotted" w:sz="4" w:space="0" w:color="auto"/>
              <w:right w:val="dotted" w:sz="4" w:space="0" w:color="auto"/>
            </w:tcBorders>
            <w:noWrap/>
            <w:vAlign w:val="center"/>
          </w:tcPr>
          <w:p w14:paraId="41E87775"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0E3B8EA9"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1DDCA3FE"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bottom w:val="dotted" w:sz="4" w:space="0" w:color="auto"/>
              <w:right w:val="single" w:sz="8" w:space="0" w:color="auto"/>
            </w:tcBorders>
            <w:noWrap/>
            <w:vAlign w:val="center"/>
          </w:tcPr>
          <w:p w14:paraId="348BFC66"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tcBorders>
              <w:top w:val="nil"/>
              <w:left w:val="nil"/>
              <w:bottom w:val="dotted" w:sz="4" w:space="0" w:color="auto"/>
              <w:right w:val="dotted" w:sz="4" w:space="0" w:color="auto"/>
            </w:tcBorders>
            <w:noWrap/>
            <w:vAlign w:val="center"/>
          </w:tcPr>
          <w:p w14:paraId="795EA693"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64" w:type="dxa"/>
            <w:tcBorders>
              <w:top w:val="nil"/>
              <w:left w:val="nil"/>
              <w:bottom w:val="dotted" w:sz="4" w:space="0" w:color="auto"/>
              <w:right w:val="nil"/>
            </w:tcBorders>
            <w:noWrap/>
            <w:vAlign w:val="center"/>
          </w:tcPr>
          <w:p w14:paraId="1A2D5AC6" w14:textId="77777777" w:rsidR="00970EF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€1,693.34</w:t>
            </w:r>
          </w:p>
          <w:p w14:paraId="3F294738" w14:textId="7EE4B976" w:rsidR="002A771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€3,083.51</w:t>
            </w:r>
          </w:p>
        </w:tc>
      </w:tr>
      <w:tr w:rsidR="00970EFB" w:rsidRPr="00E33CC4" w14:paraId="5FB081BD" w14:textId="77777777" w:rsidTr="00055D05">
        <w:trPr>
          <w:trHeight w:val="290"/>
          <w:jc w:val="center"/>
        </w:trPr>
        <w:tc>
          <w:tcPr>
            <w:tcW w:w="1317" w:type="dxa"/>
            <w:tcBorders>
              <w:top w:val="dotted" w:sz="4" w:space="0" w:color="auto"/>
              <w:left w:val="nil"/>
              <w:right w:val="single" w:sz="8" w:space="0" w:color="auto"/>
            </w:tcBorders>
            <w:noWrap/>
            <w:vAlign w:val="center"/>
          </w:tcPr>
          <w:p w14:paraId="2254A770"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 xml:space="preserve">Nigeria </w:t>
            </w:r>
          </w:p>
        </w:tc>
        <w:tc>
          <w:tcPr>
            <w:tcW w:w="475" w:type="dxa"/>
            <w:tcBorders>
              <w:top w:val="dotted" w:sz="4" w:space="0" w:color="auto"/>
              <w:left w:val="nil"/>
              <w:bottom w:val="dotted" w:sz="4" w:space="0" w:color="auto"/>
              <w:right w:val="dotted" w:sz="4" w:space="0" w:color="auto"/>
            </w:tcBorders>
            <w:noWrap/>
            <w:vAlign w:val="center"/>
          </w:tcPr>
          <w:p w14:paraId="24A84297"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dotted" w:sz="4" w:space="0" w:color="auto"/>
              <w:right w:val="single" w:sz="8" w:space="0" w:color="auto"/>
            </w:tcBorders>
            <w:noWrap/>
            <w:vAlign w:val="center"/>
          </w:tcPr>
          <w:p w14:paraId="660F5898"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411" w:type="dxa"/>
            <w:tcBorders>
              <w:top w:val="dotted" w:sz="4" w:space="0" w:color="auto"/>
              <w:left w:val="nil"/>
              <w:right w:val="dotted" w:sz="4" w:space="0" w:color="auto"/>
            </w:tcBorders>
            <w:noWrap/>
            <w:vAlign w:val="center"/>
          </w:tcPr>
          <w:p w14:paraId="75C6B2D5"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tcBorders>
              <w:top w:val="dotted" w:sz="4" w:space="0" w:color="auto"/>
              <w:left w:val="nil"/>
              <w:right w:val="single" w:sz="8" w:space="0" w:color="auto"/>
            </w:tcBorders>
            <w:noWrap/>
            <w:vAlign w:val="center"/>
          </w:tcPr>
          <w:p w14:paraId="62C779A2"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tcBorders>
              <w:top w:val="dotted" w:sz="4" w:space="0" w:color="auto"/>
              <w:left w:val="nil"/>
              <w:right w:val="dotted" w:sz="4" w:space="0" w:color="auto"/>
            </w:tcBorders>
            <w:noWrap/>
            <w:vAlign w:val="center"/>
          </w:tcPr>
          <w:p w14:paraId="19921731"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right w:val="single" w:sz="8" w:space="0" w:color="auto"/>
            </w:tcBorders>
            <w:noWrap/>
            <w:vAlign w:val="center"/>
          </w:tcPr>
          <w:p w14:paraId="14907664"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right w:val="dotted" w:sz="4" w:space="0" w:color="auto"/>
            </w:tcBorders>
            <w:noWrap/>
            <w:vAlign w:val="center"/>
          </w:tcPr>
          <w:p w14:paraId="051A87AA"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tcBorders>
              <w:top w:val="dotted" w:sz="4" w:space="0" w:color="auto"/>
              <w:left w:val="nil"/>
              <w:right w:val="single" w:sz="8" w:space="0" w:color="auto"/>
            </w:tcBorders>
            <w:noWrap/>
            <w:vAlign w:val="center"/>
          </w:tcPr>
          <w:p w14:paraId="65D3341C"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tcBorders>
              <w:top w:val="dotted" w:sz="4" w:space="0" w:color="auto"/>
              <w:left w:val="nil"/>
              <w:bottom w:val="dotted" w:sz="4" w:space="0" w:color="auto"/>
              <w:right w:val="dotted" w:sz="4" w:space="0" w:color="auto"/>
            </w:tcBorders>
            <w:noWrap/>
            <w:vAlign w:val="center"/>
          </w:tcPr>
          <w:p w14:paraId="72830E94"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EE0000"/>
                <w:sz w:val="18"/>
              </w:rPr>
              <w:t>X</w:t>
            </w:r>
          </w:p>
        </w:tc>
        <w:tc>
          <w:tcPr>
            <w:tcW w:w="1264" w:type="dxa"/>
            <w:tcBorders>
              <w:top w:val="dotted" w:sz="4" w:space="0" w:color="auto"/>
              <w:left w:val="nil"/>
              <w:bottom w:val="dotted" w:sz="4" w:space="0" w:color="auto"/>
              <w:right w:val="nil"/>
            </w:tcBorders>
            <w:noWrap/>
            <w:vAlign w:val="center"/>
          </w:tcPr>
          <w:p w14:paraId="31F84703" w14:textId="77777777" w:rsidR="00970EFB" w:rsidRPr="00E33CC4" w:rsidRDefault="002A771B" w:rsidP="00E33CC4">
            <w:pPr>
              <w:spacing w:after="0" w:line="240" w:lineRule="auto"/>
              <w:jc w:val="right"/>
              <w:rPr>
                <w:rFonts w:ascii="Cambria" w:eastAsia="Times New Roman" w:hAnsi="Cambria" w:cs="Calibri"/>
                <w:color w:val="EE0000"/>
                <w:sz w:val="18"/>
                <w:szCs w:val="18"/>
              </w:rPr>
            </w:pPr>
            <w:r w:rsidRPr="00E33CC4">
              <w:rPr>
                <w:rFonts w:ascii="Cambria" w:hAnsi="Cambria"/>
                <w:color w:val="EE0000"/>
                <w:sz w:val="18"/>
              </w:rPr>
              <w:t>€763.19</w:t>
            </w:r>
          </w:p>
          <w:p w14:paraId="28D34000" w14:textId="7F682B7D" w:rsidR="002A771B" w:rsidRPr="00E33CC4" w:rsidDel="00B3099B"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€3,221.23</w:t>
            </w:r>
          </w:p>
        </w:tc>
      </w:tr>
      <w:tr w:rsidR="00970EFB" w:rsidRPr="00E33CC4" w14:paraId="680CBAA6" w14:textId="77777777" w:rsidTr="00055D05">
        <w:trPr>
          <w:trHeight w:val="290"/>
          <w:jc w:val="center"/>
        </w:trPr>
        <w:tc>
          <w:tcPr>
            <w:tcW w:w="1317" w:type="dxa"/>
            <w:vMerge w:val="restart"/>
            <w:tcBorders>
              <w:top w:val="dotted" w:sz="4" w:space="0" w:color="auto"/>
              <w:left w:val="nil"/>
              <w:right w:val="single" w:sz="8" w:space="0" w:color="auto"/>
            </w:tcBorders>
            <w:noWrap/>
            <w:vAlign w:val="center"/>
            <w:hideMark/>
          </w:tcPr>
          <w:p w14:paraId="165CD622"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Panama</w:t>
            </w:r>
          </w:p>
        </w:tc>
        <w:tc>
          <w:tcPr>
            <w:tcW w:w="475" w:type="dxa"/>
            <w:tcBorders>
              <w:top w:val="dotted" w:sz="4" w:space="0" w:color="auto"/>
              <w:left w:val="nil"/>
              <w:bottom w:val="nil"/>
              <w:right w:val="dotted" w:sz="4" w:space="0" w:color="auto"/>
            </w:tcBorders>
            <w:noWrap/>
            <w:vAlign w:val="center"/>
          </w:tcPr>
          <w:p w14:paraId="028F887C"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k)</w:t>
            </w:r>
          </w:p>
        </w:tc>
        <w:tc>
          <w:tcPr>
            <w:tcW w:w="1231" w:type="dxa"/>
            <w:tcBorders>
              <w:top w:val="dotted" w:sz="4" w:space="0" w:color="auto"/>
              <w:left w:val="nil"/>
              <w:bottom w:val="nil"/>
              <w:right w:val="single" w:sz="8" w:space="0" w:color="auto"/>
            </w:tcBorders>
            <w:noWrap/>
            <w:vAlign w:val="center"/>
          </w:tcPr>
          <w:p w14:paraId="57739E04"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€3,629.64</w:t>
            </w:r>
          </w:p>
        </w:tc>
        <w:tc>
          <w:tcPr>
            <w:tcW w:w="411" w:type="dxa"/>
            <w:vMerge w:val="restart"/>
            <w:tcBorders>
              <w:top w:val="dotted" w:sz="4" w:space="0" w:color="auto"/>
              <w:left w:val="nil"/>
              <w:right w:val="dotted" w:sz="4" w:space="0" w:color="auto"/>
            </w:tcBorders>
            <w:noWrap/>
            <w:vAlign w:val="center"/>
          </w:tcPr>
          <w:p w14:paraId="0981D64D"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55070018"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089B746F"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31" w:type="dxa"/>
            <w:vMerge w:val="restart"/>
            <w:tcBorders>
              <w:top w:val="dotted" w:sz="4" w:space="0" w:color="auto"/>
              <w:left w:val="nil"/>
              <w:right w:val="single" w:sz="8" w:space="0" w:color="auto"/>
            </w:tcBorders>
            <w:noWrap/>
            <w:vAlign w:val="center"/>
          </w:tcPr>
          <w:p w14:paraId="4ECE8663"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€3,270.81</w:t>
            </w:r>
          </w:p>
        </w:tc>
        <w:tc>
          <w:tcPr>
            <w:tcW w:w="411" w:type="dxa"/>
            <w:vMerge w:val="restart"/>
            <w:tcBorders>
              <w:top w:val="dotted" w:sz="4" w:space="0" w:color="auto"/>
              <w:left w:val="single" w:sz="8" w:space="0" w:color="auto"/>
              <w:right w:val="dotted" w:sz="4" w:space="0" w:color="auto"/>
            </w:tcBorders>
            <w:noWrap/>
            <w:vAlign w:val="center"/>
          </w:tcPr>
          <w:p w14:paraId="6406696A"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val="restart"/>
            <w:tcBorders>
              <w:top w:val="dotted" w:sz="4" w:space="0" w:color="auto"/>
              <w:left w:val="nil"/>
              <w:right w:val="single" w:sz="8" w:space="0" w:color="auto"/>
            </w:tcBorders>
            <w:noWrap/>
            <w:vAlign w:val="center"/>
          </w:tcPr>
          <w:p w14:paraId="65070576"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val="restart"/>
            <w:tcBorders>
              <w:top w:val="dotted" w:sz="4" w:space="0" w:color="auto"/>
              <w:left w:val="nil"/>
              <w:bottom w:val="dotted" w:sz="4" w:space="0" w:color="auto"/>
              <w:right w:val="dotted" w:sz="4" w:space="0" w:color="auto"/>
            </w:tcBorders>
            <w:noWrap/>
            <w:vAlign w:val="center"/>
          </w:tcPr>
          <w:p w14:paraId="596966AB"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64" w:type="dxa"/>
            <w:vMerge w:val="restart"/>
            <w:tcBorders>
              <w:top w:val="dotted" w:sz="4" w:space="0" w:color="auto"/>
              <w:left w:val="nil"/>
              <w:bottom w:val="dotted" w:sz="4" w:space="0" w:color="auto"/>
              <w:right w:val="nil"/>
            </w:tcBorders>
            <w:noWrap/>
            <w:vAlign w:val="center"/>
          </w:tcPr>
          <w:p w14:paraId="4A1D503B" w14:textId="77777777" w:rsidR="00970EF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€1,205.64</w:t>
            </w:r>
          </w:p>
          <w:p w14:paraId="3B94900E" w14:textId="189219C0" w:rsidR="002A771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€1,699.08</w:t>
            </w:r>
          </w:p>
        </w:tc>
      </w:tr>
      <w:tr w:rsidR="00970EFB" w:rsidRPr="00E33CC4" w14:paraId="05A62D0D" w14:textId="77777777" w:rsidTr="00055D05">
        <w:trPr>
          <w:trHeight w:val="290"/>
          <w:jc w:val="center"/>
        </w:trPr>
        <w:tc>
          <w:tcPr>
            <w:tcW w:w="1317" w:type="dxa"/>
            <w:vMerge/>
            <w:tcBorders>
              <w:left w:val="nil"/>
              <w:right w:val="single" w:sz="8" w:space="0" w:color="auto"/>
            </w:tcBorders>
            <w:noWrap/>
            <w:vAlign w:val="center"/>
          </w:tcPr>
          <w:p w14:paraId="0A129738"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063FE94F"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nil"/>
              <w:right w:val="single" w:sz="8" w:space="0" w:color="auto"/>
            </w:tcBorders>
            <w:noWrap/>
            <w:vAlign w:val="center"/>
          </w:tcPr>
          <w:p w14:paraId="5CE62462"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€6,838.36</w:t>
            </w:r>
          </w:p>
        </w:tc>
        <w:tc>
          <w:tcPr>
            <w:tcW w:w="411" w:type="dxa"/>
            <w:vMerge/>
            <w:tcBorders>
              <w:left w:val="nil"/>
              <w:right w:val="dotted" w:sz="4" w:space="0" w:color="auto"/>
            </w:tcBorders>
            <w:noWrap/>
            <w:vAlign w:val="center"/>
          </w:tcPr>
          <w:p w14:paraId="040EB5A5"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435B3FF3"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1EB13248"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0EE2C84E"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2D2B0B24"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tcBorders>
              <w:left w:val="nil"/>
              <w:right w:val="single" w:sz="8" w:space="0" w:color="auto"/>
            </w:tcBorders>
            <w:noWrap/>
            <w:vAlign w:val="center"/>
          </w:tcPr>
          <w:p w14:paraId="67571D65"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bottom w:val="dotted" w:sz="4" w:space="0" w:color="auto"/>
              <w:right w:val="dotted" w:sz="4" w:space="0" w:color="auto"/>
            </w:tcBorders>
            <w:noWrap/>
            <w:vAlign w:val="center"/>
          </w:tcPr>
          <w:p w14:paraId="140FAA2C"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64" w:type="dxa"/>
            <w:vMerge/>
            <w:tcBorders>
              <w:top w:val="dotted" w:sz="4" w:space="0" w:color="auto"/>
              <w:left w:val="nil"/>
              <w:bottom w:val="dotted" w:sz="4" w:space="0" w:color="auto"/>
              <w:right w:val="nil"/>
            </w:tcBorders>
            <w:noWrap/>
            <w:vAlign w:val="center"/>
          </w:tcPr>
          <w:p w14:paraId="380024D7"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54BBCF4B" w14:textId="77777777" w:rsidTr="00055D05">
        <w:trPr>
          <w:trHeight w:val="290"/>
          <w:jc w:val="center"/>
        </w:trPr>
        <w:tc>
          <w:tcPr>
            <w:tcW w:w="1317" w:type="dxa"/>
            <w:vMerge w:val="restart"/>
            <w:tcBorders>
              <w:top w:val="dotted" w:sz="4" w:space="0" w:color="auto"/>
              <w:left w:val="nil"/>
              <w:right w:val="single" w:sz="8" w:space="0" w:color="auto"/>
            </w:tcBorders>
            <w:noWrap/>
            <w:vAlign w:val="center"/>
            <w:hideMark/>
          </w:tcPr>
          <w:p w14:paraId="16AA4A69" w14:textId="77777777" w:rsidR="00970EFB" w:rsidRPr="00E33CC4" w:rsidRDefault="00970EFB" w:rsidP="00E33CC4">
            <w:pPr>
              <w:spacing w:line="240" w:lineRule="auto"/>
              <w:rPr>
                <w:rFonts w:ascii="Cambria" w:eastAsia="Times New Roman" w:hAnsi="Cambria" w:cs="Calibri"/>
                <w:color w:val="000000"/>
                <w:sz w:val="18"/>
              </w:rPr>
            </w:pPr>
            <w:r w:rsidRPr="00E33CC4">
              <w:rPr>
                <w:rFonts w:ascii="Cambria" w:hAnsi="Cambria"/>
                <w:color w:val="000000"/>
                <w:sz w:val="18"/>
              </w:rPr>
              <w:t>São Tomé e Príncipe</w:t>
            </w:r>
          </w:p>
        </w:tc>
        <w:tc>
          <w:tcPr>
            <w:tcW w:w="475" w:type="dxa"/>
            <w:tcBorders>
              <w:top w:val="dotted" w:sz="4" w:space="0" w:color="auto"/>
              <w:left w:val="nil"/>
              <w:bottom w:val="nil"/>
              <w:right w:val="dotted" w:sz="4" w:space="0" w:color="auto"/>
            </w:tcBorders>
            <w:noWrap/>
            <w:vAlign w:val="center"/>
          </w:tcPr>
          <w:p w14:paraId="1DF56E3F"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c)</w:t>
            </w:r>
          </w:p>
        </w:tc>
        <w:tc>
          <w:tcPr>
            <w:tcW w:w="1231" w:type="dxa"/>
            <w:tcBorders>
              <w:top w:val="dotted" w:sz="4" w:space="0" w:color="auto"/>
              <w:left w:val="nil"/>
              <w:bottom w:val="nil"/>
              <w:right w:val="single" w:sz="8" w:space="0" w:color="auto"/>
            </w:tcBorders>
            <w:noWrap/>
            <w:vAlign w:val="center"/>
          </w:tcPr>
          <w:p w14:paraId="6B932107"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€3,648.24</w:t>
            </w:r>
          </w:p>
        </w:tc>
        <w:tc>
          <w:tcPr>
            <w:tcW w:w="411" w:type="dxa"/>
            <w:vMerge w:val="restart"/>
            <w:tcBorders>
              <w:top w:val="dotted" w:sz="4" w:space="0" w:color="auto"/>
              <w:left w:val="nil"/>
              <w:right w:val="dotted" w:sz="4" w:space="0" w:color="auto"/>
            </w:tcBorders>
            <w:noWrap/>
            <w:vAlign w:val="center"/>
          </w:tcPr>
          <w:p w14:paraId="066707F3"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39A8B93D"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18D72956"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val="restart"/>
            <w:tcBorders>
              <w:top w:val="dotted" w:sz="4" w:space="0" w:color="auto"/>
              <w:left w:val="nil"/>
              <w:right w:val="single" w:sz="8" w:space="0" w:color="auto"/>
            </w:tcBorders>
            <w:noWrap/>
            <w:vAlign w:val="center"/>
          </w:tcPr>
          <w:p w14:paraId="1159895C"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32F73BFB"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val="restart"/>
            <w:tcBorders>
              <w:top w:val="dotted" w:sz="4" w:space="0" w:color="auto"/>
              <w:left w:val="nil"/>
              <w:right w:val="single" w:sz="8" w:space="0" w:color="auto"/>
            </w:tcBorders>
            <w:noWrap/>
            <w:vAlign w:val="center"/>
          </w:tcPr>
          <w:p w14:paraId="51C4D071"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val="restart"/>
            <w:tcBorders>
              <w:top w:val="dotted" w:sz="4" w:space="0" w:color="auto"/>
              <w:left w:val="nil"/>
              <w:right w:val="dotted" w:sz="4" w:space="0" w:color="auto"/>
            </w:tcBorders>
            <w:noWrap/>
            <w:vAlign w:val="center"/>
          </w:tcPr>
          <w:p w14:paraId="067D6B1A"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64" w:type="dxa"/>
            <w:vMerge w:val="restart"/>
            <w:tcBorders>
              <w:top w:val="dotted" w:sz="4" w:space="0" w:color="auto"/>
              <w:left w:val="nil"/>
              <w:right w:val="nil"/>
            </w:tcBorders>
            <w:noWrap/>
            <w:vAlign w:val="center"/>
          </w:tcPr>
          <w:p w14:paraId="506D8FAA" w14:textId="77777777" w:rsidR="00970EF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€1,092.24</w:t>
            </w:r>
          </w:p>
          <w:p w14:paraId="14827514" w14:textId="30DCE9CF" w:rsidR="002A771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€3,436.00</w:t>
            </w:r>
          </w:p>
        </w:tc>
      </w:tr>
      <w:tr w:rsidR="00970EFB" w:rsidRPr="00E33CC4" w14:paraId="6FF661BD" w14:textId="77777777" w:rsidTr="00055D05">
        <w:trPr>
          <w:trHeight w:val="290"/>
          <w:jc w:val="center"/>
        </w:trPr>
        <w:tc>
          <w:tcPr>
            <w:tcW w:w="1317" w:type="dxa"/>
            <w:vMerge/>
            <w:tcBorders>
              <w:left w:val="nil"/>
              <w:right w:val="single" w:sz="8" w:space="0" w:color="auto"/>
            </w:tcBorders>
            <w:noWrap/>
            <w:vAlign w:val="center"/>
          </w:tcPr>
          <w:p w14:paraId="796E3953"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149A0B95"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g)</w:t>
            </w:r>
          </w:p>
        </w:tc>
        <w:tc>
          <w:tcPr>
            <w:tcW w:w="1231" w:type="dxa"/>
            <w:tcBorders>
              <w:top w:val="dotted" w:sz="4" w:space="0" w:color="auto"/>
              <w:left w:val="nil"/>
              <w:bottom w:val="dotted" w:sz="4" w:space="0" w:color="auto"/>
              <w:right w:val="single" w:sz="8" w:space="0" w:color="auto"/>
            </w:tcBorders>
            <w:noWrap/>
            <w:vAlign w:val="center"/>
          </w:tcPr>
          <w:p w14:paraId="74BB124A"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€2,001.47</w:t>
            </w:r>
          </w:p>
        </w:tc>
        <w:tc>
          <w:tcPr>
            <w:tcW w:w="411" w:type="dxa"/>
            <w:vMerge/>
            <w:tcBorders>
              <w:left w:val="nil"/>
              <w:right w:val="dotted" w:sz="4" w:space="0" w:color="auto"/>
            </w:tcBorders>
            <w:noWrap/>
            <w:vAlign w:val="center"/>
          </w:tcPr>
          <w:p w14:paraId="47B9A5CE"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381AB2AB"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734513FF"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3C1D2196"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449E4C63"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07E54417"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0171DCD5"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64" w:type="dxa"/>
            <w:vMerge/>
            <w:tcBorders>
              <w:left w:val="nil"/>
              <w:right w:val="nil"/>
            </w:tcBorders>
            <w:noWrap/>
            <w:vAlign w:val="center"/>
          </w:tcPr>
          <w:p w14:paraId="08318CE2"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657D6CD4" w14:textId="77777777" w:rsidTr="00055D05">
        <w:trPr>
          <w:trHeight w:val="290"/>
          <w:jc w:val="center"/>
        </w:trPr>
        <w:tc>
          <w:tcPr>
            <w:tcW w:w="1317" w:type="dxa"/>
            <w:vMerge/>
            <w:tcBorders>
              <w:left w:val="nil"/>
              <w:right w:val="single" w:sz="8" w:space="0" w:color="auto"/>
            </w:tcBorders>
            <w:noWrap/>
            <w:vAlign w:val="center"/>
          </w:tcPr>
          <w:p w14:paraId="5A10785F"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44E6BB8A"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62B56D9B"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€6,881.30</w:t>
            </w:r>
          </w:p>
        </w:tc>
        <w:tc>
          <w:tcPr>
            <w:tcW w:w="411" w:type="dxa"/>
            <w:vMerge/>
            <w:tcBorders>
              <w:left w:val="nil"/>
              <w:right w:val="dotted" w:sz="4" w:space="0" w:color="auto"/>
            </w:tcBorders>
            <w:noWrap/>
            <w:vAlign w:val="center"/>
          </w:tcPr>
          <w:p w14:paraId="653AB04B"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178A170C"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27A2ED1F"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306F75DC"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3F094A38"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62712341"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29625772"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64" w:type="dxa"/>
            <w:vMerge/>
            <w:tcBorders>
              <w:left w:val="nil"/>
              <w:right w:val="nil"/>
            </w:tcBorders>
            <w:noWrap/>
            <w:vAlign w:val="center"/>
          </w:tcPr>
          <w:p w14:paraId="3CC17A4B"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3133382A" w14:textId="77777777" w:rsidTr="00055D05">
        <w:trPr>
          <w:trHeight w:val="290"/>
          <w:jc w:val="center"/>
        </w:trPr>
        <w:tc>
          <w:tcPr>
            <w:tcW w:w="1317" w:type="dxa"/>
            <w:vMerge w:val="restart"/>
            <w:tcBorders>
              <w:top w:val="dotted" w:sz="4" w:space="0" w:color="auto"/>
              <w:left w:val="nil"/>
              <w:right w:val="single" w:sz="8" w:space="0" w:color="auto"/>
            </w:tcBorders>
            <w:noWrap/>
            <w:vAlign w:val="center"/>
            <w:hideMark/>
          </w:tcPr>
          <w:p w14:paraId="17C4FC33"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Senegal</w:t>
            </w:r>
          </w:p>
        </w:tc>
        <w:tc>
          <w:tcPr>
            <w:tcW w:w="475" w:type="dxa"/>
            <w:tcBorders>
              <w:top w:val="dotted" w:sz="4" w:space="0" w:color="auto"/>
              <w:left w:val="nil"/>
              <w:bottom w:val="dotted" w:sz="4" w:space="0" w:color="auto"/>
              <w:right w:val="dotted" w:sz="4" w:space="0" w:color="auto"/>
            </w:tcBorders>
            <w:noWrap/>
            <w:vAlign w:val="center"/>
          </w:tcPr>
          <w:p w14:paraId="7B0BFBAD"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c)</w:t>
            </w:r>
          </w:p>
        </w:tc>
        <w:tc>
          <w:tcPr>
            <w:tcW w:w="1231" w:type="dxa"/>
            <w:tcBorders>
              <w:top w:val="dotted" w:sz="4" w:space="0" w:color="auto"/>
              <w:left w:val="nil"/>
              <w:bottom w:val="dotted" w:sz="4" w:space="0" w:color="auto"/>
              <w:right w:val="single" w:sz="8" w:space="0" w:color="auto"/>
            </w:tcBorders>
            <w:noWrap/>
            <w:vAlign w:val="center"/>
          </w:tcPr>
          <w:p w14:paraId="15C3232C"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€3,270.67</w:t>
            </w:r>
          </w:p>
        </w:tc>
        <w:tc>
          <w:tcPr>
            <w:tcW w:w="411" w:type="dxa"/>
            <w:vMerge w:val="restart"/>
            <w:tcBorders>
              <w:top w:val="dotted" w:sz="4" w:space="0" w:color="auto"/>
              <w:left w:val="nil"/>
              <w:right w:val="dotted" w:sz="4" w:space="0" w:color="auto"/>
            </w:tcBorders>
            <w:noWrap/>
            <w:vAlign w:val="center"/>
          </w:tcPr>
          <w:p w14:paraId="7A290441"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143" w:type="dxa"/>
            <w:vMerge w:val="restart"/>
            <w:tcBorders>
              <w:top w:val="dotted" w:sz="4" w:space="0" w:color="auto"/>
              <w:left w:val="nil"/>
              <w:right w:val="single" w:sz="8" w:space="0" w:color="auto"/>
            </w:tcBorders>
            <w:noWrap/>
            <w:vAlign w:val="center"/>
          </w:tcPr>
          <w:p w14:paraId="12953770"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€2,584.67</w:t>
            </w:r>
          </w:p>
        </w:tc>
        <w:tc>
          <w:tcPr>
            <w:tcW w:w="377" w:type="dxa"/>
            <w:vMerge w:val="restart"/>
            <w:tcBorders>
              <w:top w:val="dotted" w:sz="4" w:space="0" w:color="auto"/>
              <w:left w:val="nil"/>
              <w:right w:val="dotted" w:sz="4" w:space="0" w:color="auto"/>
            </w:tcBorders>
            <w:noWrap/>
            <w:vAlign w:val="center"/>
          </w:tcPr>
          <w:p w14:paraId="017C870D"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31" w:type="dxa"/>
            <w:vMerge w:val="restart"/>
            <w:tcBorders>
              <w:top w:val="dotted" w:sz="4" w:space="0" w:color="auto"/>
              <w:left w:val="nil"/>
              <w:right w:val="single" w:sz="8" w:space="0" w:color="auto"/>
            </w:tcBorders>
            <w:noWrap/>
            <w:vAlign w:val="center"/>
          </w:tcPr>
          <w:p w14:paraId="2155BC84"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€3,047.15</w:t>
            </w:r>
          </w:p>
        </w:tc>
        <w:tc>
          <w:tcPr>
            <w:tcW w:w="411" w:type="dxa"/>
            <w:vMerge w:val="restart"/>
            <w:tcBorders>
              <w:top w:val="dotted" w:sz="4" w:space="0" w:color="auto"/>
              <w:left w:val="single" w:sz="8" w:space="0" w:color="auto"/>
              <w:right w:val="dotted" w:sz="4" w:space="0" w:color="auto"/>
            </w:tcBorders>
            <w:noWrap/>
            <w:vAlign w:val="center"/>
          </w:tcPr>
          <w:p w14:paraId="712DCFAB"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val="restart"/>
            <w:tcBorders>
              <w:top w:val="dotted" w:sz="4" w:space="0" w:color="auto"/>
              <w:left w:val="nil"/>
              <w:right w:val="single" w:sz="8" w:space="0" w:color="auto"/>
            </w:tcBorders>
            <w:noWrap/>
            <w:vAlign w:val="center"/>
          </w:tcPr>
          <w:p w14:paraId="0584D5EA"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val="restart"/>
            <w:tcBorders>
              <w:top w:val="dotted" w:sz="4" w:space="0" w:color="auto"/>
              <w:left w:val="nil"/>
              <w:right w:val="dotted" w:sz="4" w:space="0" w:color="auto"/>
            </w:tcBorders>
            <w:noWrap/>
            <w:vAlign w:val="center"/>
          </w:tcPr>
          <w:p w14:paraId="540F1466"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64" w:type="dxa"/>
            <w:vMerge w:val="restart"/>
            <w:tcBorders>
              <w:top w:val="dotted" w:sz="4" w:space="0" w:color="auto"/>
              <w:left w:val="nil"/>
              <w:right w:val="nil"/>
            </w:tcBorders>
            <w:noWrap/>
            <w:vAlign w:val="center"/>
          </w:tcPr>
          <w:p w14:paraId="618E7534"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57492994" w14:textId="77777777" w:rsidTr="00055D05">
        <w:trPr>
          <w:trHeight w:val="290"/>
          <w:jc w:val="center"/>
        </w:trPr>
        <w:tc>
          <w:tcPr>
            <w:tcW w:w="1317" w:type="dxa"/>
            <w:vMerge/>
            <w:tcBorders>
              <w:left w:val="nil"/>
              <w:right w:val="single" w:sz="8" w:space="0" w:color="auto"/>
            </w:tcBorders>
            <w:noWrap/>
            <w:vAlign w:val="center"/>
          </w:tcPr>
          <w:p w14:paraId="14FE68CB"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nil"/>
              <w:left w:val="nil"/>
              <w:bottom w:val="dotted" w:sz="4" w:space="0" w:color="auto"/>
              <w:right w:val="dotted" w:sz="4" w:space="0" w:color="auto"/>
            </w:tcBorders>
            <w:noWrap/>
            <w:vAlign w:val="center"/>
          </w:tcPr>
          <w:p w14:paraId="7F06FCCC"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e)</w:t>
            </w:r>
          </w:p>
        </w:tc>
        <w:tc>
          <w:tcPr>
            <w:tcW w:w="1231" w:type="dxa"/>
            <w:tcBorders>
              <w:top w:val="nil"/>
              <w:left w:val="nil"/>
              <w:bottom w:val="dotted" w:sz="4" w:space="0" w:color="auto"/>
              <w:right w:val="single" w:sz="8" w:space="0" w:color="auto"/>
            </w:tcBorders>
            <w:noWrap/>
            <w:vAlign w:val="center"/>
          </w:tcPr>
          <w:p w14:paraId="4A1D2222"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€4,327.28</w:t>
            </w:r>
          </w:p>
        </w:tc>
        <w:tc>
          <w:tcPr>
            <w:tcW w:w="411" w:type="dxa"/>
            <w:vMerge/>
            <w:tcBorders>
              <w:left w:val="nil"/>
              <w:right w:val="dotted" w:sz="4" w:space="0" w:color="auto"/>
            </w:tcBorders>
            <w:noWrap/>
            <w:vAlign w:val="center"/>
          </w:tcPr>
          <w:p w14:paraId="5AB34E4A"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2BCF41DA"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491E2149"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23EFC63D"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11" w:type="dxa"/>
            <w:vMerge/>
            <w:tcBorders>
              <w:left w:val="single" w:sz="8" w:space="0" w:color="auto"/>
              <w:right w:val="dotted" w:sz="4" w:space="0" w:color="auto"/>
            </w:tcBorders>
            <w:noWrap/>
            <w:vAlign w:val="center"/>
          </w:tcPr>
          <w:p w14:paraId="4094C809"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26CACBC0"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4CF74D5B"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465F7646"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r>
      <w:tr w:rsidR="00970EFB" w:rsidRPr="00E33CC4" w14:paraId="7192F70A" w14:textId="77777777" w:rsidTr="00055D05">
        <w:trPr>
          <w:trHeight w:val="290"/>
          <w:jc w:val="center"/>
        </w:trPr>
        <w:tc>
          <w:tcPr>
            <w:tcW w:w="1317" w:type="dxa"/>
            <w:vMerge/>
            <w:tcBorders>
              <w:left w:val="nil"/>
              <w:right w:val="single" w:sz="8" w:space="0" w:color="auto"/>
            </w:tcBorders>
            <w:noWrap/>
            <w:vAlign w:val="center"/>
          </w:tcPr>
          <w:p w14:paraId="2CCCFDEA"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4F35CA1B"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roofErr w:type="spellStart"/>
            <w:r w:rsidRPr="00E33CC4">
              <w:rPr>
                <w:rFonts w:ascii="Cambria" w:hAnsi="Cambria"/>
                <w:color w:val="000000"/>
                <w:sz w:val="18"/>
              </w:rPr>
              <w:t>i</w:t>
            </w:r>
            <w:proofErr w:type="spellEnd"/>
            <w:r w:rsidRPr="00E33CC4">
              <w:rPr>
                <w:rFonts w:ascii="Cambria" w:hAnsi="Cambria"/>
                <w:color w:val="000000"/>
                <w:sz w:val="18"/>
              </w:rPr>
              <w:t>)</w:t>
            </w:r>
          </w:p>
        </w:tc>
        <w:tc>
          <w:tcPr>
            <w:tcW w:w="1231" w:type="dxa"/>
            <w:tcBorders>
              <w:top w:val="dotted" w:sz="4" w:space="0" w:color="auto"/>
              <w:left w:val="nil"/>
              <w:bottom w:val="dotted" w:sz="4" w:space="0" w:color="auto"/>
              <w:right w:val="single" w:sz="8" w:space="0" w:color="auto"/>
            </w:tcBorders>
            <w:noWrap/>
            <w:vAlign w:val="center"/>
          </w:tcPr>
          <w:p w14:paraId="5D974E51"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€3,684.99</w:t>
            </w:r>
          </w:p>
        </w:tc>
        <w:tc>
          <w:tcPr>
            <w:tcW w:w="411" w:type="dxa"/>
            <w:vMerge/>
            <w:tcBorders>
              <w:left w:val="nil"/>
              <w:right w:val="dotted" w:sz="4" w:space="0" w:color="auto"/>
            </w:tcBorders>
            <w:noWrap/>
            <w:vAlign w:val="center"/>
          </w:tcPr>
          <w:p w14:paraId="10A45178"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0AD62C7B"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557533E3"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0C547711"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1F68745C"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0544B535"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37E8662E"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69A4C7D4"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214293C9" w14:textId="77777777" w:rsidTr="00055D05">
        <w:trPr>
          <w:trHeight w:val="290"/>
          <w:jc w:val="center"/>
        </w:trPr>
        <w:tc>
          <w:tcPr>
            <w:tcW w:w="1317" w:type="dxa"/>
            <w:vMerge/>
            <w:tcBorders>
              <w:left w:val="nil"/>
              <w:right w:val="single" w:sz="8" w:space="0" w:color="auto"/>
            </w:tcBorders>
            <w:noWrap/>
            <w:vAlign w:val="center"/>
          </w:tcPr>
          <w:p w14:paraId="2E1C3178"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0AA2A5BC"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k)</w:t>
            </w:r>
          </w:p>
        </w:tc>
        <w:tc>
          <w:tcPr>
            <w:tcW w:w="1231" w:type="dxa"/>
            <w:tcBorders>
              <w:top w:val="dotted" w:sz="4" w:space="0" w:color="auto"/>
              <w:left w:val="nil"/>
              <w:bottom w:val="dotted" w:sz="4" w:space="0" w:color="auto"/>
              <w:right w:val="single" w:sz="8" w:space="0" w:color="auto"/>
            </w:tcBorders>
            <w:noWrap/>
            <w:vAlign w:val="center"/>
          </w:tcPr>
          <w:p w14:paraId="1CBCC84F"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€3,379.59</w:t>
            </w:r>
          </w:p>
        </w:tc>
        <w:tc>
          <w:tcPr>
            <w:tcW w:w="411" w:type="dxa"/>
            <w:vMerge/>
            <w:tcBorders>
              <w:left w:val="nil"/>
              <w:right w:val="dotted" w:sz="4" w:space="0" w:color="auto"/>
            </w:tcBorders>
            <w:noWrap/>
            <w:vAlign w:val="center"/>
          </w:tcPr>
          <w:p w14:paraId="115D3C38"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40DBE8B1"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4F7A988E"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2D3B59A7"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58EB1BE1"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4E997A21"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70EF1356"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1EC5B1CC"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001A2357" w14:textId="77777777" w:rsidTr="00055D05">
        <w:trPr>
          <w:trHeight w:val="290"/>
          <w:jc w:val="center"/>
        </w:trPr>
        <w:tc>
          <w:tcPr>
            <w:tcW w:w="1317" w:type="dxa"/>
            <w:vMerge/>
            <w:tcBorders>
              <w:left w:val="nil"/>
              <w:bottom w:val="dotted" w:sz="4" w:space="0" w:color="auto"/>
              <w:right w:val="single" w:sz="8" w:space="0" w:color="auto"/>
            </w:tcBorders>
            <w:noWrap/>
            <w:vAlign w:val="center"/>
          </w:tcPr>
          <w:p w14:paraId="122C5419"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49A300E6"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0D664BC7"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€6,032.31</w:t>
            </w:r>
          </w:p>
        </w:tc>
        <w:tc>
          <w:tcPr>
            <w:tcW w:w="411" w:type="dxa"/>
            <w:vMerge/>
            <w:tcBorders>
              <w:left w:val="nil"/>
              <w:bottom w:val="dotted" w:sz="4" w:space="0" w:color="auto"/>
              <w:right w:val="dotted" w:sz="4" w:space="0" w:color="auto"/>
            </w:tcBorders>
            <w:noWrap/>
            <w:vAlign w:val="center"/>
          </w:tcPr>
          <w:p w14:paraId="2875CB10"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49FC0060"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63A73B5D"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bottom w:val="dotted" w:sz="4" w:space="0" w:color="auto"/>
              <w:right w:val="single" w:sz="8" w:space="0" w:color="auto"/>
            </w:tcBorders>
            <w:noWrap/>
            <w:vAlign w:val="center"/>
          </w:tcPr>
          <w:p w14:paraId="219D4C7B"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bottom w:val="dotted" w:sz="4" w:space="0" w:color="auto"/>
              <w:right w:val="dotted" w:sz="4" w:space="0" w:color="auto"/>
            </w:tcBorders>
            <w:noWrap/>
            <w:vAlign w:val="center"/>
          </w:tcPr>
          <w:p w14:paraId="2A8BE18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5357BF86"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685B5C75"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right w:val="nil"/>
            </w:tcBorders>
            <w:noWrap/>
            <w:vAlign w:val="center"/>
          </w:tcPr>
          <w:p w14:paraId="13F6DA1C"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138B7323" w14:textId="77777777" w:rsidTr="00055D05">
        <w:trPr>
          <w:trHeight w:val="290"/>
          <w:jc w:val="center"/>
        </w:trPr>
        <w:tc>
          <w:tcPr>
            <w:tcW w:w="1317" w:type="dxa"/>
            <w:vMerge w:val="restart"/>
            <w:tcBorders>
              <w:top w:val="dotted" w:sz="4" w:space="0" w:color="auto"/>
              <w:left w:val="nil"/>
              <w:right w:val="single" w:sz="8" w:space="0" w:color="auto"/>
            </w:tcBorders>
            <w:noWrap/>
            <w:vAlign w:val="center"/>
          </w:tcPr>
          <w:p w14:paraId="05CA78CE"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Sierra Leone</w:t>
            </w:r>
          </w:p>
        </w:tc>
        <w:tc>
          <w:tcPr>
            <w:tcW w:w="475" w:type="dxa"/>
            <w:tcBorders>
              <w:top w:val="dotted" w:sz="4" w:space="0" w:color="auto"/>
              <w:left w:val="nil"/>
              <w:bottom w:val="dotted" w:sz="4" w:space="0" w:color="auto"/>
              <w:right w:val="dotted" w:sz="4" w:space="0" w:color="auto"/>
            </w:tcBorders>
            <w:noWrap/>
            <w:vAlign w:val="center"/>
          </w:tcPr>
          <w:p w14:paraId="43893328"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c)</w:t>
            </w:r>
          </w:p>
        </w:tc>
        <w:tc>
          <w:tcPr>
            <w:tcW w:w="1231" w:type="dxa"/>
            <w:tcBorders>
              <w:top w:val="dotted" w:sz="4" w:space="0" w:color="auto"/>
              <w:left w:val="nil"/>
              <w:bottom w:val="dotted" w:sz="4" w:space="0" w:color="auto"/>
              <w:right w:val="single" w:sz="8" w:space="0" w:color="auto"/>
            </w:tcBorders>
            <w:noWrap/>
            <w:vAlign w:val="center"/>
          </w:tcPr>
          <w:p w14:paraId="017C4FDA"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€3,976.65</w:t>
            </w:r>
          </w:p>
        </w:tc>
        <w:tc>
          <w:tcPr>
            <w:tcW w:w="411" w:type="dxa"/>
            <w:vMerge w:val="restart"/>
            <w:tcBorders>
              <w:top w:val="dotted" w:sz="4" w:space="0" w:color="auto"/>
              <w:left w:val="nil"/>
              <w:right w:val="dotted" w:sz="4" w:space="0" w:color="auto"/>
            </w:tcBorders>
            <w:noWrap/>
            <w:vAlign w:val="center"/>
          </w:tcPr>
          <w:p w14:paraId="19100204"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162A0030"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64560146"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val="restart"/>
            <w:tcBorders>
              <w:top w:val="dotted" w:sz="4" w:space="0" w:color="auto"/>
              <w:left w:val="nil"/>
              <w:right w:val="single" w:sz="8" w:space="0" w:color="auto"/>
            </w:tcBorders>
            <w:noWrap/>
            <w:vAlign w:val="center"/>
          </w:tcPr>
          <w:p w14:paraId="527BB5BB"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6EF79A40"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val="restart"/>
            <w:tcBorders>
              <w:top w:val="dotted" w:sz="4" w:space="0" w:color="auto"/>
              <w:left w:val="nil"/>
              <w:right w:val="single" w:sz="8" w:space="0" w:color="auto"/>
            </w:tcBorders>
            <w:noWrap/>
            <w:vAlign w:val="center"/>
          </w:tcPr>
          <w:p w14:paraId="2BE588DB"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val="restart"/>
            <w:tcBorders>
              <w:top w:val="dotted" w:sz="4" w:space="0" w:color="auto"/>
              <w:left w:val="nil"/>
              <w:right w:val="dotted" w:sz="4" w:space="0" w:color="auto"/>
            </w:tcBorders>
            <w:noWrap/>
            <w:vAlign w:val="center"/>
          </w:tcPr>
          <w:p w14:paraId="1FBFF9ED"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X</w:t>
            </w:r>
          </w:p>
        </w:tc>
        <w:tc>
          <w:tcPr>
            <w:tcW w:w="1264" w:type="dxa"/>
            <w:vMerge w:val="restart"/>
            <w:tcBorders>
              <w:top w:val="dotted" w:sz="4" w:space="0" w:color="auto"/>
              <w:left w:val="nil"/>
              <w:right w:val="nil"/>
            </w:tcBorders>
            <w:noWrap/>
            <w:vAlign w:val="center"/>
          </w:tcPr>
          <w:p w14:paraId="42CB4203" w14:textId="77777777" w:rsidR="00970EF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€1,809.37</w:t>
            </w:r>
          </w:p>
          <w:p w14:paraId="22E3ADB3" w14:textId="486106B4" w:rsidR="002A771B" w:rsidRPr="00E33CC4" w:rsidDel="005E48B0"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€3,162.00</w:t>
            </w:r>
          </w:p>
        </w:tc>
      </w:tr>
      <w:tr w:rsidR="00970EFB" w:rsidRPr="00E33CC4" w14:paraId="3359B8AB" w14:textId="77777777" w:rsidTr="00055D05">
        <w:trPr>
          <w:trHeight w:val="290"/>
          <w:jc w:val="center"/>
        </w:trPr>
        <w:tc>
          <w:tcPr>
            <w:tcW w:w="1317" w:type="dxa"/>
            <w:vMerge/>
            <w:tcBorders>
              <w:left w:val="nil"/>
              <w:bottom w:val="dotted" w:sz="4" w:space="0" w:color="auto"/>
              <w:right w:val="single" w:sz="8" w:space="0" w:color="auto"/>
            </w:tcBorders>
            <w:noWrap/>
            <w:vAlign w:val="center"/>
          </w:tcPr>
          <w:p w14:paraId="67CCC7A6"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36142583"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3DEFF63F"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€6,691.75</w:t>
            </w:r>
          </w:p>
        </w:tc>
        <w:tc>
          <w:tcPr>
            <w:tcW w:w="411" w:type="dxa"/>
            <w:vMerge/>
            <w:tcBorders>
              <w:left w:val="nil"/>
              <w:bottom w:val="dotted" w:sz="4" w:space="0" w:color="auto"/>
              <w:right w:val="dotted" w:sz="4" w:space="0" w:color="auto"/>
            </w:tcBorders>
            <w:noWrap/>
            <w:vAlign w:val="center"/>
          </w:tcPr>
          <w:p w14:paraId="39C698B1"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12DC94EC"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3349D450"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bottom w:val="dotted" w:sz="4" w:space="0" w:color="auto"/>
              <w:right w:val="single" w:sz="8" w:space="0" w:color="auto"/>
            </w:tcBorders>
            <w:noWrap/>
            <w:vAlign w:val="center"/>
          </w:tcPr>
          <w:p w14:paraId="3262CBD8"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bottom w:val="dotted" w:sz="4" w:space="0" w:color="auto"/>
              <w:right w:val="dotted" w:sz="4" w:space="0" w:color="auto"/>
            </w:tcBorders>
            <w:noWrap/>
            <w:vAlign w:val="center"/>
          </w:tcPr>
          <w:p w14:paraId="1332DB96"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211ED339"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369A015B"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right w:val="nil"/>
            </w:tcBorders>
            <w:noWrap/>
            <w:vAlign w:val="center"/>
          </w:tcPr>
          <w:p w14:paraId="4D32DD1E"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587DE782" w14:textId="77777777" w:rsidTr="00055D05">
        <w:trPr>
          <w:trHeight w:val="290"/>
          <w:jc w:val="center"/>
        </w:trPr>
        <w:tc>
          <w:tcPr>
            <w:tcW w:w="1317" w:type="dxa"/>
            <w:tcBorders>
              <w:top w:val="dotted" w:sz="4" w:space="0" w:color="auto"/>
              <w:left w:val="nil"/>
              <w:right w:val="single" w:sz="8" w:space="0" w:color="auto"/>
            </w:tcBorders>
            <w:noWrap/>
            <w:vAlign w:val="center"/>
          </w:tcPr>
          <w:p w14:paraId="140E39C3"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 xml:space="preserve">South Africa </w:t>
            </w:r>
          </w:p>
        </w:tc>
        <w:tc>
          <w:tcPr>
            <w:tcW w:w="475" w:type="dxa"/>
            <w:tcBorders>
              <w:top w:val="dotted" w:sz="4" w:space="0" w:color="auto"/>
              <w:left w:val="nil"/>
              <w:bottom w:val="dotted" w:sz="4" w:space="0" w:color="auto"/>
              <w:right w:val="dotted" w:sz="4" w:space="0" w:color="auto"/>
            </w:tcBorders>
            <w:noWrap/>
            <w:vAlign w:val="center"/>
          </w:tcPr>
          <w:p w14:paraId="00CAA5D1"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j)</w:t>
            </w:r>
          </w:p>
        </w:tc>
        <w:tc>
          <w:tcPr>
            <w:tcW w:w="1231" w:type="dxa"/>
            <w:tcBorders>
              <w:top w:val="dotted" w:sz="4" w:space="0" w:color="auto"/>
              <w:left w:val="nil"/>
              <w:bottom w:val="dotted" w:sz="4" w:space="0" w:color="auto"/>
              <w:right w:val="single" w:sz="8" w:space="0" w:color="auto"/>
            </w:tcBorders>
            <w:noWrap/>
            <w:vAlign w:val="center"/>
          </w:tcPr>
          <w:p w14:paraId="7947EA56"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€2,063.57</w:t>
            </w:r>
          </w:p>
        </w:tc>
        <w:tc>
          <w:tcPr>
            <w:tcW w:w="411" w:type="dxa"/>
            <w:tcBorders>
              <w:top w:val="dotted" w:sz="4" w:space="0" w:color="auto"/>
              <w:left w:val="nil"/>
              <w:bottom w:val="dotted" w:sz="4" w:space="0" w:color="auto"/>
              <w:right w:val="dotted" w:sz="4" w:space="0" w:color="auto"/>
            </w:tcBorders>
            <w:noWrap/>
            <w:vAlign w:val="center"/>
          </w:tcPr>
          <w:p w14:paraId="56F5D3E9"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tcBorders>
              <w:top w:val="dotted" w:sz="4" w:space="0" w:color="auto"/>
              <w:left w:val="nil"/>
              <w:bottom w:val="dotted" w:sz="4" w:space="0" w:color="auto"/>
              <w:right w:val="single" w:sz="8" w:space="0" w:color="auto"/>
            </w:tcBorders>
            <w:noWrap/>
            <w:vAlign w:val="center"/>
          </w:tcPr>
          <w:p w14:paraId="2FCF81F7"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tcBorders>
              <w:top w:val="dotted" w:sz="4" w:space="0" w:color="auto"/>
              <w:left w:val="nil"/>
              <w:bottom w:val="dotted" w:sz="4" w:space="0" w:color="auto"/>
              <w:right w:val="dotted" w:sz="4" w:space="0" w:color="auto"/>
            </w:tcBorders>
            <w:noWrap/>
            <w:vAlign w:val="center"/>
          </w:tcPr>
          <w:p w14:paraId="46B99EEC"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dotted" w:sz="4" w:space="0" w:color="auto"/>
              <w:right w:val="single" w:sz="8" w:space="0" w:color="auto"/>
            </w:tcBorders>
            <w:noWrap/>
            <w:vAlign w:val="center"/>
          </w:tcPr>
          <w:p w14:paraId="5A12946E"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15D531DB"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X</w:t>
            </w:r>
          </w:p>
        </w:tc>
        <w:tc>
          <w:tcPr>
            <w:tcW w:w="1353" w:type="dxa"/>
            <w:tcBorders>
              <w:top w:val="dotted" w:sz="4" w:space="0" w:color="auto"/>
              <w:left w:val="nil"/>
              <w:bottom w:val="dotted" w:sz="4" w:space="0" w:color="auto"/>
              <w:right w:val="single" w:sz="8" w:space="0" w:color="auto"/>
            </w:tcBorders>
            <w:noWrap/>
            <w:vAlign w:val="center"/>
          </w:tcPr>
          <w:p w14:paraId="2EE655A2"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€887.57</w:t>
            </w:r>
          </w:p>
        </w:tc>
        <w:tc>
          <w:tcPr>
            <w:tcW w:w="426" w:type="dxa"/>
            <w:tcBorders>
              <w:top w:val="dotted" w:sz="4" w:space="0" w:color="auto"/>
              <w:left w:val="nil"/>
              <w:bottom w:val="dotted" w:sz="4" w:space="0" w:color="auto"/>
              <w:right w:val="dotted" w:sz="4" w:space="0" w:color="auto"/>
            </w:tcBorders>
            <w:noWrap/>
            <w:vAlign w:val="center"/>
          </w:tcPr>
          <w:p w14:paraId="556FEEBC"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X</w:t>
            </w:r>
          </w:p>
        </w:tc>
        <w:tc>
          <w:tcPr>
            <w:tcW w:w="1264" w:type="dxa"/>
            <w:tcBorders>
              <w:top w:val="dotted" w:sz="4" w:space="0" w:color="auto"/>
              <w:left w:val="nil"/>
              <w:bottom w:val="dotted" w:sz="4" w:space="0" w:color="auto"/>
              <w:right w:val="nil"/>
            </w:tcBorders>
            <w:noWrap/>
            <w:vAlign w:val="center"/>
          </w:tcPr>
          <w:p w14:paraId="16A592CD" w14:textId="77777777" w:rsidR="00970EF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€755.60</w:t>
            </w:r>
          </w:p>
          <w:p w14:paraId="422675B1" w14:textId="25F78FCC" w:rsidR="002A771B" w:rsidRPr="00E33CC4" w:rsidDel="00B3099B"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€3,162.00</w:t>
            </w:r>
          </w:p>
        </w:tc>
      </w:tr>
      <w:tr w:rsidR="00970EFB" w:rsidRPr="00E33CC4" w14:paraId="7DD6BA8F" w14:textId="77777777" w:rsidTr="00C52DB5">
        <w:trPr>
          <w:trHeight w:val="290"/>
          <w:jc w:val="center"/>
        </w:trPr>
        <w:tc>
          <w:tcPr>
            <w:tcW w:w="1317" w:type="dxa"/>
            <w:tcBorders>
              <w:top w:val="dotted" w:sz="4" w:space="0" w:color="auto"/>
              <w:left w:val="nil"/>
              <w:bottom w:val="dotted" w:sz="4" w:space="0" w:color="auto"/>
              <w:right w:val="single" w:sz="8" w:space="0" w:color="auto"/>
            </w:tcBorders>
            <w:noWrap/>
            <w:vAlign w:val="center"/>
          </w:tcPr>
          <w:p w14:paraId="712748C1"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Syria</w:t>
            </w:r>
          </w:p>
        </w:tc>
        <w:tc>
          <w:tcPr>
            <w:tcW w:w="475" w:type="dxa"/>
            <w:tcBorders>
              <w:top w:val="dotted" w:sz="4" w:space="0" w:color="auto"/>
              <w:left w:val="nil"/>
              <w:bottom w:val="dotted" w:sz="4" w:space="0" w:color="auto"/>
              <w:right w:val="dotted" w:sz="4" w:space="0" w:color="auto"/>
            </w:tcBorders>
            <w:noWrap/>
            <w:vAlign w:val="center"/>
          </w:tcPr>
          <w:p w14:paraId="0B1F0ED9"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dotted" w:sz="4" w:space="0" w:color="auto"/>
              <w:right w:val="single" w:sz="8" w:space="0" w:color="auto"/>
            </w:tcBorders>
            <w:noWrap/>
            <w:vAlign w:val="center"/>
          </w:tcPr>
          <w:p w14:paraId="418962B0"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11" w:type="dxa"/>
            <w:tcBorders>
              <w:top w:val="dotted" w:sz="4" w:space="0" w:color="auto"/>
              <w:left w:val="nil"/>
              <w:bottom w:val="dotted" w:sz="4" w:space="0" w:color="auto"/>
              <w:right w:val="dotted" w:sz="4" w:space="0" w:color="auto"/>
            </w:tcBorders>
            <w:noWrap/>
            <w:vAlign w:val="center"/>
          </w:tcPr>
          <w:p w14:paraId="4E9BDB32"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143" w:type="dxa"/>
            <w:tcBorders>
              <w:top w:val="dotted" w:sz="4" w:space="0" w:color="auto"/>
              <w:left w:val="nil"/>
              <w:bottom w:val="dotted" w:sz="4" w:space="0" w:color="auto"/>
              <w:right w:val="single" w:sz="8" w:space="0" w:color="auto"/>
            </w:tcBorders>
            <w:noWrap/>
            <w:vAlign w:val="center"/>
          </w:tcPr>
          <w:p w14:paraId="4C34DE29"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377" w:type="dxa"/>
            <w:tcBorders>
              <w:top w:val="dotted" w:sz="4" w:space="0" w:color="auto"/>
              <w:left w:val="nil"/>
              <w:bottom w:val="dotted" w:sz="4" w:space="0" w:color="auto"/>
              <w:right w:val="dotted" w:sz="4" w:space="0" w:color="auto"/>
            </w:tcBorders>
            <w:noWrap/>
            <w:vAlign w:val="center"/>
          </w:tcPr>
          <w:p w14:paraId="233BB24C"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dotted" w:sz="4" w:space="0" w:color="auto"/>
              <w:right w:val="single" w:sz="8" w:space="0" w:color="auto"/>
            </w:tcBorders>
            <w:noWrap/>
            <w:vAlign w:val="center"/>
          </w:tcPr>
          <w:p w14:paraId="4433DA90"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14548EB2"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tcBorders>
              <w:top w:val="dotted" w:sz="4" w:space="0" w:color="auto"/>
              <w:left w:val="nil"/>
              <w:bottom w:val="dotted" w:sz="4" w:space="0" w:color="auto"/>
              <w:right w:val="single" w:sz="8" w:space="0" w:color="auto"/>
            </w:tcBorders>
            <w:noWrap/>
            <w:vAlign w:val="center"/>
          </w:tcPr>
          <w:p w14:paraId="0AF307FA"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tcBorders>
              <w:top w:val="dotted" w:sz="4" w:space="0" w:color="auto"/>
              <w:left w:val="nil"/>
              <w:bottom w:val="dotted" w:sz="4" w:space="0" w:color="auto"/>
              <w:right w:val="dotted" w:sz="4" w:space="0" w:color="auto"/>
            </w:tcBorders>
            <w:noWrap/>
            <w:vAlign w:val="center"/>
          </w:tcPr>
          <w:p w14:paraId="2885B5F9"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EE0000"/>
                <w:sz w:val="18"/>
              </w:rPr>
              <w:t>X</w:t>
            </w:r>
          </w:p>
        </w:tc>
        <w:tc>
          <w:tcPr>
            <w:tcW w:w="1264" w:type="dxa"/>
            <w:tcBorders>
              <w:top w:val="dotted" w:sz="4" w:space="0" w:color="auto"/>
              <w:left w:val="nil"/>
              <w:bottom w:val="dotted" w:sz="4" w:space="0" w:color="auto"/>
              <w:right w:val="nil"/>
            </w:tcBorders>
            <w:noWrap/>
            <w:vAlign w:val="center"/>
          </w:tcPr>
          <w:p w14:paraId="37A9A3B9" w14:textId="77777777" w:rsidR="00970EFB" w:rsidRPr="00E33CC4" w:rsidRDefault="002A771B" w:rsidP="00E33CC4">
            <w:pPr>
              <w:spacing w:after="0" w:line="240" w:lineRule="auto"/>
              <w:jc w:val="right"/>
              <w:rPr>
                <w:rFonts w:ascii="Cambria" w:eastAsia="Times New Roman" w:hAnsi="Cambria" w:cs="Calibri"/>
                <w:color w:val="EE0000"/>
                <w:sz w:val="18"/>
                <w:szCs w:val="18"/>
              </w:rPr>
            </w:pPr>
            <w:r w:rsidRPr="00E33CC4">
              <w:rPr>
                <w:rFonts w:ascii="Cambria" w:hAnsi="Cambria"/>
                <w:color w:val="EE0000"/>
                <w:sz w:val="18"/>
              </w:rPr>
              <w:t>€986.58</w:t>
            </w:r>
          </w:p>
          <w:p w14:paraId="2CA2D51E" w14:textId="2BFD3BA4" w:rsidR="002A771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€3,221.23</w:t>
            </w:r>
          </w:p>
        </w:tc>
      </w:tr>
      <w:tr w:rsidR="00970EFB" w:rsidRPr="00E33CC4" w14:paraId="55583618" w14:textId="77777777" w:rsidTr="00C52DB5">
        <w:trPr>
          <w:trHeight w:val="290"/>
          <w:jc w:val="center"/>
        </w:trPr>
        <w:tc>
          <w:tcPr>
            <w:tcW w:w="1317" w:type="dxa"/>
            <w:vMerge w:val="restart"/>
            <w:tcBorders>
              <w:top w:val="dotted" w:sz="4" w:space="0" w:color="auto"/>
              <w:left w:val="nil"/>
              <w:right w:val="single" w:sz="8" w:space="0" w:color="auto"/>
            </w:tcBorders>
            <w:noWrap/>
            <w:vAlign w:val="center"/>
            <w:hideMark/>
          </w:tcPr>
          <w:p w14:paraId="31BFF7E9"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Tunisia</w:t>
            </w:r>
          </w:p>
        </w:tc>
        <w:tc>
          <w:tcPr>
            <w:tcW w:w="475" w:type="dxa"/>
            <w:tcBorders>
              <w:top w:val="dotted" w:sz="4" w:space="0" w:color="auto"/>
              <w:left w:val="nil"/>
              <w:bottom w:val="dotted" w:sz="4" w:space="0" w:color="auto"/>
              <w:right w:val="dotted" w:sz="4" w:space="0" w:color="auto"/>
            </w:tcBorders>
            <w:noWrap/>
            <w:vAlign w:val="center"/>
          </w:tcPr>
          <w:p w14:paraId="2C967824"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d)</w:t>
            </w:r>
          </w:p>
        </w:tc>
        <w:tc>
          <w:tcPr>
            <w:tcW w:w="1231" w:type="dxa"/>
            <w:tcBorders>
              <w:top w:val="dotted" w:sz="4" w:space="0" w:color="auto"/>
              <w:left w:val="nil"/>
              <w:bottom w:val="dotted" w:sz="4" w:space="0" w:color="auto"/>
              <w:right w:val="single" w:sz="8" w:space="0" w:color="auto"/>
            </w:tcBorders>
            <w:noWrap/>
            <w:vAlign w:val="center"/>
          </w:tcPr>
          <w:p w14:paraId="238BD665"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€2,013.93</w:t>
            </w:r>
          </w:p>
        </w:tc>
        <w:tc>
          <w:tcPr>
            <w:tcW w:w="411" w:type="dxa"/>
            <w:vMerge w:val="restart"/>
            <w:tcBorders>
              <w:top w:val="dotted" w:sz="4" w:space="0" w:color="auto"/>
              <w:left w:val="nil"/>
              <w:bottom w:val="dotted" w:sz="4" w:space="0" w:color="auto"/>
              <w:right w:val="dotted" w:sz="4" w:space="0" w:color="auto"/>
            </w:tcBorders>
            <w:noWrap/>
            <w:vAlign w:val="center"/>
          </w:tcPr>
          <w:p w14:paraId="46ACA7F3"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143" w:type="dxa"/>
            <w:vMerge w:val="restart"/>
            <w:tcBorders>
              <w:top w:val="dotted" w:sz="4" w:space="0" w:color="auto"/>
              <w:left w:val="nil"/>
              <w:bottom w:val="dotted" w:sz="4" w:space="0" w:color="auto"/>
              <w:right w:val="single" w:sz="8" w:space="0" w:color="auto"/>
            </w:tcBorders>
            <w:noWrap/>
            <w:vAlign w:val="center"/>
          </w:tcPr>
          <w:p w14:paraId="68B3E526"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€2,080.71</w:t>
            </w:r>
          </w:p>
        </w:tc>
        <w:tc>
          <w:tcPr>
            <w:tcW w:w="377" w:type="dxa"/>
            <w:vMerge w:val="restart"/>
            <w:tcBorders>
              <w:top w:val="dotted" w:sz="4" w:space="0" w:color="auto"/>
              <w:left w:val="nil"/>
              <w:bottom w:val="dotted" w:sz="4" w:space="0" w:color="auto"/>
              <w:right w:val="dotted" w:sz="4" w:space="0" w:color="auto"/>
            </w:tcBorders>
            <w:noWrap/>
            <w:vAlign w:val="center"/>
          </w:tcPr>
          <w:p w14:paraId="586AD4C5"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31" w:type="dxa"/>
            <w:vMerge w:val="restart"/>
            <w:tcBorders>
              <w:top w:val="dotted" w:sz="4" w:space="0" w:color="auto"/>
              <w:left w:val="nil"/>
              <w:bottom w:val="dotted" w:sz="4" w:space="0" w:color="auto"/>
              <w:right w:val="single" w:sz="8" w:space="0" w:color="auto"/>
            </w:tcBorders>
            <w:noWrap/>
            <w:vAlign w:val="center"/>
          </w:tcPr>
          <w:p w14:paraId="15716DF9"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€2,556.36</w:t>
            </w:r>
          </w:p>
        </w:tc>
        <w:tc>
          <w:tcPr>
            <w:tcW w:w="411" w:type="dxa"/>
            <w:vMerge w:val="restart"/>
            <w:tcBorders>
              <w:top w:val="dotted" w:sz="4" w:space="0" w:color="auto"/>
              <w:left w:val="single" w:sz="8" w:space="0" w:color="auto"/>
              <w:right w:val="dotted" w:sz="4" w:space="0" w:color="auto"/>
            </w:tcBorders>
            <w:noWrap/>
            <w:vAlign w:val="center"/>
          </w:tcPr>
          <w:p w14:paraId="3B94AC38"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353" w:type="dxa"/>
            <w:vMerge w:val="restart"/>
            <w:tcBorders>
              <w:top w:val="dotted" w:sz="4" w:space="0" w:color="auto"/>
              <w:left w:val="nil"/>
              <w:right w:val="single" w:sz="8" w:space="0" w:color="auto"/>
            </w:tcBorders>
            <w:noWrap/>
            <w:vAlign w:val="center"/>
          </w:tcPr>
          <w:p w14:paraId="519FB41D"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€822.33</w:t>
            </w:r>
          </w:p>
        </w:tc>
        <w:tc>
          <w:tcPr>
            <w:tcW w:w="426" w:type="dxa"/>
            <w:vMerge w:val="restart"/>
            <w:tcBorders>
              <w:top w:val="dotted" w:sz="4" w:space="0" w:color="auto"/>
              <w:left w:val="nil"/>
              <w:right w:val="dotted" w:sz="4" w:space="0" w:color="auto"/>
            </w:tcBorders>
            <w:noWrap/>
            <w:vAlign w:val="center"/>
          </w:tcPr>
          <w:p w14:paraId="76CD9938"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64" w:type="dxa"/>
            <w:vMerge w:val="restart"/>
            <w:tcBorders>
              <w:top w:val="dotted" w:sz="4" w:space="0" w:color="auto"/>
              <w:left w:val="nil"/>
              <w:right w:val="nil"/>
            </w:tcBorders>
            <w:noWrap/>
            <w:vAlign w:val="center"/>
          </w:tcPr>
          <w:p w14:paraId="34954422" w14:textId="77777777" w:rsidR="00970EF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€564.86</w:t>
            </w:r>
          </w:p>
          <w:p w14:paraId="487BEDA2" w14:textId="5E1F079D" w:rsidR="002A771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€2,966.46</w:t>
            </w:r>
          </w:p>
        </w:tc>
      </w:tr>
      <w:tr w:rsidR="00970EFB" w:rsidRPr="00E33CC4" w14:paraId="749496E7" w14:textId="77777777" w:rsidTr="00C52DB5">
        <w:trPr>
          <w:trHeight w:val="300"/>
          <w:jc w:val="center"/>
        </w:trPr>
        <w:tc>
          <w:tcPr>
            <w:tcW w:w="1317" w:type="dxa"/>
            <w:vMerge/>
            <w:tcBorders>
              <w:left w:val="nil"/>
              <w:right w:val="single" w:sz="8" w:space="0" w:color="auto"/>
            </w:tcBorders>
            <w:noWrap/>
            <w:vAlign w:val="center"/>
          </w:tcPr>
          <w:p w14:paraId="3420132E"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4D8CAB18"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f)</w:t>
            </w:r>
          </w:p>
        </w:tc>
        <w:tc>
          <w:tcPr>
            <w:tcW w:w="1231" w:type="dxa"/>
            <w:tcBorders>
              <w:top w:val="dotted" w:sz="4" w:space="0" w:color="auto"/>
              <w:left w:val="nil"/>
              <w:bottom w:val="dotted" w:sz="4" w:space="0" w:color="auto"/>
              <w:right w:val="single" w:sz="8" w:space="0" w:color="auto"/>
            </w:tcBorders>
            <w:noWrap/>
            <w:vAlign w:val="center"/>
          </w:tcPr>
          <w:p w14:paraId="288C9A53"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€2,497.90</w:t>
            </w:r>
          </w:p>
        </w:tc>
        <w:tc>
          <w:tcPr>
            <w:tcW w:w="411" w:type="dxa"/>
            <w:vMerge/>
            <w:tcBorders>
              <w:top w:val="dotted" w:sz="4" w:space="0" w:color="auto"/>
              <w:left w:val="nil"/>
              <w:right w:val="dotted" w:sz="4" w:space="0" w:color="auto"/>
            </w:tcBorders>
            <w:noWrap/>
            <w:vAlign w:val="center"/>
          </w:tcPr>
          <w:p w14:paraId="35093D7E"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3E88CE5C"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2161731E"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top w:val="dotted" w:sz="4" w:space="0" w:color="auto"/>
              <w:left w:val="nil"/>
              <w:right w:val="single" w:sz="8" w:space="0" w:color="auto"/>
            </w:tcBorders>
            <w:noWrap/>
            <w:vAlign w:val="center"/>
          </w:tcPr>
          <w:p w14:paraId="328A1B9E"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77524E71"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2B984149"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top w:val="dotted" w:sz="4" w:space="0" w:color="auto"/>
              <w:left w:val="nil"/>
              <w:right w:val="dotted" w:sz="4" w:space="0" w:color="auto"/>
            </w:tcBorders>
            <w:noWrap/>
            <w:vAlign w:val="center"/>
          </w:tcPr>
          <w:p w14:paraId="0B0D474B"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tcBorders>
              <w:top w:val="dotted" w:sz="4" w:space="0" w:color="auto"/>
              <w:left w:val="nil"/>
              <w:right w:val="nil"/>
            </w:tcBorders>
            <w:noWrap/>
            <w:vAlign w:val="center"/>
          </w:tcPr>
          <w:p w14:paraId="1774BD73"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1EABC4A6" w14:textId="77777777" w:rsidTr="00C52DB5">
        <w:trPr>
          <w:trHeight w:val="300"/>
          <w:jc w:val="center"/>
        </w:trPr>
        <w:tc>
          <w:tcPr>
            <w:tcW w:w="1317" w:type="dxa"/>
            <w:vMerge/>
            <w:tcBorders>
              <w:left w:val="nil"/>
              <w:right w:val="single" w:sz="8" w:space="0" w:color="auto"/>
            </w:tcBorders>
            <w:noWrap/>
            <w:vAlign w:val="center"/>
          </w:tcPr>
          <w:p w14:paraId="036E099E"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2F73A2E1"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g)</w:t>
            </w:r>
          </w:p>
        </w:tc>
        <w:tc>
          <w:tcPr>
            <w:tcW w:w="1231" w:type="dxa"/>
            <w:tcBorders>
              <w:top w:val="dotted" w:sz="4" w:space="0" w:color="auto"/>
              <w:left w:val="nil"/>
              <w:bottom w:val="nil"/>
              <w:right w:val="single" w:sz="8" w:space="0" w:color="auto"/>
            </w:tcBorders>
            <w:noWrap/>
            <w:vAlign w:val="center"/>
          </w:tcPr>
          <w:p w14:paraId="023C5939"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€1,327.25</w:t>
            </w:r>
          </w:p>
        </w:tc>
        <w:tc>
          <w:tcPr>
            <w:tcW w:w="411" w:type="dxa"/>
            <w:vMerge/>
            <w:tcBorders>
              <w:left w:val="nil"/>
              <w:right w:val="dotted" w:sz="4" w:space="0" w:color="auto"/>
            </w:tcBorders>
            <w:noWrap/>
            <w:vAlign w:val="center"/>
          </w:tcPr>
          <w:p w14:paraId="60379E1F"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50B9F0DE"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085A4AD2"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0AF5096C"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bottom w:val="dotted" w:sz="4" w:space="0" w:color="auto"/>
              <w:right w:val="dotted" w:sz="4" w:space="0" w:color="auto"/>
            </w:tcBorders>
            <w:noWrap/>
            <w:vAlign w:val="center"/>
          </w:tcPr>
          <w:p w14:paraId="7577315F"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78AE121A"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48F974BE"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25007C42"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40B2ADDF" w14:textId="77777777" w:rsidTr="00055D05">
        <w:trPr>
          <w:trHeight w:val="300"/>
          <w:jc w:val="center"/>
        </w:trPr>
        <w:tc>
          <w:tcPr>
            <w:tcW w:w="1317" w:type="dxa"/>
            <w:vMerge/>
            <w:tcBorders>
              <w:left w:val="nil"/>
              <w:right w:val="single" w:sz="8" w:space="0" w:color="auto"/>
            </w:tcBorders>
            <w:noWrap/>
            <w:vAlign w:val="center"/>
          </w:tcPr>
          <w:p w14:paraId="3EA3D186"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2DA9C484"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j)</w:t>
            </w:r>
          </w:p>
        </w:tc>
        <w:tc>
          <w:tcPr>
            <w:tcW w:w="1231" w:type="dxa"/>
            <w:tcBorders>
              <w:top w:val="dotted" w:sz="4" w:space="0" w:color="auto"/>
              <w:left w:val="nil"/>
              <w:bottom w:val="nil"/>
              <w:right w:val="single" w:sz="8" w:space="0" w:color="auto"/>
            </w:tcBorders>
            <w:noWrap/>
            <w:vAlign w:val="center"/>
          </w:tcPr>
          <w:p w14:paraId="64E4D6B0"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€1,851.33</w:t>
            </w:r>
          </w:p>
        </w:tc>
        <w:tc>
          <w:tcPr>
            <w:tcW w:w="411" w:type="dxa"/>
            <w:vMerge/>
            <w:tcBorders>
              <w:left w:val="nil"/>
              <w:right w:val="dotted" w:sz="4" w:space="0" w:color="auto"/>
            </w:tcBorders>
            <w:noWrap/>
            <w:vAlign w:val="center"/>
          </w:tcPr>
          <w:p w14:paraId="3A0D1CDE"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24193EF3"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7790C2FF"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07959EDC"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11FC18E5"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X</w:t>
            </w:r>
          </w:p>
        </w:tc>
        <w:tc>
          <w:tcPr>
            <w:tcW w:w="1353" w:type="dxa"/>
            <w:vMerge w:val="restart"/>
            <w:tcBorders>
              <w:top w:val="dotted" w:sz="4" w:space="0" w:color="auto"/>
              <w:left w:val="nil"/>
              <w:right w:val="single" w:sz="8" w:space="0" w:color="auto"/>
            </w:tcBorders>
            <w:noWrap/>
            <w:vAlign w:val="center"/>
          </w:tcPr>
          <w:p w14:paraId="0F53BACC"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€1,676.03</w:t>
            </w:r>
          </w:p>
        </w:tc>
        <w:tc>
          <w:tcPr>
            <w:tcW w:w="426" w:type="dxa"/>
            <w:vMerge/>
            <w:tcBorders>
              <w:left w:val="nil"/>
              <w:right w:val="dotted" w:sz="4" w:space="0" w:color="auto"/>
            </w:tcBorders>
            <w:noWrap/>
            <w:vAlign w:val="center"/>
          </w:tcPr>
          <w:p w14:paraId="1A31E10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069296DF"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1B35C7F0" w14:textId="77777777" w:rsidTr="00055D05">
        <w:trPr>
          <w:trHeight w:val="300"/>
          <w:jc w:val="center"/>
        </w:trPr>
        <w:tc>
          <w:tcPr>
            <w:tcW w:w="1317" w:type="dxa"/>
            <w:vMerge/>
            <w:tcBorders>
              <w:left w:val="nil"/>
              <w:right w:val="single" w:sz="8" w:space="0" w:color="auto"/>
            </w:tcBorders>
            <w:noWrap/>
            <w:vAlign w:val="center"/>
          </w:tcPr>
          <w:p w14:paraId="21C51B15"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21ACAAA8"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nil"/>
              <w:right w:val="single" w:sz="8" w:space="0" w:color="auto"/>
            </w:tcBorders>
            <w:noWrap/>
            <w:vAlign w:val="center"/>
          </w:tcPr>
          <w:p w14:paraId="781BA115"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€3,169.48</w:t>
            </w:r>
          </w:p>
        </w:tc>
        <w:tc>
          <w:tcPr>
            <w:tcW w:w="411" w:type="dxa"/>
            <w:vMerge/>
            <w:tcBorders>
              <w:left w:val="nil"/>
              <w:right w:val="dotted" w:sz="4" w:space="0" w:color="auto"/>
            </w:tcBorders>
            <w:noWrap/>
            <w:vAlign w:val="center"/>
          </w:tcPr>
          <w:p w14:paraId="56FF895B"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24454319"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102BE429"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7EDCB6B5"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745A3855"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right w:val="single" w:sz="8" w:space="0" w:color="auto"/>
            </w:tcBorders>
            <w:noWrap/>
            <w:vAlign w:val="center"/>
          </w:tcPr>
          <w:p w14:paraId="44301B60"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04970D84"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31EE3A0D"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4FF3414B" w14:textId="77777777" w:rsidTr="00C52DB5">
        <w:trPr>
          <w:trHeight w:val="300"/>
          <w:jc w:val="center"/>
        </w:trPr>
        <w:tc>
          <w:tcPr>
            <w:tcW w:w="1317" w:type="dxa"/>
            <w:vMerge/>
            <w:tcBorders>
              <w:left w:val="nil"/>
              <w:bottom w:val="dotted" w:sz="4" w:space="0" w:color="auto"/>
              <w:right w:val="single" w:sz="8" w:space="0" w:color="auto"/>
            </w:tcBorders>
            <w:noWrap/>
            <w:vAlign w:val="center"/>
          </w:tcPr>
          <w:p w14:paraId="7943F30A"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3ECFB0F5"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40C47741"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€2,900.21</w:t>
            </w:r>
          </w:p>
        </w:tc>
        <w:tc>
          <w:tcPr>
            <w:tcW w:w="411" w:type="dxa"/>
            <w:vMerge/>
            <w:tcBorders>
              <w:left w:val="nil"/>
              <w:bottom w:val="dotted" w:sz="4" w:space="0" w:color="auto"/>
              <w:right w:val="dotted" w:sz="4" w:space="0" w:color="auto"/>
            </w:tcBorders>
            <w:noWrap/>
            <w:vAlign w:val="center"/>
          </w:tcPr>
          <w:p w14:paraId="4C1FC0B2"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79303C76"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4A8C65DD"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bottom w:val="dotted" w:sz="4" w:space="0" w:color="auto"/>
              <w:right w:val="single" w:sz="8" w:space="0" w:color="auto"/>
            </w:tcBorders>
            <w:noWrap/>
            <w:vAlign w:val="center"/>
          </w:tcPr>
          <w:p w14:paraId="072CB7D0"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bottom w:val="dotted" w:sz="4" w:space="0" w:color="auto"/>
              <w:right w:val="dotted" w:sz="4" w:space="0" w:color="auto"/>
            </w:tcBorders>
            <w:noWrap/>
            <w:vAlign w:val="center"/>
          </w:tcPr>
          <w:p w14:paraId="599468F3"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bottom w:val="dotted" w:sz="4" w:space="0" w:color="auto"/>
              <w:right w:val="single" w:sz="8" w:space="0" w:color="auto"/>
            </w:tcBorders>
            <w:noWrap/>
            <w:vAlign w:val="center"/>
          </w:tcPr>
          <w:p w14:paraId="2D8B0992"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49FAF0F8"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right w:val="nil"/>
            </w:tcBorders>
            <w:noWrap/>
            <w:vAlign w:val="center"/>
          </w:tcPr>
          <w:p w14:paraId="3AFB2626"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06AE0D66" w14:textId="77777777" w:rsidTr="00C52DB5">
        <w:trPr>
          <w:trHeight w:val="300"/>
          <w:jc w:val="center"/>
        </w:trPr>
        <w:tc>
          <w:tcPr>
            <w:tcW w:w="1317" w:type="dxa"/>
            <w:tcBorders>
              <w:top w:val="dotted" w:sz="4" w:space="0" w:color="auto"/>
              <w:left w:val="nil"/>
              <w:right w:val="single" w:sz="8" w:space="0" w:color="auto"/>
            </w:tcBorders>
            <w:noWrap/>
            <w:vAlign w:val="center"/>
          </w:tcPr>
          <w:p w14:paraId="421CAAA5"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Türkiye</w:t>
            </w:r>
          </w:p>
        </w:tc>
        <w:tc>
          <w:tcPr>
            <w:tcW w:w="475" w:type="dxa"/>
            <w:tcBorders>
              <w:top w:val="dotted" w:sz="4" w:space="0" w:color="auto"/>
              <w:left w:val="nil"/>
              <w:bottom w:val="nil"/>
              <w:right w:val="dotted" w:sz="4" w:space="0" w:color="auto"/>
            </w:tcBorders>
            <w:noWrap/>
            <w:vAlign w:val="center"/>
          </w:tcPr>
          <w:p w14:paraId="60CB51F5"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nil"/>
              <w:right w:val="single" w:sz="8" w:space="0" w:color="auto"/>
            </w:tcBorders>
            <w:noWrap/>
            <w:vAlign w:val="center"/>
          </w:tcPr>
          <w:p w14:paraId="731411EC" w14:textId="77777777" w:rsidR="00970EFB" w:rsidRPr="00E33CC4" w:rsidRDefault="00970EFB" w:rsidP="00E33CC4">
            <w:pPr>
              <w:spacing w:after="0" w:line="240" w:lineRule="auto"/>
              <w:jc w:val="right"/>
              <w:rPr>
                <w:rFonts w:ascii="Cambria" w:eastAsia="Times New Roman" w:hAnsi="Cambria" w:cs="Calibri"/>
                <w:color w:val="000000"/>
                <w:sz w:val="18"/>
              </w:rPr>
            </w:pPr>
          </w:p>
        </w:tc>
        <w:tc>
          <w:tcPr>
            <w:tcW w:w="411" w:type="dxa"/>
            <w:tcBorders>
              <w:top w:val="dotted" w:sz="4" w:space="0" w:color="auto"/>
              <w:left w:val="nil"/>
              <w:right w:val="dotted" w:sz="4" w:space="0" w:color="auto"/>
            </w:tcBorders>
            <w:noWrap/>
            <w:vAlign w:val="center"/>
          </w:tcPr>
          <w:p w14:paraId="6400767B"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143" w:type="dxa"/>
            <w:tcBorders>
              <w:top w:val="dotted" w:sz="4" w:space="0" w:color="auto"/>
              <w:left w:val="nil"/>
              <w:right w:val="single" w:sz="8" w:space="0" w:color="auto"/>
            </w:tcBorders>
            <w:noWrap/>
            <w:vAlign w:val="center"/>
          </w:tcPr>
          <w:p w14:paraId="00CE2E52"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€2,574.05</w:t>
            </w:r>
          </w:p>
        </w:tc>
        <w:tc>
          <w:tcPr>
            <w:tcW w:w="377" w:type="dxa"/>
            <w:tcBorders>
              <w:top w:val="dotted" w:sz="4" w:space="0" w:color="auto"/>
              <w:left w:val="nil"/>
              <w:right w:val="dotted" w:sz="4" w:space="0" w:color="auto"/>
            </w:tcBorders>
            <w:noWrap/>
            <w:vAlign w:val="center"/>
          </w:tcPr>
          <w:p w14:paraId="00D3A6E8"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31" w:type="dxa"/>
            <w:tcBorders>
              <w:top w:val="dotted" w:sz="4" w:space="0" w:color="auto"/>
              <w:left w:val="nil"/>
              <w:right w:val="single" w:sz="8" w:space="0" w:color="auto"/>
            </w:tcBorders>
            <w:noWrap/>
            <w:vAlign w:val="center"/>
          </w:tcPr>
          <w:p w14:paraId="52B6BEB7"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€2,535.02</w:t>
            </w:r>
          </w:p>
        </w:tc>
        <w:tc>
          <w:tcPr>
            <w:tcW w:w="411" w:type="dxa"/>
            <w:tcBorders>
              <w:top w:val="dotted" w:sz="4" w:space="0" w:color="auto"/>
              <w:left w:val="single" w:sz="8" w:space="0" w:color="auto"/>
              <w:bottom w:val="dotted" w:sz="4" w:space="0" w:color="auto"/>
              <w:right w:val="dotted" w:sz="4" w:space="0" w:color="auto"/>
            </w:tcBorders>
            <w:noWrap/>
            <w:vAlign w:val="center"/>
          </w:tcPr>
          <w:p w14:paraId="47BF4CCE"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bottom w:val="dotted" w:sz="4" w:space="0" w:color="auto"/>
              <w:right w:val="single" w:sz="8" w:space="0" w:color="auto"/>
            </w:tcBorders>
            <w:noWrap/>
            <w:vAlign w:val="center"/>
          </w:tcPr>
          <w:p w14:paraId="10F24FA8"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tcBorders>
              <w:top w:val="dotted" w:sz="4" w:space="0" w:color="auto"/>
              <w:left w:val="nil"/>
              <w:bottom w:val="dotted" w:sz="4" w:space="0" w:color="auto"/>
              <w:right w:val="dotted" w:sz="4" w:space="0" w:color="auto"/>
            </w:tcBorders>
            <w:noWrap/>
            <w:vAlign w:val="center"/>
          </w:tcPr>
          <w:p w14:paraId="3AE6AB2F"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X</w:t>
            </w:r>
          </w:p>
        </w:tc>
        <w:tc>
          <w:tcPr>
            <w:tcW w:w="1264" w:type="dxa"/>
            <w:tcBorders>
              <w:top w:val="dotted" w:sz="4" w:space="0" w:color="auto"/>
              <w:left w:val="nil"/>
              <w:bottom w:val="dotted" w:sz="4" w:space="0" w:color="auto"/>
              <w:right w:val="nil"/>
            </w:tcBorders>
            <w:noWrap/>
            <w:vAlign w:val="center"/>
          </w:tcPr>
          <w:p w14:paraId="0BC99AB1" w14:textId="77777777" w:rsidR="00970EF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€454.22</w:t>
            </w:r>
          </w:p>
          <w:p w14:paraId="3E420B08" w14:textId="44023747" w:rsidR="002A771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€2,914.00</w:t>
            </w:r>
          </w:p>
        </w:tc>
      </w:tr>
      <w:tr w:rsidR="00970EFB" w:rsidRPr="00E33CC4" w14:paraId="1207A5CB" w14:textId="77777777" w:rsidTr="00055D05">
        <w:trPr>
          <w:trHeight w:val="300"/>
          <w:jc w:val="center"/>
        </w:trPr>
        <w:tc>
          <w:tcPr>
            <w:tcW w:w="1317" w:type="dxa"/>
            <w:vMerge w:val="restart"/>
            <w:tcBorders>
              <w:top w:val="dotted" w:sz="4" w:space="0" w:color="auto"/>
              <w:left w:val="nil"/>
              <w:right w:val="single" w:sz="8" w:space="0" w:color="auto"/>
            </w:tcBorders>
            <w:noWrap/>
            <w:vAlign w:val="center"/>
            <w:hideMark/>
          </w:tcPr>
          <w:p w14:paraId="5E44AD36" w14:textId="77777777" w:rsidR="00970EFB" w:rsidRPr="00E33CC4" w:rsidRDefault="00970EFB" w:rsidP="00E33CC4">
            <w:pPr>
              <w:spacing w:after="0" w:line="240" w:lineRule="auto"/>
              <w:rPr>
                <w:rFonts w:ascii="Cambria" w:eastAsia="Times New Roman" w:hAnsi="Cambria" w:cs="Calibri"/>
                <w:color w:val="000000"/>
                <w:sz w:val="18"/>
                <w:szCs w:val="18"/>
              </w:rPr>
            </w:pPr>
            <w:r w:rsidRPr="00E33CC4">
              <w:rPr>
                <w:rFonts w:ascii="Cambria" w:hAnsi="Cambria"/>
                <w:color w:val="000000"/>
                <w:sz w:val="18"/>
              </w:rPr>
              <w:t>Uruguay</w:t>
            </w:r>
          </w:p>
        </w:tc>
        <w:tc>
          <w:tcPr>
            <w:tcW w:w="475" w:type="dxa"/>
            <w:tcBorders>
              <w:top w:val="dotted" w:sz="4" w:space="0" w:color="auto"/>
              <w:left w:val="nil"/>
              <w:bottom w:val="nil"/>
              <w:right w:val="dotted" w:sz="4" w:space="0" w:color="auto"/>
            </w:tcBorders>
            <w:noWrap/>
            <w:vAlign w:val="center"/>
          </w:tcPr>
          <w:p w14:paraId="0BB5E270"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h)</w:t>
            </w:r>
          </w:p>
        </w:tc>
        <w:tc>
          <w:tcPr>
            <w:tcW w:w="1231" w:type="dxa"/>
            <w:tcBorders>
              <w:top w:val="dotted" w:sz="4" w:space="0" w:color="auto"/>
              <w:left w:val="nil"/>
              <w:bottom w:val="nil"/>
              <w:right w:val="single" w:sz="8" w:space="0" w:color="auto"/>
            </w:tcBorders>
            <w:noWrap/>
            <w:vAlign w:val="center"/>
          </w:tcPr>
          <w:p w14:paraId="5BBC92CA" w14:textId="77777777" w:rsidR="00970EFB" w:rsidRPr="00E33CC4"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€3,893.03</w:t>
            </w:r>
          </w:p>
        </w:tc>
        <w:tc>
          <w:tcPr>
            <w:tcW w:w="411" w:type="dxa"/>
            <w:vMerge w:val="restart"/>
            <w:tcBorders>
              <w:top w:val="dotted" w:sz="4" w:space="0" w:color="auto"/>
              <w:left w:val="nil"/>
              <w:right w:val="dotted" w:sz="4" w:space="0" w:color="auto"/>
            </w:tcBorders>
            <w:noWrap/>
            <w:vAlign w:val="center"/>
          </w:tcPr>
          <w:p w14:paraId="6C5840BF"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10B8D8C6"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1E60E14C"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val="restart"/>
            <w:tcBorders>
              <w:top w:val="dotted" w:sz="4" w:space="0" w:color="auto"/>
              <w:left w:val="nil"/>
              <w:right w:val="single" w:sz="8" w:space="0" w:color="auto"/>
            </w:tcBorders>
            <w:noWrap/>
            <w:vAlign w:val="center"/>
          </w:tcPr>
          <w:p w14:paraId="05AFF163"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49CC0F19"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val="restart"/>
            <w:tcBorders>
              <w:top w:val="dotted" w:sz="4" w:space="0" w:color="auto"/>
              <w:left w:val="nil"/>
              <w:right w:val="single" w:sz="8" w:space="0" w:color="auto"/>
            </w:tcBorders>
            <w:noWrap/>
            <w:vAlign w:val="center"/>
          </w:tcPr>
          <w:p w14:paraId="346C0B66"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val="restart"/>
            <w:tcBorders>
              <w:top w:val="dotted" w:sz="4" w:space="0" w:color="auto"/>
              <w:left w:val="nil"/>
              <w:bottom w:val="dotted" w:sz="4" w:space="0" w:color="auto"/>
              <w:right w:val="dotted" w:sz="4" w:space="0" w:color="auto"/>
            </w:tcBorders>
            <w:noWrap/>
            <w:vAlign w:val="center"/>
          </w:tcPr>
          <w:p w14:paraId="2FFE0F50" w14:textId="77777777" w:rsidR="00970EFB" w:rsidRPr="00E33CC4" w:rsidRDefault="00970EFB" w:rsidP="00E33CC4">
            <w:pPr>
              <w:spacing w:after="0" w:line="240" w:lineRule="auto"/>
              <w:jc w:val="center"/>
              <w:rPr>
                <w:rFonts w:ascii="Cambria" w:eastAsia="Times New Roman" w:hAnsi="Cambria" w:cs="Calibri"/>
                <w:color w:val="000000"/>
                <w:sz w:val="18"/>
                <w:szCs w:val="18"/>
              </w:rPr>
            </w:pPr>
            <w:r w:rsidRPr="00E33CC4">
              <w:rPr>
                <w:rFonts w:ascii="Cambria" w:hAnsi="Cambria"/>
                <w:color w:val="000000"/>
                <w:sz w:val="18"/>
              </w:rPr>
              <w:t>X</w:t>
            </w:r>
          </w:p>
        </w:tc>
        <w:tc>
          <w:tcPr>
            <w:tcW w:w="1264" w:type="dxa"/>
            <w:vMerge w:val="restart"/>
            <w:tcBorders>
              <w:top w:val="dotted" w:sz="4" w:space="0" w:color="auto"/>
              <w:left w:val="nil"/>
              <w:bottom w:val="dotted" w:sz="4" w:space="0" w:color="auto"/>
              <w:right w:val="nil"/>
            </w:tcBorders>
            <w:noWrap/>
            <w:vAlign w:val="center"/>
          </w:tcPr>
          <w:p w14:paraId="33D9090F" w14:textId="77777777" w:rsidR="00970EF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€1,164.04</w:t>
            </w:r>
          </w:p>
          <w:p w14:paraId="409E3FF0" w14:textId="53010189" w:rsidR="002A771B" w:rsidRPr="00E33CC4" w:rsidRDefault="002A771B" w:rsidP="00E33CC4">
            <w:pPr>
              <w:spacing w:after="0" w:line="240" w:lineRule="auto"/>
              <w:jc w:val="right"/>
              <w:rPr>
                <w:rFonts w:ascii="Cambria" w:eastAsia="Times New Roman" w:hAnsi="Cambria" w:cs="Calibri"/>
                <w:color w:val="000000"/>
                <w:sz w:val="18"/>
                <w:szCs w:val="18"/>
              </w:rPr>
            </w:pPr>
            <w:r w:rsidRPr="00E33CC4">
              <w:rPr>
                <w:rFonts w:ascii="Cambria" w:hAnsi="Cambria"/>
                <w:color w:val="EE0000"/>
                <w:sz w:val="18"/>
              </w:rPr>
              <w:t>€3,162.00</w:t>
            </w:r>
          </w:p>
        </w:tc>
      </w:tr>
      <w:tr w:rsidR="00970EFB" w:rsidRPr="00E33CC4" w14:paraId="0739649F" w14:textId="77777777" w:rsidTr="00055D05">
        <w:trPr>
          <w:trHeight w:val="300"/>
          <w:jc w:val="center"/>
        </w:trPr>
        <w:tc>
          <w:tcPr>
            <w:tcW w:w="1317" w:type="dxa"/>
            <w:vMerge/>
            <w:tcBorders>
              <w:left w:val="nil"/>
              <w:bottom w:val="dotted" w:sz="4" w:space="0" w:color="auto"/>
              <w:right w:val="single" w:sz="8" w:space="0" w:color="auto"/>
            </w:tcBorders>
            <w:noWrap/>
            <w:vAlign w:val="center"/>
          </w:tcPr>
          <w:p w14:paraId="4A701AC9"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49C07A25"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nil"/>
              <w:right w:val="single" w:sz="8" w:space="0" w:color="auto"/>
            </w:tcBorders>
            <w:noWrap/>
            <w:vAlign w:val="center"/>
          </w:tcPr>
          <w:p w14:paraId="781AB135"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€4,547.41</w:t>
            </w:r>
          </w:p>
        </w:tc>
        <w:tc>
          <w:tcPr>
            <w:tcW w:w="411" w:type="dxa"/>
            <w:vMerge/>
            <w:tcBorders>
              <w:left w:val="nil"/>
              <w:right w:val="dotted" w:sz="4" w:space="0" w:color="auto"/>
            </w:tcBorders>
            <w:noWrap/>
            <w:vAlign w:val="center"/>
          </w:tcPr>
          <w:p w14:paraId="330D414E"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1E8F1B57" w14:textId="77777777" w:rsidR="00970EFB" w:rsidRPr="00E33CC4" w:rsidDel="005E48B0"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73188F73"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10442D7C"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2291A785" w14:textId="77777777" w:rsidR="00970EFB" w:rsidRPr="00E33CC4" w:rsidRDefault="00970EFB" w:rsidP="00E33CC4">
            <w:pPr>
              <w:spacing w:after="0" w:line="240" w:lineRule="auto"/>
              <w:jc w:val="center"/>
              <w:rPr>
                <w:rFonts w:ascii="Cambria" w:eastAsia="Times New Roman" w:hAnsi="Cambria" w:cs="Calibri"/>
                <w:color w:val="000000"/>
                <w:sz w:val="18"/>
                <w:szCs w:val="18"/>
              </w:rPr>
            </w:pPr>
          </w:p>
        </w:tc>
        <w:tc>
          <w:tcPr>
            <w:tcW w:w="1353" w:type="dxa"/>
            <w:vMerge/>
            <w:tcBorders>
              <w:left w:val="nil"/>
              <w:right w:val="single" w:sz="8" w:space="0" w:color="auto"/>
            </w:tcBorders>
            <w:noWrap/>
            <w:vAlign w:val="center"/>
          </w:tcPr>
          <w:p w14:paraId="48D45901"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bottom w:val="dotted" w:sz="4" w:space="0" w:color="auto"/>
              <w:right w:val="dotted" w:sz="4" w:space="0" w:color="auto"/>
            </w:tcBorders>
            <w:noWrap/>
            <w:vAlign w:val="center"/>
          </w:tcPr>
          <w:p w14:paraId="15676457" w14:textId="77777777" w:rsidR="00970EFB" w:rsidRPr="00E33CC4" w:rsidDel="005E48B0" w:rsidRDefault="00970EFB" w:rsidP="00E33CC4">
            <w:pPr>
              <w:spacing w:after="0" w:line="240" w:lineRule="auto"/>
              <w:jc w:val="center"/>
              <w:rPr>
                <w:rFonts w:ascii="Cambria" w:eastAsia="Times New Roman" w:hAnsi="Cambria" w:cs="Calibri"/>
                <w:color w:val="000000"/>
                <w:sz w:val="18"/>
              </w:rPr>
            </w:pPr>
          </w:p>
        </w:tc>
        <w:tc>
          <w:tcPr>
            <w:tcW w:w="1264" w:type="dxa"/>
            <w:vMerge/>
            <w:tcBorders>
              <w:top w:val="dotted" w:sz="4" w:space="0" w:color="auto"/>
              <w:left w:val="nil"/>
              <w:bottom w:val="dotted" w:sz="4" w:space="0" w:color="auto"/>
              <w:right w:val="nil"/>
            </w:tcBorders>
            <w:noWrap/>
            <w:vAlign w:val="center"/>
          </w:tcPr>
          <w:p w14:paraId="3A812370" w14:textId="77777777" w:rsidR="00970EFB" w:rsidRPr="00E33CC4" w:rsidDel="005E48B0"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1CAD05A5" w14:textId="77777777" w:rsidTr="00055D05">
        <w:trPr>
          <w:trHeight w:val="300"/>
          <w:jc w:val="center"/>
        </w:trPr>
        <w:tc>
          <w:tcPr>
            <w:tcW w:w="1317" w:type="dxa"/>
            <w:vMerge w:val="restart"/>
            <w:tcBorders>
              <w:top w:val="dotted" w:sz="4" w:space="0" w:color="auto"/>
              <w:left w:val="nil"/>
              <w:right w:val="single" w:sz="8" w:space="0" w:color="auto"/>
            </w:tcBorders>
            <w:noWrap/>
            <w:vAlign w:val="center"/>
          </w:tcPr>
          <w:p w14:paraId="3FD5CE93" w14:textId="77777777" w:rsidR="00970EFB" w:rsidRPr="00E33CC4" w:rsidRDefault="00970EFB" w:rsidP="00E33CC4">
            <w:pPr>
              <w:spacing w:after="0" w:line="240" w:lineRule="auto"/>
              <w:rPr>
                <w:rFonts w:ascii="Cambria" w:eastAsia="Times New Roman" w:hAnsi="Cambria" w:cs="Calibri"/>
                <w:color w:val="000000"/>
                <w:sz w:val="18"/>
              </w:rPr>
            </w:pPr>
            <w:r w:rsidRPr="00E33CC4">
              <w:rPr>
                <w:rFonts w:ascii="Cambria" w:hAnsi="Cambria"/>
                <w:color w:val="000000"/>
                <w:sz w:val="18"/>
              </w:rPr>
              <w:t>Venezuela</w:t>
            </w:r>
          </w:p>
        </w:tc>
        <w:tc>
          <w:tcPr>
            <w:tcW w:w="475" w:type="dxa"/>
            <w:tcBorders>
              <w:top w:val="dotted" w:sz="4" w:space="0" w:color="auto"/>
              <w:left w:val="nil"/>
              <w:bottom w:val="nil"/>
              <w:right w:val="dotted" w:sz="4" w:space="0" w:color="auto"/>
            </w:tcBorders>
            <w:noWrap/>
            <w:vAlign w:val="center"/>
          </w:tcPr>
          <w:p w14:paraId="0862BAB1"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b)</w:t>
            </w:r>
          </w:p>
        </w:tc>
        <w:tc>
          <w:tcPr>
            <w:tcW w:w="1231" w:type="dxa"/>
            <w:tcBorders>
              <w:top w:val="dotted" w:sz="4" w:space="0" w:color="auto"/>
              <w:left w:val="nil"/>
              <w:bottom w:val="nil"/>
              <w:right w:val="single" w:sz="8" w:space="0" w:color="auto"/>
            </w:tcBorders>
            <w:noWrap/>
            <w:vAlign w:val="center"/>
          </w:tcPr>
          <w:p w14:paraId="4EA0D13F"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€2,670.88</w:t>
            </w:r>
          </w:p>
        </w:tc>
        <w:tc>
          <w:tcPr>
            <w:tcW w:w="411" w:type="dxa"/>
            <w:vMerge w:val="restart"/>
            <w:tcBorders>
              <w:top w:val="dotted" w:sz="4" w:space="0" w:color="auto"/>
              <w:left w:val="nil"/>
              <w:right w:val="dotted" w:sz="4" w:space="0" w:color="auto"/>
            </w:tcBorders>
            <w:noWrap/>
            <w:vAlign w:val="center"/>
          </w:tcPr>
          <w:p w14:paraId="0A88398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2713A924"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384C8D4A"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X</w:t>
            </w:r>
          </w:p>
        </w:tc>
        <w:tc>
          <w:tcPr>
            <w:tcW w:w="1231" w:type="dxa"/>
            <w:vMerge w:val="restart"/>
            <w:tcBorders>
              <w:top w:val="dotted" w:sz="4" w:space="0" w:color="auto"/>
              <w:left w:val="nil"/>
              <w:right w:val="single" w:sz="8" w:space="0" w:color="auto"/>
            </w:tcBorders>
            <w:noWrap/>
            <w:vAlign w:val="center"/>
          </w:tcPr>
          <w:p w14:paraId="6BD52719"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r w:rsidRPr="00E33CC4">
              <w:rPr>
                <w:rFonts w:ascii="Cambria" w:hAnsi="Cambria"/>
                <w:color w:val="000000"/>
                <w:sz w:val="18"/>
              </w:rPr>
              <w:t>€1,237.48</w:t>
            </w:r>
          </w:p>
        </w:tc>
        <w:tc>
          <w:tcPr>
            <w:tcW w:w="411" w:type="dxa"/>
            <w:vMerge w:val="restart"/>
            <w:tcBorders>
              <w:top w:val="dotted" w:sz="4" w:space="0" w:color="auto"/>
              <w:left w:val="single" w:sz="8" w:space="0" w:color="auto"/>
              <w:right w:val="dotted" w:sz="4" w:space="0" w:color="auto"/>
            </w:tcBorders>
            <w:noWrap/>
            <w:vAlign w:val="center"/>
          </w:tcPr>
          <w:p w14:paraId="6B49D46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val="restart"/>
            <w:tcBorders>
              <w:top w:val="dotted" w:sz="4" w:space="0" w:color="auto"/>
              <w:left w:val="nil"/>
              <w:right w:val="single" w:sz="8" w:space="0" w:color="auto"/>
            </w:tcBorders>
            <w:noWrap/>
            <w:vAlign w:val="center"/>
          </w:tcPr>
          <w:p w14:paraId="0A666A08"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val="restart"/>
            <w:tcBorders>
              <w:top w:val="dotted" w:sz="4" w:space="0" w:color="auto"/>
              <w:left w:val="nil"/>
              <w:right w:val="dotted" w:sz="4" w:space="0" w:color="auto"/>
            </w:tcBorders>
            <w:noWrap/>
            <w:vAlign w:val="center"/>
          </w:tcPr>
          <w:p w14:paraId="15FE7D11"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val="restart"/>
            <w:tcBorders>
              <w:top w:val="dotted" w:sz="4" w:space="0" w:color="auto"/>
              <w:left w:val="nil"/>
              <w:right w:val="nil"/>
            </w:tcBorders>
            <w:noWrap/>
            <w:vAlign w:val="center"/>
          </w:tcPr>
          <w:p w14:paraId="5F10A594"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1721DF83" w14:textId="77777777" w:rsidTr="00055D05">
        <w:trPr>
          <w:trHeight w:val="300"/>
          <w:jc w:val="center"/>
        </w:trPr>
        <w:tc>
          <w:tcPr>
            <w:tcW w:w="1317" w:type="dxa"/>
            <w:vMerge/>
            <w:tcBorders>
              <w:top w:val="dotted" w:sz="4" w:space="0" w:color="auto"/>
              <w:left w:val="nil"/>
              <w:right w:val="single" w:sz="8" w:space="0" w:color="auto"/>
            </w:tcBorders>
            <w:noWrap/>
            <w:vAlign w:val="center"/>
          </w:tcPr>
          <w:p w14:paraId="34BE4D7B"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03AF268D"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c)</w:t>
            </w:r>
          </w:p>
        </w:tc>
        <w:tc>
          <w:tcPr>
            <w:tcW w:w="1231" w:type="dxa"/>
            <w:tcBorders>
              <w:top w:val="dotted" w:sz="4" w:space="0" w:color="auto"/>
              <w:left w:val="nil"/>
              <w:bottom w:val="nil"/>
              <w:right w:val="single" w:sz="8" w:space="0" w:color="auto"/>
            </w:tcBorders>
            <w:noWrap/>
            <w:vAlign w:val="center"/>
          </w:tcPr>
          <w:p w14:paraId="7166B1E8"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€3,455.47</w:t>
            </w:r>
          </w:p>
        </w:tc>
        <w:tc>
          <w:tcPr>
            <w:tcW w:w="411" w:type="dxa"/>
            <w:vMerge/>
            <w:tcBorders>
              <w:top w:val="dotted" w:sz="4" w:space="0" w:color="auto"/>
              <w:left w:val="nil"/>
              <w:right w:val="dotted" w:sz="4" w:space="0" w:color="auto"/>
            </w:tcBorders>
            <w:noWrap/>
            <w:vAlign w:val="center"/>
          </w:tcPr>
          <w:p w14:paraId="0BC40473"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79EB6A4B"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5759BA21"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top w:val="dotted" w:sz="4" w:space="0" w:color="auto"/>
              <w:left w:val="nil"/>
              <w:right w:val="single" w:sz="8" w:space="0" w:color="auto"/>
            </w:tcBorders>
            <w:noWrap/>
            <w:vAlign w:val="center"/>
          </w:tcPr>
          <w:p w14:paraId="284659A2"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2DE966EE"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right w:val="single" w:sz="8" w:space="0" w:color="auto"/>
            </w:tcBorders>
            <w:noWrap/>
            <w:vAlign w:val="center"/>
          </w:tcPr>
          <w:p w14:paraId="6E1E9273"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top w:val="nil"/>
              <w:left w:val="nil"/>
              <w:right w:val="dotted" w:sz="4" w:space="0" w:color="auto"/>
            </w:tcBorders>
            <w:noWrap/>
            <w:vAlign w:val="center"/>
          </w:tcPr>
          <w:p w14:paraId="25E52563"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64" w:type="dxa"/>
            <w:vMerge/>
            <w:tcBorders>
              <w:top w:val="nil"/>
              <w:left w:val="nil"/>
              <w:right w:val="nil"/>
            </w:tcBorders>
            <w:noWrap/>
            <w:vAlign w:val="center"/>
          </w:tcPr>
          <w:p w14:paraId="62D8181C"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6A1A4FC7" w14:textId="77777777" w:rsidTr="00055D05">
        <w:trPr>
          <w:trHeight w:val="300"/>
          <w:jc w:val="center"/>
        </w:trPr>
        <w:tc>
          <w:tcPr>
            <w:tcW w:w="1317" w:type="dxa"/>
            <w:vMerge/>
            <w:tcBorders>
              <w:top w:val="nil"/>
              <w:left w:val="nil"/>
              <w:right w:val="single" w:sz="8" w:space="0" w:color="auto"/>
            </w:tcBorders>
            <w:noWrap/>
            <w:vAlign w:val="center"/>
          </w:tcPr>
          <w:p w14:paraId="0988694E"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513C781A"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e)</w:t>
            </w:r>
          </w:p>
        </w:tc>
        <w:tc>
          <w:tcPr>
            <w:tcW w:w="1231" w:type="dxa"/>
            <w:tcBorders>
              <w:top w:val="dotted" w:sz="4" w:space="0" w:color="auto"/>
              <w:left w:val="nil"/>
              <w:bottom w:val="nil"/>
              <w:right w:val="single" w:sz="8" w:space="0" w:color="auto"/>
            </w:tcBorders>
            <w:noWrap/>
            <w:vAlign w:val="center"/>
          </w:tcPr>
          <w:p w14:paraId="17D86214"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€4,234.61</w:t>
            </w:r>
          </w:p>
        </w:tc>
        <w:tc>
          <w:tcPr>
            <w:tcW w:w="411" w:type="dxa"/>
            <w:vMerge/>
            <w:tcBorders>
              <w:top w:val="dotted" w:sz="4" w:space="0" w:color="auto"/>
              <w:left w:val="nil"/>
              <w:right w:val="dotted" w:sz="4" w:space="0" w:color="auto"/>
            </w:tcBorders>
            <w:noWrap/>
            <w:vAlign w:val="center"/>
          </w:tcPr>
          <w:p w14:paraId="63374A91"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5B348A72"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09B0153A"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top w:val="dotted" w:sz="4" w:space="0" w:color="auto"/>
              <w:left w:val="nil"/>
              <w:right w:val="single" w:sz="8" w:space="0" w:color="auto"/>
            </w:tcBorders>
            <w:noWrap/>
            <w:vAlign w:val="center"/>
          </w:tcPr>
          <w:p w14:paraId="432B156E"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66E2021D"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right w:val="single" w:sz="8" w:space="0" w:color="auto"/>
            </w:tcBorders>
            <w:noWrap/>
            <w:vAlign w:val="center"/>
          </w:tcPr>
          <w:p w14:paraId="0777F49F"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top w:val="nil"/>
              <w:left w:val="nil"/>
              <w:right w:val="dotted" w:sz="4" w:space="0" w:color="auto"/>
            </w:tcBorders>
            <w:noWrap/>
            <w:vAlign w:val="center"/>
          </w:tcPr>
          <w:p w14:paraId="1FF02253"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64" w:type="dxa"/>
            <w:vMerge/>
            <w:tcBorders>
              <w:top w:val="nil"/>
              <w:left w:val="nil"/>
              <w:right w:val="nil"/>
            </w:tcBorders>
            <w:noWrap/>
            <w:vAlign w:val="center"/>
          </w:tcPr>
          <w:p w14:paraId="5A618438"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1F6B67FF" w14:textId="77777777" w:rsidTr="00055D05">
        <w:trPr>
          <w:trHeight w:val="300"/>
          <w:jc w:val="center"/>
        </w:trPr>
        <w:tc>
          <w:tcPr>
            <w:tcW w:w="1317" w:type="dxa"/>
            <w:vMerge/>
            <w:tcBorders>
              <w:top w:val="nil"/>
              <w:left w:val="nil"/>
              <w:right w:val="single" w:sz="8" w:space="0" w:color="auto"/>
            </w:tcBorders>
            <w:noWrap/>
            <w:vAlign w:val="center"/>
          </w:tcPr>
          <w:p w14:paraId="0E7373AA"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7E290996"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g)</w:t>
            </w:r>
          </w:p>
        </w:tc>
        <w:tc>
          <w:tcPr>
            <w:tcW w:w="1231" w:type="dxa"/>
            <w:tcBorders>
              <w:top w:val="dotted" w:sz="4" w:space="0" w:color="auto"/>
              <w:left w:val="nil"/>
              <w:bottom w:val="nil"/>
              <w:right w:val="single" w:sz="8" w:space="0" w:color="auto"/>
            </w:tcBorders>
            <w:noWrap/>
            <w:vAlign w:val="center"/>
          </w:tcPr>
          <w:p w14:paraId="0761AE9D"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€2,423.81</w:t>
            </w:r>
          </w:p>
        </w:tc>
        <w:tc>
          <w:tcPr>
            <w:tcW w:w="411" w:type="dxa"/>
            <w:vMerge/>
            <w:tcBorders>
              <w:top w:val="dotted" w:sz="4" w:space="0" w:color="auto"/>
              <w:left w:val="nil"/>
              <w:right w:val="dotted" w:sz="4" w:space="0" w:color="auto"/>
            </w:tcBorders>
            <w:noWrap/>
            <w:vAlign w:val="center"/>
          </w:tcPr>
          <w:p w14:paraId="49747EE6"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15350A6F"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2EDE05BD"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top w:val="dotted" w:sz="4" w:space="0" w:color="auto"/>
              <w:left w:val="nil"/>
              <w:right w:val="single" w:sz="8" w:space="0" w:color="auto"/>
            </w:tcBorders>
            <w:noWrap/>
            <w:vAlign w:val="center"/>
          </w:tcPr>
          <w:p w14:paraId="168EED18"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042A6580"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right w:val="single" w:sz="8" w:space="0" w:color="auto"/>
            </w:tcBorders>
            <w:noWrap/>
            <w:vAlign w:val="center"/>
          </w:tcPr>
          <w:p w14:paraId="69848051"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top w:val="nil"/>
              <w:left w:val="nil"/>
              <w:right w:val="dotted" w:sz="4" w:space="0" w:color="auto"/>
            </w:tcBorders>
            <w:noWrap/>
            <w:vAlign w:val="center"/>
          </w:tcPr>
          <w:p w14:paraId="1B3B92B2"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64" w:type="dxa"/>
            <w:vMerge/>
            <w:tcBorders>
              <w:top w:val="nil"/>
              <w:left w:val="nil"/>
              <w:right w:val="nil"/>
            </w:tcBorders>
            <w:noWrap/>
            <w:vAlign w:val="center"/>
          </w:tcPr>
          <w:p w14:paraId="57778663"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0C837ECF" w14:textId="77777777" w:rsidTr="00055D05">
        <w:trPr>
          <w:trHeight w:val="300"/>
          <w:jc w:val="center"/>
        </w:trPr>
        <w:tc>
          <w:tcPr>
            <w:tcW w:w="1317" w:type="dxa"/>
            <w:vMerge/>
            <w:tcBorders>
              <w:top w:val="nil"/>
              <w:left w:val="nil"/>
              <w:right w:val="single" w:sz="8" w:space="0" w:color="auto"/>
            </w:tcBorders>
            <w:noWrap/>
            <w:vAlign w:val="center"/>
          </w:tcPr>
          <w:p w14:paraId="768167EB"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5D7C8ABF"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h)</w:t>
            </w:r>
          </w:p>
        </w:tc>
        <w:tc>
          <w:tcPr>
            <w:tcW w:w="1231" w:type="dxa"/>
            <w:tcBorders>
              <w:top w:val="dotted" w:sz="4" w:space="0" w:color="auto"/>
              <w:left w:val="nil"/>
              <w:bottom w:val="nil"/>
              <w:right w:val="single" w:sz="8" w:space="0" w:color="auto"/>
            </w:tcBorders>
            <w:noWrap/>
            <w:vAlign w:val="center"/>
          </w:tcPr>
          <w:p w14:paraId="0DE39C47"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€4,115.86</w:t>
            </w:r>
          </w:p>
        </w:tc>
        <w:tc>
          <w:tcPr>
            <w:tcW w:w="411" w:type="dxa"/>
            <w:vMerge/>
            <w:tcBorders>
              <w:top w:val="dotted" w:sz="4" w:space="0" w:color="auto"/>
              <w:left w:val="nil"/>
              <w:right w:val="dotted" w:sz="4" w:space="0" w:color="auto"/>
            </w:tcBorders>
            <w:noWrap/>
            <w:vAlign w:val="center"/>
          </w:tcPr>
          <w:p w14:paraId="6FEF0FEE"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414309E2"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43DEF6A6"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top w:val="dotted" w:sz="4" w:space="0" w:color="auto"/>
              <w:left w:val="nil"/>
              <w:right w:val="single" w:sz="8" w:space="0" w:color="auto"/>
            </w:tcBorders>
            <w:noWrap/>
            <w:vAlign w:val="center"/>
          </w:tcPr>
          <w:p w14:paraId="5BA90616"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7E5B544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right w:val="single" w:sz="8" w:space="0" w:color="auto"/>
            </w:tcBorders>
            <w:noWrap/>
            <w:vAlign w:val="center"/>
          </w:tcPr>
          <w:p w14:paraId="10BD2347"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top w:val="nil"/>
              <w:left w:val="nil"/>
              <w:right w:val="dotted" w:sz="4" w:space="0" w:color="auto"/>
            </w:tcBorders>
            <w:noWrap/>
            <w:vAlign w:val="center"/>
          </w:tcPr>
          <w:p w14:paraId="42FF1B75"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64" w:type="dxa"/>
            <w:vMerge/>
            <w:tcBorders>
              <w:top w:val="nil"/>
              <w:left w:val="nil"/>
              <w:right w:val="nil"/>
            </w:tcBorders>
            <w:noWrap/>
            <w:vAlign w:val="center"/>
          </w:tcPr>
          <w:p w14:paraId="4FCD27FA"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0263F1E2" w14:textId="77777777" w:rsidTr="00055D05">
        <w:trPr>
          <w:trHeight w:val="300"/>
          <w:jc w:val="center"/>
        </w:trPr>
        <w:tc>
          <w:tcPr>
            <w:tcW w:w="1317" w:type="dxa"/>
            <w:vMerge/>
            <w:tcBorders>
              <w:top w:val="nil"/>
              <w:left w:val="nil"/>
              <w:right w:val="single" w:sz="8" w:space="0" w:color="auto"/>
            </w:tcBorders>
            <w:noWrap/>
            <w:vAlign w:val="center"/>
          </w:tcPr>
          <w:p w14:paraId="2BA48EA3"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6300C8F9" w14:textId="77777777" w:rsidR="00970EFB" w:rsidRPr="00E33CC4" w:rsidRDefault="00970EFB" w:rsidP="00E33CC4">
            <w:pPr>
              <w:spacing w:after="0" w:line="240" w:lineRule="auto"/>
              <w:jc w:val="center"/>
              <w:rPr>
                <w:rFonts w:ascii="Cambria" w:eastAsia="Times New Roman" w:hAnsi="Cambria" w:cs="Calibri"/>
                <w:color w:val="000000"/>
                <w:sz w:val="18"/>
              </w:rPr>
            </w:pPr>
            <w:proofErr w:type="spellStart"/>
            <w:r w:rsidRPr="00E33CC4">
              <w:rPr>
                <w:rFonts w:ascii="Cambria" w:hAnsi="Cambria"/>
                <w:color w:val="000000"/>
                <w:sz w:val="18"/>
              </w:rPr>
              <w:t>i</w:t>
            </w:r>
            <w:proofErr w:type="spellEnd"/>
            <w:r w:rsidRPr="00E33CC4">
              <w:rPr>
                <w:rFonts w:ascii="Cambria" w:hAnsi="Cambria"/>
                <w:color w:val="000000"/>
                <w:sz w:val="18"/>
              </w:rPr>
              <w:t>)</w:t>
            </w:r>
          </w:p>
        </w:tc>
        <w:tc>
          <w:tcPr>
            <w:tcW w:w="1231" w:type="dxa"/>
            <w:tcBorders>
              <w:top w:val="dotted" w:sz="4" w:space="0" w:color="auto"/>
              <w:left w:val="nil"/>
              <w:bottom w:val="nil"/>
              <w:right w:val="single" w:sz="8" w:space="0" w:color="auto"/>
            </w:tcBorders>
            <w:noWrap/>
            <w:vAlign w:val="center"/>
          </w:tcPr>
          <w:p w14:paraId="302AD66B"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€3,916.50</w:t>
            </w:r>
          </w:p>
        </w:tc>
        <w:tc>
          <w:tcPr>
            <w:tcW w:w="411" w:type="dxa"/>
            <w:vMerge/>
            <w:tcBorders>
              <w:top w:val="dotted" w:sz="4" w:space="0" w:color="auto"/>
              <w:left w:val="nil"/>
              <w:right w:val="dotted" w:sz="4" w:space="0" w:color="auto"/>
            </w:tcBorders>
            <w:noWrap/>
            <w:vAlign w:val="center"/>
          </w:tcPr>
          <w:p w14:paraId="7670982A"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588A8688"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5557F23C"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top w:val="dotted" w:sz="4" w:space="0" w:color="auto"/>
              <w:left w:val="nil"/>
              <w:right w:val="single" w:sz="8" w:space="0" w:color="auto"/>
            </w:tcBorders>
            <w:noWrap/>
            <w:vAlign w:val="center"/>
          </w:tcPr>
          <w:p w14:paraId="29F4D80B"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3110D538"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right w:val="single" w:sz="8" w:space="0" w:color="auto"/>
            </w:tcBorders>
            <w:noWrap/>
            <w:vAlign w:val="center"/>
          </w:tcPr>
          <w:p w14:paraId="6DD09A29"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top w:val="nil"/>
              <w:left w:val="nil"/>
              <w:right w:val="dotted" w:sz="4" w:space="0" w:color="auto"/>
            </w:tcBorders>
            <w:noWrap/>
            <w:vAlign w:val="center"/>
          </w:tcPr>
          <w:p w14:paraId="76B70868" w14:textId="77777777" w:rsidR="00970EFB" w:rsidRPr="00E33CC4" w:rsidRDefault="00970EFB" w:rsidP="00E33CC4">
            <w:pPr>
              <w:spacing w:after="0" w:line="240" w:lineRule="auto"/>
              <w:jc w:val="center"/>
              <w:rPr>
                <w:rFonts w:ascii="Cambria" w:eastAsia="Times New Roman" w:hAnsi="Cambria" w:cs="Calibri"/>
                <w:color w:val="000000"/>
                <w:sz w:val="18"/>
              </w:rPr>
            </w:pPr>
          </w:p>
        </w:tc>
        <w:tc>
          <w:tcPr>
            <w:tcW w:w="1264" w:type="dxa"/>
            <w:vMerge/>
            <w:tcBorders>
              <w:top w:val="nil"/>
              <w:left w:val="nil"/>
              <w:right w:val="nil"/>
            </w:tcBorders>
            <w:noWrap/>
            <w:vAlign w:val="center"/>
          </w:tcPr>
          <w:p w14:paraId="66CA852D" w14:textId="77777777" w:rsidR="00970EFB" w:rsidRPr="00E33CC4"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6C202A6C" w14:textId="77777777" w:rsidTr="00055D05">
        <w:trPr>
          <w:trHeight w:val="300"/>
          <w:jc w:val="center"/>
        </w:trPr>
        <w:tc>
          <w:tcPr>
            <w:tcW w:w="1317" w:type="dxa"/>
            <w:vMerge/>
            <w:tcBorders>
              <w:left w:val="nil"/>
              <w:right w:val="single" w:sz="8" w:space="0" w:color="auto"/>
            </w:tcBorders>
            <w:noWrap/>
            <w:vAlign w:val="center"/>
          </w:tcPr>
          <w:p w14:paraId="4F43191B"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5C270EE1"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k)</w:t>
            </w:r>
          </w:p>
        </w:tc>
        <w:tc>
          <w:tcPr>
            <w:tcW w:w="1231" w:type="dxa"/>
            <w:tcBorders>
              <w:top w:val="dotted" w:sz="4" w:space="0" w:color="auto"/>
              <w:left w:val="nil"/>
              <w:bottom w:val="nil"/>
              <w:right w:val="single" w:sz="8" w:space="0" w:color="auto"/>
            </w:tcBorders>
            <w:noWrap/>
            <w:vAlign w:val="center"/>
          </w:tcPr>
          <w:p w14:paraId="6172B80F"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€3,831.71</w:t>
            </w:r>
          </w:p>
        </w:tc>
        <w:tc>
          <w:tcPr>
            <w:tcW w:w="411" w:type="dxa"/>
            <w:vMerge/>
            <w:tcBorders>
              <w:left w:val="nil"/>
              <w:right w:val="dotted" w:sz="4" w:space="0" w:color="auto"/>
            </w:tcBorders>
            <w:noWrap/>
            <w:vAlign w:val="center"/>
          </w:tcPr>
          <w:p w14:paraId="090C0DFD"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2E816406"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34E70E1A"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1F14BFB5"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7A0B486F"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1DE6C7AF"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398733B4"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12D763E6"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217EB72F" w14:textId="77777777" w:rsidTr="00055D05">
        <w:trPr>
          <w:trHeight w:val="300"/>
          <w:jc w:val="center"/>
        </w:trPr>
        <w:tc>
          <w:tcPr>
            <w:tcW w:w="1317" w:type="dxa"/>
            <w:vMerge/>
            <w:tcBorders>
              <w:left w:val="nil"/>
              <w:right w:val="single" w:sz="8" w:space="0" w:color="auto"/>
            </w:tcBorders>
            <w:noWrap/>
            <w:vAlign w:val="center"/>
          </w:tcPr>
          <w:p w14:paraId="29085018"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3EF5810F"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nil"/>
              <w:right w:val="single" w:sz="8" w:space="0" w:color="auto"/>
            </w:tcBorders>
            <w:noWrap/>
            <w:vAlign w:val="center"/>
          </w:tcPr>
          <w:p w14:paraId="6B64FC35"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€4,526.96</w:t>
            </w:r>
          </w:p>
        </w:tc>
        <w:tc>
          <w:tcPr>
            <w:tcW w:w="411" w:type="dxa"/>
            <w:vMerge/>
            <w:tcBorders>
              <w:left w:val="nil"/>
              <w:right w:val="dotted" w:sz="4" w:space="0" w:color="auto"/>
            </w:tcBorders>
            <w:noWrap/>
            <w:vAlign w:val="center"/>
          </w:tcPr>
          <w:p w14:paraId="1C2C5C5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6CDF3C69"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4B1D7AEF"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45020727"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79D94552"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1F45590C"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4275D762"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3DD4A304"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08534F7E" w14:textId="77777777" w:rsidTr="00055D05">
        <w:trPr>
          <w:trHeight w:val="300"/>
          <w:jc w:val="center"/>
        </w:trPr>
        <w:tc>
          <w:tcPr>
            <w:tcW w:w="1317" w:type="dxa"/>
            <w:vMerge/>
            <w:tcBorders>
              <w:left w:val="nil"/>
              <w:bottom w:val="single" w:sz="8" w:space="0" w:color="auto"/>
              <w:right w:val="single" w:sz="8" w:space="0" w:color="auto"/>
            </w:tcBorders>
            <w:noWrap/>
            <w:vAlign w:val="center"/>
          </w:tcPr>
          <w:p w14:paraId="15463AAD" w14:textId="77777777" w:rsidR="00970EFB" w:rsidRPr="00E33CC4" w:rsidRDefault="00970EFB" w:rsidP="00E33CC4">
            <w:pPr>
              <w:spacing w:after="0" w:line="240" w:lineRule="auto"/>
              <w:rPr>
                <w:rFonts w:ascii="Cambria" w:eastAsia="Times New Roman" w:hAnsi="Cambria" w:cs="Calibri"/>
                <w:color w:val="000000"/>
                <w:sz w:val="18"/>
              </w:rPr>
            </w:pPr>
          </w:p>
        </w:tc>
        <w:tc>
          <w:tcPr>
            <w:tcW w:w="475" w:type="dxa"/>
            <w:tcBorders>
              <w:top w:val="dotted" w:sz="4" w:space="0" w:color="auto"/>
              <w:left w:val="nil"/>
              <w:bottom w:val="single" w:sz="8" w:space="0" w:color="auto"/>
              <w:right w:val="dotted" w:sz="4" w:space="0" w:color="auto"/>
            </w:tcBorders>
            <w:noWrap/>
            <w:vAlign w:val="center"/>
          </w:tcPr>
          <w:p w14:paraId="4245C5F4" w14:textId="77777777" w:rsidR="00970EFB" w:rsidRPr="00E33CC4" w:rsidRDefault="00970EFB" w:rsidP="00E33CC4">
            <w:pPr>
              <w:spacing w:after="0" w:line="240" w:lineRule="auto"/>
              <w:jc w:val="center"/>
              <w:rPr>
                <w:rFonts w:ascii="Cambria" w:eastAsia="Times New Roman" w:hAnsi="Cambria" w:cs="Calibri"/>
                <w:color w:val="000000"/>
                <w:sz w:val="18"/>
              </w:rPr>
            </w:pPr>
            <w:r w:rsidRPr="00E33CC4">
              <w:rPr>
                <w:rFonts w:ascii="Cambria" w:hAnsi="Cambria"/>
                <w:color w:val="000000"/>
                <w:sz w:val="18"/>
              </w:rPr>
              <w:t>l)</w:t>
            </w:r>
          </w:p>
        </w:tc>
        <w:tc>
          <w:tcPr>
            <w:tcW w:w="1231" w:type="dxa"/>
            <w:tcBorders>
              <w:top w:val="dotted" w:sz="4" w:space="0" w:color="auto"/>
              <w:left w:val="nil"/>
              <w:bottom w:val="single" w:sz="8" w:space="0" w:color="auto"/>
              <w:right w:val="single" w:sz="8" w:space="0" w:color="auto"/>
            </w:tcBorders>
            <w:noWrap/>
            <w:vAlign w:val="center"/>
          </w:tcPr>
          <w:p w14:paraId="09C809F2" w14:textId="77777777" w:rsidR="00970EFB" w:rsidRPr="00E33CC4" w:rsidRDefault="00970EFB" w:rsidP="00E33CC4">
            <w:pPr>
              <w:spacing w:after="0" w:line="240" w:lineRule="auto"/>
              <w:jc w:val="right"/>
              <w:rPr>
                <w:rFonts w:ascii="Cambria" w:eastAsia="Times New Roman" w:hAnsi="Cambria" w:cs="Calibri"/>
                <w:color w:val="000000"/>
                <w:sz w:val="18"/>
              </w:rPr>
            </w:pPr>
            <w:r w:rsidRPr="00E33CC4">
              <w:rPr>
                <w:rFonts w:ascii="Cambria" w:hAnsi="Cambria"/>
                <w:color w:val="000000"/>
                <w:sz w:val="18"/>
              </w:rPr>
              <w:t>€4,101.67</w:t>
            </w:r>
          </w:p>
        </w:tc>
        <w:tc>
          <w:tcPr>
            <w:tcW w:w="411" w:type="dxa"/>
            <w:vMerge/>
            <w:tcBorders>
              <w:left w:val="nil"/>
              <w:bottom w:val="single" w:sz="8" w:space="0" w:color="auto"/>
              <w:right w:val="dotted" w:sz="4" w:space="0" w:color="auto"/>
            </w:tcBorders>
            <w:noWrap/>
            <w:vAlign w:val="center"/>
          </w:tcPr>
          <w:p w14:paraId="5A323665"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143" w:type="dxa"/>
            <w:vMerge/>
            <w:tcBorders>
              <w:left w:val="nil"/>
              <w:bottom w:val="single" w:sz="8" w:space="0" w:color="auto"/>
              <w:right w:val="single" w:sz="8" w:space="0" w:color="auto"/>
            </w:tcBorders>
            <w:noWrap/>
            <w:vAlign w:val="center"/>
          </w:tcPr>
          <w:p w14:paraId="535DA458"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377" w:type="dxa"/>
            <w:vMerge/>
            <w:tcBorders>
              <w:left w:val="nil"/>
              <w:bottom w:val="single" w:sz="8" w:space="0" w:color="auto"/>
              <w:right w:val="dotted" w:sz="4" w:space="0" w:color="auto"/>
            </w:tcBorders>
            <w:noWrap/>
            <w:vAlign w:val="center"/>
          </w:tcPr>
          <w:p w14:paraId="4A76B423"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31" w:type="dxa"/>
            <w:vMerge/>
            <w:tcBorders>
              <w:left w:val="nil"/>
              <w:bottom w:val="single" w:sz="8" w:space="0" w:color="auto"/>
              <w:right w:val="single" w:sz="8" w:space="0" w:color="auto"/>
            </w:tcBorders>
            <w:noWrap/>
            <w:vAlign w:val="center"/>
          </w:tcPr>
          <w:p w14:paraId="46E97955"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bottom w:val="single" w:sz="8" w:space="0" w:color="auto"/>
              <w:right w:val="dotted" w:sz="4" w:space="0" w:color="auto"/>
            </w:tcBorders>
            <w:noWrap/>
            <w:vAlign w:val="center"/>
          </w:tcPr>
          <w:p w14:paraId="05E08AD3"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353" w:type="dxa"/>
            <w:vMerge/>
            <w:tcBorders>
              <w:left w:val="nil"/>
              <w:bottom w:val="single" w:sz="8" w:space="0" w:color="auto"/>
              <w:right w:val="single" w:sz="8" w:space="0" w:color="auto"/>
            </w:tcBorders>
            <w:noWrap/>
            <w:vAlign w:val="center"/>
          </w:tcPr>
          <w:p w14:paraId="123A6512" w14:textId="77777777" w:rsidR="00970EFB" w:rsidRPr="00E33CC4" w:rsidDel="00B3099B" w:rsidRDefault="00970EFB" w:rsidP="00E33CC4">
            <w:pPr>
              <w:spacing w:after="0" w:line="240" w:lineRule="auto"/>
              <w:jc w:val="right"/>
              <w:rPr>
                <w:rFonts w:ascii="Cambria" w:eastAsia="Times New Roman" w:hAnsi="Cambria" w:cs="Calibri"/>
                <w:color w:val="000000"/>
                <w:sz w:val="18"/>
              </w:rPr>
            </w:pPr>
          </w:p>
        </w:tc>
        <w:tc>
          <w:tcPr>
            <w:tcW w:w="426" w:type="dxa"/>
            <w:vMerge/>
            <w:tcBorders>
              <w:left w:val="nil"/>
              <w:bottom w:val="single" w:sz="8" w:space="0" w:color="auto"/>
              <w:right w:val="dotted" w:sz="4" w:space="0" w:color="auto"/>
            </w:tcBorders>
            <w:noWrap/>
            <w:vAlign w:val="center"/>
          </w:tcPr>
          <w:p w14:paraId="654421A7" w14:textId="77777777" w:rsidR="00970EFB" w:rsidRPr="00E33CC4" w:rsidDel="00B3099B" w:rsidRDefault="00970EFB" w:rsidP="00E33CC4">
            <w:pPr>
              <w:spacing w:after="0" w:line="240" w:lineRule="auto"/>
              <w:jc w:val="center"/>
              <w:rPr>
                <w:rFonts w:ascii="Cambria" w:eastAsia="Times New Roman" w:hAnsi="Cambria" w:cs="Calibri"/>
                <w:color w:val="000000"/>
                <w:sz w:val="18"/>
              </w:rPr>
            </w:pPr>
          </w:p>
        </w:tc>
        <w:tc>
          <w:tcPr>
            <w:tcW w:w="1264" w:type="dxa"/>
            <w:vMerge/>
            <w:tcBorders>
              <w:left w:val="nil"/>
              <w:bottom w:val="single" w:sz="8" w:space="0" w:color="auto"/>
              <w:right w:val="nil"/>
            </w:tcBorders>
            <w:noWrap/>
            <w:vAlign w:val="center"/>
          </w:tcPr>
          <w:p w14:paraId="01CBF3C4" w14:textId="77777777" w:rsidR="00970EFB" w:rsidRPr="00E33CC4" w:rsidDel="00B3099B" w:rsidRDefault="00970EFB" w:rsidP="00E33CC4">
            <w:pPr>
              <w:spacing w:after="0" w:line="240" w:lineRule="auto"/>
              <w:jc w:val="right"/>
              <w:rPr>
                <w:rFonts w:ascii="Cambria" w:eastAsia="Times New Roman" w:hAnsi="Cambria" w:cs="Calibri"/>
                <w:color w:val="000000"/>
                <w:sz w:val="18"/>
                <w:szCs w:val="18"/>
              </w:rPr>
            </w:pPr>
          </w:p>
        </w:tc>
      </w:tr>
      <w:tr w:rsidR="00970EFB" w:rsidRPr="00E33CC4" w14:paraId="2A7D0EE6" w14:textId="77777777" w:rsidTr="00055D05">
        <w:trPr>
          <w:trHeight w:val="300"/>
          <w:jc w:val="center"/>
        </w:trPr>
        <w:tc>
          <w:tcPr>
            <w:tcW w:w="1317" w:type="dxa"/>
            <w:tcBorders>
              <w:top w:val="single" w:sz="8" w:space="0" w:color="auto"/>
              <w:left w:val="nil"/>
              <w:bottom w:val="single" w:sz="8" w:space="0" w:color="auto"/>
              <w:right w:val="single" w:sz="8" w:space="0" w:color="auto"/>
            </w:tcBorders>
            <w:noWrap/>
            <w:vAlign w:val="center"/>
            <w:hideMark/>
          </w:tcPr>
          <w:p w14:paraId="7F1D4B78" w14:textId="77777777" w:rsidR="00970EFB" w:rsidRPr="00E33CC4" w:rsidRDefault="00970EFB" w:rsidP="00E33CC4">
            <w:pPr>
              <w:spacing w:after="0" w:line="240" w:lineRule="auto"/>
              <w:jc w:val="center"/>
              <w:rPr>
                <w:rFonts w:ascii="Cambria" w:eastAsia="Times New Roman" w:hAnsi="Cambria" w:cs="Calibri"/>
                <w:b/>
                <w:bCs/>
                <w:color w:val="000000"/>
                <w:sz w:val="18"/>
                <w:szCs w:val="18"/>
              </w:rPr>
            </w:pPr>
            <w:r w:rsidRPr="00E33CC4">
              <w:rPr>
                <w:rFonts w:ascii="Cambria" w:hAnsi="Cambria"/>
                <w:b/>
                <w:color w:val="000000"/>
                <w:sz w:val="18"/>
              </w:rPr>
              <w:t>Total</w:t>
            </w:r>
          </w:p>
        </w:tc>
        <w:tc>
          <w:tcPr>
            <w:tcW w:w="1706" w:type="dxa"/>
            <w:gridSpan w:val="2"/>
            <w:tcBorders>
              <w:top w:val="single" w:sz="8" w:space="0" w:color="auto"/>
              <w:left w:val="nil"/>
              <w:bottom w:val="single" w:sz="8" w:space="0" w:color="auto"/>
              <w:right w:val="single" w:sz="8" w:space="0" w:color="auto"/>
            </w:tcBorders>
            <w:noWrap/>
            <w:vAlign w:val="center"/>
            <w:hideMark/>
          </w:tcPr>
          <w:p w14:paraId="21E5425B" w14:textId="2F77F918" w:rsidR="00970EFB" w:rsidRPr="00E33CC4" w:rsidRDefault="00585C39" w:rsidP="00E33CC4">
            <w:pPr>
              <w:spacing w:after="0" w:line="240" w:lineRule="auto"/>
              <w:jc w:val="right"/>
              <w:rPr>
                <w:rFonts w:ascii="Cambria" w:eastAsia="Times New Roman" w:hAnsi="Cambria" w:cs="Calibri"/>
                <w:b/>
                <w:bCs/>
                <w:color w:val="000000"/>
                <w:sz w:val="18"/>
                <w:szCs w:val="18"/>
              </w:rPr>
            </w:pPr>
            <w:r w:rsidRPr="00E33CC4">
              <w:rPr>
                <w:rFonts w:ascii="Cambria" w:hAnsi="Cambria"/>
                <w:b/>
                <w:color w:val="000000"/>
                <w:sz w:val="18"/>
              </w:rPr>
              <w:t>€244,832.98</w:t>
            </w:r>
          </w:p>
        </w:tc>
        <w:tc>
          <w:tcPr>
            <w:tcW w:w="1554" w:type="dxa"/>
            <w:gridSpan w:val="2"/>
            <w:tcBorders>
              <w:top w:val="single" w:sz="8" w:space="0" w:color="auto"/>
              <w:left w:val="single" w:sz="8" w:space="0" w:color="auto"/>
              <w:bottom w:val="single" w:sz="8" w:space="0" w:color="auto"/>
              <w:right w:val="single" w:sz="8" w:space="0" w:color="auto"/>
            </w:tcBorders>
            <w:noWrap/>
            <w:vAlign w:val="center"/>
          </w:tcPr>
          <w:p w14:paraId="732F6CDB" w14:textId="2C3F1760" w:rsidR="00970EFB" w:rsidRPr="00E33CC4" w:rsidRDefault="00585C39" w:rsidP="00E33CC4">
            <w:pPr>
              <w:spacing w:after="0" w:line="240" w:lineRule="auto"/>
              <w:jc w:val="right"/>
              <w:rPr>
                <w:rFonts w:ascii="Cambria" w:eastAsia="Times New Roman" w:hAnsi="Cambria" w:cs="Calibri"/>
                <w:b/>
                <w:bCs/>
                <w:color w:val="000000"/>
                <w:sz w:val="18"/>
                <w:szCs w:val="18"/>
              </w:rPr>
            </w:pPr>
            <w:r w:rsidRPr="00E33CC4">
              <w:rPr>
                <w:rFonts w:ascii="Cambria" w:hAnsi="Cambria"/>
                <w:b/>
                <w:color w:val="000000"/>
                <w:sz w:val="18"/>
              </w:rPr>
              <w:t>€12,682.32</w:t>
            </w:r>
          </w:p>
        </w:tc>
        <w:tc>
          <w:tcPr>
            <w:tcW w:w="1608" w:type="dxa"/>
            <w:gridSpan w:val="2"/>
            <w:tcBorders>
              <w:top w:val="single" w:sz="8" w:space="0" w:color="auto"/>
              <w:left w:val="single" w:sz="8" w:space="0" w:color="auto"/>
              <w:bottom w:val="single" w:sz="8" w:space="0" w:color="auto"/>
              <w:right w:val="single" w:sz="8" w:space="0" w:color="auto"/>
            </w:tcBorders>
            <w:noWrap/>
            <w:vAlign w:val="center"/>
          </w:tcPr>
          <w:p w14:paraId="7D6FF88E" w14:textId="6EF6CDE9" w:rsidR="00970EFB" w:rsidRPr="00E33CC4" w:rsidRDefault="00585C39" w:rsidP="00E33CC4">
            <w:pPr>
              <w:spacing w:after="0" w:line="240" w:lineRule="auto"/>
              <w:jc w:val="right"/>
              <w:rPr>
                <w:rFonts w:ascii="Cambria" w:eastAsia="Times New Roman" w:hAnsi="Cambria" w:cs="Calibri"/>
                <w:b/>
                <w:bCs/>
                <w:color w:val="000000"/>
                <w:sz w:val="18"/>
                <w:szCs w:val="18"/>
              </w:rPr>
            </w:pPr>
            <w:r w:rsidRPr="00E33CC4">
              <w:rPr>
                <w:rFonts w:ascii="Cambria" w:hAnsi="Cambria"/>
                <w:b/>
                <w:color w:val="000000"/>
                <w:sz w:val="18"/>
              </w:rPr>
              <w:t>€25,897.62</w:t>
            </w:r>
          </w:p>
        </w:tc>
        <w:tc>
          <w:tcPr>
            <w:tcW w:w="1764" w:type="dxa"/>
            <w:gridSpan w:val="2"/>
            <w:tcBorders>
              <w:top w:val="single" w:sz="8" w:space="0" w:color="auto"/>
              <w:left w:val="single" w:sz="8" w:space="0" w:color="auto"/>
              <w:bottom w:val="single" w:sz="8" w:space="0" w:color="auto"/>
              <w:right w:val="single" w:sz="8" w:space="0" w:color="auto"/>
            </w:tcBorders>
            <w:noWrap/>
            <w:vAlign w:val="center"/>
          </w:tcPr>
          <w:p w14:paraId="4B9F481C" w14:textId="04CF64C5" w:rsidR="00970EFB" w:rsidRPr="00E33CC4" w:rsidRDefault="00585C39" w:rsidP="00E33CC4">
            <w:pPr>
              <w:spacing w:after="0" w:line="240" w:lineRule="auto"/>
              <w:jc w:val="right"/>
              <w:rPr>
                <w:rFonts w:ascii="Cambria" w:eastAsia="Times New Roman" w:hAnsi="Cambria" w:cs="Calibri"/>
                <w:b/>
                <w:bCs/>
                <w:color w:val="000000"/>
                <w:sz w:val="18"/>
                <w:szCs w:val="18"/>
              </w:rPr>
            </w:pPr>
            <w:r w:rsidRPr="00E33CC4">
              <w:rPr>
                <w:rFonts w:ascii="Cambria" w:hAnsi="Cambria"/>
                <w:b/>
                <w:color w:val="000000"/>
                <w:sz w:val="18"/>
              </w:rPr>
              <w:t>€10,929.88</w:t>
            </w:r>
          </w:p>
        </w:tc>
        <w:tc>
          <w:tcPr>
            <w:tcW w:w="1690" w:type="dxa"/>
            <w:gridSpan w:val="2"/>
            <w:tcBorders>
              <w:top w:val="single" w:sz="8" w:space="0" w:color="auto"/>
              <w:left w:val="single" w:sz="8" w:space="0" w:color="auto"/>
              <w:bottom w:val="single" w:sz="8" w:space="0" w:color="auto"/>
            </w:tcBorders>
            <w:noWrap/>
            <w:vAlign w:val="center"/>
          </w:tcPr>
          <w:p w14:paraId="681BE6F1" w14:textId="77777777" w:rsidR="002A771B" w:rsidRPr="00E33CC4" w:rsidRDefault="002A771B" w:rsidP="00E33CC4">
            <w:pPr>
              <w:spacing w:after="0" w:line="240" w:lineRule="auto"/>
              <w:jc w:val="right"/>
              <w:rPr>
                <w:rFonts w:ascii="Cambria" w:eastAsia="Times New Roman" w:hAnsi="Cambria" w:cs="Calibri"/>
                <w:b/>
                <w:bCs/>
                <w:color w:val="000000"/>
                <w:sz w:val="18"/>
                <w:szCs w:val="18"/>
              </w:rPr>
            </w:pPr>
            <w:r w:rsidRPr="00E33CC4">
              <w:rPr>
                <w:rFonts w:ascii="Cambria" w:hAnsi="Cambria"/>
                <w:b/>
                <w:color w:val="000000"/>
                <w:sz w:val="18"/>
              </w:rPr>
              <w:t>€21,526.75</w:t>
            </w:r>
          </w:p>
          <w:p w14:paraId="389E42FF" w14:textId="08D5D1A6" w:rsidR="00970EFB" w:rsidRPr="00E33CC4" w:rsidRDefault="00E75E8D" w:rsidP="00E33CC4">
            <w:pPr>
              <w:spacing w:after="0" w:line="240" w:lineRule="auto"/>
              <w:jc w:val="right"/>
              <w:rPr>
                <w:rFonts w:ascii="Cambria" w:eastAsia="Times New Roman" w:hAnsi="Cambria" w:cs="Calibri"/>
                <w:b/>
                <w:bCs/>
                <w:color w:val="000000"/>
                <w:sz w:val="18"/>
                <w:szCs w:val="18"/>
              </w:rPr>
            </w:pPr>
            <w:r w:rsidRPr="00E33CC4">
              <w:rPr>
                <w:rFonts w:ascii="Cambria" w:hAnsi="Cambria"/>
                <w:b/>
                <w:color w:val="EE0000"/>
                <w:sz w:val="18"/>
              </w:rPr>
              <w:t>€84,759.74</w:t>
            </w:r>
          </w:p>
        </w:tc>
      </w:tr>
    </w:tbl>
    <w:p w14:paraId="11B91FF5" w14:textId="77777777" w:rsidR="00970EFB" w:rsidRPr="00E33CC4" w:rsidRDefault="00970EFB" w:rsidP="00E33CC4">
      <w:pPr>
        <w:autoSpaceDE w:val="0"/>
        <w:autoSpaceDN w:val="0"/>
        <w:adjustRightInd w:val="0"/>
        <w:spacing w:after="0" w:line="240" w:lineRule="auto"/>
        <w:jc w:val="both"/>
        <w:rPr>
          <w:rFonts w:asciiTheme="majorHAnsi" w:hAnsiTheme="majorHAnsi"/>
          <w:sz w:val="20"/>
        </w:rPr>
      </w:pPr>
    </w:p>
    <w:p w14:paraId="208A0C7B" w14:textId="77777777" w:rsidR="002A771B" w:rsidRPr="00E33CC4" w:rsidRDefault="002A771B" w:rsidP="00E33CC4">
      <w:pPr>
        <w:pStyle w:val="ListParagraph"/>
        <w:numPr>
          <w:ilvl w:val="0"/>
          <w:numId w:val="11"/>
        </w:numPr>
        <w:spacing w:after="0" w:line="240" w:lineRule="auto"/>
        <w:rPr>
          <w:rFonts w:ascii="Cambria" w:hAnsi="Cambria"/>
          <w:i/>
          <w:iCs/>
          <w:sz w:val="18"/>
          <w:szCs w:val="18"/>
        </w:rPr>
      </w:pPr>
      <w:r w:rsidRPr="00E33CC4">
        <w:rPr>
          <w:rFonts w:ascii="Cambria" w:hAnsi="Cambria"/>
          <w:i/>
          <w:sz w:val="18"/>
        </w:rPr>
        <w:t>Meeting of the Working Group on Stock Assessment Methods (WGSAM)</w:t>
      </w:r>
    </w:p>
    <w:p w14:paraId="6B0D9DC7" w14:textId="0A7A76CF" w:rsidR="002A771B" w:rsidRPr="00E33CC4" w:rsidRDefault="002A771B" w:rsidP="00E33CC4">
      <w:pPr>
        <w:pStyle w:val="ListParagraph"/>
        <w:numPr>
          <w:ilvl w:val="0"/>
          <w:numId w:val="11"/>
        </w:numPr>
        <w:spacing w:after="0" w:line="240" w:lineRule="auto"/>
        <w:rPr>
          <w:rFonts w:ascii="Cambria" w:hAnsi="Cambria"/>
          <w:i/>
          <w:iCs/>
          <w:sz w:val="18"/>
          <w:szCs w:val="18"/>
        </w:rPr>
      </w:pPr>
      <w:r w:rsidRPr="00E33CC4">
        <w:rPr>
          <w:rFonts w:ascii="Cambria" w:hAnsi="Cambria"/>
          <w:i/>
          <w:sz w:val="18"/>
        </w:rPr>
        <w:t>Shortfin Mako Shark Data Preparatory Meeting</w:t>
      </w:r>
    </w:p>
    <w:p w14:paraId="046AC5FF" w14:textId="257D8E28" w:rsidR="002A771B" w:rsidRPr="00E33CC4" w:rsidRDefault="007579E7" w:rsidP="00E33CC4">
      <w:pPr>
        <w:pStyle w:val="ListParagraph"/>
        <w:numPr>
          <w:ilvl w:val="0"/>
          <w:numId w:val="11"/>
        </w:numPr>
        <w:spacing w:after="0" w:line="240" w:lineRule="auto"/>
        <w:rPr>
          <w:rFonts w:ascii="Cambria" w:hAnsi="Cambria"/>
          <w:i/>
          <w:iCs/>
          <w:sz w:val="18"/>
          <w:szCs w:val="18"/>
        </w:rPr>
      </w:pPr>
      <w:r w:rsidRPr="00E33CC4">
        <w:rPr>
          <w:rFonts w:ascii="Cambria" w:hAnsi="Cambria"/>
          <w:i/>
          <w:sz w:val="18"/>
        </w:rPr>
        <w:t>Whit</w:t>
      </w:r>
      <w:r w:rsidR="002A771B" w:rsidRPr="00E33CC4">
        <w:rPr>
          <w:rFonts w:ascii="Cambria" w:hAnsi="Cambria"/>
          <w:i/>
          <w:sz w:val="18"/>
        </w:rPr>
        <w:t>e Marlin Data Preparatory Meeting</w:t>
      </w:r>
    </w:p>
    <w:p w14:paraId="0F3A6DEE" w14:textId="77777777" w:rsidR="002A771B" w:rsidRPr="00E33CC4" w:rsidRDefault="002A771B" w:rsidP="00E33CC4">
      <w:pPr>
        <w:pStyle w:val="ListParagraph"/>
        <w:numPr>
          <w:ilvl w:val="0"/>
          <w:numId w:val="11"/>
        </w:numPr>
        <w:spacing w:after="0" w:line="240" w:lineRule="auto"/>
        <w:rPr>
          <w:rFonts w:ascii="Cambria" w:hAnsi="Cambria"/>
          <w:i/>
          <w:iCs/>
          <w:sz w:val="18"/>
          <w:szCs w:val="18"/>
        </w:rPr>
      </w:pPr>
      <w:r w:rsidRPr="00E33CC4">
        <w:rPr>
          <w:rFonts w:ascii="Cambria" w:hAnsi="Cambria"/>
          <w:i/>
          <w:sz w:val="18"/>
        </w:rPr>
        <w:t>Intersessional Meeting of the Bluefin Tuna Species Group </w:t>
      </w:r>
    </w:p>
    <w:p w14:paraId="4F97EFF8" w14:textId="3076B5F2" w:rsidR="002A771B" w:rsidRPr="00E33CC4" w:rsidRDefault="002A771B" w:rsidP="00E33CC4">
      <w:pPr>
        <w:pStyle w:val="ListParagraph"/>
        <w:numPr>
          <w:ilvl w:val="0"/>
          <w:numId w:val="11"/>
        </w:numPr>
        <w:spacing w:after="0" w:line="240" w:lineRule="auto"/>
        <w:rPr>
          <w:rFonts w:ascii="Cambria" w:hAnsi="Cambria"/>
          <w:i/>
          <w:iCs/>
          <w:sz w:val="18"/>
          <w:szCs w:val="18"/>
        </w:rPr>
      </w:pPr>
      <w:r w:rsidRPr="00E33CC4">
        <w:rPr>
          <w:rFonts w:ascii="Cambria" w:hAnsi="Cambria"/>
          <w:i/>
          <w:sz w:val="18"/>
        </w:rPr>
        <w:t>Bigeye Tuna Data Preparatory Meeting</w:t>
      </w:r>
    </w:p>
    <w:p w14:paraId="12DDD2E4" w14:textId="77777777" w:rsidR="002A771B" w:rsidRPr="00E33CC4" w:rsidRDefault="002A771B" w:rsidP="00E33CC4">
      <w:pPr>
        <w:pStyle w:val="ListParagraph"/>
        <w:numPr>
          <w:ilvl w:val="0"/>
          <w:numId w:val="11"/>
        </w:numPr>
        <w:spacing w:after="0" w:line="240" w:lineRule="auto"/>
        <w:rPr>
          <w:rFonts w:ascii="Cambria" w:hAnsi="Cambria"/>
          <w:i/>
          <w:iCs/>
          <w:sz w:val="18"/>
          <w:szCs w:val="18"/>
        </w:rPr>
      </w:pPr>
      <w:r w:rsidRPr="00E33CC4">
        <w:rPr>
          <w:rFonts w:ascii="Cambria" w:hAnsi="Cambria"/>
          <w:i/>
          <w:sz w:val="18"/>
        </w:rPr>
        <w:t>Meeting of the Subcommittee on Ecosystems and Bycatch</w:t>
      </w:r>
    </w:p>
    <w:p w14:paraId="62F0277A" w14:textId="77777777" w:rsidR="002A771B" w:rsidRPr="00E33CC4" w:rsidRDefault="002A771B" w:rsidP="00E33CC4">
      <w:pPr>
        <w:pStyle w:val="ListParagraph"/>
        <w:numPr>
          <w:ilvl w:val="0"/>
          <w:numId w:val="11"/>
        </w:numPr>
        <w:spacing w:after="0" w:line="240" w:lineRule="auto"/>
        <w:rPr>
          <w:rFonts w:ascii="Cambria" w:hAnsi="Cambria"/>
          <w:i/>
          <w:iCs/>
          <w:sz w:val="18"/>
          <w:szCs w:val="18"/>
        </w:rPr>
      </w:pPr>
      <w:r w:rsidRPr="00E33CC4">
        <w:rPr>
          <w:rFonts w:ascii="Cambria" w:hAnsi="Cambria"/>
          <w:i/>
          <w:sz w:val="18"/>
        </w:rPr>
        <w:t>Intersessional Meeting of the Bluefin Tuna Species Group</w:t>
      </w:r>
    </w:p>
    <w:p w14:paraId="32276B6E" w14:textId="77777777" w:rsidR="002A771B" w:rsidRPr="00E33CC4" w:rsidRDefault="002A771B" w:rsidP="00E33CC4">
      <w:pPr>
        <w:pStyle w:val="ListParagraph"/>
        <w:numPr>
          <w:ilvl w:val="0"/>
          <w:numId w:val="11"/>
        </w:numPr>
        <w:spacing w:after="0" w:line="240" w:lineRule="auto"/>
        <w:rPr>
          <w:rFonts w:ascii="Cambria" w:hAnsi="Cambria"/>
          <w:i/>
          <w:iCs/>
          <w:sz w:val="18"/>
          <w:szCs w:val="18"/>
        </w:rPr>
      </w:pPr>
      <w:r w:rsidRPr="00E33CC4">
        <w:rPr>
          <w:rFonts w:ascii="Cambria" w:hAnsi="Cambria"/>
          <w:i/>
          <w:sz w:val="18"/>
        </w:rPr>
        <w:t>Shortfin Mako Shark Data Preparatory Meeting</w:t>
      </w:r>
    </w:p>
    <w:p w14:paraId="2D513B52" w14:textId="3C9378EB" w:rsidR="002A771B" w:rsidRPr="00E33CC4" w:rsidRDefault="007579E7" w:rsidP="00E33CC4">
      <w:pPr>
        <w:pStyle w:val="ListParagraph"/>
        <w:numPr>
          <w:ilvl w:val="0"/>
          <w:numId w:val="11"/>
        </w:numPr>
        <w:spacing w:after="0" w:line="240" w:lineRule="auto"/>
        <w:rPr>
          <w:rFonts w:ascii="Cambria" w:hAnsi="Cambria"/>
          <w:i/>
          <w:iCs/>
          <w:sz w:val="18"/>
          <w:szCs w:val="18"/>
        </w:rPr>
      </w:pPr>
      <w:r w:rsidRPr="00E33CC4">
        <w:rPr>
          <w:rFonts w:ascii="Cambria" w:hAnsi="Cambria"/>
          <w:i/>
          <w:sz w:val="18"/>
        </w:rPr>
        <w:t>White</w:t>
      </w:r>
      <w:r w:rsidR="002A771B" w:rsidRPr="00E33CC4">
        <w:rPr>
          <w:rFonts w:ascii="Cambria" w:hAnsi="Cambria"/>
          <w:i/>
          <w:sz w:val="18"/>
        </w:rPr>
        <w:t xml:space="preserve"> Marlin Stock Assessment Meeting</w:t>
      </w:r>
    </w:p>
    <w:p w14:paraId="205D82E5" w14:textId="77777777" w:rsidR="002A771B" w:rsidRPr="00E33CC4" w:rsidRDefault="002A771B" w:rsidP="00E33CC4">
      <w:pPr>
        <w:pStyle w:val="ListParagraph"/>
        <w:numPr>
          <w:ilvl w:val="0"/>
          <w:numId w:val="11"/>
        </w:numPr>
        <w:spacing w:after="0" w:line="240" w:lineRule="auto"/>
        <w:rPr>
          <w:rFonts w:ascii="Cambria" w:hAnsi="Cambria"/>
          <w:i/>
          <w:iCs/>
          <w:sz w:val="18"/>
          <w:szCs w:val="18"/>
        </w:rPr>
      </w:pPr>
      <w:r w:rsidRPr="00E33CC4">
        <w:rPr>
          <w:rFonts w:ascii="Cambria" w:hAnsi="Cambria"/>
          <w:i/>
          <w:sz w:val="18"/>
        </w:rPr>
        <w:t>SCRS Science Strategic Plan Meeting </w:t>
      </w:r>
    </w:p>
    <w:p w14:paraId="3E735752" w14:textId="77777777" w:rsidR="002A771B" w:rsidRPr="00E33CC4" w:rsidRDefault="002A771B" w:rsidP="00E33CC4">
      <w:pPr>
        <w:pStyle w:val="ListParagraph"/>
        <w:numPr>
          <w:ilvl w:val="0"/>
          <w:numId w:val="11"/>
        </w:numPr>
        <w:spacing w:after="0" w:line="240" w:lineRule="auto"/>
        <w:rPr>
          <w:rFonts w:ascii="Cambria" w:hAnsi="Cambria"/>
          <w:i/>
          <w:iCs/>
          <w:sz w:val="18"/>
          <w:szCs w:val="18"/>
        </w:rPr>
      </w:pPr>
      <w:r w:rsidRPr="00E33CC4">
        <w:rPr>
          <w:rFonts w:ascii="Cambria" w:hAnsi="Cambria"/>
          <w:i/>
          <w:sz w:val="18"/>
        </w:rPr>
        <w:t>Bigeye Tuna Stock Assessment Meeting</w:t>
      </w:r>
    </w:p>
    <w:p w14:paraId="69E9AD3E" w14:textId="77777777" w:rsidR="002A771B" w:rsidRPr="00E33CC4" w:rsidRDefault="002A771B" w:rsidP="00E33CC4">
      <w:pPr>
        <w:pStyle w:val="ListParagraph"/>
        <w:numPr>
          <w:ilvl w:val="0"/>
          <w:numId w:val="11"/>
        </w:numPr>
        <w:spacing w:after="0" w:line="240" w:lineRule="auto"/>
        <w:rPr>
          <w:rFonts w:ascii="Cambria" w:hAnsi="Cambria"/>
          <w:i/>
          <w:iCs/>
          <w:sz w:val="18"/>
          <w:szCs w:val="18"/>
        </w:rPr>
      </w:pPr>
      <w:r w:rsidRPr="00E33CC4">
        <w:rPr>
          <w:rFonts w:ascii="Cambria" w:hAnsi="Cambria"/>
          <w:i/>
          <w:sz w:val="18"/>
        </w:rPr>
        <w:t>SCRS species groups meetings and/or SCRS plenary meeting</w:t>
      </w:r>
    </w:p>
    <w:p w14:paraId="44A8162A" w14:textId="77777777" w:rsidR="002A771B" w:rsidRPr="00E33CC4" w:rsidRDefault="002A771B" w:rsidP="00E33CC4">
      <w:pPr>
        <w:autoSpaceDE w:val="0"/>
        <w:autoSpaceDN w:val="0"/>
        <w:adjustRightInd w:val="0"/>
        <w:spacing w:after="0" w:line="240" w:lineRule="auto"/>
        <w:ind w:left="360"/>
        <w:jc w:val="both"/>
        <w:rPr>
          <w:rFonts w:ascii="Cambria" w:hAnsi="Cambria"/>
          <w:i/>
          <w:iCs/>
          <w:sz w:val="18"/>
          <w:szCs w:val="18"/>
        </w:rPr>
      </w:pPr>
      <w:r w:rsidRPr="00E33CC4">
        <w:rPr>
          <w:rFonts w:ascii="Cambria" w:hAnsi="Cambria"/>
          <w:i/>
          <w:sz w:val="18"/>
        </w:rPr>
        <w:t>C: Cancelled trip</w:t>
      </w:r>
    </w:p>
    <w:p w14:paraId="2FA90502" w14:textId="2F1614BA" w:rsidR="00356D0F" w:rsidRPr="00C52DB5" w:rsidRDefault="004B1FB9" w:rsidP="00E33CC4">
      <w:pPr>
        <w:autoSpaceDE w:val="0"/>
        <w:autoSpaceDN w:val="0"/>
        <w:adjustRightInd w:val="0"/>
        <w:spacing w:after="0" w:line="240" w:lineRule="auto"/>
        <w:ind w:left="360"/>
        <w:jc w:val="both"/>
        <w:rPr>
          <w:rFonts w:ascii="Cambria" w:hAnsi="Cambria"/>
          <w:i/>
          <w:iCs/>
          <w:color w:val="EE0000"/>
          <w:sz w:val="18"/>
          <w:szCs w:val="18"/>
        </w:rPr>
      </w:pPr>
      <w:r w:rsidRPr="00E33CC4">
        <w:rPr>
          <w:rFonts w:ascii="Cambria" w:hAnsi="Cambria"/>
          <w:i/>
          <w:color w:val="EE0000"/>
          <w:sz w:val="18"/>
        </w:rPr>
        <w:t xml:space="preserve">Estimated pending costs </w:t>
      </w:r>
      <w:proofErr w:type="gramStart"/>
      <w:r w:rsidRPr="00E33CC4">
        <w:rPr>
          <w:rFonts w:ascii="Cambria" w:hAnsi="Cambria"/>
          <w:i/>
          <w:color w:val="EE0000"/>
          <w:sz w:val="18"/>
        </w:rPr>
        <w:t>at</w:t>
      </w:r>
      <w:proofErr w:type="gramEnd"/>
      <w:r w:rsidRPr="00E33CC4">
        <w:rPr>
          <w:rFonts w:ascii="Cambria" w:hAnsi="Cambria"/>
          <w:i/>
          <w:color w:val="EE0000"/>
          <w:sz w:val="18"/>
        </w:rPr>
        <w:t xml:space="preserve"> 27 October 2025.</w:t>
      </w:r>
    </w:p>
    <w:p w14:paraId="11EFB241" w14:textId="77777777" w:rsidR="002A771B" w:rsidRPr="00C52DB5" w:rsidRDefault="002A771B" w:rsidP="00E33CC4">
      <w:pPr>
        <w:autoSpaceDE w:val="0"/>
        <w:autoSpaceDN w:val="0"/>
        <w:adjustRightInd w:val="0"/>
        <w:spacing w:after="0" w:line="240" w:lineRule="auto"/>
        <w:jc w:val="both"/>
        <w:rPr>
          <w:rFonts w:asciiTheme="majorHAnsi" w:hAnsiTheme="majorHAnsi"/>
          <w:sz w:val="20"/>
        </w:rPr>
      </w:pPr>
    </w:p>
    <w:sectPr w:rsidR="002A771B" w:rsidRPr="00C52DB5" w:rsidSect="00C52DB5">
      <w:headerReference w:type="default" r:id="rId8"/>
      <w:footerReference w:type="default" r:id="rId9"/>
      <w:pgSz w:w="11906" w:h="16838" w:code="9"/>
      <w:pgMar w:top="1418" w:right="1418" w:bottom="1134"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7E78" w14:textId="77777777" w:rsidR="00EC0CFE" w:rsidRDefault="00EC0CFE" w:rsidP="007C09E8">
      <w:pPr>
        <w:spacing w:after="0" w:line="240" w:lineRule="auto"/>
      </w:pPr>
      <w:r>
        <w:separator/>
      </w:r>
    </w:p>
  </w:endnote>
  <w:endnote w:type="continuationSeparator" w:id="0">
    <w:p w14:paraId="175E8711" w14:textId="77777777" w:rsidR="00EC0CFE" w:rsidRDefault="00EC0CFE" w:rsidP="007C09E8">
      <w:pPr>
        <w:spacing w:after="0" w:line="240" w:lineRule="auto"/>
      </w:pPr>
      <w:r>
        <w:continuationSeparator/>
      </w:r>
    </w:p>
  </w:endnote>
  <w:endnote w:type="continuationNotice" w:id="1">
    <w:p w14:paraId="10CCC4BF" w14:textId="77777777" w:rsidR="00EC0CFE" w:rsidRDefault="00EC0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F50B" w14:textId="77777777" w:rsidR="00513A8F" w:rsidRPr="00A365DF" w:rsidRDefault="00E33CC4" w:rsidP="00513A8F">
    <w:pPr>
      <w:pStyle w:val="Footer"/>
      <w:jc w:val="center"/>
      <w:rPr>
        <w:rFonts w:ascii="Cambria" w:hAnsi="Cambria"/>
        <w:sz w:val="20"/>
        <w:szCs w:val="20"/>
      </w:rPr>
    </w:pPr>
    <w:sdt>
      <w:sdtPr>
        <w:id w:val="-1705238520"/>
        <w:docPartObj>
          <w:docPartGallery w:val="Page Numbers (Top of Page)"/>
          <w:docPartUnique/>
        </w:docPartObj>
      </w:sdtPr>
      <w:sdtEndPr>
        <w:rPr>
          <w:rFonts w:asciiTheme="majorHAnsi" w:hAnsiTheme="majorHAnsi"/>
          <w:sz w:val="20"/>
          <w:szCs w:val="20"/>
        </w:rPr>
      </w:sdtEndPr>
      <w:sdtContent>
        <w:r w:rsidR="00513A8F" w:rsidRPr="00A365DF">
          <w:rPr>
            <w:rFonts w:ascii="Cambria" w:hAnsi="Cambria"/>
            <w:sz w:val="20"/>
          </w:rPr>
          <w:fldChar w:fldCharType="begin"/>
        </w:r>
        <w:r w:rsidR="00513A8F" w:rsidRPr="00A365DF">
          <w:rPr>
            <w:rFonts w:ascii="Cambria" w:hAnsi="Cambria"/>
            <w:sz w:val="20"/>
          </w:rPr>
          <w:instrText xml:space="preserve"> PAGE </w:instrText>
        </w:r>
        <w:r w:rsidR="00513A8F" w:rsidRPr="00A365DF">
          <w:rPr>
            <w:rFonts w:ascii="Cambria" w:hAnsi="Cambria"/>
            <w:sz w:val="20"/>
          </w:rPr>
          <w:fldChar w:fldCharType="separate"/>
        </w:r>
        <w:r w:rsidR="00513A8F">
          <w:rPr>
            <w:rFonts w:ascii="Cambria" w:hAnsi="Cambria"/>
            <w:sz w:val="20"/>
          </w:rPr>
          <w:t>1</w:t>
        </w:r>
        <w:r w:rsidR="00513A8F" w:rsidRPr="00A365DF">
          <w:rPr>
            <w:rFonts w:ascii="Cambria" w:hAnsi="Cambria"/>
            <w:sz w:val="20"/>
          </w:rPr>
          <w:fldChar w:fldCharType="end"/>
        </w:r>
        <w:r w:rsidR="00513A8F">
          <w:rPr>
            <w:rFonts w:ascii="Cambria" w:hAnsi="Cambria"/>
            <w:sz w:val="20"/>
          </w:rPr>
          <w:t xml:space="preserve"> / </w:t>
        </w:r>
        <w:r w:rsidR="00513A8F" w:rsidRPr="00A365DF">
          <w:rPr>
            <w:rFonts w:ascii="Cambria" w:hAnsi="Cambria"/>
            <w:sz w:val="20"/>
          </w:rPr>
          <w:fldChar w:fldCharType="begin"/>
        </w:r>
        <w:r w:rsidR="00513A8F" w:rsidRPr="00A365DF">
          <w:rPr>
            <w:rFonts w:ascii="Cambria" w:hAnsi="Cambria"/>
            <w:sz w:val="20"/>
          </w:rPr>
          <w:instrText xml:space="preserve"> NUMPAGES </w:instrText>
        </w:r>
        <w:r w:rsidR="00513A8F" w:rsidRPr="00A365DF">
          <w:rPr>
            <w:rFonts w:ascii="Cambria" w:hAnsi="Cambria"/>
            <w:sz w:val="20"/>
          </w:rPr>
          <w:fldChar w:fldCharType="separate"/>
        </w:r>
        <w:r w:rsidR="00513A8F">
          <w:rPr>
            <w:rFonts w:ascii="Cambria" w:hAnsi="Cambria"/>
            <w:sz w:val="20"/>
          </w:rPr>
          <w:t>5</w:t>
        </w:r>
        <w:r w:rsidR="00513A8F" w:rsidRPr="00A365DF">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29EE" w14:textId="77777777" w:rsidR="00EC0CFE" w:rsidRDefault="00EC0CFE" w:rsidP="007C09E8">
      <w:pPr>
        <w:spacing w:after="0" w:line="240" w:lineRule="auto"/>
      </w:pPr>
      <w:r>
        <w:separator/>
      </w:r>
    </w:p>
  </w:footnote>
  <w:footnote w:type="continuationSeparator" w:id="0">
    <w:p w14:paraId="173FA0AA" w14:textId="77777777" w:rsidR="00EC0CFE" w:rsidRDefault="00EC0CFE" w:rsidP="007C09E8">
      <w:pPr>
        <w:spacing w:after="0" w:line="240" w:lineRule="auto"/>
      </w:pPr>
      <w:r>
        <w:continuationSeparator/>
      </w:r>
    </w:p>
  </w:footnote>
  <w:footnote w:type="continuationNotice" w:id="1">
    <w:p w14:paraId="3DA55DBC" w14:textId="77777777" w:rsidR="00EC0CFE" w:rsidRDefault="00EC0CFE">
      <w:pPr>
        <w:spacing w:after="0" w:line="240" w:lineRule="auto"/>
      </w:pPr>
    </w:p>
  </w:footnote>
  <w:footnote w:id="2">
    <w:p w14:paraId="5A1DD324" w14:textId="2F6B5DF4" w:rsidR="00C47765" w:rsidRPr="00CA364B" w:rsidRDefault="00C47765">
      <w:pPr>
        <w:pStyle w:val="FootnoteText"/>
        <w:rPr>
          <w:rFonts w:ascii="Cambria" w:hAnsi="Cambria" w:cs="Times New Roman"/>
          <w:sz w:val="18"/>
          <w:szCs w:val="18"/>
        </w:rPr>
      </w:pPr>
      <w:r>
        <w:rPr>
          <w:rStyle w:val="FootnoteReference"/>
          <w:rFonts w:ascii="Cambria" w:hAnsi="Cambria" w:cs="Times New Roman"/>
          <w:sz w:val="18"/>
          <w:szCs w:val="18"/>
        </w:rPr>
        <w:footnoteRef/>
      </w:r>
      <w:r>
        <w:rPr>
          <w:rFonts w:ascii="Cambria" w:hAnsi="Cambria"/>
          <w:sz w:val="18"/>
        </w:rPr>
        <w:t xml:space="preserve"> Data </w:t>
      </w:r>
      <w:proofErr w:type="gramStart"/>
      <w:r>
        <w:rPr>
          <w:rFonts w:ascii="Cambria" w:hAnsi="Cambria"/>
          <w:sz w:val="18"/>
        </w:rPr>
        <w:t>at</w:t>
      </w:r>
      <w:proofErr w:type="gramEnd"/>
      <w:r>
        <w:rPr>
          <w:rFonts w:ascii="Cambria" w:hAnsi="Cambria"/>
          <w:sz w:val="18"/>
        </w:rPr>
        <w:t xml:space="preserve"> 27 October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0777" w14:textId="2D588EAE" w:rsidR="00E75E8D" w:rsidRPr="00E75E8D" w:rsidRDefault="00E75E8D" w:rsidP="00E75E8D">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r>
      <w:rPr>
        <w:rFonts w:ascii="Cambria" w:hAnsi="Cambria"/>
        <w:b/>
        <w:sz w:val="20"/>
      </w:rPr>
      <w:t>STF_206/2025</w:t>
    </w:r>
  </w:p>
  <w:p w14:paraId="3D2869A6" w14:textId="1568504B" w:rsidR="00E75E8D" w:rsidRPr="00E75E8D" w:rsidRDefault="00E75E8D" w:rsidP="00E75E8D">
    <w:pPr>
      <w:tabs>
        <w:tab w:val="left" w:pos="7320"/>
      </w:tabs>
      <w:spacing w:after="0" w:line="240" w:lineRule="exact"/>
      <w:jc w:val="right"/>
      <w:rPr>
        <w:rFonts w:ascii="Times New Roman" w:eastAsia="Times New Roman" w:hAnsi="Times New Roman" w:cs="Times New Roman"/>
        <w:sz w:val="20"/>
        <w:szCs w:val="24"/>
      </w:rPr>
    </w:pPr>
    <w:r w:rsidRPr="00E75E8D">
      <w:rPr>
        <w:rFonts w:ascii="Cambria" w:eastAsia="Times New Roman" w:hAnsi="Cambria" w:cs="Times New Roman"/>
        <w:b/>
        <w:sz w:val="16"/>
      </w:rPr>
      <w:fldChar w:fldCharType="begin"/>
    </w:r>
    <w:r w:rsidRPr="00E75E8D">
      <w:rPr>
        <w:rFonts w:ascii="Cambria" w:eastAsia="Times New Roman" w:hAnsi="Cambria" w:cs="Times New Roman"/>
        <w:b/>
        <w:sz w:val="16"/>
      </w:rPr>
      <w:instrText xml:space="preserve"> TIME \@ "dd/MM/yyyy H:mm" </w:instrText>
    </w:r>
    <w:r w:rsidRPr="00E75E8D">
      <w:rPr>
        <w:rFonts w:ascii="Cambria" w:eastAsia="Times New Roman" w:hAnsi="Cambria" w:cs="Times New Roman"/>
        <w:b/>
        <w:sz w:val="16"/>
      </w:rPr>
      <w:fldChar w:fldCharType="separate"/>
    </w:r>
    <w:r w:rsidR="0078627D">
      <w:rPr>
        <w:rFonts w:ascii="Cambria" w:eastAsia="Times New Roman" w:hAnsi="Cambria" w:cs="Times New Roman"/>
        <w:b/>
        <w:noProof/>
        <w:sz w:val="16"/>
      </w:rPr>
      <w:t>13/11/2025 15:04</w:t>
    </w:r>
    <w:r w:rsidRPr="00E75E8D">
      <w:rPr>
        <w:rFonts w:ascii="Cambria" w:eastAsia="Times New Roman" w:hAnsi="Cambria" w:cs="Times New Roman"/>
        <w:b/>
        <w:bCs/>
        <w:sz w:val="16"/>
        <w:szCs w:val="16"/>
        <w:lang w:val="es-ES_tradnl" w:eastAsia="en-US"/>
      </w:rPr>
      <w:fldChar w:fldCharType="end"/>
    </w:r>
  </w:p>
  <w:p w14:paraId="02607ECA" w14:textId="77777777" w:rsidR="00E75E8D" w:rsidRPr="00E75E8D" w:rsidRDefault="00E75E8D" w:rsidP="00E75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26F7D"/>
    <w:multiLevelType w:val="hybridMultilevel"/>
    <w:tmpl w:val="F580E9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55648F"/>
    <w:multiLevelType w:val="hybridMultilevel"/>
    <w:tmpl w:val="7C4C02D6"/>
    <w:lvl w:ilvl="0" w:tplc="0C0A0017">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3568224B"/>
    <w:multiLevelType w:val="hybridMultilevel"/>
    <w:tmpl w:val="1E82D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D00957"/>
    <w:multiLevelType w:val="hybridMultilevel"/>
    <w:tmpl w:val="041C05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B33727"/>
    <w:multiLevelType w:val="hybridMultilevel"/>
    <w:tmpl w:val="CC9624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95831CB"/>
    <w:multiLevelType w:val="hybridMultilevel"/>
    <w:tmpl w:val="7CC4E9E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88116014">
    <w:abstractNumId w:val="10"/>
  </w:num>
  <w:num w:numId="2" w16cid:durableId="1696614624">
    <w:abstractNumId w:val="9"/>
  </w:num>
  <w:num w:numId="3" w16cid:durableId="1474710189">
    <w:abstractNumId w:val="6"/>
  </w:num>
  <w:num w:numId="4" w16cid:durableId="2020699175">
    <w:abstractNumId w:val="3"/>
  </w:num>
  <w:num w:numId="5" w16cid:durableId="2026902728">
    <w:abstractNumId w:val="4"/>
  </w:num>
  <w:num w:numId="6" w16cid:durableId="1210874773">
    <w:abstractNumId w:val="8"/>
  </w:num>
  <w:num w:numId="7" w16cid:durableId="415828608">
    <w:abstractNumId w:val="1"/>
  </w:num>
  <w:num w:numId="8" w16cid:durableId="143161445">
    <w:abstractNumId w:val="0"/>
  </w:num>
  <w:num w:numId="9" w16cid:durableId="867836639">
    <w:abstractNumId w:val="5"/>
  </w:num>
  <w:num w:numId="10" w16cid:durableId="1348286631">
    <w:abstractNumId w:val="2"/>
  </w:num>
  <w:num w:numId="11" w16cid:durableId="1751392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6B37"/>
    <w:rsid w:val="000105F9"/>
    <w:rsid w:val="000108AA"/>
    <w:rsid w:val="000118B5"/>
    <w:rsid w:val="00012F8E"/>
    <w:rsid w:val="000171FD"/>
    <w:rsid w:val="0002259C"/>
    <w:rsid w:val="00024950"/>
    <w:rsid w:val="00027367"/>
    <w:rsid w:val="00027FA0"/>
    <w:rsid w:val="0003256E"/>
    <w:rsid w:val="00034E3A"/>
    <w:rsid w:val="00037AB0"/>
    <w:rsid w:val="00040378"/>
    <w:rsid w:val="00050FC7"/>
    <w:rsid w:val="00054089"/>
    <w:rsid w:val="00056D0F"/>
    <w:rsid w:val="00057DFC"/>
    <w:rsid w:val="0006109A"/>
    <w:rsid w:val="000650C5"/>
    <w:rsid w:val="000660F7"/>
    <w:rsid w:val="0006706F"/>
    <w:rsid w:val="000709C6"/>
    <w:rsid w:val="00070CAE"/>
    <w:rsid w:val="00072089"/>
    <w:rsid w:val="0007585C"/>
    <w:rsid w:val="000772DF"/>
    <w:rsid w:val="00080667"/>
    <w:rsid w:val="000811A7"/>
    <w:rsid w:val="00081568"/>
    <w:rsid w:val="00087AC1"/>
    <w:rsid w:val="000907C3"/>
    <w:rsid w:val="000A1C06"/>
    <w:rsid w:val="000A7A79"/>
    <w:rsid w:val="000B04FB"/>
    <w:rsid w:val="000B1D8C"/>
    <w:rsid w:val="000B2841"/>
    <w:rsid w:val="000B3081"/>
    <w:rsid w:val="000B4E58"/>
    <w:rsid w:val="000B6C8C"/>
    <w:rsid w:val="000C47D7"/>
    <w:rsid w:val="000C5501"/>
    <w:rsid w:val="000D0243"/>
    <w:rsid w:val="000D3DEF"/>
    <w:rsid w:val="000E178A"/>
    <w:rsid w:val="000E5351"/>
    <w:rsid w:val="000F3052"/>
    <w:rsid w:val="000F3F24"/>
    <w:rsid w:val="000F54E5"/>
    <w:rsid w:val="00100A96"/>
    <w:rsid w:val="00102C75"/>
    <w:rsid w:val="00105ABD"/>
    <w:rsid w:val="00107411"/>
    <w:rsid w:val="00110BEE"/>
    <w:rsid w:val="001128B0"/>
    <w:rsid w:val="0011292A"/>
    <w:rsid w:val="00115E88"/>
    <w:rsid w:val="00116FDB"/>
    <w:rsid w:val="00123895"/>
    <w:rsid w:val="00125C55"/>
    <w:rsid w:val="001344E3"/>
    <w:rsid w:val="00136D8E"/>
    <w:rsid w:val="0014188E"/>
    <w:rsid w:val="00142333"/>
    <w:rsid w:val="00143369"/>
    <w:rsid w:val="0014417F"/>
    <w:rsid w:val="00144A76"/>
    <w:rsid w:val="00147CF8"/>
    <w:rsid w:val="001502EA"/>
    <w:rsid w:val="0015422E"/>
    <w:rsid w:val="0015433F"/>
    <w:rsid w:val="00154BBF"/>
    <w:rsid w:val="00154EB6"/>
    <w:rsid w:val="001620DF"/>
    <w:rsid w:val="0017217F"/>
    <w:rsid w:val="00180755"/>
    <w:rsid w:val="00181A1B"/>
    <w:rsid w:val="00182542"/>
    <w:rsid w:val="00187CD6"/>
    <w:rsid w:val="00192E8A"/>
    <w:rsid w:val="001A4F34"/>
    <w:rsid w:val="001A79FC"/>
    <w:rsid w:val="001B0760"/>
    <w:rsid w:val="001B0B71"/>
    <w:rsid w:val="001B6F39"/>
    <w:rsid w:val="001B78DF"/>
    <w:rsid w:val="001B7BE8"/>
    <w:rsid w:val="001C010E"/>
    <w:rsid w:val="001C036F"/>
    <w:rsid w:val="001C2A2A"/>
    <w:rsid w:val="001C5229"/>
    <w:rsid w:val="001C7219"/>
    <w:rsid w:val="001C7281"/>
    <w:rsid w:val="001D0C71"/>
    <w:rsid w:val="001D1799"/>
    <w:rsid w:val="001D2090"/>
    <w:rsid w:val="001D283D"/>
    <w:rsid w:val="001D4565"/>
    <w:rsid w:val="001E6839"/>
    <w:rsid w:val="001E6E12"/>
    <w:rsid w:val="001F0235"/>
    <w:rsid w:val="001F24D6"/>
    <w:rsid w:val="001F65DB"/>
    <w:rsid w:val="00200D04"/>
    <w:rsid w:val="00206FC0"/>
    <w:rsid w:val="002121EE"/>
    <w:rsid w:val="002179E3"/>
    <w:rsid w:val="002220C9"/>
    <w:rsid w:val="0023120B"/>
    <w:rsid w:val="002458FE"/>
    <w:rsid w:val="00250F9E"/>
    <w:rsid w:val="00253631"/>
    <w:rsid w:val="00255477"/>
    <w:rsid w:val="00261650"/>
    <w:rsid w:val="00262A28"/>
    <w:rsid w:val="002642A4"/>
    <w:rsid w:val="00267024"/>
    <w:rsid w:val="00267D1E"/>
    <w:rsid w:val="00270359"/>
    <w:rsid w:val="00271BDB"/>
    <w:rsid w:val="00273BEF"/>
    <w:rsid w:val="00273E15"/>
    <w:rsid w:val="00274A4A"/>
    <w:rsid w:val="002762AA"/>
    <w:rsid w:val="00281114"/>
    <w:rsid w:val="00281115"/>
    <w:rsid w:val="00281909"/>
    <w:rsid w:val="00281F97"/>
    <w:rsid w:val="002829F4"/>
    <w:rsid w:val="00282F18"/>
    <w:rsid w:val="0028492C"/>
    <w:rsid w:val="0028709E"/>
    <w:rsid w:val="002922AA"/>
    <w:rsid w:val="00293798"/>
    <w:rsid w:val="00293D79"/>
    <w:rsid w:val="0029494D"/>
    <w:rsid w:val="002A1C0E"/>
    <w:rsid w:val="002A2012"/>
    <w:rsid w:val="002A771B"/>
    <w:rsid w:val="002A77DB"/>
    <w:rsid w:val="002B3AC7"/>
    <w:rsid w:val="002B5FB4"/>
    <w:rsid w:val="002B755A"/>
    <w:rsid w:val="002C1D9A"/>
    <w:rsid w:val="002C383E"/>
    <w:rsid w:val="002C48F7"/>
    <w:rsid w:val="002D0436"/>
    <w:rsid w:val="002D13CF"/>
    <w:rsid w:val="002D2AB0"/>
    <w:rsid w:val="002D4621"/>
    <w:rsid w:val="002D5972"/>
    <w:rsid w:val="002D69F0"/>
    <w:rsid w:val="002E06FB"/>
    <w:rsid w:val="002E66BA"/>
    <w:rsid w:val="002E70C8"/>
    <w:rsid w:val="002E7197"/>
    <w:rsid w:val="002F0E44"/>
    <w:rsid w:val="002F2141"/>
    <w:rsid w:val="002F4BED"/>
    <w:rsid w:val="002F4E3B"/>
    <w:rsid w:val="002F5A7D"/>
    <w:rsid w:val="002F789A"/>
    <w:rsid w:val="003013AF"/>
    <w:rsid w:val="0030157C"/>
    <w:rsid w:val="003038E4"/>
    <w:rsid w:val="0030453E"/>
    <w:rsid w:val="00311820"/>
    <w:rsid w:val="00315F27"/>
    <w:rsid w:val="00316E14"/>
    <w:rsid w:val="00324361"/>
    <w:rsid w:val="00326404"/>
    <w:rsid w:val="003276BD"/>
    <w:rsid w:val="00330D01"/>
    <w:rsid w:val="003322EE"/>
    <w:rsid w:val="00337239"/>
    <w:rsid w:val="00340AA7"/>
    <w:rsid w:val="003415E4"/>
    <w:rsid w:val="0034272B"/>
    <w:rsid w:val="00346B5F"/>
    <w:rsid w:val="003504B1"/>
    <w:rsid w:val="00350EC7"/>
    <w:rsid w:val="0035327C"/>
    <w:rsid w:val="00354B09"/>
    <w:rsid w:val="003557AF"/>
    <w:rsid w:val="00356D0F"/>
    <w:rsid w:val="00357E77"/>
    <w:rsid w:val="00361EBC"/>
    <w:rsid w:val="003622C5"/>
    <w:rsid w:val="00363047"/>
    <w:rsid w:val="003632D3"/>
    <w:rsid w:val="003636FA"/>
    <w:rsid w:val="0036488A"/>
    <w:rsid w:val="00365C67"/>
    <w:rsid w:val="00367649"/>
    <w:rsid w:val="00373D60"/>
    <w:rsid w:val="003745C3"/>
    <w:rsid w:val="00374A92"/>
    <w:rsid w:val="00375923"/>
    <w:rsid w:val="003868FE"/>
    <w:rsid w:val="00393961"/>
    <w:rsid w:val="00394256"/>
    <w:rsid w:val="00395628"/>
    <w:rsid w:val="00397B41"/>
    <w:rsid w:val="003A4CFF"/>
    <w:rsid w:val="003A5BFD"/>
    <w:rsid w:val="003B0C87"/>
    <w:rsid w:val="003B1DF8"/>
    <w:rsid w:val="003B2CAC"/>
    <w:rsid w:val="003B7250"/>
    <w:rsid w:val="003C20DC"/>
    <w:rsid w:val="003C2C3B"/>
    <w:rsid w:val="003C3157"/>
    <w:rsid w:val="003C3B62"/>
    <w:rsid w:val="003C4EDD"/>
    <w:rsid w:val="003C5E95"/>
    <w:rsid w:val="003C7469"/>
    <w:rsid w:val="003D0248"/>
    <w:rsid w:val="003E0F1C"/>
    <w:rsid w:val="003E3E15"/>
    <w:rsid w:val="003E5750"/>
    <w:rsid w:val="003E7EBD"/>
    <w:rsid w:val="003F239C"/>
    <w:rsid w:val="003F2686"/>
    <w:rsid w:val="003F4C43"/>
    <w:rsid w:val="003F692E"/>
    <w:rsid w:val="00403A40"/>
    <w:rsid w:val="00410A7B"/>
    <w:rsid w:val="004113ED"/>
    <w:rsid w:val="00411634"/>
    <w:rsid w:val="004238AC"/>
    <w:rsid w:val="00423E92"/>
    <w:rsid w:val="00424649"/>
    <w:rsid w:val="00425023"/>
    <w:rsid w:val="00436633"/>
    <w:rsid w:val="00436EAF"/>
    <w:rsid w:val="0044279D"/>
    <w:rsid w:val="00443EED"/>
    <w:rsid w:val="0045266D"/>
    <w:rsid w:val="00453FB2"/>
    <w:rsid w:val="00454071"/>
    <w:rsid w:val="004561AC"/>
    <w:rsid w:val="00456B33"/>
    <w:rsid w:val="0046137F"/>
    <w:rsid w:val="00461C53"/>
    <w:rsid w:val="0047329A"/>
    <w:rsid w:val="004737F4"/>
    <w:rsid w:val="00480DDC"/>
    <w:rsid w:val="00482CF1"/>
    <w:rsid w:val="004845B4"/>
    <w:rsid w:val="00484B61"/>
    <w:rsid w:val="00487B80"/>
    <w:rsid w:val="00487CC2"/>
    <w:rsid w:val="00491985"/>
    <w:rsid w:val="00494A80"/>
    <w:rsid w:val="00497701"/>
    <w:rsid w:val="004A1E4A"/>
    <w:rsid w:val="004A77BC"/>
    <w:rsid w:val="004B1FB9"/>
    <w:rsid w:val="004B41EA"/>
    <w:rsid w:val="004B4F37"/>
    <w:rsid w:val="004C0755"/>
    <w:rsid w:val="004D3665"/>
    <w:rsid w:val="004D7A71"/>
    <w:rsid w:val="004E0B08"/>
    <w:rsid w:val="004E35B4"/>
    <w:rsid w:val="004E6A8F"/>
    <w:rsid w:val="004E6EA3"/>
    <w:rsid w:val="004F02FC"/>
    <w:rsid w:val="004F7C14"/>
    <w:rsid w:val="004F7D47"/>
    <w:rsid w:val="00504AEC"/>
    <w:rsid w:val="00504B9B"/>
    <w:rsid w:val="00505572"/>
    <w:rsid w:val="00511AB7"/>
    <w:rsid w:val="00512CAB"/>
    <w:rsid w:val="00513481"/>
    <w:rsid w:val="00513A8F"/>
    <w:rsid w:val="005178B1"/>
    <w:rsid w:val="00521A8D"/>
    <w:rsid w:val="00521BE6"/>
    <w:rsid w:val="00522C20"/>
    <w:rsid w:val="00523745"/>
    <w:rsid w:val="0053053B"/>
    <w:rsid w:val="00531C8A"/>
    <w:rsid w:val="0053601A"/>
    <w:rsid w:val="00537EE0"/>
    <w:rsid w:val="0054146F"/>
    <w:rsid w:val="00542D35"/>
    <w:rsid w:val="00544B0F"/>
    <w:rsid w:val="00551989"/>
    <w:rsid w:val="00554BF4"/>
    <w:rsid w:val="00555E21"/>
    <w:rsid w:val="005603C4"/>
    <w:rsid w:val="005632B9"/>
    <w:rsid w:val="00563AA4"/>
    <w:rsid w:val="0056434C"/>
    <w:rsid w:val="00570B9F"/>
    <w:rsid w:val="00574154"/>
    <w:rsid w:val="00577860"/>
    <w:rsid w:val="0058005E"/>
    <w:rsid w:val="0058109A"/>
    <w:rsid w:val="00581523"/>
    <w:rsid w:val="005820B7"/>
    <w:rsid w:val="00585C39"/>
    <w:rsid w:val="00592D5E"/>
    <w:rsid w:val="00593651"/>
    <w:rsid w:val="005946CD"/>
    <w:rsid w:val="005A0BA2"/>
    <w:rsid w:val="005A449A"/>
    <w:rsid w:val="005A7721"/>
    <w:rsid w:val="005A7FF6"/>
    <w:rsid w:val="005B1573"/>
    <w:rsid w:val="005B2203"/>
    <w:rsid w:val="005B261C"/>
    <w:rsid w:val="005B2D38"/>
    <w:rsid w:val="005B4EBA"/>
    <w:rsid w:val="005B4FDC"/>
    <w:rsid w:val="005B5F44"/>
    <w:rsid w:val="005C22E9"/>
    <w:rsid w:val="005C3CB7"/>
    <w:rsid w:val="005C70A7"/>
    <w:rsid w:val="005C7456"/>
    <w:rsid w:val="005D2356"/>
    <w:rsid w:val="005D260F"/>
    <w:rsid w:val="005D3DB6"/>
    <w:rsid w:val="005D7F09"/>
    <w:rsid w:val="005E0CE6"/>
    <w:rsid w:val="005E4502"/>
    <w:rsid w:val="005E48B0"/>
    <w:rsid w:val="005E4F69"/>
    <w:rsid w:val="005F1A78"/>
    <w:rsid w:val="005F20C0"/>
    <w:rsid w:val="005F3924"/>
    <w:rsid w:val="005F4009"/>
    <w:rsid w:val="005F692D"/>
    <w:rsid w:val="00600B9A"/>
    <w:rsid w:val="00602A6D"/>
    <w:rsid w:val="00603F4C"/>
    <w:rsid w:val="006043D1"/>
    <w:rsid w:val="006067DA"/>
    <w:rsid w:val="00611517"/>
    <w:rsid w:val="00612903"/>
    <w:rsid w:val="006172C6"/>
    <w:rsid w:val="006219E6"/>
    <w:rsid w:val="00621C0F"/>
    <w:rsid w:val="00622E50"/>
    <w:rsid w:val="00624504"/>
    <w:rsid w:val="00626056"/>
    <w:rsid w:val="00631C54"/>
    <w:rsid w:val="006346D1"/>
    <w:rsid w:val="00636010"/>
    <w:rsid w:val="00640751"/>
    <w:rsid w:val="00641808"/>
    <w:rsid w:val="006424E5"/>
    <w:rsid w:val="00643007"/>
    <w:rsid w:val="00644D6C"/>
    <w:rsid w:val="0064701F"/>
    <w:rsid w:val="00647E3E"/>
    <w:rsid w:val="00656D0C"/>
    <w:rsid w:val="006573BD"/>
    <w:rsid w:val="0066091C"/>
    <w:rsid w:val="006609F7"/>
    <w:rsid w:val="00661F5B"/>
    <w:rsid w:val="00662A89"/>
    <w:rsid w:val="00662DE2"/>
    <w:rsid w:val="00663EA8"/>
    <w:rsid w:val="0067516B"/>
    <w:rsid w:val="00675906"/>
    <w:rsid w:val="006778C4"/>
    <w:rsid w:val="0068255F"/>
    <w:rsid w:val="00683816"/>
    <w:rsid w:val="00684305"/>
    <w:rsid w:val="00684BA7"/>
    <w:rsid w:val="00686DD1"/>
    <w:rsid w:val="0069031D"/>
    <w:rsid w:val="0069622F"/>
    <w:rsid w:val="006A093B"/>
    <w:rsid w:val="006A1672"/>
    <w:rsid w:val="006A2986"/>
    <w:rsid w:val="006A397A"/>
    <w:rsid w:val="006A5F87"/>
    <w:rsid w:val="006A6145"/>
    <w:rsid w:val="006A7BFA"/>
    <w:rsid w:val="006B31D3"/>
    <w:rsid w:val="006B74C9"/>
    <w:rsid w:val="006C2786"/>
    <w:rsid w:val="006C2C89"/>
    <w:rsid w:val="006C3F33"/>
    <w:rsid w:val="006C629E"/>
    <w:rsid w:val="006C7EE5"/>
    <w:rsid w:val="006D2C12"/>
    <w:rsid w:val="006D6ACB"/>
    <w:rsid w:val="006E0E73"/>
    <w:rsid w:val="006E306A"/>
    <w:rsid w:val="006E6602"/>
    <w:rsid w:val="006F25D2"/>
    <w:rsid w:val="006F4C64"/>
    <w:rsid w:val="006F7EB7"/>
    <w:rsid w:val="007003F2"/>
    <w:rsid w:val="00700E64"/>
    <w:rsid w:val="007017E5"/>
    <w:rsid w:val="00701FB1"/>
    <w:rsid w:val="007034CE"/>
    <w:rsid w:val="00704462"/>
    <w:rsid w:val="00704FC2"/>
    <w:rsid w:val="00710089"/>
    <w:rsid w:val="007148F5"/>
    <w:rsid w:val="00714F6B"/>
    <w:rsid w:val="0071671F"/>
    <w:rsid w:val="00721C0E"/>
    <w:rsid w:val="00724B2F"/>
    <w:rsid w:val="007318A4"/>
    <w:rsid w:val="00733B41"/>
    <w:rsid w:val="00734101"/>
    <w:rsid w:val="00734CDF"/>
    <w:rsid w:val="007365D2"/>
    <w:rsid w:val="0073702B"/>
    <w:rsid w:val="00741195"/>
    <w:rsid w:val="00741796"/>
    <w:rsid w:val="007452FF"/>
    <w:rsid w:val="00745D81"/>
    <w:rsid w:val="00746709"/>
    <w:rsid w:val="007559D4"/>
    <w:rsid w:val="00755AD2"/>
    <w:rsid w:val="00756B4B"/>
    <w:rsid w:val="007579E7"/>
    <w:rsid w:val="00766D1C"/>
    <w:rsid w:val="00767868"/>
    <w:rsid w:val="00767AE3"/>
    <w:rsid w:val="00777CCA"/>
    <w:rsid w:val="0078510D"/>
    <w:rsid w:val="0078627D"/>
    <w:rsid w:val="00787524"/>
    <w:rsid w:val="00787DDB"/>
    <w:rsid w:val="0079223E"/>
    <w:rsid w:val="00794B2A"/>
    <w:rsid w:val="007A298C"/>
    <w:rsid w:val="007A3581"/>
    <w:rsid w:val="007A5B17"/>
    <w:rsid w:val="007A5C09"/>
    <w:rsid w:val="007B1397"/>
    <w:rsid w:val="007B218F"/>
    <w:rsid w:val="007B2196"/>
    <w:rsid w:val="007B2EB7"/>
    <w:rsid w:val="007B59D5"/>
    <w:rsid w:val="007C09E8"/>
    <w:rsid w:val="007C1B6F"/>
    <w:rsid w:val="007C239A"/>
    <w:rsid w:val="007D04E8"/>
    <w:rsid w:val="007D07B3"/>
    <w:rsid w:val="007D5C3E"/>
    <w:rsid w:val="007E0E24"/>
    <w:rsid w:val="007E3997"/>
    <w:rsid w:val="007E3AD4"/>
    <w:rsid w:val="007E3D12"/>
    <w:rsid w:val="007E5836"/>
    <w:rsid w:val="007E645A"/>
    <w:rsid w:val="007F3BDD"/>
    <w:rsid w:val="007F594F"/>
    <w:rsid w:val="007F62E7"/>
    <w:rsid w:val="007F6311"/>
    <w:rsid w:val="00800BD8"/>
    <w:rsid w:val="00801593"/>
    <w:rsid w:val="00802DCB"/>
    <w:rsid w:val="00807A91"/>
    <w:rsid w:val="008116EF"/>
    <w:rsid w:val="00813AC8"/>
    <w:rsid w:val="00813D7F"/>
    <w:rsid w:val="00814209"/>
    <w:rsid w:val="00822396"/>
    <w:rsid w:val="008232D4"/>
    <w:rsid w:val="00823D48"/>
    <w:rsid w:val="008265F4"/>
    <w:rsid w:val="008353CE"/>
    <w:rsid w:val="00835733"/>
    <w:rsid w:val="00841104"/>
    <w:rsid w:val="00844C57"/>
    <w:rsid w:val="00844F9D"/>
    <w:rsid w:val="008456C5"/>
    <w:rsid w:val="00846C61"/>
    <w:rsid w:val="00854228"/>
    <w:rsid w:val="008550F7"/>
    <w:rsid w:val="0085559A"/>
    <w:rsid w:val="0085587C"/>
    <w:rsid w:val="00857A97"/>
    <w:rsid w:val="0086071D"/>
    <w:rsid w:val="0086247A"/>
    <w:rsid w:val="00867ECB"/>
    <w:rsid w:val="008717D2"/>
    <w:rsid w:val="00872BC8"/>
    <w:rsid w:val="0087311C"/>
    <w:rsid w:val="00873728"/>
    <w:rsid w:val="00881BC7"/>
    <w:rsid w:val="00882C42"/>
    <w:rsid w:val="00885F1B"/>
    <w:rsid w:val="00890F85"/>
    <w:rsid w:val="00891F55"/>
    <w:rsid w:val="008A6D24"/>
    <w:rsid w:val="008B515A"/>
    <w:rsid w:val="008B573F"/>
    <w:rsid w:val="008B5EF3"/>
    <w:rsid w:val="008B6F00"/>
    <w:rsid w:val="008B72CC"/>
    <w:rsid w:val="008C0479"/>
    <w:rsid w:val="008C4BBD"/>
    <w:rsid w:val="008C54F2"/>
    <w:rsid w:val="008D13F2"/>
    <w:rsid w:val="008D186D"/>
    <w:rsid w:val="008D68D1"/>
    <w:rsid w:val="008D7AD9"/>
    <w:rsid w:val="008E4EE0"/>
    <w:rsid w:val="008E6EC6"/>
    <w:rsid w:val="008F1BA0"/>
    <w:rsid w:val="008F23F4"/>
    <w:rsid w:val="008F2B7A"/>
    <w:rsid w:val="008F34D3"/>
    <w:rsid w:val="00902232"/>
    <w:rsid w:val="00903258"/>
    <w:rsid w:val="00905C76"/>
    <w:rsid w:val="009070D3"/>
    <w:rsid w:val="00911844"/>
    <w:rsid w:val="009133C3"/>
    <w:rsid w:val="00915EDF"/>
    <w:rsid w:val="00917747"/>
    <w:rsid w:val="009216F7"/>
    <w:rsid w:val="00921D33"/>
    <w:rsid w:val="009238D5"/>
    <w:rsid w:val="00923CF7"/>
    <w:rsid w:val="00923E0E"/>
    <w:rsid w:val="00931AAE"/>
    <w:rsid w:val="00931C7E"/>
    <w:rsid w:val="009366ED"/>
    <w:rsid w:val="00937A0C"/>
    <w:rsid w:val="009478B5"/>
    <w:rsid w:val="009519D0"/>
    <w:rsid w:val="009601F0"/>
    <w:rsid w:val="0096057A"/>
    <w:rsid w:val="00961621"/>
    <w:rsid w:val="009632A5"/>
    <w:rsid w:val="00967412"/>
    <w:rsid w:val="00970EFB"/>
    <w:rsid w:val="00981C67"/>
    <w:rsid w:val="0098223F"/>
    <w:rsid w:val="00983183"/>
    <w:rsid w:val="00983645"/>
    <w:rsid w:val="009875E9"/>
    <w:rsid w:val="00990736"/>
    <w:rsid w:val="0099116B"/>
    <w:rsid w:val="00991324"/>
    <w:rsid w:val="009914A9"/>
    <w:rsid w:val="009A49A3"/>
    <w:rsid w:val="009B03A4"/>
    <w:rsid w:val="009B1438"/>
    <w:rsid w:val="009B5D22"/>
    <w:rsid w:val="009B61D4"/>
    <w:rsid w:val="009C24EF"/>
    <w:rsid w:val="009C34E0"/>
    <w:rsid w:val="009C6156"/>
    <w:rsid w:val="009C6252"/>
    <w:rsid w:val="009C7D13"/>
    <w:rsid w:val="009C7E62"/>
    <w:rsid w:val="009D272F"/>
    <w:rsid w:val="009D2809"/>
    <w:rsid w:val="009E0D86"/>
    <w:rsid w:val="009E2708"/>
    <w:rsid w:val="009E5294"/>
    <w:rsid w:val="009E7FCD"/>
    <w:rsid w:val="009F117C"/>
    <w:rsid w:val="009F1336"/>
    <w:rsid w:val="009F5FCC"/>
    <w:rsid w:val="00A103B4"/>
    <w:rsid w:val="00A10935"/>
    <w:rsid w:val="00A151A3"/>
    <w:rsid w:val="00A21EEE"/>
    <w:rsid w:val="00A22EAE"/>
    <w:rsid w:val="00A24256"/>
    <w:rsid w:val="00A365DF"/>
    <w:rsid w:val="00A42285"/>
    <w:rsid w:val="00A433A4"/>
    <w:rsid w:val="00A44C74"/>
    <w:rsid w:val="00A44DE7"/>
    <w:rsid w:val="00A455A0"/>
    <w:rsid w:val="00A45621"/>
    <w:rsid w:val="00A514D3"/>
    <w:rsid w:val="00A52993"/>
    <w:rsid w:val="00A52EB0"/>
    <w:rsid w:val="00A53055"/>
    <w:rsid w:val="00A54EB9"/>
    <w:rsid w:val="00A60DA2"/>
    <w:rsid w:val="00A62FD9"/>
    <w:rsid w:val="00A63CB4"/>
    <w:rsid w:val="00A649DF"/>
    <w:rsid w:val="00A70F25"/>
    <w:rsid w:val="00A71E8E"/>
    <w:rsid w:val="00A74F36"/>
    <w:rsid w:val="00A759F7"/>
    <w:rsid w:val="00A76A8B"/>
    <w:rsid w:val="00A84094"/>
    <w:rsid w:val="00A87D5F"/>
    <w:rsid w:val="00A90D49"/>
    <w:rsid w:val="00A92C95"/>
    <w:rsid w:val="00AA06D7"/>
    <w:rsid w:val="00AA0BB6"/>
    <w:rsid w:val="00AA17A0"/>
    <w:rsid w:val="00AA2901"/>
    <w:rsid w:val="00AA3B8D"/>
    <w:rsid w:val="00AA52B7"/>
    <w:rsid w:val="00AC2A48"/>
    <w:rsid w:val="00AD0490"/>
    <w:rsid w:val="00AD28A1"/>
    <w:rsid w:val="00AD2A8D"/>
    <w:rsid w:val="00AD4160"/>
    <w:rsid w:val="00AD4D02"/>
    <w:rsid w:val="00AD5652"/>
    <w:rsid w:val="00AE18EB"/>
    <w:rsid w:val="00AE1B92"/>
    <w:rsid w:val="00AF5794"/>
    <w:rsid w:val="00B00065"/>
    <w:rsid w:val="00B0262F"/>
    <w:rsid w:val="00B0785E"/>
    <w:rsid w:val="00B1053F"/>
    <w:rsid w:val="00B111C1"/>
    <w:rsid w:val="00B15A76"/>
    <w:rsid w:val="00B204B5"/>
    <w:rsid w:val="00B250C4"/>
    <w:rsid w:val="00B27812"/>
    <w:rsid w:val="00B3099B"/>
    <w:rsid w:val="00B31060"/>
    <w:rsid w:val="00B32FC7"/>
    <w:rsid w:val="00B35384"/>
    <w:rsid w:val="00B36B3D"/>
    <w:rsid w:val="00B50BA6"/>
    <w:rsid w:val="00B57775"/>
    <w:rsid w:val="00B622EF"/>
    <w:rsid w:val="00B623C7"/>
    <w:rsid w:val="00B63502"/>
    <w:rsid w:val="00B64CAF"/>
    <w:rsid w:val="00B70170"/>
    <w:rsid w:val="00B73180"/>
    <w:rsid w:val="00B73390"/>
    <w:rsid w:val="00B76891"/>
    <w:rsid w:val="00B77553"/>
    <w:rsid w:val="00B77B14"/>
    <w:rsid w:val="00B8135E"/>
    <w:rsid w:val="00B831D5"/>
    <w:rsid w:val="00B85DF0"/>
    <w:rsid w:val="00B86545"/>
    <w:rsid w:val="00B87B77"/>
    <w:rsid w:val="00B9350D"/>
    <w:rsid w:val="00B95D2A"/>
    <w:rsid w:val="00BA0041"/>
    <w:rsid w:val="00BA2C93"/>
    <w:rsid w:val="00BA5E47"/>
    <w:rsid w:val="00BB0B4F"/>
    <w:rsid w:val="00BB15C4"/>
    <w:rsid w:val="00BB1975"/>
    <w:rsid w:val="00BB6431"/>
    <w:rsid w:val="00BB6DA1"/>
    <w:rsid w:val="00BC0A31"/>
    <w:rsid w:val="00BC3F11"/>
    <w:rsid w:val="00BC63E9"/>
    <w:rsid w:val="00BD343F"/>
    <w:rsid w:val="00BD47C7"/>
    <w:rsid w:val="00BE4A13"/>
    <w:rsid w:val="00BE610C"/>
    <w:rsid w:val="00BF323B"/>
    <w:rsid w:val="00BF57F6"/>
    <w:rsid w:val="00C00145"/>
    <w:rsid w:val="00C00CFE"/>
    <w:rsid w:val="00C01764"/>
    <w:rsid w:val="00C02779"/>
    <w:rsid w:val="00C05EB1"/>
    <w:rsid w:val="00C069D1"/>
    <w:rsid w:val="00C102B1"/>
    <w:rsid w:val="00C11A93"/>
    <w:rsid w:val="00C1390F"/>
    <w:rsid w:val="00C166DE"/>
    <w:rsid w:val="00C22A9C"/>
    <w:rsid w:val="00C22B69"/>
    <w:rsid w:val="00C22C78"/>
    <w:rsid w:val="00C2373C"/>
    <w:rsid w:val="00C26234"/>
    <w:rsid w:val="00C30393"/>
    <w:rsid w:val="00C32E44"/>
    <w:rsid w:val="00C41154"/>
    <w:rsid w:val="00C4168B"/>
    <w:rsid w:val="00C446AB"/>
    <w:rsid w:val="00C47765"/>
    <w:rsid w:val="00C51863"/>
    <w:rsid w:val="00C52DB5"/>
    <w:rsid w:val="00C55BD8"/>
    <w:rsid w:val="00C61952"/>
    <w:rsid w:val="00C61DD7"/>
    <w:rsid w:val="00C61E06"/>
    <w:rsid w:val="00C72D78"/>
    <w:rsid w:val="00C72F9D"/>
    <w:rsid w:val="00C84564"/>
    <w:rsid w:val="00C8642C"/>
    <w:rsid w:val="00C86539"/>
    <w:rsid w:val="00C87E92"/>
    <w:rsid w:val="00C93738"/>
    <w:rsid w:val="00C96218"/>
    <w:rsid w:val="00CA1C07"/>
    <w:rsid w:val="00CA364B"/>
    <w:rsid w:val="00CA676F"/>
    <w:rsid w:val="00CB067B"/>
    <w:rsid w:val="00CB3CFB"/>
    <w:rsid w:val="00CB7C4E"/>
    <w:rsid w:val="00CC4D97"/>
    <w:rsid w:val="00CC79E1"/>
    <w:rsid w:val="00CC7A25"/>
    <w:rsid w:val="00CD12A2"/>
    <w:rsid w:val="00CD13D6"/>
    <w:rsid w:val="00CD4F9A"/>
    <w:rsid w:val="00CE0072"/>
    <w:rsid w:val="00CF5DB2"/>
    <w:rsid w:val="00D01D2B"/>
    <w:rsid w:val="00D026CE"/>
    <w:rsid w:val="00D0755C"/>
    <w:rsid w:val="00D10B9E"/>
    <w:rsid w:val="00D12D29"/>
    <w:rsid w:val="00D13351"/>
    <w:rsid w:val="00D13B87"/>
    <w:rsid w:val="00D162F4"/>
    <w:rsid w:val="00D17BB4"/>
    <w:rsid w:val="00D20A5C"/>
    <w:rsid w:val="00D22B82"/>
    <w:rsid w:val="00D22F35"/>
    <w:rsid w:val="00D23FEE"/>
    <w:rsid w:val="00D25336"/>
    <w:rsid w:val="00D26B94"/>
    <w:rsid w:val="00D30071"/>
    <w:rsid w:val="00D30F6A"/>
    <w:rsid w:val="00D34BF5"/>
    <w:rsid w:val="00D35026"/>
    <w:rsid w:val="00D41FC9"/>
    <w:rsid w:val="00D447BD"/>
    <w:rsid w:val="00D466B0"/>
    <w:rsid w:val="00D54C33"/>
    <w:rsid w:val="00D6335F"/>
    <w:rsid w:val="00D65361"/>
    <w:rsid w:val="00D70DF6"/>
    <w:rsid w:val="00D71D1B"/>
    <w:rsid w:val="00D74193"/>
    <w:rsid w:val="00D75E6D"/>
    <w:rsid w:val="00D76E16"/>
    <w:rsid w:val="00D818F8"/>
    <w:rsid w:val="00D87EF5"/>
    <w:rsid w:val="00D90C9C"/>
    <w:rsid w:val="00D93D81"/>
    <w:rsid w:val="00D95737"/>
    <w:rsid w:val="00D96C2C"/>
    <w:rsid w:val="00DA11B2"/>
    <w:rsid w:val="00DA1A9A"/>
    <w:rsid w:val="00DA4945"/>
    <w:rsid w:val="00DB148D"/>
    <w:rsid w:val="00DB251C"/>
    <w:rsid w:val="00DB3055"/>
    <w:rsid w:val="00DB4392"/>
    <w:rsid w:val="00DC24F0"/>
    <w:rsid w:val="00DC480E"/>
    <w:rsid w:val="00DC61FF"/>
    <w:rsid w:val="00DC6A11"/>
    <w:rsid w:val="00DC6A2C"/>
    <w:rsid w:val="00DD0561"/>
    <w:rsid w:val="00DD6776"/>
    <w:rsid w:val="00DD6EC9"/>
    <w:rsid w:val="00DE0DFA"/>
    <w:rsid w:val="00DE1718"/>
    <w:rsid w:val="00DE19D7"/>
    <w:rsid w:val="00DE5E9D"/>
    <w:rsid w:val="00DF0968"/>
    <w:rsid w:val="00DF2336"/>
    <w:rsid w:val="00DF4D8A"/>
    <w:rsid w:val="00E00642"/>
    <w:rsid w:val="00E00BF5"/>
    <w:rsid w:val="00E02AC0"/>
    <w:rsid w:val="00E059EE"/>
    <w:rsid w:val="00E05AB0"/>
    <w:rsid w:val="00E177B1"/>
    <w:rsid w:val="00E27FFA"/>
    <w:rsid w:val="00E3074F"/>
    <w:rsid w:val="00E30F6C"/>
    <w:rsid w:val="00E3133F"/>
    <w:rsid w:val="00E33CC4"/>
    <w:rsid w:val="00E33DBC"/>
    <w:rsid w:val="00E4135D"/>
    <w:rsid w:val="00E41471"/>
    <w:rsid w:val="00E47BC9"/>
    <w:rsid w:val="00E51283"/>
    <w:rsid w:val="00E51E12"/>
    <w:rsid w:val="00E5322A"/>
    <w:rsid w:val="00E57663"/>
    <w:rsid w:val="00E60AC0"/>
    <w:rsid w:val="00E648F0"/>
    <w:rsid w:val="00E65504"/>
    <w:rsid w:val="00E65C85"/>
    <w:rsid w:val="00E664AE"/>
    <w:rsid w:val="00E70774"/>
    <w:rsid w:val="00E7363E"/>
    <w:rsid w:val="00E75AF8"/>
    <w:rsid w:val="00E75E8D"/>
    <w:rsid w:val="00E75F82"/>
    <w:rsid w:val="00E77B4F"/>
    <w:rsid w:val="00E81455"/>
    <w:rsid w:val="00E81541"/>
    <w:rsid w:val="00E82DDB"/>
    <w:rsid w:val="00E83DE0"/>
    <w:rsid w:val="00E90805"/>
    <w:rsid w:val="00E977A0"/>
    <w:rsid w:val="00E97F6E"/>
    <w:rsid w:val="00EA089B"/>
    <w:rsid w:val="00EA1E48"/>
    <w:rsid w:val="00EA433F"/>
    <w:rsid w:val="00EA53A6"/>
    <w:rsid w:val="00EA5B13"/>
    <w:rsid w:val="00EA7255"/>
    <w:rsid w:val="00EB2FD8"/>
    <w:rsid w:val="00EB6C60"/>
    <w:rsid w:val="00EB74EF"/>
    <w:rsid w:val="00EB75A6"/>
    <w:rsid w:val="00EC0CFE"/>
    <w:rsid w:val="00EC49D4"/>
    <w:rsid w:val="00ED1AE8"/>
    <w:rsid w:val="00ED4EDD"/>
    <w:rsid w:val="00EE0CAB"/>
    <w:rsid w:val="00EE6DE4"/>
    <w:rsid w:val="00EE74BF"/>
    <w:rsid w:val="00EF029B"/>
    <w:rsid w:val="00EF111E"/>
    <w:rsid w:val="00EF2530"/>
    <w:rsid w:val="00EF3DC0"/>
    <w:rsid w:val="00EF4544"/>
    <w:rsid w:val="00EF79D7"/>
    <w:rsid w:val="00EF7AA0"/>
    <w:rsid w:val="00F00D58"/>
    <w:rsid w:val="00F030DA"/>
    <w:rsid w:val="00F2188F"/>
    <w:rsid w:val="00F22316"/>
    <w:rsid w:val="00F2694A"/>
    <w:rsid w:val="00F27FA5"/>
    <w:rsid w:val="00F31C4E"/>
    <w:rsid w:val="00F333F1"/>
    <w:rsid w:val="00F35950"/>
    <w:rsid w:val="00F3609E"/>
    <w:rsid w:val="00F37138"/>
    <w:rsid w:val="00F371AC"/>
    <w:rsid w:val="00F37234"/>
    <w:rsid w:val="00F410D5"/>
    <w:rsid w:val="00F42BE4"/>
    <w:rsid w:val="00F44D6B"/>
    <w:rsid w:val="00F5456E"/>
    <w:rsid w:val="00F5503F"/>
    <w:rsid w:val="00F633CB"/>
    <w:rsid w:val="00F638DF"/>
    <w:rsid w:val="00F661DF"/>
    <w:rsid w:val="00F725D2"/>
    <w:rsid w:val="00F72EC5"/>
    <w:rsid w:val="00F74AC9"/>
    <w:rsid w:val="00F74BCD"/>
    <w:rsid w:val="00F750BA"/>
    <w:rsid w:val="00F76772"/>
    <w:rsid w:val="00F809C9"/>
    <w:rsid w:val="00F90D30"/>
    <w:rsid w:val="00F910A2"/>
    <w:rsid w:val="00F95247"/>
    <w:rsid w:val="00F95EEA"/>
    <w:rsid w:val="00F97AC9"/>
    <w:rsid w:val="00F97CE9"/>
    <w:rsid w:val="00FA17F5"/>
    <w:rsid w:val="00FA26B8"/>
    <w:rsid w:val="00FA4958"/>
    <w:rsid w:val="00FA5030"/>
    <w:rsid w:val="00FA5B50"/>
    <w:rsid w:val="00FA7E6B"/>
    <w:rsid w:val="00FB133F"/>
    <w:rsid w:val="00FB24C6"/>
    <w:rsid w:val="00FB6804"/>
    <w:rsid w:val="00FB7CDE"/>
    <w:rsid w:val="00FC060B"/>
    <w:rsid w:val="00FC0DC6"/>
    <w:rsid w:val="00FC45CB"/>
    <w:rsid w:val="00FD30CD"/>
    <w:rsid w:val="00FD56BE"/>
    <w:rsid w:val="00FD68F3"/>
    <w:rsid w:val="00FD6E10"/>
    <w:rsid w:val="00FE1CB2"/>
    <w:rsid w:val="00FE42D1"/>
    <w:rsid w:val="00FE49BF"/>
    <w:rsid w:val="00FF107D"/>
    <w:rsid w:val="00FF2616"/>
    <w:rsid w:val="00FF3552"/>
    <w:rsid w:val="00FF5679"/>
    <w:rsid w:val="00FF6844"/>
    <w:rsid w:val="00FF7016"/>
    <w:rsid w:val="00FF7F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63F1"/>
  <w15:docId w15:val="{FD05B120-C4DD-4A00-BB86-2B863154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9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semiHidden/>
    <w:unhideWhenUsed/>
    <w:rsid w:val="007C09E8"/>
    <w:rPr>
      <w:vertAlign w:val="superscript"/>
    </w:rPr>
  </w:style>
  <w:style w:type="paragraph" w:styleId="Header">
    <w:name w:val="header"/>
    <w:basedOn w:val="Normal"/>
    <w:link w:val="HeaderChar"/>
    <w:uiPriority w:val="99"/>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character" w:customStyle="1" w:styleId="Heading1Char">
    <w:name w:val="Heading 1 Char"/>
    <w:basedOn w:val="DefaultParagraphFont"/>
    <w:link w:val="Heading1"/>
    <w:uiPriority w:val="9"/>
    <w:rsid w:val="00E059E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90">
      <w:bodyDiv w:val="1"/>
      <w:marLeft w:val="0"/>
      <w:marRight w:val="0"/>
      <w:marTop w:val="0"/>
      <w:marBottom w:val="0"/>
      <w:divBdr>
        <w:top w:val="none" w:sz="0" w:space="0" w:color="auto"/>
        <w:left w:val="none" w:sz="0" w:space="0" w:color="auto"/>
        <w:bottom w:val="none" w:sz="0" w:space="0" w:color="auto"/>
        <w:right w:val="none" w:sz="0" w:space="0" w:color="auto"/>
      </w:divBdr>
    </w:div>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149371023">
      <w:bodyDiv w:val="1"/>
      <w:marLeft w:val="0"/>
      <w:marRight w:val="0"/>
      <w:marTop w:val="0"/>
      <w:marBottom w:val="0"/>
      <w:divBdr>
        <w:top w:val="none" w:sz="0" w:space="0" w:color="auto"/>
        <w:left w:val="none" w:sz="0" w:space="0" w:color="auto"/>
        <w:bottom w:val="none" w:sz="0" w:space="0" w:color="auto"/>
        <w:right w:val="none" w:sz="0" w:space="0" w:color="auto"/>
      </w:divBdr>
    </w:div>
    <w:div w:id="299263268">
      <w:bodyDiv w:val="1"/>
      <w:marLeft w:val="0"/>
      <w:marRight w:val="0"/>
      <w:marTop w:val="0"/>
      <w:marBottom w:val="0"/>
      <w:divBdr>
        <w:top w:val="none" w:sz="0" w:space="0" w:color="auto"/>
        <w:left w:val="none" w:sz="0" w:space="0" w:color="auto"/>
        <w:bottom w:val="none" w:sz="0" w:space="0" w:color="auto"/>
        <w:right w:val="none" w:sz="0" w:space="0" w:color="auto"/>
      </w:divBdr>
    </w:div>
    <w:div w:id="324093837">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628050212">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51775913">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408647357">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784305799">
      <w:bodyDiv w:val="1"/>
      <w:marLeft w:val="0"/>
      <w:marRight w:val="0"/>
      <w:marTop w:val="0"/>
      <w:marBottom w:val="0"/>
      <w:divBdr>
        <w:top w:val="none" w:sz="0" w:space="0" w:color="auto"/>
        <w:left w:val="none" w:sz="0" w:space="0" w:color="auto"/>
        <w:bottom w:val="none" w:sz="0" w:space="0" w:color="auto"/>
        <w:right w:val="none" w:sz="0" w:space="0" w:color="auto"/>
      </w:divBdr>
    </w:div>
    <w:div w:id="1878085281">
      <w:bodyDiv w:val="1"/>
      <w:marLeft w:val="0"/>
      <w:marRight w:val="0"/>
      <w:marTop w:val="0"/>
      <w:marBottom w:val="0"/>
      <w:divBdr>
        <w:top w:val="none" w:sz="0" w:space="0" w:color="auto"/>
        <w:left w:val="none" w:sz="0" w:space="0" w:color="auto"/>
        <w:bottom w:val="none" w:sz="0" w:space="0" w:color="auto"/>
        <w:right w:val="none" w:sz="0" w:space="0" w:color="auto"/>
      </w:divBdr>
    </w:div>
    <w:div w:id="1931233289">
      <w:bodyDiv w:val="1"/>
      <w:marLeft w:val="0"/>
      <w:marRight w:val="0"/>
      <w:marTop w:val="0"/>
      <w:marBottom w:val="0"/>
      <w:divBdr>
        <w:top w:val="none" w:sz="0" w:space="0" w:color="auto"/>
        <w:left w:val="none" w:sz="0" w:space="0" w:color="auto"/>
        <w:bottom w:val="none" w:sz="0" w:space="0" w:color="auto"/>
        <w:right w:val="none" w:sz="0" w:space="0" w:color="auto"/>
      </w:divBdr>
    </w:div>
    <w:div w:id="1952319129">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42289-8C8E-47D3-9DEE-9DA43846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1292</Words>
  <Characters>7367</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Africa Martín</dc:creator>
  <cp:lastModifiedBy>Karen Donovan</cp:lastModifiedBy>
  <cp:revision>14</cp:revision>
  <dcterms:created xsi:type="dcterms:W3CDTF">2025-10-27T14:56:00Z</dcterms:created>
  <dcterms:modified xsi:type="dcterms:W3CDTF">2025-11-13T14:41:00Z</dcterms:modified>
</cp:coreProperties>
</file>