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4967" w14:textId="079466B3" w:rsidR="000B7D8E" w:rsidRPr="00F21FBD" w:rsidRDefault="000B7D8E" w:rsidP="00AE3E00">
      <w:pPr>
        <w:pStyle w:val="Header"/>
        <w:jc w:val="right"/>
        <w:rPr>
          <w:rFonts w:asciiTheme="majorHAnsi" w:hAnsiTheme="majorHAnsi"/>
          <w:b/>
          <w:bCs/>
        </w:rPr>
      </w:pPr>
      <w:r w:rsidRPr="00F21FBD">
        <w:rPr>
          <w:rFonts w:asciiTheme="majorHAnsi" w:hAnsiTheme="majorHAnsi"/>
          <w:b/>
          <w:bCs/>
        </w:rPr>
        <w:t>Original</w:t>
      </w:r>
      <w:r w:rsidRPr="00F21FBD">
        <w:rPr>
          <w:rFonts w:asciiTheme="majorHAnsi" w:hAnsiTheme="majorHAnsi"/>
          <w:b/>
        </w:rPr>
        <w:t xml:space="preserve"> : espagnol</w:t>
      </w:r>
    </w:p>
    <w:p w14:paraId="3B9A6973" w14:textId="62F24377" w:rsidR="00AC7242" w:rsidRPr="00F21FBD" w:rsidRDefault="007C045E" w:rsidP="00333C63">
      <w:pPr>
        <w:pStyle w:val="Heading8"/>
        <w:jc w:val="center"/>
        <w:rPr>
          <w:rFonts w:asciiTheme="majorHAnsi" w:hAnsiTheme="majorHAnsi"/>
          <w:b/>
          <w:i w:val="0"/>
          <w:sz w:val="20"/>
        </w:rPr>
      </w:pPr>
      <w:bookmarkStart w:id="0" w:name="_Hlk181873853"/>
      <w:r w:rsidRPr="00F21FBD">
        <w:rPr>
          <w:rFonts w:asciiTheme="majorHAnsi" w:hAnsiTheme="majorHAnsi"/>
          <w:b/>
          <w:i w:val="0"/>
          <w:sz w:val="20"/>
        </w:rPr>
        <w:t>Information détaillée sur la dette accumulée des Parties contractantes de l’ICCAT et examen des plans de paiement des arriérés</w:t>
      </w:r>
    </w:p>
    <w:bookmarkEnd w:id="0"/>
    <w:p w14:paraId="5C607598" w14:textId="77777777" w:rsidR="00AB1DEE" w:rsidRPr="00F21FBD" w:rsidRDefault="00AB1DEE" w:rsidP="00333C63">
      <w:pPr>
        <w:rPr>
          <w:lang w:eastAsia="en-US"/>
        </w:rPr>
      </w:pPr>
    </w:p>
    <w:p w14:paraId="0FE02657" w14:textId="586BEDB6" w:rsidR="005B3095" w:rsidRPr="00F21FBD" w:rsidRDefault="007C045E" w:rsidP="00AC7242">
      <w:pPr>
        <w:tabs>
          <w:tab w:val="left" w:pos="340"/>
        </w:tabs>
        <w:rPr>
          <w:rFonts w:asciiTheme="majorHAnsi" w:eastAsia="Batang" w:hAnsiTheme="majorHAnsi"/>
        </w:rPr>
      </w:pPr>
      <w:r w:rsidRPr="00F21FBD">
        <w:rPr>
          <w:rFonts w:asciiTheme="majorHAnsi" w:hAnsiTheme="majorHAnsi"/>
        </w:rPr>
        <w:t xml:space="preserve">Le Secrétariat soumet à la Commission le présent document qui fournit un aperçu historique, détaillant par année la dette accumulée des Parties contractantes qui, au </w:t>
      </w:r>
      <w:r w:rsidR="002A69C0" w:rsidRPr="00662D2A">
        <w:rPr>
          <w:rFonts w:asciiTheme="majorHAnsi" w:hAnsiTheme="majorHAnsi"/>
          <w:b/>
          <w:bCs/>
          <w:u w:val="single"/>
        </w:rPr>
        <w:t>13 novembre</w:t>
      </w:r>
      <w:r w:rsidRPr="00F21FBD">
        <w:rPr>
          <w:rFonts w:asciiTheme="majorHAnsi" w:hAnsiTheme="majorHAnsi"/>
          <w:b/>
          <w:bCs/>
        </w:rPr>
        <w:t xml:space="preserve"> 202</w:t>
      </w:r>
      <w:r w:rsidR="00D51F1F" w:rsidRPr="00F21FBD">
        <w:rPr>
          <w:rFonts w:asciiTheme="majorHAnsi" w:hAnsiTheme="majorHAnsi"/>
          <w:b/>
          <w:bCs/>
        </w:rPr>
        <w:t>5</w:t>
      </w:r>
      <w:r w:rsidRPr="00F21FBD">
        <w:rPr>
          <w:rFonts w:asciiTheme="majorHAnsi" w:hAnsiTheme="majorHAnsi"/>
        </w:rPr>
        <w:t>, ne se sont pas acquittées de leurs obligations financières.</w:t>
      </w:r>
    </w:p>
    <w:p w14:paraId="060CCA31" w14:textId="6F7FD2B3" w:rsidR="007555FE" w:rsidRPr="00F21FBD" w:rsidRDefault="007555FE" w:rsidP="00AC7242">
      <w:pPr>
        <w:tabs>
          <w:tab w:val="left" w:pos="340"/>
        </w:tabs>
        <w:rPr>
          <w:rFonts w:asciiTheme="majorHAnsi" w:eastAsia="Batang" w:hAnsiTheme="majorHAnsi"/>
        </w:rPr>
      </w:pPr>
    </w:p>
    <w:p w14:paraId="02DB6AEF" w14:textId="4304A15C" w:rsidR="007555FE" w:rsidRPr="00F21FBD" w:rsidRDefault="006C18FD" w:rsidP="0047174A">
      <w:pPr>
        <w:pStyle w:val="ListParagraph"/>
        <w:numPr>
          <w:ilvl w:val="0"/>
          <w:numId w:val="5"/>
        </w:numPr>
        <w:ind w:left="426" w:hanging="426"/>
        <w:rPr>
          <w:rFonts w:asciiTheme="majorHAnsi" w:eastAsia="Batang" w:hAnsiTheme="majorHAnsi"/>
          <w:b/>
          <w:bCs/>
        </w:rPr>
      </w:pPr>
      <w:r w:rsidRPr="00F21FBD">
        <w:rPr>
          <w:rFonts w:asciiTheme="majorHAnsi" w:hAnsiTheme="majorHAnsi"/>
          <w:b/>
        </w:rPr>
        <w:t>Budget de l’ICCAT</w:t>
      </w:r>
    </w:p>
    <w:p w14:paraId="252B8DDB" w14:textId="75A356C1" w:rsidR="004B6FC0" w:rsidRPr="00F21FBD" w:rsidRDefault="004B6FC0" w:rsidP="00EC7B0C">
      <w:pPr>
        <w:tabs>
          <w:tab w:val="left" w:pos="340"/>
        </w:tabs>
        <w:jc w:val="center"/>
        <w:rPr>
          <w:rFonts w:asciiTheme="majorHAnsi" w:eastAsia="Batang" w:hAnsiTheme="majorHAnsi"/>
        </w:rPr>
      </w:pPr>
      <w:bookmarkStart w:id="1" w:name="_MON_1382445624"/>
      <w:bookmarkStart w:id="2" w:name="_MON_1382445912"/>
      <w:bookmarkStart w:id="3" w:name="_MON_1382445960"/>
      <w:bookmarkStart w:id="4" w:name="_MON_1382190064"/>
      <w:bookmarkStart w:id="5" w:name="_MON_1382190465"/>
      <w:bookmarkStart w:id="6" w:name="_MON_1382190759"/>
      <w:bookmarkStart w:id="7" w:name="_MON_1382190783"/>
      <w:bookmarkStart w:id="8" w:name="_MON_1382190871"/>
      <w:bookmarkStart w:id="9" w:name="_MON_1382191382"/>
      <w:bookmarkStart w:id="10" w:name="_MON_1382189890"/>
      <w:bookmarkEnd w:id="1"/>
      <w:bookmarkEnd w:id="2"/>
      <w:bookmarkEnd w:id="3"/>
      <w:bookmarkEnd w:id="4"/>
      <w:bookmarkEnd w:id="5"/>
      <w:bookmarkEnd w:id="6"/>
      <w:bookmarkEnd w:id="7"/>
      <w:bookmarkEnd w:id="8"/>
      <w:bookmarkEnd w:id="9"/>
      <w:bookmarkEnd w:id="10"/>
    </w:p>
    <w:bookmarkStart w:id="11" w:name="_Hlk24825532"/>
    <w:bookmarkStart w:id="12" w:name="_MON_1382445684"/>
    <w:bookmarkEnd w:id="12"/>
    <w:p w14:paraId="6AB88558" w14:textId="5260DA5D" w:rsidR="000F4DA4" w:rsidRPr="00F21FBD" w:rsidRDefault="002A69C0" w:rsidP="00AC7242">
      <w:pPr>
        <w:tabs>
          <w:tab w:val="left" w:pos="340"/>
        </w:tabs>
        <w:rPr>
          <w:rFonts w:asciiTheme="majorHAnsi" w:eastAsia="Batang" w:hAnsiTheme="majorHAnsi"/>
        </w:rPr>
      </w:pPr>
      <w:r w:rsidRPr="00CF5784">
        <w:rPr>
          <w:rFonts w:asciiTheme="majorHAnsi" w:eastAsia="Batang" w:hAnsiTheme="majorHAnsi"/>
        </w:rPr>
        <w:object w:dxaOrig="9117" w:dyaOrig="8168" w14:anchorId="3D2AE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6pt;height:357.9pt" o:ole="">
            <v:imagedata r:id="rId8" o:title=""/>
          </v:shape>
          <o:OLEObject Type="Embed" ProgID="Excel.Sheet.12" ShapeID="_x0000_i1025" DrawAspect="Content" ObjectID="_1824551093" r:id="rId9"/>
        </w:object>
      </w:r>
      <w:bookmarkEnd w:id="11"/>
    </w:p>
    <w:p w14:paraId="330EB765" w14:textId="77777777" w:rsidR="0060456C" w:rsidRPr="00F21FBD" w:rsidRDefault="0060456C" w:rsidP="00AC7242">
      <w:pPr>
        <w:tabs>
          <w:tab w:val="left" w:pos="340"/>
        </w:tabs>
        <w:rPr>
          <w:rFonts w:asciiTheme="majorHAnsi" w:hAnsiTheme="majorHAnsi"/>
        </w:rPr>
      </w:pPr>
    </w:p>
    <w:p w14:paraId="12EDD185" w14:textId="17AF16E9" w:rsidR="00135F96" w:rsidRPr="00F21FBD" w:rsidRDefault="00AC7242" w:rsidP="00AC7242">
      <w:pPr>
        <w:tabs>
          <w:tab w:val="left" w:pos="340"/>
        </w:tabs>
        <w:rPr>
          <w:rFonts w:asciiTheme="majorHAnsi" w:eastAsia="Batang" w:hAnsiTheme="majorHAnsi"/>
        </w:rPr>
      </w:pPr>
      <w:r w:rsidRPr="00F21FBD">
        <w:rPr>
          <w:rFonts w:asciiTheme="majorHAnsi" w:hAnsiTheme="majorHAnsi"/>
        </w:rPr>
        <w:t xml:space="preserve">Lors des dernières réunions de la Commission, le Comité permanent pour les finances et l'administration (STACFAD) a souligné qu'il était d'une grande importance que toutes les Parties contractantes respectent leurs obligations budgétaires afin d’assurer le bon fonctionnement de la Commission, exprimant sa préoccupation devant l'absence de paiement des Parties contractantes qui ont des arriérés de contribution. </w:t>
      </w:r>
    </w:p>
    <w:p w14:paraId="254792FC" w14:textId="45DE8B5D" w:rsidR="004557D4" w:rsidRPr="00F21FBD" w:rsidRDefault="004557D4" w:rsidP="00AC7242">
      <w:pPr>
        <w:tabs>
          <w:tab w:val="left" w:pos="340"/>
        </w:tabs>
        <w:rPr>
          <w:rFonts w:asciiTheme="majorHAnsi" w:eastAsia="Batang" w:hAnsiTheme="majorHAnsi"/>
        </w:rPr>
      </w:pPr>
    </w:p>
    <w:p w14:paraId="1C775929" w14:textId="08CB11F0" w:rsidR="00B01391" w:rsidRPr="00F21FBD" w:rsidRDefault="000E1A3F" w:rsidP="00AC7242">
      <w:pPr>
        <w:tabs>
          <w:tab w:val="left" w:pos="340"/>
        </w:tabs>
        <w:rPr>
          <w:rFonts w:asciiTheme="majorHAnsi" w:eastAsia="Batang" w:hAnsiTheme="majorHAnsi"/>
        </w:rPr>
      </w:pPr>
      <w:r w:rsidRPr="00F21FBD">
        <w:rPr>
          <w:rFonts w:asciiTheme="majorHAnsi" w:hAnsiTheme="majorHAnsi"/>
        </w:rPr>
        <w:t>C'est pour cette raison qu'en 202</w:t>
      </w:r>
      <w:r w:rsidR="00D7707B" w:rsidRPr="00F21FBD">
        <w:rPr>
          <w:rFonts w:asciiTheme="majorHAnsi" w:hAnsiTheme="majorHAnsi"/>
        </w:rPr>
        <w:t>5</w:t>
      </w:r>
      <w:r w:rsidRPr="00F21FBD">
        <w:rPr>
          <w:rFonts w:asciiTheme="majorHAnsi" w:hAnsiTheme="majorHAnsi"/>
        </w:rPr>
        <w:t xml:space="preserve">, il convient de signaler que le Secrétariat a continué d'appliquer les pratiques adoptées au cours des dernières années d'envoyer deux lettres annuelles de </w:t>
      </w:r>
      <w:r w:rsidRPr="0071359C">
        <w:rPr>
          <w:rFonts w:asciiTheme="majorHAnsi" w:hAnsiTheme="majorHAnsi"/>
        </w:rPr>
        <w:t xml:space="preserve">rappel </w:t>
      </w:r>
      <w:r w:rsidR="005B3082" w:rsidRPr="0071359C">
        <w:rPr>
          <w:rFonts w:asciiTheme="majorHAnsi" w:hAnsiTheme="majorHAnsi"/>
        </w:rPr>
        <w:t xml:space="preserve">(en juillet et en octobre) </w:t>
      </w:r>
      <w:r w:rsidRPr="0071359C">
        <w:rPr>
          <w:rFonts w:asciiTheme="majorHAnsi" w:hAnsiTheme="majorHAnsi"/>
        </w:rPr>
        <w:t>aux Parties contractantes ayant des arriérés de contributions qui n'ont pas</w:t>
      </w:r>
      <w:r w:rsidRPr="00F21FBD">
        <w:rPr>
          <w:rFonts w:asciiTheme="majorHAnsi" w:hAnsiTheme="majorHAnsi"/>
        </w:rPr>
        <w:t xml:space="preserve"> rempli leurs obligations budgétaires.</w:t>
      </w:r>
    </w:p>
    <w:p w14:paraId="231653FE" w14:textId="1BBFD9D1" w:rsidR="004E16D8" w:rsidRPr="00F21FBD" w:rsidRDefault="004E16D8" w:rsidP="00AC7242">
      <w:pPr>
        <w:tabs>
          <w:tab w:val="left" w:pos="340"/>
        </w:tabs>
        <w:rPr>
          <w:rFonts w:asciiTheme="majorHAnsi" w:eastAsia="Batang" w:hAnsiTheme="majorHAnsi"/>
        </w:rPr>
      </w:pPr>
    </w:p>
    <w:p w14:paraId="501B975B" w14:textId="5C4B52B5" w:rsidR="007555FE" w:rsidRPr="00F21FBD" w:rsidRDefault="00AC60F5">
      <w:pPr>
        <w:tabs>
          <w:tab w:val="left" w:pos="340"/>
        </w:tabs>
        <w:rPr>
          <w:rFonts w:asciiTheme="majorHAnsi" w:eastAsia="Batang" w:hAnsiTheme="majorHAnsi"/>
        </w:rPr>
      </w:pPr>
      <w:r w:rsidRPr="00F21FBD">
        <w:rPr>
          <w:rFonts w:asciiTheme="majorHAnsi" w:hAnsiTheme="majorHAnsi"/>
        </w:rPr>
        <w:t xml:space="preserve">À l'heure actuelle, le nombre de Parties contractantes ayant des arriérés de contributions reste très élevé. Au moment de la rédaction du présent rapport, le montant total des arriérés s'élève à </w:t>
      </w:r>
      <w:r w:rsidR="00852C11" w:rsidRPr="00662D2A">
        <w:rPr>
          <w:rFonts w:asciiTheme="majorHAnsi" w:hAnsiTheme="majorHAnsi"/>
          <w:b/>
          <w:bCs/>
          <w:u w:val="single"/>
        </w:rPr>
        <w:t>2.243.838,39</w:t>
      </w:r>
      <w:r w:rsidR="0094526F" w:rsidRPr="00F21FBD">
        <w:rPr>
          <w:rFonts w:asciiTheme="majorHAnsi" w:hAnsiTheme="majorHAnsi"/>
          <w:b/>
        </w:rPr>
        <w:t xml:space="preserve"> </w:t>
      </w:r>
      <w:r w:rsidRPr="00F21FBD">
        <w:rPr>
          <w:rFonts w:asciiTheme="majorHAnsi" w:hAnsiTheme="majorHAnsi"/>
          <w:b/>
          <w:bCs/>
        </w:rPr>
        <w:t>euros</w:t>
      </w:r>
      <w:r w:rsidRPr="00F21FBD">
        <w:rPr>
          <w:rFonts w:asciiTheme="majorHAnsi" w:hAnsiTheme="majorHAnsi"/>
        </w:rPr>
        <w:t xml:space="preserve">, ce qui représente </w:t>
      </w:r>
      <w:r w:rsidR="002A69C0" w:rsidRPr="00662D2A">
        <w:rPr>
          <w:rFonts w:asciiTheme="majorHAnsi" w:hAnsiTheme="majorHAnsi"/>
          <w:u w:val="single"/>
        </w:rPr>
        <w:t>37,44</w:t>
      </w:r>
      <w:r w:rsidRPr="00F21FBD">
        <w:rPr>
          <w:rFonts w:asciiTheme="majorHAnsi" w:hAnsiTheme="majorHAnsi"/>
        </w:rPr>
        <w:t>% du budget 202</w:t>
      </w:r>
      <w:r w:rsidR="00313F14" w:rsidRPr="00F21FBD">
        <w:rPr>
          <w:rFonts w:asciiTheme="majorHAnsi" w:hAnsiTheme="majorHAnsi"/>
        </w:rPr>
        <w:t>5</w:t>
      </w:r>
      <w:r w:rsidRPr="00F21FBD">
        <w:rPr>
          <w:rFonts w:asciiTheme="majorHAnsi" w:hAnsiTheme="majorHAnsi"/>
        </w:rPr>
        <w:t>.</w:t>
      </w:r>
    </w:p>
    <w:p w14:paraId="5C7A5FED" w14:textId="325BC45F" w:rsidR="007555FE" w:rsidRPr="00F21FBD" w:rsidRDefault="007555FE">
      <w:pPr>
        <w:tabs>
          <w:tab w:val="left" w:pos="340"/>
        </w:tabs>
        <w:rPr>
          <w:rFonts w:asciiTheme="majorHAnsi" w:eastAsia="Batang" w:hAnsiTheme="majorHAnsi"/>
        </w:rPr>
      </w:pPr>
    </w:p>
    <w:p w14:paraId="05892BC9" w14:textId="77777777" w:rsidR="007555FE" w:rsidRPr="00F21FBD" w:rsidRDefault="007555FE">
      <w:pPr>
        <w:tabs>
          <w:tab w:val="left" w:pos="340"/>
        </w:tabs>
        <w:rPr>
          <w:rFonts w:asciiTheme="majorHAnsi" w:eastAsia="Batang" w:hAnsiTheme="majorHAnsi"/>
        </w:rPr>
      </w:pPr>
    </w:p>
    <w:p w14:paraId="47BB39B2" w14:textId="77777777" w:rsidR="00831990" w:rsidRPr="00F21FBD" w:rsidRDefault="00831990">
      <w:pPr>
        <w:jc w:val="left"/>
        <w:rPr>
          <w:rFonts w:ascii="Cambria" w:hAnsi="Cambria"/>
          <w:b/>
          <w:i/>
          <w:iCs/>
          <w:caps/>
        </w:rPr>
      </w:pPr>
      <w:r w:rsidRPr="00F21FBD">
        <w:br w:type="page"/>
      </w:r>
    </w:p>
    <w:p w14:paraId="094F4792" w14:textId="5A4E16EA" w:rsidR="007555FE" w:rsidRPr="00F21FBD" w:rsidRDefault="006C18FD" w:rsidP="0047174A">
      <w:pPr>
        <w:pStyle w:val="ListParagraph"/>
        <w:numPr>
          <w:ilvl w:val="0"/>
          <w:numId w:val="5"/>
        </w:numPr>
        <w:ind w:left="426" w:hanging="426"/>
        <w:rPr>
          <w:rFonts w:asciiTheme="majorHAnsi" w:hAnsiTheme="majorHAnsi"/>
          <w:b/>
          <w:caps/>
        </w:rPr>
      </w:pPr>
      <w:r w:rsidRPr="00F21FBD">
        <w:rPr>
          <w:rFonts w:asciiTheme="majorHAnsi" w:hAnsiTheme="majorHAnsi"/>
          <w:b/>
        </w:rPr>
        <w:lastRenderedPageBreak/>
        <w:t>Budget du système eBCD</w:t>
      </w:r>
    </w:p>
    <w:p w14:paraId="41795FD1" w14:textId="77777777" w:rsidR="007555FE" w:rsidRPr="00F21FBD" w:rsidRDefault="007555FE" w:rsidP="007555FE">
      <w:pPr>
        <w:rPr>
          <w:lang w:eastAsia="en-US"/>
        </w:rPr>
      </w:pPr>
    </w:p>
    <w:p w14:paraId="018C995C" w14:textId="52902C2A" w:rsidR="007555FE" w:rsidRPr="00F21FBD" w:rsidRDefault="003D252A">
      <w:pPr>
        <w:tabs>
          <w:tab w:val="left" w:pos="340"/>
        </w:tabs>
        <w:rPr>
          <w:rFonts w:asciiTheme="majorHAnsi" w:eastAsia="Batang" w:hAnsiTheme="majorHAnsi"/>
        </w:rPr>
      </w:pPr>
      <w:r w:rsidRPr="00F21FBD">
        <w:rPr>
          <w:rFonts w:asciiTheme="majorHAnsi" w:hAnsiTheme="majorHAnsi"/>
        </w:rPr>
        <w:t>Pour 2019, la Commission a approuvé la modification de l'article 4 du règlement financier et l'ajout d'un nouveau texte stipulant le financement du système de documentation électronique des captures de thon rouge, par le biais d'allocations budgétaires supplémentaires des membres de la Commission qui capturent et/ou qui commercialisent le thon rouge de l’Atlantique.</w:t>
      </w:r>
    </w:p>
    <w:p w14:paraId="7FFB3805" w14:textId="74E4BB9C" w:rsidR="003D252A" w:rsidRPr="00F21FBD" w:rsidRDefault="003D252A" w:rsidP="00776E69">
      <w:pPr>
        <w:tabs>
          <w:tab w:val="left" w:pos="340"/>
        </w:tabs>
        <w:jc w:val="center"/>
        <w:rPr>
          <w:rFonts w:asciiTheme="majorHAnsi" w:eastAsia="Batang" w:hAnsiTheme="majorHAnsi"/>
        </w:rPr>
      </w:pPr>
    </w:p>
    <w:p w14:paraId="05FE3D25" w14:textId="798B97A8" w:rsidR="003D252A" w:rsidRPr="00F21FBD" w:rsidRDefault="006C18FD">
      <w:pPr>
        <w:tabs>
          <w:tab w:val="left" w:pos="340"/>
        </w:tabs>
        <w:rPr>
          <w:rFonts w:asciiTheme="majorHAnsi" w:eastAsia="Batang" w:hAnsiTheme="majorHAnsi"/>
        </w:rPr>
      </w:pPr>
      <w:r w:rsidRPr="00F21FBD">
        <w:rPr>
          <w:rFonts w:asciiTheme="majorHAnsi" w:hAnsiTheme="majorHAnsi"/>
        </w:rPr>
        <w:t>Au moment de la rédaction du présent document, deux Parties contractantes (la Libye et la Syrie) sont en situation d'arriérés de contributions de deux ans ou plus.</w:t>
      </w:r>
    </w:p>
    <w:p w14:paraId="22073B71" w14:textId="1B9AF52E" w:rsidR="008E7DE1" w:rsidRPr="00F21FBD" w:rsidRDefault="008E7DE1">
      <w:pPr>
        <w:tabs>
          <w:tab w:val="left" w:pos="340"/>
        </w:tabs>
        <w:rPr>
          <w:rFonts w:asciiTheme="majorHAnsi" w:eastAsia="Batang" w:hAnsiTheme="majorHAnsi"/>
        </w:rPr>
      </w:pPr>
    </w:p>
    <w:bookmarkStart w:id="13" w:name="_MON_1697613518"/>
    <w:bookmarkEnd w:id="13"/>
    <w:p w14:paraId="5A09E821" w14:textId="04B36A4B" w:rsidR="008E7DE1" w:rsidRPr="00F21FBD" w:rsidRDefault="00373FE5" w:rsidP="00FC77BB">
      <w:pPr>
        <w:tabs>
          <w:tab w:val="left" w:pos="340"/>
        </w:tabs>
        <w:jc w:val="center"/>
        <w:rPr>
          <w:rFonts w:asciiTheme="majorHAnsi" w:eastAsia="Batang" w:hAnsiTheme="majorHAnsi"/>
        </w:rPr>
      </w:pPr>
      <w:r w:rsidRPr="00F21FBD">
        <w:rPr>
          <w:rFonts w:asciiTheme="majorHAnsi" w:eastAsia="Batang" w:hAnsiTheme="majorHAnsi"/>
        </w:rPr>
        <w:object w:dxaOrig="9467" w:dyaOrig="1891" w14:anchorId="33A92B3E">
          <v:shape id="_x0000_i1026" type="#_x0000_t75" style="width:472.15pt;height:94.85pt" o:ole="">
            <v:imagedata r:id="rId10" o:title=""/>
          </v:shape>
          <o:OLEObject Type="Embed" ProgID="Excel.Sheet.12" ShapeID="_x0000_i1026" DrawAspect="Content" ObjectID="_1824551094" r:id="rId11"/>
        </w:object>
      </w:r>
    </w:p>
    <w:p w14:paraId="41FA7DFD" w14:textId="008A727A" w:rsidR="008E7DE1" w:rsidRPr="00F21FBD" w:rsidRDefault="008E7DE1">
      <w:pPr>
        <w:tabs>
          <w:tab w:val="left" w:pos="340"/>
        </w:tabs>
        <w:rPr>
          <w:rFonts w:asciiTheme="majorHAnsi" w:eastAsia="Batang" w:hAnsiTheme="majorHAnsi"/>
        </w:rPr>
      </w:pPr>
    </w:p>
    <w:p w14:paraId="5A5657DC" w14:textId="1620D1DC" w:rsidR="008E7DE1" w:rsidRPr="00F21FBD" w:rsidRDefault="00AB1DEE">
      <w:pPr>
        <w:tabs>
          <w:tab w:val="left" w:pos="340"/>
        </w:tabs>
        <w:rPr>
          <w:rFonts w:asciiTheme="majorHAnsi" w:eastAsia="Batang" w:hAnsiTheme="majorHAnsi"/>
        </w:rPr>
      </w:pPr>
      <w:r w:rsidRPr="00F21FBD">
        <w:rPr>
          <w:rFonts w:asciiTheme="majorHAnsi" w:hAnsiTheme="majorHAnsi"/>
        </w:rPr>
        <w:t xml:space="preserve">Les contributions de l'ICCAT s'élèvent à </w:t>
      </w:r>
      <w:r w:rsidRPr="00F21FBD">
        <w:rPr>
          <w:rFonts w:asciiTheme="majorHAnsi" w:hAnsiTheme="majorHAnsi"/>
          <w:b/>
          <w:bCs/>
        </w:rPr>
        <w:t>17.</w:t>
      </w:r>
      <w:r w:rsidR="00DD6E59" w:rsidRPr="00F21FBD">
        <w:rPr>
          <w:rFonts w:asciiTheme="majorHAnsi" w:hAnsiTheme="majorHAnsi"/>
          <w:b/>
          <w:bCs/>
        </w:rPr>
        <w:t>137,78</w:t>
      </w:r>
      <w:r w:rsidRPr="00F21FBD">
        <w:rPr>
          <w:rFonts w:asciiTheme="majorHAnsi" w:hAnsiTheme="majorHAnsi"/>
          <w:b/>
          <w:bCs/>
        </w:rPr>
        <w:t xml:space="preserve"> euros</w:t>
      </w:r>
      <w:r w:rsidRPr="00F21FBD">
        <w:rPr>
          <w:rFonts w:asciiTheme="majorHAnsi" w:hAnsiTheme="majorHAnsi"/>
        </w:rPr>
        <w:t xml:space="preserve">, ce qui représente </w:t>
      </w:r>
      <w:r w:rsidR="00DD6E59" w:rsidRPr="00F21FBD">
        <w:rPr>
          <w:rFonts w:asciiTheme="majorHAnsi" w:hAnsiTheme="majorHAnsi"/>
        </w:rPr>
        <w:t>3</w:t>
      </w:r>
      <w:r w:rsidRPr="00F21FBD">
        <w:rPr>
          <w:rFonts w:asciiTheme="majorHAnsi" w:hAnsiTheme="majorHAnsi"/>
        </w:rPr>
        <w:t>,</w:t>
      </w:r>
      <w:r w:rsidR="00DD6E59" w:rsidRPr="00F21FBD">
        <w:rPr>
          <w:rFonts w:asciiTheme="majorHAnsi" w:hAnsiTheme="majorHAnsi"/>
        </w:rPr>
        <w:t>84</w:t>
      </w:r>
      <w:r w:rsidRPr="00F21FBD">
        <w:rPr>
          <w:rFonts w:asciiTheme="majorHAnsi" w:hAnsiTheme="majorHAnsi"/>
        </w:rPr>
        <w:t>% du budget de l'eBCD 202</w:t>
      </w:r>
      <w:r w:rsidR="00044C68" w:rsidRPr="00F21FBD">
        <w:rPr>
          <w:rFonts w:asciiTheme="majorHAnsi" w:hAnsiTheme="majorHAnsi"/>
        </w:rPr>
        <w:t>5</w:t>
      </w:r>
      <w:r w:rsidRPr="00F21FBD">
        <w:rPr>
          <w:rFonts w:asciiTheme="majorHAnsi" w:hAnsiTheme="majorHAnsi"/>
        </w:rPr>
        <w:t>.</w:t>
      </w:r>
    </w:p>
    <w:p w14:paraId="01F7D1E7" w14:textId="77777777" w:rsidR="009A3341" w:rsidRPr="00F21FBD" w:rsidRDefault="009A3341">
      <w:pPr>
        <w:tabs>
          <w:tab w:val="left" w:pos="340"/>
        </w:tabs>
        <w:rPr>
          <w:rFonts w:asciiTheme="majorHAnsi" w:eastAsia="Batang" w:hAnsiTheme="majorHAnsi"/>
        </w:rPr>
      </w:pPr>
    </w:p>
    <w:p w14:paraId="028C0B5F" w14:textId="77777777" w:rsidR="009A3341" w:rsidRPr="00F21FBD" w:rsidRDefault="009A3341">
      <w:pPr>
        <w:tabs>
          <w:tab w:val="left" w:pos="340"/>
        </w:tabs>
        <w:rPr>
          <w:rFonts w:asciiTheme="majorHAnsi" w:eastAsia="Batang" w:hAnsiTheme="majorHAnsi"/>
        </w:rPr>
      </w:pPr>
    </w:p>
    <w:p w14:paraId="32F428E6" w14:textId="3C52D283" w:rsidR="009A3341" w:rsidRPr="00F21FBD" w:rsidRDefault="006C18FD" w:rsidP="006C18FD">
      <w:pPr>
        <w:pStyle w:val="ListParagraph"/>
        <w:numPr>
          <w:ilvl w:val="0"/>
          <w:numId w:val="5"/>
        </w:numPr>
        <w:ind w:left="426" w:hanging="426"/>
        <w:rPr>
          <w:rFonts w:asciiTheme="majorHAnsi" w:hAnsiTheme="majorHAnsi"/>
          <w:b/>
          <w:bCs/>
          <w:caps/>
          <w:noProof/>
        </w:rPr>
      </w:pPr>
      <w:r w:rsidRPr="00F21FBD">
        <w:rPr>
          <w:rFonts w:asciiTheme="majorHAnsi" w:hAnsiTheme="majorHAnsi"/>
          <w:b/>
        </w:rPr>
        <w:t>Contributions et budget de l'ICCAT pour 202</w:t>
      </w:r>
      <w:r w:rsidR="00DD6E59" w:rsidRPr="00F21FBD">
        <w:rPr>
          <w:rFonts w:asciiTheme="majorHAnsi" w:hAnsiTheme="majorHAnsi"/>
          <w:b/>
        </w:rPr>
        <w:t>5</w:t>
      </w:r>
      <w:r w:rsidRPr="00F21FBD">
        <w:rPr>
          <w:rFonts w:asciiTheme="majorHAnsi" w:hAnsiTheme="majorHAnsi"/>
          <w:b/>
        </w:rPr>
        <w:t xml:space="preserve"> en tant que Parties, Entités ou Entités de pêche non contractantes coopérantes de l'ICCAT</w:t>
      </w:r>
    </w:p>
    <w:p w14:paraId="55D1132F" w14:textId="77777777" w:rsidR="009A3341" w:rsidRPr="00F21FBD" w:rsidRDefault="009A3341">
      <w:pPr>
        <w:tabs>
          <w:tab w:val="left" w:pos="340"/>
        </w:tabs>
        <w:rPr>
          <w:rFonts w:asciiTheme="majorHAnsi" w:hAnsiTheme="majorHAnsi"/>
          <w:b/>
          <w:bCs/>
          <w:i/>
          <w:iCs/>
          <w:caps/>
          <w:noProof/>
        </w:rPr>
      </w:pPr>
    </w:p>
    <w:p w14:paraId="16ACCD65" w14:textId="4C78DB72" w:rsidR="009A3341" w:rsidRPr="00F21FBD" w:rsidRDefault="009A3341" w:rsidP="009A3341">
      <w:pPr>
        <w:rPr>
          <w:rFonts w:asciiTheme="majorHAnsi" w:hAnsiTheme="majorHAnsi"/>
        </w:rPr>
      </w:pPr>
      <w:r w:rsidRPr="00F21FBD">
        <w:rPr>
          <w:rFonts w:asciiTheme="majorHAnsi" w:hAnsiTheme="majorHAnsi"/>
        </w:rPr>
        <w:t xml:space="preserve">La Commission, lors de sa réunion annuelle de 2021, a approuvé </w:t>
      </w:r>
      <w:r w:rsidRPr="0040522F">
        <w:rPr>
          <w:rFonts w:asciiTheme="majorHAnsi" w:hAnsiTheme="majorHAnsi"/>
        </w:rPr>
        <w:t xml:space="preserve">la </w:t>
      </w:r>
      <w:hyperlink r:id="rId12" w:history="1">
        <w:r w:rsidRPr="0040522F">
          <w:rPr>
            <w:rStyle w:val="Hyperlink"/>
            <w:rFonts w:asciiTheme="majorHAnsi" w:hAnsiTheme="majorHAnsi"/>
            <w:i/>
            <w:iCs/>
            <w:u w:val="none"/>
          </w:rPr>
          <w:t>Recommandation de l’ICCAT remplaçant la Recommandation 03-20 sur les critères visant à l’octroi du statut de Partie, Entité ou Entité de pêche non contractante coopérante à l’ICCAT</w:t>
        </w:r>
        <w:r w:rsidRPr="0040522F">
          <w:rPr>
            <w:rStyle w:val="Hyperlink"/>
            <w:rFonts w:asciiTheme="majorHAnsi" w:hAnsiTheme="majorHAnsi"/>
            <w:u w:val="none"/>
          </w:rPr>
          <w:t xml:space="preserve"> (Rec. 21-24)</w:t>
        </w:r>
      </w:hyperlink>
      <w:r w:rsidRPr="00F21FBD">
        <w:rPr>
          <w:rFonts w:asciiTheme="majorHAnsi" w:hAnsiTheme="majorHAnsi"/>
        </w:rPr>
        <w:t>, qui établit que tout aspirant au statut de Partie, Entité ou Entité de pêche non contractante coopérante devra confirmer son intention de verser une contribution financière annuelle volontaire et devra mettre tout en œuvre pour la fournir à partir de 2024, correspondant à au moins 50% du montant qu’elle devrait verser si elle devenait membre, conformément au</w:t>
      </w:r>
      <w:r w:rsidR="00981C29" w:rsidRPr="00F21FBD">
        <w:rPr>
          <w:rFonts w:asciiTheme="majorHAnsi" w:hAnsiTheme="majorHAnsi"/>
        </w:rPr>
        <w:t xml:space="preserve"> s</w:t>
      </w:r>
      <w:r w:rsidRPr="00F21FBD">
        <w:rPr>
          <w:rFonts w:asciiTheme="majorHAnsi" w:hAnsiTheme="majorHAnsi"/>
        </w:rPr>
        <w:t>chéma des contributions prévu à l'article X-2 de la Convention et à l’article 4-1 du Règlement</w:t>
      </w:r>
      <w:r w:rsidR="00981C29" w:rsidRPr="00F21FBD">
        <w:rPr>
          <w:rFonts w:asciiTheme="majorHAnsi" w:hAnsiTheme="majorHAnsi"/>
        </w:rPr>
        <w:t xml:space="preserve"> f</w:t>
      </w:r>
      <w:r w:rsidRPr="00F21FBD">
        <w:rPr>
          <w:rFonts w:asciiTheme="majorHAnsi" w:hAnsiTheme="majorHAnsi"/>
        </w:rPr>
        <w:t>inancier.</w:t>
      </w:r>
    </w:p>
    <w:p w14:paraId="71E86CF5" w14:textId="77777777" w:rsidR="009A3341" w:rsidRPr="00F21FBD" w:rsidRDefault="009A3341">
      <w:pPr>
        <w:tabs>
          <w:tab w:val="left" w:pos="340"/>
        </w:tabs>
        <w:rPr>
          <w:rFonts w:asciiTheme="majorHAnsi" w:eastAsia="Batang" w:hAnsiTheme="majorHAnsi"/>
        </w:rPr>
      </w:pPr>
    </w:p>
    <w:p w14:paraId="3777625B" w14:textId="2B63CDB6" w:rsidR="009A3341" w:rsidRPr="00F21FBD" w:rsidRDefault="009A3341">
      <w:pPr>
        <w:tabs>
          <w:tab w:val="left" w:pos="340"/>
        </w:tabs>
        <w:rPr>
          <w:rFonts w:asciiTheme="majorHAnsi" w:eastAsia="Batang" w:hAnsiTheme="majorHAnsi"/>
        </w:rPr>
      </w:pPr>
      <w:r w:rsidRPr="00F21FBD">
        <w:rPr>
          <w:rFonts w:asciiTheme="majorHAnsi" w:hAnsiTheme="majorHAnsi"/>
        </w:rPr>
        <w:t xml:space="preserve">À cet égard, des lettres contenant les montants des contributions volontaires ont été envoyées à la Bolivie, au Taipei chinois, au Costa Rica, au Guyana et au Suriname. </w:t>
      </w:r>
    </w:p>
    <w:p w14:paraId="4B1DE37E" w14:textId="77777777" w:rsidR="009A3341" w:rsidRPr="00F21FBD" w:rsidRDefault="009A3341">
      <w:pPr>
        <w:tabs>
          <w:tab w:val="left" w:pos="340"/>
        </w:tabs>
        <w:rPr>
          <w:rFonts w:asciiTheme="majorHAnsi" w:eastAsia="Batang" w:hAnsiTheme="majorHAnsi"/>
        </w:rPr>
      </w:pPr>
    </w:p>
    <w:p w14:paraId="0372F598" w14:textId="61E33D91" w:rsidR="009A3341" w:rsidRPr="00F21FBD" w:rsidRDefault="009C3504">
      <w:pPr>
        <w:tabs>
          <w:tab w:val="left" w:pos="340"/>
        </w:tabs>
        <w:rPr>
          <w:rFonts w:asciiTheme="majorHAnsi" w:eastAsia="Batang" w:hAnsiTheme="majorHAnsi"/>
        </w:rPr>
      </w:pPr>
      <w:r w:rsidRPr="00F21FBD">
        <w:rPr>
          <w:rFonts w:asciiTheme="majorHAnsi" w:hAnsiTheme="majorHAnsi"/>
        </w:rPr>
        <w:t xml:space="preserve">Le Taipei chinois et le Suriname ont envoyé leurs paiements, de sorte qu'au </w:t>
      </w:r>
      <w:r w:rsidR="002A69C0" w:rsidRPr="00662D2A">
        <w:rPr>
          <w:rFonts w:asciiTheme="majorHAnsi" w:hAnsiTheme="majorHAnsi"/>
          <w:u w:val="single"/>
        </w:rPr>
        <w:t>13 novembre</w:t>
      </w:r>
      <w:r w:rsidRPr="00F21FBD">
        <w:rPr>
          <w:rFonts w:asciiTheme="majorHAnsi" w:hAnsiTheme="majorHAnsi"/>
        </w:rPr>
        <w:t xml:space="preserve"> 202</w:t>
      </w:r>
      <w:r w:rsidR="00AB0283" w:rsidRPr="00F21FBD">
        <w:rPr>
          <w:rFonts w:asciiTheme="majorHAnsi" w:hAnsiTheme="majorHAnsi"/>
        </w:rPr>
        <w:t>5</w:t>
      </w:r>
      <w:r w:rsidRPr="00F21FBD">
        <w:rPr>
          <w:rFonts w:asciiTheme="majorHAnsi" w:hAnsiTheme="majorHAnsi"/>
        </w:rPr>
        <w:t>, seules les contributions volontaires de la Bolivie et du Guyana restent à recevoir.</w:t>
      </w:r>
    </w:p>
    <w:p w14:paraId="7364E02C" w14:textId="77777777" w:rsidR="00B24394" w:rsidRPr="00F21FBD" w:rsidRDefault="00B24394" w:rsidP="00B24394">
      <w:pPr>
        <w:tabs>
          <w:tab w:val="left" w:pos="340"/>
        </w:tabs>
        <w:rPr>
          <w:rFonts w:asciiTheme="majorHAnsi" w:eastAsia="Batang" w:hAnsiTheme="majorHAnsi"/>
        </w:rPr>
      </w:pPr>
    </w:p>
    <w:p w14:paraId="7FF8E6F3" w14:textId="0D659950" w:rsidR="00B24394" w:rsidRPr="00F21FBD" w:rsidRDefault="00B24394" w:rsidP="00B24394">
      <w:pPr>
        <w:tabs>
          <w:tab w:val="left" w:pos="340"/>
        </w:tabs>
        <w:jc w:val="center"/>
        <w:rPr>
          <w:rFonts w:asciiTheme="majorHAnsi" w:eastAsia="Batang" w:hAnsiTheme="majorHAnsi"/>
        </w:rPr>
      </w:pPr>
    </w:p>
    <w:bookmarkStart w:id="14" w:name="_MON_1791871200"/>
    <w:bookmarkEnd w:id="14"/>
    <w:p w14:paraId="0AC0F8EF" w14:textId="2CAF94FC" w:rsidR="00B24394" w:rsidRPr="00D51F1F" w:rsidRDefault="00764AAA" w:rsidP="00B24394">
      <w:pPr>
        <w:tabs>
          <w:tab w:val="left" w:pos="340"/>
        </w:tabs>
        <w:rPr>
          <w:rFonts w:asciiTheme="majorHAnsi" w:eastAsia="Batang" w:hAnsiTheme="majorHAnsi"/>
        </w:rPr>
      </w:pPr>
      <w:r w:rsidRPr="00F21FBD">
        <w:rPr>
          <w:rFonts w:asciiTheme="majorHAnsi" w:eastAsia="Batang" w:hAnsiTheme="majorHAnsi"/>
        </w:rPr>
        <w:object w:dxaOrig="9467" w:dyaOrig="1431" w14:anchorId="42E8F5F0">
          <v:shape id="_x0000_i1027" type="#_x0000_t75" style="width:474.9pt;height:71.3pt" o:ole="">
            <v:imagedata r:id="rId13" o:title=""/>
          </v:shape>
          <o:OLEObject Type="Embed" ProgID="Excel.Sheet.12" ShapeID="_x0000_i1027" DrawAspect="Content" ObjectID="_1824551095" r:id="rId14"/>
        </w:object>
      </w:r>
    </w:p>
    <w:p w14:paraId="0C37D4AE" w14:textId="77777777" w:rsidR="00B24394" w:rsidRPr="00D51F1F" w:rsidRDefault="00B24394" w:rsidP="00B24394">
      <w:pPr>
        <w:tabs>
          <w:tab w:val="left" w:pos="340"/>
        </w:tabs>
        <w:rPr>
          <w:rFonts w:asciiTheme="majorHAnsi" w:eastAsia="Batang" w:hAnsiTheme="majorHAnsi"/>
        </w:rPr>
      </w:pPr>
    </w:p>
    <w:sectPr w:rsidR="00B24394" w:rsidRPr="00D51F1F" w:rsidSect="00333C63">
      <w:headerReference w:type="default" r:id="rId15"/>
      <w:footerReference w:type="default" r:id="rId16"/>
      <w:pgSz w:w="11907" w:h="16840" w:code="9"/>
      <w:pgMar w:top="1134" w:right="1418" w:bottom="851" w:left="1418"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C55F" w14:textId="77777777" w:rsidR="00F74166" w:rsidRDefault="00F74166">
      <w:r>
        <w:separator/>
      </w:r>
    </w:p>
  </w:endnote>
  <w:endnote w:type="continuationSeparator" w:id="0">
    <w:p w14:paraId="492FB2D8" w14:textId="77777777" w:rsidR="00F74166" w:rsidRDefault="00F7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66DF" w14:textId="2A2EFBDC" w:rsidR="000B7D8E" w:rsidRPr="005C164A" w:rsidRDefault="005868BD" w:rsidP="00C227DE">
    <w:pPr>
      <w:pStyle w:val="Footer"/>
      <w:jc w:val="center"/>
      <w:rPr>
        <w:rFonts w:asciiTheme="majorHAnsi" w:hAnsiTheme="majorHAnsi"/>
      </w:rPr>
    </w:pPr>
    <w:r w:rsidRPr="005C164A">
      <w:rPr>
        <w:rFonts w:asciiTheme="majorHAnsi" w:hAnsiTheme="majorHAnsi"/>
      </w:rPr>
      <w:fldChar w:fldCharType="begin"/>
    </w:r>
    <w:r w:rsidR="00FF0D12" w:rsidRPr="005C164A">
      <w:rPr>
        <w:rFonts w:asciiTheme="majorHAnsi" w:hAnsiTheme="majorHAnsi"/>
      </w:rPr>
      <w:instrText xml:space="preserve"> PAGE </w:instrText>
    </w:r>
    <w:r w:rsidRPr="005C164A">
      <w:rPr>
        <w:rFonts w:asciiTheme="majorHAnsi" w:hAnsiTheme="majorHAnsi"/>
      </w:rPr>
      <w:fldChar w:fldCharType="separate"/>
    </w:r>
    <w:r w:rsidR="00FF6F08">
      <w:rPr>
        <w:rFonts w:asciiTheme="majorHAnsi" w:hAnsiTheme="majorHAnsi"/>
      </w:rPr>
      <w:t>1</w:t>
    </w:r>
    <w:r w:rsidRPr="005C164A">
      <w:rPr>
        <w:rFonts w:asciiTheme="majorHAnsi" w:hAnsiTheme="majorHAnsi"/>
      </w:rPr>
      <w:fldChar w:fldCharType="end"/>
    </w:r>
    <w:r>
      <w:rPr>
        <w:rFonts w:asciiTheme="majorHAnsi" w:hAnsiTheme="majorHAnsi"/>
      </w:rPr>
      <w:t>/</w:t>
    </w:r>
    <w:r w:rsidRPr="005C164A">
      <w:rPr>
        <w:rFonts w:asciiTheme="majorHAnsi" w:hAnsiTheme="majorHAnsi"/>
      </w:rPr>
      <w:fldChar w:fldCharType="begin"/>
    </w:r>
    <w:r w:rsidR="00FF0D12" w:rsidRPr="005C164A">
      <w:rPr>
        <w:rFonts w:asciiTheme="majorHAnsi" w:hAnsiTheme="majorHAnsi"/>
      </w:rPr>
      <w:instrText xml:space="preserve"> NUMPAGES </w:instrText>
    </w:r>
    <w:r w:rsidRPr="005C164A">
      <w:rPr>
        <w:rFonts w:asciiTheme="majorHAnsi" w:hAnsiTheme="majorHAnsi"/>
      </w:rPr>
      <w:fldChar w:fldCharType="separate"/>
    </w:r>
    <w:r w:rsidR="00FF6F08">
      <w:rPr>
        <w:rFonts w:asciiTheme="majorHAnsi" w:hAnsiTheme="majorHAnsi"/>
      </w:rPr>
      <w:t>2</w:t>
    </w:r>
    <w:r w:rsidRPr="005C164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A0F05" w14:textId="77777777" w:rsidR="00F74166" w:rsidRDefault="00F74166">
      <w:r>
        <w:separator/>
      </w:r>
    </w:p>
  </w:footnote>
  <w:footnote w:type="continuationSeparator" w:id="0">
    <w:p w14:paraId="19A192A2" w14:textId="77777777" w:rsidR="00F74166" w:rsidRDefault="00F74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1C0A" w14:textId="618C0DB3" w:rsidR="007A0C7A" w:rsidRPr="00776E69" w:rsidRDefault="007A0C7A" w:rsidP="007A0C7A">
    <w:pPr>
      <w:tabs>
        <w:tab w:val="center" w:pos="4680"/>
        <w:tab w:val="left" w:pos="6520"/>
        <w:tab w:val="right" w:pos="9360"/>
        <w:tab w:val="right" w:pos="14240"/>
      </w:tabs>
      <w:jc w:val="right"/>
      <w:rPr>
        <w:rFonts w:ascii="Cambria" w:eastAsia="Calibri" w:hAnsi="Cambria"/>
        <w:b/>
        <w:bCs/>
      </w:rPr>
    </w:pPr>
    <w:r>
      <w:rPr>
        <w:rFonts w:ascii="Cambria" w:hAnsi="Cambria"/>
        <w:b/>
      </w:rPr>
      <w:t>STF_205</w:t>
    </w:r>
    <w:r w:rsidR="002A69C0">
      <w:rPr>
        <w:rFonts w:ascii="Cambria" w:hAnsi="Cambria"/>
        <w:b/>
      </w:rPr>
      <w:t>_REV_1</w:t>
    </w:r>
    <w:r>
      <w:rPr>
        <w:rFonts w:ascii="Cambria" w:hAnsi="Cambria"/>
        <w:b/>
      </w:rPr>
      <w:t>/202</w:t>
    </w:r>
    <w:r w:rsidR="00B34E9D">
      <w:rPr>
        <w:rFonts w:ascii="Cambria" w:hAnsi="Cambria"/>
        <w:b/>
      </w:rPr>
      <w:t>5</w:t>
    </w:r>
  </w:p>
  <w:p w14:paraId="707C55AA" w14:textId="3EBCB8DA" w:rsidR="007A0C7A" w:rsidRPr="007A0C7A" w:rsidRDefault="007A0C7A" w:rsidP="007A0C7A">
    <w:pPr>
      <w:tabs>
        <w:tab w:val="left" w:pos="7320"/>
      </w:tabs>
      <w:spacing w:line="240" w:lineRule="exact"/>
      <w:jc w:val="right"/>
      <w:rPr>
        <w:rFonts w:eastAsia="Times New Roman"/>
        <w:szCs w:val="24"/>
      </w:rPr>
    </w:pPr>
    <w:r w:rsidRPr="00776E69">
      <w:rPr>
        <w:rFonts w:ascii="Cambria" w:eastAsia="Times New Roman" w:hAnsi="Cambria"/>
        <w:b/>
        <w:sz w:val="16"/>
      </w:rPr>
      <w:fldChar w:fldCharType="begin"/>
    </w:r>
    <w:r w:rsidRPr="00776E69">
      <w:rPr>
        <w:rFonts w:ascii="Cambria" w:eastAsia="Times New Roman" w:hAnsi="Cambria"/>
        <w:b/>
        <w:sz w:val="16"/>
      </w:rPr>
      <w:instrText xml:space="preserve"> TIME \@ "dd/MM/yyyy H:mm" </w:instrText>
    </w:r>
    <w:r w:rsidRPr="00776E69">
      <w:rPr>
        <w:rFonts w:ascii="Cambria" w:eastAsia="Times New Roman" w:hAnsi="Cambria"/>
        <w:b/>
        <w:sz w:val="16"/>
      </w:rPr>
      <w:fldChar w:fldCharType="separate"/>
    </w:r>
    <w:r w:rsidR="00662D2A">
      <w:rPr>
        <w:rFonts w:ascii="Cambria" w:eastAsia="Times New Roman" w:hAnsi="Cambria"/>
        <w:b/>
        <w:noProof/>
        <w:sz w:val="16"/>
      </w:rPr>
      <w:t>13/11/2025 14:58</w:t>
    </w:r>
    <w:r w:rsidRPr="00776E69">
      <w:rPr>
        <w:rFonts w:ascii="Cambria" w:eastAsia="Times New Roman" w:hAnsi="Cambria"/>
        <w:b/>
        <w:bCs/>
        <w:sz w:val="16"/>
        <w:szCs w:val="16"/>
        <w:lang w:val="es-ES_tradnl"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6F3"/>
    <w:multiLevelType w:val="hybridMultilevel"/>
    <w:tmpl w:val="E5C2DE34"/>
    <w:lvl w:ilvl="0" w:tplc="4712EC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73C4A79"/>
    <w:multiLevelType w:val="hybridMultilevel"/>
    <w:tmpl w:val="C6FC2E9E"/>
    <w:lvl w:ilvl="0" w:tplc="CFCEC47E">
      <w:numFmt w:val="bullet"/>
      <w:lvlText w:val="-"/>
      <w:lvlJc w:val="left"/>
      <w:pPr>
        <w:tabs>
          <w:tab w:val="num" w:pos="720"/>
        </w:tabs>
        <w:ind w:left="720" w:hanging="360"/>
      </w:pPr>
      <w:rPr>
        <w:rFonts w:ascii="Times New Roman" w:eastAsia="Batang"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6C3A"/>
    <w:multiLevelType w:val="hybridMultilevel"/>
    <w:tmpl w:val="FB70C1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185425E"/>
    <w:multiLevelType w:val="hybridMultilevel"/>
    <w:tmpl w:val="D2F82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387650"/>
    <w:multiLevelType w:val="hybridMultilevel"/>
    <w:tmpl w:val="2DDEEB84"/>
    <w:lvl w:ilvl="0" w:tplc="B8148BE8">
      <w:start w:val="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561453505">
    <w:abstractNumId w:val="4"/>
  </w:num>
  <w:num w:numId="2" w16cid:durableId="3213467">
    <w:abstractNumId w:val="2"/>
  </w:num>
  <w:num w:numId="3" w16cid:durableId="1112213205">
    <w:abstractNumId w:val="0"/>
  </w:num>
  <w:num w:numId="4" w16cid:durableId="780495985">
    <w:abstractNumId w:val="1"/>
  </w:num>
  <w:num w:numId="5" w16cid:durableId="1963612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trackRevisions/>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E"/>
    <w:rsid w:val="00003AD7"/>
    <w:rsid w:val="0000505D"/>
    <w:rsid w:val="00010002"/>
    <w:rsid w:val="00011EC9"/>
    <w:rsid w:val="000132B1"/>
    <w:rsid w:val="0002727F"/>
    <w:rsid w:val="000303A6"/>
    <w:rsid w:val="000303DA"/>
    <w:rsid w:val="0003577C"/>
    <w:rsid w:val="0003598E"/>
    <w:rsid w:val="00036873"/>
    <w:rsid w:val="00036D10"/>
    <w:rsid w:val="00040E79"/>
    <w:rsid w:val="000415FB"/>
    <w:rsid w:val="000424C9"/>
    <w:rsid w:val="00044C68"/>
    <w:rsid w:val="000451E8"/>
    <w:rsid w:val="0004662A"/>
    <w:rsid w:val="00047691"/>
    <w:rsid w:val="00050BEA"/>
    <w:rsid w:val="00053E50"/>
    <w:rsid w:val="000542B2"/>
    <w:rsid w:val="00054702"/>
    <w:rsid w:val="00060717"/>
    <w:rsid w:val="00061F23"/>
    <w:rsid w:val="00062541"/>
    <w:rsid w:val="000655B1"/>
    <w:rsid w:val="00067269"/>
    <w:rsid w:val="000708DD"/>
    <w:rsid w:val="00072288"/>
    <w:rsid w:val="000733E1"/>
    <w:rsid w:val="00076D9F"/>
    <w:rsid w:val="0007773C"/>
    <w:rsid w:val="00083252"/>
    <w:rsid w:val="00084E0D"/>
    <w:rsid w:val="000978F4"/>
    <w:rsid w:val="00097FB5"/>
    <w:rsid w:val="000A1C69"/>
    <w:rsid w:val="000A279B"/>
    <w:rsid w:val="000A36E7"/>
    <w:rsid w:val="000B0B2C"/>
    <w:rsid w:val="000B1EC1"/>
    <w:rsid w:val="000B7D8E"/>
    <w:rsid w:val="000C0DF0"/>
    <w:rsid w:val="000C6CA0"/>
    <w:rsid w:val="000D235E"/>
    <w:rsid w:val="000D4F2D"/>
    <w:rsid w:val="000D5ED8"/>
    <w:rsid w:val="000D79BB"/>
    <w:rsid w:val="000E1A3F"/>
    <w:rsid w:val="000E1A65"/>
    <w:rsid w:val="000F4DA4"/>
    <w:rsid w:val="000F5369"/>
    <w:rsid w:val="000F647D"/>
    <w:rsid w:val="00100F69"/>
    <w:rsid w:val="001030C2"/>
    <w:rsid w:val="001042E9"/>
    <w:rsid w:val="00110494"/>
    <w:rsid w:val="001137F5"/>
    <w:rsid w:val="00116EC7"/>
    <w:rsid w:val="00117B4E"/>
    <w:rsid w:val="001225E4"/>
    <w:rsid w:val="0013085B"/>
    <w:rsid w:val="00131EEF"/>
    <w:rsid w:val="00133269"/>
    <w:rsid w:val="00135F96"/>
    <w:rsid w:val="00141B58"/>
    <w:rsid w:val="0014262E"/>
    <w:rsid w:val="00142A32"/>
    <w:rsid w:val="001432A5"/>
    <w:rsid w:val="001436FC"/>
    <w:rsid w:val="00147AFC"/>
    <w:rsid w:val="00155A8C"/>
    <w:rsid w:val="0016514B"/>
    <w:rsid w:val="00166B1D"/>
    <w:rsid w:val="00170CAA"/>
    <w:rsid w:val="001759E8"/>
    <w:rsid w:val="00176528"/>
    <w:rsid w:val="0018688B"/>
    <w:rsid w:val="001909D2"/>
    <w:rsid w:val="00190B89"/>
    <w:rsid w:val="00192263"/>
    <w:rsid w:val="00196382"/>
    <w:rsid w:val="00196C52"/>
    <w:rsid w:val="00197A6B"/>
    <w:rsid w:val="001A071B"/>
    <w:rsid w:val="001A33A5"/>
    <w:rsid w:val="001A62B3"/>
    <w:rsid w:val="001B43A6"/>
    <w:rsid w:val="001B4705"/>
    <w:rsid w:val="001C2F57"/>
    <w:rsid w:val="001C387E"/>
    <w:rsid w:val="001C3E20"/>
    <w:rsid w:val="001C45F0"/>
    <w:rsid w:val="001C57BC"/>
    <w:rsid w:val="001C7350"/>
    <w:rsid w:val="001D5DA8"/>
    <w:rsid w:val="001D6F41"/>
    <w:rsid w:val="001E05D4"/>
    <w:rsid w:val="001E6B8E"/>
    <w:rsid w:val="001F09B8"/>
    <w:rsid w:val="001F5014"/>
    <w:rsid w:val="001F5B05"/>
    <w:rsid w:val="00200DF9"/>
    <w:rsid w:val="00201C40"/>
    <w:rsid w:val="00201D3F"/>
    <w:rsid w:val="00201EFC"/>
    <w:rsid w:val="00202B90"/>
    <w:rsid w:val="00205532"/>
    <w:rsid w:val="00206084"/>
    <w:rsid w:val="002111F8"/>
    <w:rsid w:val="00211AE4"/>
    <w:rsid w:val="002340B8"/>
    <w:rsid w:val="00234B75"/>
    <w:rsid w:val="002354AC"/>
    <w:rsid w:val="002405C9"/>
    <w:rsid w:val="002436DA"/>
    <w:rsid w:val="002519DF"/>
    <w:rsid w:val="00253104"/>
    <w:rsid w:val="00255D6A"/>
    <w:rsid w:val="002577EC"/>
    <w:rsid w:val="00261B76"/>
    <w:rsid w:val="00262B2B"/>
    <w:rsid w:val="00265815"/>
    <w:rsid w:val="00271FAE"/>
    <w:rsid w:val="00272445"/>
    <w:rsid w:val="00274C4D"/>
    <w:rsid w:val="00281636"/>
    <w:rsid w:val="00284998"/>
    <w:rsid w:val="00284C59"/>
    <w:rsid w:val="00296353"/>
    <w:rsid w:val="002A314D"/>
    <w:rsid w:val="002A3C93"/>
    <w:rsid w:val="002A6028"/>
    <w:rsid w:val="002A617D"/>
    <w:rsid w:val="002A69C0"/>
    <w:rsid w:val="002A7FEE"/>
    <w:rsid w:val="002B2056"/>
    <w:rsid w:val="002B332E"/>
    <w:rsid w:val="002B72F0"/>
    <w:rsid w:val="002C12E9"/>
    <w:rsid w:val="002C2E06"/>
    <w:rsid w:val="002D2F0A"/>
    <w:rsid w:val="002D2FB4"/>
    <w:rsid w:val="002D39F6"/>
    <w:rsid w:val="002E0477"/>
    <w:rsid w:val="002E0779"/>
    <w:rsid w:val="002E2C45"/>
    <w:rsid w:val="002E347E"/>
    <w:rsid w:val="002E41A9"/>
    <w:rsid w:val="002E4C1F"/>
    <w:rsid w:val="002F1489"/>
    <w:rsid w:val="002F2A4E"/>
    <w:rsid w:val="002F57A7"/>
    <w:rsid w:val="002F6783"/>
    <w:rsid w:val="00302AB5"/>
    <w:rsid w:val="0030400C"/>
    <w:rsid w:val="00304D59"/>
    <w:rsid w:val="00305093"/>
    <w:rsid w:val="003068CF"/>
    <w:rsid w:val="00306F48"/>
    <w:rsid w:val="00310248"/>
    <w:rsid w:val="00310A0F"/>
    <w:rsid w:val="00313EFE"/>
    <w:rsid w:val="00313F14"/>
    <w:rsid w:val="00317129"/>
    <w:rsid w:val="003171E3"/>
    <w:rsid w:val="0032225A"/>
    <w:rsid w:val="00324095"/>
    <w:rsid w:val="0032530E"/>
    <w:rsid w:val="003257E0"/>
    <w:rsid w:val="00325D77"/>
    <w:rsid w:val="00326FA4"/>
    <w:rsid w:val="00330BE3"/>
    <w:rsid w:val="00333C63"/>
    <w:rsid w:val="00334470"/>
    <w:rsid w:val="003414C8"/>
    <w:rsid w:val="0034395E"/>
    <w:rsid w:val="003526D8"/>
    <w:rsid w:val="00355D87"/>
    <w:rsid w:val="00356DF6"/>
    <w:rsid w:val="00361AA7"/>
    <w:rsid w:val="00362CC2"/>
    <w:rsid w:val="00373FE5"/>
    <w:rsid w:val="0037453F"/>
    <w:rsid w:val="0037678E"/>
    <w:rsid w:val="003778EC"/>
    <w:rsid w:val="00382104"/>
    <w:rsid w:val="00382D6A"/>
    <w:rsid w:val="00393CBF"/>
    <w:rsid w:val="00393E45"/>
    <w:rsid w:val="00394029"/>
    <w:rsid w:val="00394150"/>
    <w:rsid w:val="003946F3"/>
    <w:rsid w:val="00397174"/>
    <w:rsid w:val="003A1432"/>
    <w:rsid w:val="003B03C8"/>
    <w:rsid w:val="003B0F82"/>
    <w:rsid w:val="003B2976"/>
    <w:rsid w:val="003B6B5A"/>
    <w:rsid w:val="003C2371"/>
    <w:rsid w:val="003C2F16"/>
    <w:rsid w:val="003C3A46"/>
    <w:rsid w:val="003C5137"/>
    <w:rsid w:val="003C612A"/>
    <w:rsid w:val="003C6610"/>
    <w:rsid w:val="003D252A"/>
    <w:rsid w:val="003E0997"/>
    <w:rsid w:val="003E5BF0"/>
    <w:rsid w:val="003E6617"/>
    <w:rsid w:val="003F120C"/>
    <w:rsid w:val="003F18A3"/>
    <w:rsid w:val="003F25C5"/>
    <w:rsid w:val="003F2E5C"/>
    <w:rsid w:val="003F7E94"/>
    <w:rsid w:val="00400570"/>
    <w:rsid w:val="004016A0"/>
    <w:rsid w:val="00404943"/>
    <w:rsid w:val="0040522F"/>
    <w:rsid w:val="004068F8"/>
    <w:rsid w:val="00407290"/>
    <w:rsid w:val="0041704C"/>
    <w:rsid w:val="00423CDE"/>
    <w:rsid w:val="00426F4F"/>
    <w:rsid w:val="00443A4A"/>
    <w:rsid w:val="00443B7F"/>
    <w:rsid w:val="00444794"/>
    <w:rsid w:val="0044488B"/>
    <w:rsid w:val="004458F3"/>
    <w:rsid w:val="004465B8"/>
    <w:rsid w:val="00447428"/>
    <w:rsid w:val="0045185B"/>
    <w:rsid w:val="004545D5"/>
    <w:rsid w:val="004557D4"/>
    <w:rsid w:val="00456496"/>
    <w:rsid w:val="00456F10"/>
    <w:rsid w:val="0046265A"/>
    <w:rsid w:val="0047174A"/>
    <w:rsid w:val="004717B0"/>
    <w:rsid w:val="004728DE"/>
    <w:rsid w:val="00473653"/>
    <w:rsid w:val="004743A4"/>
    <w:rsid w:val="00477D48"/>
    <w:rsid w:val="00480ED7"/>
    <w:rsid w:val="00482C89"/>
    <w:rsid w:val="00485080"/>
    <w:rsid w:val="00486DEF"/>
    <w:rsid w:val="0049031E"/>
    <w:rsid w:val="004932A2"/>
    <w:rsid w:val="004946FC"/>
    <w:rsid w:val="004A0D4B"/>
    <w:rsid w:val="004A2241"/>
    <w:rsid w:val="004A7476"/>
    <w:rsid w:val="004B3CDB"/>
    <w:rsid w:val="004B3F68"/>
    <w:rsid w:val="004B6FC0"/>
    <w:rsid w:val="004D008B"/>
    <w:rsid w:val="004D0F45"/>
    <w:rsid w:val="004D40B8"/>
    <w:rsid w:val="004D4EFA"/>
    <w:rsid w:val="004D60F0"/>
    <w:rsid w:val="004D7E25"/>
    <w:rsid w:val="004E16D8"/>
    <w:rsid w:val="004E1D41"/>
    <w:rsid w:val="004F1296"/>
    <w:rsid w:val="004F12BC"/>
    <w:rsid w:val="004F2A80"/>
    <w:rsid w:val="004F50B8"/>
    <w:rsid w:val="004F637E"/>
    <w:rsid w:val="004F6924"/>
    <w:rsid w:val="004F7235"/>
    <w:rsid w:val="005011AA"/>
    <w:rsid w:val="005022B1"/>
    <w:rsid w:val="005026FB"/>
    <w:rsid w:val="005073BC"/>
    <w:rsid w:val="00510217"/>
    <w:rsid w:val="00510B5C"/>
    <w:rsid w:val="00511332"/>
    <w:rsid w:val="00512157"/>
    <w:rsid w:val="00512A36"/>
    <w:rsid w:val="00515126"/>
    <w:rsid w:val="0051752A"/>
    <w:rsid w:val="005178D8"/>
    <w:rsid w:val="00520929"/>
    <w:rsid w:val="00520D49"/>
    <w:rsid w:val="00523129"/>
    <w:rsid w:val="00525C49"/>
    <w:rsid w:val="005260B7"/>
    <w:rsid w:val="00526C8B"/>
    <w:rsid w:val="005303F7"/>
    <w:rsid w:val="00534B99"/>
    <w:rsid w:val="00536311"/>
    <w:rsid w:val="0053697B"/>
    <w:rsid w:val="00536F3D"/>
    <w:rsid w:val="005427FB"/>
    <w:rsid w:val="005445E1"/>
    <w:rsid w:val="0054584B"/>
    <w:rsid w:val="0055325F"/>
    <w:rsid w:val="0055712C"/>
    <w:rsid w:val="005571E9"/>
    <w:rsid w:val="00560194"/>
    <w:rsid w:val="005608C4"/>
    <w:rsid w:val="00560951"/>
    <w:rsid w:val="00564950"/>
    <w:rsid w:val="00565D83"/>
    <w:rsid w:val="00565EE8"/>
    <w:rsid w:val="005676E8"/>
    <w:rsid w:val="00570E32"/>
    <w:rsid w:val="00571E6B"/>
    <w:rsid w:val="005748E3"/>
    <w:rsid w:val="00574BA7"/>
    <w:rsid w:val="005840F2"/>
    <w:rsid w:val="00585425"/>
    <w:rsid w:val="005868BD"/>
    <w:rsid w:val="0059449B"/>
    <w:rsid w:val="005A112C"/>
    <w:rsid w:val="005A124D"/>
    <w:rsid w:val="005A4BD9"/>
    <w:rsid w:val="005B0D03"/>
    <w:rsid w:val="005B0E3B"/>
    <w:rsid w:val="005B2865"/>
    <w:rsid w:val="005B3082"/>
    <w:rsid w:val="005B3095"/>
    <w:rsid w:val="005B3B37"/>
    <w:rsid w:val="005C0209"/>
    <w:rsid w:val="005C0A54"/>
    <w:rsid w:val="005C164A"/>
    <w:rsid w:val="005C7F5D"/>
    <w:rsid w:val="005D0809"/>
    <w:rsid w:val="005D0BF9"/>
    <w:rsid w:val="005D1CED"/>
    <w:rsid w:val="005D2AC7"/>
    <w:rsid w:val="005D4F85"/>
    <w:rsid w:val="005D5D99"/>
    <w:rsid w:val="005D61CB"/>
    <w:rsid w:val="005E1737"/>
    <w:rsid w:val="005E24AB"/>
    <w:rsid w:val="005E428D"/>
    <w:rsid w:val="005F2C71"/>
    <w:rsid w:val="005F616F"/>
    <w:rsid w:val="00600DEA"/>
    <w:rsid w:val="0060456C"/>
    <w:rsid w:val="0061130B"/>
    <w:rsid w:val="00612405"/>
    <w:rsid w:val="0062074F"/>
    <w:rsid w:val="00620A92"/>
    <w:rsid w:val="00621437"/>
    <w:rsid w:val="00627344"/>
    <w:rsid w:val="00636030"/>
    <w:rsid w:val="00637BCA"/>
    <w:rsid w:val="00641971"/>
    <w:rsid w:val="0064716B"/>
    <w:rsid w:val="00647748"/>
    <w:rsid w:val="0065075A"/>
    <w:rsid w:val="00651FDA"/>
    <w:rsid w:val="00652E03"/>
    <w:rsid w:val="00653B30"/>
    <w:rsid w:val="0065756F"/>
    <w:rsid w:val="0066040C"/>
    <w:rsid w:val="0066053E"/>
    <w:rsid w:val="0066222A"/>
    <w:rsid w:val="00662D2A"/>
    <w:rsid w:val="00662F68"/>
    <w:rsid w:val="00664752"/>
    <w:rsid w:val="006653B6"/>
    <w:rsid w:val="006724F0"/>
    <w:rsid w:val="00674435"/>
    <w:rsid w:val="006748E8"/>
    <w:rsid w:val="006754C0"/>
    <w:rsid w:val="00675F11"/>
    <w:rsid w:val="006861A9"/>
    <w:rsid w:val="0068644E"/>
    <w:rsid w:val="00691080"/>
    <w:rsid w:val="00691C50"/>
    <w:rsid w:val="006969F9"/>
    <w:rsid w:val="006A1717"/>
    <w:rsid w:val="006A245D"/>
    <w:rsid w:val="006A2AD5"/>
    <w:rsid w:val="006A3787"/>
    <w:rsid w:val="006A5067"/>
    <w:rsid w:val="006A6218"/>
    <w:rsid w:val="006A7681"/>
    <w:rsid w:val="006B0F67"/>
    <w:rsid w:val="006C18FD"/>
    <w:rsid w:val="006C1B4B"/>
    <w:rsid w:val="006C3253"/>
    <w:rsid w:val="006C536A"/>
    <w:rsid w:val="006C6D57"/>
    <w:rsid w:val="006D0252"/>
    <w:rsid w:val="006D2668"/>
    <w:rsid w:val="006D396D"/>
    <w:rsid w:val="006D451A"/>
    <w:rsid w:val="006D5D82"/>
    <w:rsid w:val="006D5E98"/>
    <w:rsid w:val="006D6AEE"/>
    <w:rsid w:val="006D7779"/>
    <w:rsid w:val="006E2BAF"/>
    <w:rsid w:val="006E2C12"/>
    <w:rsid w:val="006E4141"/>
    <w:rsid w:val="006E43A3"/>
    <w:rsid w:val="006F04FA"/>
    <w:rsid w:val="006F0DAD"/>
    <w:rsid w:val="006F308A"/>
    <w:rsid w:val="006F4818"/>
    <w:rsid w:val="006F538B"/>
    <w:rsid w:val="006F62A1"/>
    <w:rsid w:val="006F7255"/>
    <w:rsid w:val="0070000A"/>
    <w:rsid w:val="00700496"/>
    <w:rsid w:val="00702B6C"/>
    <w:rsid w:val="00704873"/>
    <w:rsid w:val="007054A8"/>
    <w:rsid w:val="00706FE0"/>
    <w:rsid w:val="007074DE"/>
    <w:rsid w:val="00707AB9"/>
    <w:rsid w:val="00707C72"/>
    <w:rsid w:val="00712396"/>
    <w:rsid w:val="0071359C"/>
    <w:rsid w:val="00713CF7"/>
    <w:rsid w:val="0071589E"/>
    <w:rsid w:val="00717C95"/>
    <w:rsid w:val="0072173C"/>
    <w:rsid w:val="0072254D"/>
    <w:rsid w:val="00724817"/>
    <w:rsid w:val="00725519"/>
    <w:rsid w:val="00725A85"/>
    <w:rsid w:val="00725CDE"/>
    <w:rsid w:val="00734130"/>
    <w:rsid w:val="007416AA"/>
    <w:rsid w:val="00741ABF"/>
    <w:rsid w:val="00746FCD"/>
    <w:rsid w:val="0074750F"/>
    <w:rsid w:val="007534D7"/>
    <w:rsid w:val="00754445"/>
    <w:rsid w:val="00754A9F"/>
    <w:rsid w:val="007555FE"/>
    <w:rsid w:val="00755813"/>
    <w:rsid w:val="00764AAA"/>
    <w:rsid w:val="00776E69"/>
    <w:rsid w:val="00777DE3"/>
    <w:rsid w:val="007800D0"/>
    <w:rsid w:val="00783097"/>
    <w:rsid w:val="00786B51"/>
    <w:rsid w:val="0079193A"/>
    <w:rsid w:val="00793363"/>
    <w:rsid w:val="0079742F"/>
    <w:rsid w:val="007977DA"/>
    <w:rsid w:val="007A0C7A"/>
    <w:rsid w:val="007A2F59"/>
    <w:rsid w:val="007A62AB"/>
    <w:rsid w:val="007A68F7"/>
    <w:rsid w:val="007B0CA3"/>
    <w:rsid w:val="007B1EC8"/>
    <w:rsid w:val="007B20CA"/>
    <w:rsid w:val="007C045E"/>
    <w:rsid w:val="007C5B9B"/>
    <w:rsid w:val="007C6187"/>
    <w:rsid w:val="007D06F9"/>
    <w:rsid w:val="007D3004"/>
    <w:rsid w:val="007D3227"/>
    <w:rsid w:val="007D6619"/>
    <w:rsid w:val="007E0F37"/>
    <w:rsid w:val="007F1891"/>
    <w:rsid w:val="007F3FA6"/>
    <w:rsid w:val="00800498"/>
    <w:rsid w:val="0080099D"/>
    <w:rsid w:val="0080149B"/>
    <w:rsid w:val="00805DB5"/>
    <w:rsid w:val="00816D9B"/>
    <w:rsid w:val="00817A3B"/>
    <w:rsid w:val="00823D7A"/>
    <w:rsid w:val="0082438C"/>
    <w:rsid w:val="00830144"/>
    <w:rsid w:val="00831990"/>
    <w:rsid w:val="0083230C"/>
    <w:rsid w:val="00833B46"/>
    <w:rsid w:val="00836E49"/>
    <w:rsid w:val="00837C36"/>
    <w:rsid w:val="0084097B"/>
    <w:rsid w:val="00841562"/>
    <w:rsid w:val="00841DC8"/>
    <w:rsid w:val="008449EA"/>
    <w:rsid w:val="00847E37"/>
    <w:rsid w:val="00852C11"/>
    <w:rsid w:val="008606F9"/>
    <w:rsid w:val="008627CD"/>
    <w:rsid w:val="00862F7D"/>
    <w:rsid w:val="00865C94"/>
    <w:rsid w:val="0087007C"/>
    <w:rsid w:val="00870490"/>
    <w:rsid w:val="0087049C"/>
    <w:rsid w:val="00875115"/>
    <w:rsid w:val="00877543"/>
    <w:rsid w:val="00877FC2"/>
    <w:rsid w:val="00882539"/>
    <w:rsid w:val="00885016"/>
    <w:rsid w:val="0088585D"/>
    <w:rsid w:val="008860FA"/>
    <w:rsid w:val="008877EA"/>
    <w:rsid w:val="008914F4"/>
    <w:rsid w:val="00892B94"/>
    <w:rsid w:val="0089548D"/>
    <w:rsid w:val="008A387F"/>
    <w:rsid w:val="008A5162"/>
    <w:rsid w:val="008A57F3"/>
    <w:rsid w:val="008B0686"/>
    <w:rsid w:val="008B3112"/>
    <w:rsid w:val="008B3FB4"/>
    <w:rsid w:val="008B49B6"/>
    <w:rsid w:val="008C08D4"/>
    <w:rsid w:val="008C383B"/>
    <w:rsid w:val="008C54A0"/>
    <w:rsid w:val="008C7601"/>
    <w:rsid w:val="008D2EC0"/>
    <w:rsid w:val="008E260D"/>
    <w:rsid w:val="008E299C"/>
    <w:rsid w:val="008E48AD"/>
    <w:rsid w:val="008E55CA"/>
    <w:rsid w:val="008E577A"/>
    <w:rsid w:val="008E7DE1"/>
    <w:rsid w:val="008F5454"/>
    <w:rsid w:val="008F5F47"/>
    <w:rsid w:val="008F7407"/>
    <w:rsid w:val="00900072"/>
    <w:rsid w:val="0090111D"/>
    <w:rsid w:val="00901128"/>
    <w:rsid w:val="00901D4B"/>
    <w:rsid w:val="00905A80"/>
    <w:rsid w:val="00910066"/>
    <w:rsid w:val="00910468"/>
    <w:rsid w:val="0091114E"/>
    <w:rsid w:val="00911CFA"/>
    <w:rsid w:val="00912D0D"/>
    <w:rsid w:val="009151E1"/>
    <w:rsid w:val="00915603"/>
    <w:rsid w:val="009252C1"/>
    <w:rsid w:val="0093099C"/>
    <w:rsid w:val="00932154"/>
    <w:rsid w:val="00934404"/>
    <w:rsid w:val="00934637"/>
    <w:rsid w:val="0093520F"/>
    <w:rsid w:val="0094085B"/>
    <w:rsid w:val="00941788"/>
    <w:rsid w:val="00941B68"/>
    <w:rsid w:val="00944249"/>
    <w:rsid w:val="0094526F"/>
    <w:rsid w:val="00945CAC"/>
    <w:rsid w:val="00945EC1"/>
    <w:rsid w:val="009463C3"/>
    <w:rsid w:val="00946711"/>
    <w:rsid w:val="00953727"/>
    <w:rsid w:val="009579BC"/>
    <w:rsid w:val="00960539"/>
    <w:rsid w:val="009616CE"/>
    <w:rsid w:val="00963FC6"/>
    <w:rsid w:val="00965DA8"/>
    <w:rsid w:val="00972334"/>
    <w:rsid w:val="009747E0"/>
    <w:rsid w:val="0098037C"/>
    <w:rsid w:val="00981C29"/>
    <w:rsid w:val="009876C1"/>
    <w:rsid w:val="00987CC9"/>
    <w:rsid w:val="00990E24"/>
    <w:rsid w:val="009927E4"/>
    <w:rsid w:val="00992B02"/>
    <w:rsid w:val="009A023A"/>
    <w:rsid w:val="009A06CB"/>
    <w:rsid w:val="009A2C78"/>
    <w:rsid w:val="009A3269"/>
    <w:rsid w:val="009A3341"/>
    <w:rsid w:val="009A45B1"/>
    <w:rsid w:val="009A4B76"/>
    <w:rsid w:val="009B0E69"/>
    <w:rsid w:val="009B2C8B"/>
    <w:rsid w:val="009B3103"/>
    <w:rsid w:val="009B403A"/>
    <w:rsid w:val="009C16D5"/>
    <w:rsid w:val="009C3504"/>
    <w:rsid w:val="009C3C08"/>
    <w:rsid w:val="009C4862"/>
    <w:rsid w:val="009C6F57"/>
    <w:rsid w:val="009D04C1"/>
    <w:rsid w:val="009D373E"/>
    <w:rsid w:val="009D6D44"/>
    <w:rsid w:val="009D7854"/>
    <w:rsid w:val="009E02BA"/>
    <w:rsid w:val="009E1B19"/>
    <w:rsid w:val="009E7A97"/>
    <w:rsid w:val="009F35D3"/>
    <w:rsid w:val="009F78EB"/>
    <w:rsid w:val="009F7A6D"/>
    <w:rsid w:val="00A0016B"/>
    <w:rsid w:val="00A06381"/>
    <w:rsid w:val="00A07492"/>
    <w:rsid w:val="00A12095"/>
    <w:rsid w:val="00A1353A"/>
    <w:rsid w:val="00A136DB"/>
    <w:rsid w:val="00A1425B"/>
    <w:rsid w:val="00A15843"/>
    <w:rsid w:val="00A2435C"/>
    <w:rsid w:val="00A25380"/>
    <w:rsid w:val="00A26926"/>
    <w:rsid w:val="00A26963"/>
    <w:rsid w:val="00A27FAC"/>
    <w:rsid w:val="00A31226"/>
    <w:rsid w:val="00A32C13"/>
    <w:rsid w:val="00A33416"/>
    <w:rsid w:val="00A36D35"/>
    <w:rsid w:val="00A44486"/>
    <w:rsid w:val="00A46190"/>
    <w:rsid w:val="00A47D15"/>
    <w:rsid w:val="00A50A05"/>
    <w:rsid w:val="00A53A3A"/>
    <w:rsid w:val="00A53BE3"/>
    <w:rsid w:val="00A54152"/>
    <w:rsid w:val="00A54EBF"/>
    <w:rsid w:val="00A56976"/>
    <w:rsid w:val="00A63F9E"/>
    <w:rsid w:val="00A648A9"/>
    <w:rsid w:val="00A64EA9"/>
    <w:rsid w:val="00A65548"/>
    <w:rsid w:val="00A72FC4"/>
    <w:rsid w:val="00A77CC5"/>
    <w:rsid w:val="00A81B15"/>
    <w:rsid w:val="00A8722E"/>
    <w:rsid w:val="00A9103B"/>
    <w:rsid w:val="00A91EF7"/>
    <w:rsid w:val="00A92447"/>
    <w:rsid w:val="00A93268"/>
    <w:rsid w:val="00A93283"/>
    <w:rsid w:val="00A95B9F"/>
    <w:rsid w:val="00AA1B43"/>
    <w:rsid w:val="00AA2ADA"/>
    <w:rsid w:val="00AA653B"/>
    <w:rsid w:val="00AB0283"/>
    <w:rsid w:val="00AB1DEE"/>
    <w:rsid w:val="00AB323B"/>
    <w:rsid w:val="00AB39C0"/>
    <w:rsid w:val="00AB4746"/>
    <w:rsid w:val="00AB692C"/>
    <w:rsid w:val="00AB69FE"/>
    <w:rsid w:val="00AC0589"/>
    <w:rsid w:val="00AC0AB5"/>
    <w:rsid w:val="00AC3864"/>
    <w:rsid w:val="00AC55AC"/>
    <w:rsid w:val="00AC60F5"/>
    <w:rsid w:val="00AC6856"/>
    <w:rsid w:val="00AC7242"/>
    <w:rsid w:val="00AC7B37"/>
    <w:rsid w:val="00AD15AE"/>
    <w:rsid w:val="00AD236E"/>
    <w:rsid w:val="00AD43E4"/>
    <w:rsid w:val="00AD4B67"/>
    <w:rsid w:val="00AD5F60"/>
    <w:rsid w:val="00AE0D41"/>
    <w:rsid w:val="00AE10B2"/>
    <w:rsid w:val="00AE2068"/>
    <w:rsid w:val="00AE3E00"/>
    <w:rsid w:val="00AE3EEB"/>
    <w:rsid w:val="00AF011F"/>
    <w:rsid w:val="00AF5579"/>
    <w:rsid w:val="00AF7515"/>
    <w:rsid w:val="00B01391"/>
    <w:rsid w:val="00B01A8D"/>
    <w:rsid w:val="00B03E52"/>
    <w:rsid w:val="00B03F55"/>
    <w:rsid w:val="00B061DE"/>
    <w:rsid w:val="00B071E8"/>
    <w:rsid w:val="00B07422"/>
    <w:rsid w:val="00B109AB"/>
    <w:rsid w:val="00B11C73"/>
    <w:rsid w:val="00B122C8"/>
    <w:rsid w:val="00B1790B"/>
    <w:rsid w:val="00B24394"/>
    <w:rsid w:val="00B27A60"/>
    <w:rsid w:val="00B32EBE"/>
    <w:rsid w:val="00B34E9D"/>
    <w:rsid w:val="00B35489"/>
    <w:rsid w:val="00B3549F"/>
    <w:rsid w:val="00B432CA"/>
    <w:rsid w:val="00B45320"/>
    <w:rsid w:val="00B45A58"/>
    <w:rsid w:val="00B568C0"/>
    <w:rsid w:val="00B56F7F"/>
    <w:rsid w:val="00B65249"/>
    <w:rsid w:val="00B732F3"/>
    <w:rsid w:val="00B74403"/>
    <w:rsid w:val="00B75D95"/>
    <w:rsid w:val="00B81A3C"/>
    <w:rsid w:val="00B837F4"/>
    <w:rsid w:val="00B87C89"/>
    <w:rsid w:val="00BA73EE"/>
    <w:rsid w:val="00BB0C33"/>
    <w:rsid w:val="00BB20CB"/>
    <w:rsid w:val="00BB2565"/>
    <w:rsid w:val="00BB460E"/>
    <w:rsid w:val="00BB5B4A"/>
    <w:rsid w:val="00BC0212"/>
    <w:rsid w:val="00BC177E"/>
    <w:rsid w:val="00BD007A"/>
    <w:rsid w:val="00BD1F97"/>
    <w:rsid w:val="00BD2404"/>
    <w:rsid w:val="00BD2DD0"/>
    <w:rsid w:val="00BD454D"/>
    <w:rsid w:val="00BD647A"/>
    <w:rsid w:val="00BD70E4"/>
    <w:rsid w:val="00BD7DCC"/>
    <w:rsid w:val="00BE14ED"/>
    <w:rsid w:val="00BE192F"/>
    <w:rsid w:val="00BE20B4"/>
    <w:rsid w:val="00BF0E23"/>
    <w:rsid w:val="00BF339C"/>
    <w:rsid w:val="00BF4D54"/>
    <w:rsid w:val="00BF4D96"/>
    <w:rsid w:val="00BF626A"/>
    <w:rsid w:val="00BF62FE"/>
    <w:rsid w:val="00C1634F"/>
    <w:rsid w:val="00C227DE"/>
    <w:rsid w:val="00C26DAF"/>
    <w:rsid w:val="00C31913"/>
    <w:rsid w:val="00C32052"/>
    <w:rsid w:val="00C33819"/>
    <w:rsid w:val="00C378F5"/>
    <w:rsid w:val="00C37FA1"/>
    <w:rsid w:val="00C37FC7"/>
    <w:rsid w:val="00C40711"/>
    <w:rsid w:val="00C41288"/>
    <w:rsid w:val="00C41640"/>
    <w:rsid w:val="00C44391"/>
    <w:rsid w:val="00C46652"/>
    <w:rsid w:val="00C532D4"/>
    <w:rsid w:val="00C53957"/>
    <w:rsid w:val="00C54248"/>
    <w:rsid w:val="00C57FD4"/>
    <w:rsid w:val="00C60371"/>
    <w:rsid w:val="00C63CA0"/>
    <w:rsid w:val="00C67407"/>
    <w:rsid w:val="00C7180C"/>
    <w:rsid w:val="00C73B38"/>
    <w:rsid w:val="00C757C5"/>
    <w:rsid w:val="00C75B0F"/>
    <w:rsid w:val="00C76450"/>
    <w:rsid w:val="00C86251"/>
    <w:rsid w:val="00C877F4"/>
    <w:rsid w:val="00C90D49"/>
    <w:rsid w:val="00C9122A"/>
    <w:rsid w:val="00C92674"/>
    <w:rsid w:val="00C94653"/>
    <w:rsid w:val="00C94E77"/>
    <w:rsid w:val="00CA3590"/>
    <w:rsid w:val="00CA5484"/>
    <w:rsid w:val="00CA7FF2"/>
    <w:rsid w:val="00CB153B"/>
    <w:rsid w:val="00CB1BC3"/>
    <w:rsid w:val="00CB3265"/>
    <w:rsid w:val="00CB41C2"/>
    <w:rsid w:val="00CB44E3"/>
    <w:rsid w:val="00CB740B"/>
    <w:rsid w:val="00CB7842"/>
    <w:rsid w:val="00CC628A"/>
    <w:rsid w:val="00CD0166"/>
    <w:rsid w:val="00CD06C2"/>
    <w:rsid w:val="00CD262A"/>
    <w:rsid w:val="00CD2685"/>
    <w:rsid w:val="00CD6D53"/>
    <w:rsid w:val="00CD72C2"/>
    <w:rsid w:val="00CD72CE"/>
    <w:rsid w:val="00CE169C"/>
    <w:rsid w:val="00CE2EBD"/>
    <w:rsid w:val="00CE4C93"/>
    <w:rsid w:val="00CE541E"/>
    <w:rsid w:val="00CE6AD4"/>
    <w:rsid w:val="00CF02C7"/>
    <w:rsid w:val="00CF1FB0"/>
    <w:rsid w:val="00D03769"/>
    <w:rsid w:val="00D0506F"/>
    <w:rsid w:val="00D1046E"/>
    <w:rsid w:val="00D11C53"/>
    <w:rsid w:val="00D12635"/>
    <w:rsid w:val="00D2590B"/>
    <w:rsid w:val="00D26682"/>
    <w:rsid w:val="00D30D75"/>
    <w:rsid w:val="00D310C6"/>
    <w:rsid w:val="00D31659"/>
    <w:rsid w:val="00D368B3"/>
    <w:rsid w:val="00D379CB"/>
    <w:rsid w:val="00D40221"/>
    <w:rsid w:val="00D41125"/>
    <w:rsid w:val="00D41AA5"/>
    <w:rsid w:val="00D438AD"/>
    <w:rsid w:val="00D45C57"/>
    <w:rsid w:val="00D51F1F"/>
    <w:rsid w:val="00D53CE7"/>
    <w:rsid w:val="00D55C39"/>
    <w:rsid w:val="00D5617E"/>
    <w:rsid w:val="00D56AA3"/>
    <w:rsid w:val="00D62BFE"/>
    <w:rsid w:val="00D62E0D"/>
    <w:rsid w:val="00D655DC"/>
    <w:rsid w:val="00D66BE9"/>
    <w:rsid w:val="00D7451D"/>
    <w:rsid w:val="00D74833"/>
    <w:rsid w:val="00D7707B"/>
    <w:rsid w:val="00D77E1D"/>
    <w:rsid w:val="00D80AA1"/>
    <w:rsid w:val="00D820E3"/>
    <w:rsid w:val="00D83593"/>
    <w:rsid w:val="00D859D1"/>
    <w:rsid w:val="00D86BEF"/>
    <w:rsid w:val="00D90B44"/>
    <w:rsid w:val="00D91DE0"/>
    <w:rsid w:val="00D937AC"/>
    <w:rsid w:val="00D95FD3"/>
    <w:rsid w:val="00D97753"/>
    <w:rsid w:val="00DA4530"/>
    <w:rsid w:val="00DA496E"/>
    <w:rsid w:val="00DB1964"/>
    <w:rsid w:val="00DB3831"/>
    <w:rsid w:val="00DB5A8B"/>
    <w:rsid w:val="00DB71BD"/>
    <w:rsid w:val="00DC4838"/>
    <w:rsid w:val="00DC5C9B"/>
    <w:rsid w:val="00DD0B4F"/>
    <w:rsid w:val="00DD17B8"/>
    <w:rsid w:val="00DD64B7"/>
    <w:rsid w:val="00DD6E59"/>
    <w:rsid w:val="00DD7F0F"/>
    <w:rsid w:val="00DE0434"/>
    <w:rsid w:val="00DE127A"/>
    <w:rsid w:val="00DE33F0"/>
    <w:rsid w:val="00DE37FD"/>
    <w:rsid w:val="00DE5AA6"/>
    <w:rsid w:val="00DF0A64"/>
    <w:rsid w:val="00DF2B8D"/>
    <w:rsid w:val="00DF2E11"/>
    <w:rsid w:val="00DF3669"/>
    <w:rsid w:val="00E0242B"/>
    <w:rsid w:val="00E06CE1"/>
    <w:rsid w:val="00E104D9"/>
    <w:rsid w:val="00E115C5"/>
    <w:rsid w:val="00E12961"/>
    <w:rsid w:val="00E13D55"/>
    <w:rsid w:val="00E21D2E"/>
    <w:rsid w:val="00E222B6"/>
    <w:rsid w:val="00E230B1"/>
    <w:rsid w:val="00E266D9"/>
    <w:rsid w:val="00E3118C"/>
    <w:rsid w:val="00E32D7B"/>
    <w:rsid w:val="00E33E6B"/>
    <w:rsid w:val="00E36C37"/>
    <w:rsid w:val="00E41552"/>
    <w:rsid w:val="00E44DA8"/>
    <w:rsid w:val="00E451E2"/>
    <w:rsid w:val="00E465C7"/>
    <w:rsid w:val="00E510F5"/>
    <w:rsid w:val="00E53F16"/>
    <w:rsid w:val="00E61652"/>
    <w:rsid w:val="00E67107"/>
    <w:rsid w:val="00E80A5B"/>
    <w:rsid w:val="00E8370C"/>
    <w:rsid w:val="00E85B0E"/>
    <w:rsid w:val="00E85D42"/>
    <w:rsid w:val="00E8689B"/>
    <w:rsid w:val="00E87C2E"/>
    <w:rsid w:val="00E914DA"/>
    <w:rsid w:val="00E9611E"/>
    <w:rsid w:val="00E962DF"/>
    <w:rsid w:val="00E968BF"/>
    <w:rsid w:val="00E97726"/>
    <w:rsid w:val="00E97BAD"/>
    <w:rsid w:val="00E97DB1"/>
    <w:rsid w:val="00EA0499"/>
    <w:rsid w:val="00EA17DC"/>
    <w:rsid w:val="00EA3450"/>
    <w:rsid w:val="00EA4019"/>
    <w:rsid w:val="00EA601F"/>
    <w:rsid w:val="00EB030B"/>
    <w:rsid w:val="00EB22DC"/>
    <w:rsid w:val="00EC08F7"/>
    <w:rsid w:val="00EC2137"/>
    <w:rsid w:val="00EC5B31"/>
    <w:rsid w:val="00EC633A"/>
    <w:rsid w:val="00EC7B0C"/>
    <w:rsid w:val="00ED66EB"/>
    <w:rsid w:val="00ED7EAE"/>
    <w:rsid w:val="00EE094D"/>
    <w:rsid w:val="00EE172A"/>
    <w:rsid w:val="00EE5149"/>
    <w:rsid w:val="00EE6E1A"/>
    <w:rsid w:val="00EE74B2"/>
    <w:rsid w:val="00EF6075"/>
    <w:rsid w:val="00EF64A0"/>
    <w:rsid w:val="00F01BE7"/>
    <w:rsid w:val="00F06BE3"/>
    <w:rsid w:val="00F06D2A"/>
    <w:rsid w:val="00F06DFC"/>
    <w:rsid w:val="00F113C5"/>
    <w:rsid w:val="00F12902"/>
    <w:rsid w:val="00F143AA"/>
    <w:rsid w:val="00F14869"/>
    <w:rsid w:val="00F16FD9"/>
    <w:rsid w:val="00F217E9"/>
    <w:rsid w:val="00F21FBD"/>
    <w:rsid w:val="00F2431E"/>
    <w:rsid w:val="00F2474F"/>
    <w:rsid w:val="00F255D7"/>
    <w:rsid w:val="00F261B3"/>
    <w:rsid w:val="00F27171"/>
    <w:rsid w:val="00F30C3B"/>
    <w:rsid w:val="00F31A4F"/>
    <w:rsid w:val="00F32613"/>
    <w:rsid w:val="00F40697"/>
    <w:rsid w:val="00F408D4"/>
    <w:rsid w:val="00F41EC4"/>
    <w:rsid w:val="00F43B03"/>
    <w:rsid w:val="00F455E9"/>
    <w:rsid w:val="00F46B11"/>
    <w:rsid w:val="00F57835"/>
    <w:rsid w:val="00F65F53"/>
    <w:rsid w:val="00F67FCC"/>
    <w:rsid w:val="00F72722"/>
    <w:rsid w:val="00F7390D"/>
    <w:rsid w:val="00F74166"/>
    <w:rsid w:val="00F766BB"/>
    <w:rsid w:val="00F7690A"/>
    <w:rsid w:val="00F866BD"/>
    <w:rsid w:val="00F87FB4"/>
    <w:rsid w:val="00F908B6"/>
    <w:rsid w:val="00F93310"/>
    <w:rsid w:val="00F94482"/>
    <w:rsid w:val="00F951A1"/>
    <w:rsid w:val="00F97E90"/>
    <w:rsid w:val="00FA0D97"/>
    <w:rsid w:val="00FA10B8"/>
    <w:rsid w:val="00FA2E20"/>
    <w:rsid w:val="00FA3419"/>
    <w:rsid w:val="00FA4766"/>
    <w:rsid w:val="00FA5BB9"/>
    <w:rsid w:val="00FA73BB"/>
    <w:rsid w:val="00FA7AC4"/>
    <w:rsid w:val="00FB08A9"/>
    <w:rsid w:val="00FB34FB"/>
    <w:rsid w:val="00FB40C4"/>
    <w:rsid w:val="00FB41AE"/>
    <w:rsid w:val="00FB54B1"/>
    <w:rsid w:val="00FB5B86"/>
    <w:rsid w:val="00FC77BB"/>
    <w:rsid w:val="00FD1857"/>
    <w:rsid w:val="00FD3F63"/>
    <w:rsid w:val="00FD497C"/>
    <w:rsid w:val="00FE076B"/>
    <w:rsid w:val="00FE07AA"/>
    <w:rsid w:val="00FE347D"/>
    <w:rsid w:val="00FE5EFA"/>
    <w:rsid w:val="00FE79BD"/>
    <w:rsid w:val="00FF0D12"/>
    <w:rsid w:val="00FF44AD"/>
    <w:rsid w:val="00FF53AF"/>
    <w:rsid w:val="00FF578B"/>
    <w:rsid w:val="00FF6F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B8D54"/>
  <w15:docId w15:val="{FF409D90-65B5-4C30-98DA-95C03629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7D"/>
    <w:pPr>
      <w:jc w:val="both"/>
    </w:pPr>
    <w:rPr>
      <w:sz w:val="20"/>
      <w:szCs w:val="20"/>
      <w:lang w:eastAsia="ja-JP"/>
    </w:rPr>
  </w:style>
  <w:style w:type="paragraph" w:styleId="Heading6">
    <w:name w:val="heading 6"/>
    <w:basedOn w:val="Normal"/>
    <w:next w:val="Normal"/>
    <w:link w:val="Heading6Char"/>
    <w:qFormat/>
    <w:locked/>
    <w:rsid w:val="00AC7242"/>
    <w:pPr>
      <w:keepNext/>
      <w:tabs>
        <w:tab w:val="left" w:pos="340"/>
      </w:tabs>
      <w:outlineLvl w:val="5"/>
    </w:pPr>
    <w:rPr>
      <w:rFonts w:eastAsia="Batang"/>
      <w:b/>
      <w:bCs/>
      <w:szCs w:val="24"/>
      <w:u w:val="single"/>
      <w:lang w:eastAsia="en-US"/>
    </w:rPr>
  </w:style>
  <w:style w:type="paragraph" w:styleId="Heading8">
    <w:name w:val="heading 8"/>
    <w:basedOn w:val="Normal"/>
    <w:next w:val="Normal"/>
    <w:link w:val="Heading8Char"/>
    <w:qFormat/>
    <w:locked/>
    <w:rsid w:val="00AC7242"/>
    <w:pPr>
      <w:spacing w:before="240" w:after="60"/>
      <w:outlineLvl w:val="7"/>
    </w:pPr>
    <w:rPr>
      <w:rFonts w:eastAsia="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uiPriority w:val="99"/>
    <w:rsid w:val="000F647D"/>
  </w:style>
  <w:style w:type="paragraph" w:styleId="Header">
    <w:name w:val="header"/>
    <w:basedOn w:val="Normal"/>
    <w:link w:val="HeaderChar"/>
    <w:uiPriority w:val="99"/>
    <w:rsid w:val="00C227DE"/>
    <w:pPr>
      <w:tabs>
        <w:tab w:val="center" w:pos="4320"/>
        <w:tab w:val="right" w:pos="8640"/>
      </w:tabs>
    </w:pPr>
  </w:style>
  <w:style w:type="character" w:customStyle="1" w:styleId="HeaderChar">
    <w:name w:val="Header Char"/>
    <w:basedOn w:val="DefaultParagraphFont"/>
    <w:link w:val="Header"/>
    <w:uiPriority w:val="99"/>
    <w:semiHidden/>
    <w:locked/>
    <w:rsid w:val="00BE14ED"/>
    <w:rPr>
      <w:sz w:val="20"/>
      <w:szCs w:val="20"/>
      <w:lang w:val="fr-FR" w:eastAsia="ja-JP"/>
    </w:rPr>
  </w:style>
  <w:style w:type="paragraph" w:styleId="Footer">
    <w:name w:val="footer"/>
    <w:basedOn w:val="Normal"/>
    <w:link w:val="FooterChar"/>
    <w:uiPriority w:val="99"/>
    <w:rsid w:val="00C227DE"/>
    <w:pPr>
      <w:tabs>
        <w:tab w:val="center" w:pos="4320"/>
        <w:tab w:val="right" w:pos="8640"/>
      </w:tabs>
    </w:pPr>
  </w:style>
  <w:style w:type="character" w:customStyle="1" w:styleId="FooterChar">
    <w:name w:val="Footer Char"/>
    <w:basedOn w:val="DefaultParagraphFont"/>
    <w:link w:val="Footer"/>
    <w:uiPriority w:val="99"/>
    <w:semiHidden/>
    <w:locked/>
    <w:rsid w:val="00BE14ED"/>
    <w:rPr>
      <w:sz w:val="20"/>
      <w:szCs w:val="20"/>
      <w:lang w:val="fr-FR" w:eastAsia="ja-JP"/>
    </w:rPr>
  </w:style>
  <w:style w:type="paragraph" w:styleId="FootnoteText">
    <w:name w:val="footnote text"/>
    <w:basedOn w:val="Normal"/>
    <w:link w:val="FootnoteTextChar"/>
    <w:uiPriority w:val="99"/>
    <w:semiHidden/>
    <w:rsid w:val="003257E0"/>
  </w:style>
  <w:style w:type="character" w:customStyle="1" w:styleId="FootnoteTextChar">
    <w:name w:val="Footnote Text Char"/>
    <w:basedOn w:val="DefaultParagraphFont"/>
    <w:link w:val="FootnoteText"/>
    <w:uiPriority w:val="99"/>
    <w:semiHidden/>
    <w:locked/>
    <w:rsid w:val="00BE14ED"/>
    <w:rPr>
      <w:sz w:val="20"/>
      <w:szCs w:val="20"/>
      <w:lang w:val="fr-FR" w:eastAsia="ja-JP"/>
    </w:rPr>
  </w:style>
  <w:style w:type="character" w:styleId="FootnoteReference">
    <w:name w:val="footnote reference"/>
    <w:basedOn w:val="DefaultParagraphFont"/>
    <w:uiPriority w:val="99"/>
    <w:semiHidden/>
    <w:rsid w:val="003257E0"/>
    <w:rPr>
      <w:vertAlign w:val="superscript"/>
    </w:rPr>
  </w:style>
  <w:style w:type="table" w:styleId="TableGrid">
    <w:name w:val="Table Grid"/>
    <w:basedOn w:val="TableNormal"/>
    <w:uiPriority w:val="99"/>
    <w:rsid w:val="00D55C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C16D5"/>
    <w:rPr>
      <w:rFonts w:ascii="Tahoma" w:hAnsi="Tahoma" w:cs="Tahoma"/>
      <w:sz w:val="16"/>
      <w:szCs w:val="16"/>
    </w:rPr>
  </w:style>
  <w:style w:type="character" w:customStyle="1" w:styleId="BalloonTextChar">
    <w:name w:val="Balloon Text Char"/>
    <w:basedOn w:val="DefaultParagraphFont"/>
    <w:link w:val="BalloonText"/>
    <w:uiPriority w:val="99"/>
    <w:locked/>
    <w:rsid w:val="009C16D5"/>
    <w:rPr>
      <w:rFonts w:ascii="Tahoma" w:hAnsi="Tahoma" w:cs="Tahoma"/>
      <w:sz w:val="16"/>
      <w:szCs w:val="16"/>
      <w:lang w:val="fr-FR" w:eastAsia="ja-JP"/>
    </w:rPr>
  </w:style>
  <w:style w:type="paragraph" w:styleId="ListParagraph">
    <w:name w:val="List Paragraph"/>
    <w:basedOn w:val="Normal"/>
    <w:uiPriority w:val="99"/>
    <w:qFormat/>
    <w:rsid w:val="00EE094D"/>
    <w:pPr>
      <w:ind w:left="720"/>
    </w:pPr>
  </w:style>
  <w:style w:type="character" w:styleId="CommentReference">
    <w:name w:val="annotation reference"/>
    <w:basedOn w:val="DefaultParagraphFont"/>
    <w:uiPriority w:val="99"/>
    <w:semiHidden/>
    <w:rsid w:val="0066040C"/>
    <w:rPr>
      <w:sz w:val="16"/>
      <w:szCs w:val="16"/>
    </w:rPr>
  </w:style>
  <w:style w:type="paragraph" w:styleId="CommentText">
    <w:name w:val="annotation text"/>
    <w:basedOn w:val="Normal"/>
    <w:link w:val="CommentTextChar"/>
    <w:uiPriority w:val="99"/>
    <w:semiHidden/>
    <w:rsid w:val="0066040C"/>
  </w:style>
  <w:style w:type="character" w:customStyle="1" w:styleId="CommentTextChar">
    <w:name w:val="Comment Text Char"/>
    <w:basedOn w:val="DefaultParagraphFont"/>
    <w:link w:val="CommentText"/>
    <w:uiPriority w:val="99"/>
    <w:locked/>
    <w:rsid w:val="0066040C"/>
    <w:rPr>
      <w:lang w:val="fr-FR" w:eastAsia="ja-JP"/>
    </w:rPr>
  </w:style>
  <w:style w:type="paragraph" w:styleId="CommentSubject">
    <w:name w:val="annotation subject"/>
    <w:basedOn w:val="CommentText"/>
    <w:next w:val="CommentText"/>
    <w:link w:val="CommentSubjectChar"/>
    <w:uiPriority w:val="99"/>
    <w:semiHidden/>
    <w:rsid w:val="0066040C"/>
    <w:rPr>
      <w:b/>
      <w:bCs/>
    </w:rPr>
  </w:style>
  <w:style w:type="character" w:customStyle="1" w:styleId="CommentSubjectChar">
    <w:name w:val="Comment Subject Char"/>
    <w:basedOn w:val="CommentTextChar"/>
    <w:link w:val="CommentSubject"/>
    <w:uiPriority w:val="99"/>
    <w:locked/>
    <w:rsid w:val="0066040C"/>
    <w:rPr>
      <w:b/>
      <w:bCs/>
      <w:lang w:val="fr-FR" w:eastAsia="ja-JP"/>
    </w:rPr>
  </w:style>
  <w:style w:type="paragraph" w:customStyle="1" w:styleId="ListParagraph1">
    <w:name w:val="List Paragraph1"/>
    <w:basedOn w:val="Normal"/>
    <w:uiPriority w:val="99"/>
    <w:rsid w:val="005B0E3B"/>
    <w:pPr>
      <w:ind w:left="720"/>
    </w:pPr>
  </w:style>
  <w:style w:type="character" w:customStyle="1" w:styleId="Heading6Char">
    <w:name w:val="Heading 6 Char"/>
    <w:basedOn w:val="DefaultParagraphFont"/>
    <w:link w:val="Heading6"/>
    <w:rsid w:val="00AC7242"/>
    <w:rPr>
      <w:rFonts w:eastAsia="Batang"/>
      <w:b/>
      <w:bCs/>
      <w:sz w:val="20"/>
      <w:szCs w:val="24"/>
      <w:u w:val="single"/>
      <w:lang w:val="fr-FR"/>
    </w:rPr>
  </w:style>
  <w:style w:type="character" w:customStyle="1" w:styleId="Heading8Char">
    <w:name w:val="Heading 8 Char"/>
    <w:basedOn w:val="DefaultParagraphFont"/>
    <w:link w:val="Heading8"/>
    <w:rsid w:val="00AC7242"/>
    <w:rPr>
      <w:rFonts w:eastAsia="Times New Roman"/>
      <w:i/>
      <w:iCs/>
      <w:sz w:val="24"/>
      <w:szCs w:val="24"/>
    </w:rPr>
  </w:style>
  <w:style w:type="character" w:styleId="Emphasis">
    <w:name w:val="Emphasis"/>
    <w:basedOn w:val="DefaultParagraphFont"/>
    <w:qFormat/>
    <w:locked/>
    <w:rsid w:val="000303A6"/>
    <w:rPr>
      <w:i/>
      <w:iCs/>
    </w:rPr>
  </w:style>
  <w:style w:type="paragraph" w:styleId="Revision">
    <w:name w:val="Revision"/>
    <w:hidden/>
    <w:uiPriority w:val="99"/>
    <w:semiHidden/>
    <w:rsid w:val="00B07422"/>
    <w:rPr>
      <w:sz w:val="20"/>
      <w:szCs w:val="20"/>
      <w:lang w:eastAsia="ja-JP"/>
    </w:rPr>
  </w:style>
  <w:style w:type="character" w:styleId="Hyperlink">
    <w:name w:val="Hyperlink"/>
    <w:basedOn w:val="DefaultParagraphFont"/>
    <w:rsid w:val="009A3341"/>
    <w:rPr>
      <w:color w:val="0000FF"/>
      <w:u w:val="single"/>
    </w:rPr>
  </w:style>
  <w:style w:type="character" w:styleId="UnresolvedMention">
    <w:name w:val="Unresolved Mention"/>
    <w:basedOn w:val="DefaultParagraphFont"/>
    <w:uiPriority w:val="99"/>
    <w:semiHidden/>
    <w:unhideWhenUsed/>
    <w:rsid w:val="00405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290">
      <w:bodyDiv w:val="1"/>
      <w:marLeft w:val="0"/>
      <w:marRight w:val="0"/>
      <w:marTop w:val="0"/>
      <w:marBottom w:val="0"/>
      <w:divBdr>
        <w:top w:val="none" w:sz="0" w:space="0" w:color="auto"/>
        <w:left w:val="none" w:sz="0" w:space="0" w:color="auto"/>
        <w:bottom w:val="none" w:sz="0" w:space="0" w:color="auto"/>
        <w:right w:val="none" w:sz="0" w:space="0" w:color="auto"/>
      </w:divBdr>
    </w:div>
    <w:div w:id="421803230">
      <w:bodyDiv w:val="1"/>
      <w:marLeft w:val="0"/>
      <w:marRight w:val="0"/>
      <w:marTop w:val="0"/>
      <w:marBottom w:val="0"/>
      <w:divBdr>
        <w:top w:val="none" w:sz="0" w:space="0" w:color="auto"/>
        <w:left w:val="none" w:sz="0" w:space="0" w:color="auto"/>
        <w:bottom w:val="none" w:sz="0" w:space="0" w:color="auto"/>
        <w:right w:val="none" w:sz="0" w:space="0" w:color="auto"/>
      </w:divBdr>
    </w:div>
    <w:div w:id="900866309">
      <w:bodyDiv w:val="1"/>
      <w:marLeft w:val="0"/>
      <w:marRight w:val="0"/>
      <w:marTop w:val="0"/>
      <w:marBottom w:val="0"/>
      <w:divBdr>
        <w:top w:val="none" w:sz="0" w:space="0" w:color="auto"/>
        <w:left w:val="none" w:sz="0" w:space="0" w:color="auto"/>
        <w:bottom w:val="none" w:sz="0" w:space="0" w:color="auto"/>
        <w:right w:val="none" w:sz="0" w:space="0" w:color="auto"/>
      </w:divBdr>
    </w:div>
    <w:div w:id="934023381">
      <w:bodyDiv w:val="1"/>
      <w:marLeft w:val="0"/>
      <w:marRight w:val="0"/>
      <w:marTop w:val="0"/>
      <w:marBottom w:val="0"/>
      <w:divBdr>
        <w:top w:val="none" w:sz="0" w:space="0" w:color="auto"/>
        <w:left w:val="none" w:sz="0" w:space="0" w:color="auto"/>
        <w:bottom w:val="none" w:sz="0" w:space="0" w:color="auto"/>
        <w:right w:val="none" w:sz="0" w:space="0" w:color="auto"/>
      </w:divBdr>
    </w:div>
    <w:div w:id="1460606228">
      <w:bodyDiv w:val="1"/>
      <w:marLeft w:val="0"/>
      <w:marRight w:val="0"/>
      <w:marTop w:val="0"/>
      <w:marBottom w:val="0"/>
      <w:divBdr>
        <w:top w:val="none" w:sz="0" w:space="0" w:color="auto"/>
        <w:left w:val="none" w:sz="0" w:space="0" w:color="auto"/>
        <w:bottom w:val="none" w:sz="0" w:space="0" w:color="auto"/>
        <w:right w:val="none" w:sz="0" w:space="0" w:color="auto"/>
      </w:divBdr>
    </w:div>
    <w:div w:id="1869104637">
      <w:bodyDiv w:val="1"/>
      <w:marLeft w:val="0"/>
      <w:marRight w:val="0"/>
      <w:marTop w:val="0"/>
      <w:marBottom w:val="0"/>
      <w:divBdr>
        <w:top w:val="none" w:sz="0" w:space="0" w:color="auto"/>
        <w:left w:val="none" w:sz="0" w:space="0" w:color="auto"/>
        <w:bottom w:val="none" w:sz="0" w:space="0" w:color="auto"/>
        <w:right w:val="none" w:sz="0" w:space="0" w:color="auto"/>
      </w:divBdr>
    </w:div>
    <w:div w:id="20924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Documents/Recs/compendiopdf-f/2021-24-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7325-4D61-41C9-85C6-4F38CA69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4</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Africa Martín</dc:creator>
  <cp:lastModifiedBy>Marisa de Andrés</cp:lastModifiedBy>
  <cp:revision>2</cp:revision>
  <dcterms:created xsi:type="dcterms:W3CDTF">2025-11-13T13:58:00Z</dcterms:created>
  <dcterms:modified xsi:type="dcterms:W3CDTF">2025-11-13T13:58:00Z</dcterms:modified>
</cp:coreProperties>
</file>