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D35B" w14:textId="30FDB5F7" w:rsidR="000D2BFA" w:rsidRPr="0046745A" w:rsidRDefault="000D2BFA" w:rsidP="00212BF7">
      <w:pPr>
        <w:spacing w:after="0" w:line="240" w:lineRule="exact"/>
        <w:contextualSpacing/>
        <w:jc w:val="right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Original: </w:t>
      </w:r>
      <w:r w:rsidR="00212BF7" w:rsidRPr="0046745A">
        <w:rPr>
          <w:rFonts w:ascii="Cambria" w:hAnsi="Cambria"/>
          <w:b/>
          <w:bCs/>
          <w:sz w:val="20"/>
          <w:szCs w:val="20"/>
          <w:lang w:val="es-ES"/>
        </w:rPr>
        <w:t>e</w:t>
      </w:r>
      <w:r w:rsidR="00215E12" w:rsidRPr="0046745A">
        <w:rPr>
          <w:rFonts w:ascii="Cambria" w:hAnsi="Cambria"/>
          <w:b/>
          <w:bCs/>
          <w:sz w:val="20"/>
          <w:szCs w:val="20"/>
          <w:lang w:val="es-ES"/>
        </w:rPr>
        <w:t>spañol</w:t>
      </w:r>
    </w:p>
    <w:p w14:paraId="7926C3A3" w14:textId="77777777" w:rsidR="000F163C" w:rsidRPr="0046745A" w:rsidRDefault="000F163C" w:rsidP="00212BF7">
      <w:pPr>
        <w:spacing w:after="0" w:line="240" w:lineRule="exact"/>
        <w:contextualSpacing/>
        <w:jc w:val="center"/>
        <w:rPr>
          <w:rFonts w:ascii="Cambria" w:hAnsi="Cambria"/>
          <w:b/>
          <w:bCs/>
          <w:sz w:val="20"/>
          <w:szCs w:val="20"/>
          <w:lang w:val="es-ES"/>
        </w:rPr>
      </w:pPr>
    </w:p>
    <w:p w14:paraId="6A39EAB8" w14:textId="0C6FED37" w:rsidR="009D4CD0" w:rsidRPr="0046745A" w:rsidRDefault="000F163C" w:rsidP="00212BF7">
      <w:pPr>
        <w:spacing w:after="0" w:line="240" w:lineRule="exact"/>
        <w:contextualSpacing/>
        <w:jc w:val="center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Propuesta </w:t>
      </w:r>
      <w:r w:rsidR="00212BF7" w:rsidRPr="0046745A">
        <w:rPr>
          <w:rFonts w:ascii="Cambria" w:hAnsi="Cambria"/>
          <w:b/>
          <w:bCs/>
          <w:sz w:val="20"/>
          <w:szCs w:val="20"/>
          <w:lang w:val="es-ES"/>
        </w:rPr>
        <w:t xml:space="preserve">de migración del sistema 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VMS a </w:t>
      </w:r>
      <w:r w:rsidR="00212BF7" w:rsidRPr="0046745A">
        <w:rPr>
          <w:rFonts w:ascii="Cambria" w:hAnsi="Cambria"/>
          <w:b/>
          <w:bCs/>
          <w:sz w:val="20"/>
          <w:szCs w:val="20"/>
          <w:lang w:val="es-ES"/>
        </w:rPr>
        <w:t>infraestructura en la nube</w:t>
      </w:r>
    </w:p>
    <w:p w14:paraId="6BAE8A89" w14:textId="77777777" w:rsidR="00212BF7" w:rsidRPr="0046745A" w:rsidRDefault="00212BF7" w:rsidP="00212BF7">
      <w:pPr>
        <w:spacing w:after="0" w:line="240" w:lineRule="exact"/>
        <w:contextualSpacing/>
        <w:jc w:val="center"/>
        <w:rPr>
          <w:rFonts w:ascii="Cambria" w:hAnsi="Cambria"/>
          <w:i/>
          <w:iCs/>
          <w:sz w:val="20"/>
          <w:szCs w:val="20"/>
          <w:lang w:val="es-ES"/>
        </w:rPr>
      </w:pPr>
    </w:p>
    <w:p w14:paraId="75541E0D" w14:textId="62B8EED0" w:rsidR="000D2BFA" w:rsidRPr="0046745A" w:rsidRDefault="005E232C" w:rsidP="00212BF7">
      <w:pPr>
        <w:spacing w:after="0" w:line="240" w:lineRule="exact"/>
        <w:contextualSpacing/>
        <w:jc w:val="center"/>
        <w:rPr>
          <w:rFonts w:ascii="Cambria" w:hAnsi="Cambria"/>
          <w:i/>
          <w:iCs/>
          <w:sz w:val="20"/>
          <w:szCs w:val="20"/>
          <w:lang w:val="es-ES"/>
        </w:rPr>
      </w:pPr>
      <w:r w:rsidRPr="0046745A">
        <w:rPr>
          <w:rFonts w:ascii="Cambria" w:hAnsi="Cambria"/>
          <w:i/>
          <w:iCs/>
          <w:sz w:val="20"/>
          <w:szCs w:val="20"/>
          <w:lang w:val="es-ES"/>
        </w:rPr>
        <w:t>(</w:t>
      </w:r>
      <w:r w:rsidR="000F163C" w:rsidRPr="0046745A">
        <w:rPr>
          <w:rFonts w:ascii="Cambria" w:hAnsi="Cambria"/>
          <w:i/>
          <w:iCs/>
          <w:sz w:val="20"/>
          <w:szCs w:val="20"/>
          <w:lang w:val="es-ES"/>
        </w:rPr>
        <w:t>Secretaría de ICCAT</w:t>
      </w:r>
      <w:r w:rsidRPr="0046745A">
        <w:rPr>
          <w:rFonts w:ascii="Cambria" w:hAnsi="Cambria"/>
          <w:i/>
          <w:iCs/>
          <w:sz w:val="20"/>
          <w:szCs w:val="20"/>
          <w:lang w:val="es-ES"/>
        </w:rPr>
        <w:t>)</w:t>
      </w:r>
    </w:p>
    <w:p w14:paraId="5ABC6A2A" w14:textId="77777777" w:rsidR="008412E3" w:rsidRPr="0046745A" w:rsidRDefault="008412E3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0D956F33" w14:textId="76EB59AA" w:rsidR="000F163C" w:rsidRPr="0046745A" w:rsidRDefault="000F163C" w:rsidP="00212BF7">
      <w:pPr>
        <w:pStyle w:val="ListParagraph"/>
        <w:numPr>
          <w:ilvl w:val="0"/>
          <w:numId w:val="3"/>
        </w:numPr>
        <w:spacing w:after="0" w:line="240" w:lineRule="exact"/>
        <w:ind w:left="426" w:hanging="426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Contexto y </w:t>
      </w:r>
      <w:r w:rsidR="00212BF7" w:rsidRPr="0046745A">
        <w:rPr>
          <w:rFonts w:ascii="Cambria" w:hAnsi="Cambria"/>
          <w:b/>
          <w:bCs/>
          <w:sz w:val="20"/>
          <w:szCs w:val="20"/>
          <w:lang w:val="es-ES"/>
        </w:rPr>
        <w:t>j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>ustificación</w:t>
      </w:r>
    </w:p>
    <w:p w14:paraId="468B6895" w14:textId="77777777" w:rsidR="00212BF7" w:rsidRPr="0046745A" w:rsidRDefault="00212BF7" w:rsidP="00212BF7">
      <w:pPr>
        <w:pStyle w:val="ListParagraph"/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62F31B13" w14:textId="5A12D2EC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La Comisión Internacional para la Conservación del Atún Atlántico (ICCAT) mantiene en la actualidad distintos sistemas informáticos esenciales para el desempeño de sus funciones técnicas y administrativas. Entre ellos, el sistema </w:t>
      </w:r>
      <w:r w:rsidR="00212BF7" w:rsidRPr="0046745A">
        <w:rPr>
          <w:rFonts w:ascii="Cambria" w:hAnsi="Cambria"/>
          <w:sz w:val="20"/>
          <w:szCs w:val="20"/>
          <w:lang w:val="es-ES"/>
        </w:rPr>
        <w:t>de seguimiento de buques (</w:t>
      </w:r>
      <w:r w:rsidRPr="0046745A">
        <w:rPr>
          <w:rFonts w:ascii="Cambria" w:hAnsi="Cambria"/>
          <w:sz w:val="20"/>
          <w:szCs w:val="20"/>
          <w:lang w:val="es-ES"/>
        </w:rPr>
        <w:t xml:space="preserve">VMS) constituye una herramienta clave para la </w:t>
      </w:r>
      <w:r w:rsidR="00212BF7" w:rsidRPr="0046745A">
        <w:rPr>
          <w:rFonts w:ascii="Cambria" w:hAnsi="Cambria"/>
          <w:sz w:val="20"/>
          <w:szCs w:val="20"/>
          <w:lang w:val="es-ES"/>
        </w:rPr>
        <w:t>ordenación</w:t>
      </w:r>
      <w:r w:rsidRPr="0046745A">
        <w:rPr>
          <w:rFonts w:ascii="Cambria" w:hAnsi="Cambria"/>
          <w:sz w:val="20"/>
          <w:szCs w:val="20"/>
          <w:lang w:val="es-ES"/>
        </w:rPr>
        <w:t xml:space="preserve"> y </w:t>
      </w:r>
      <w:r w:rsidR="00212BF7" w:rsidRPr="0046745A">
        <w:rPr>
          <w:rFonts w:ascii="Cambria" w:hAnsi="Cambria"/>
          <w:sz w:val="20"/>
          <w:szCs w:val="20"/>
          <w:lang w:val="es-ES"/>
        </w:rPr>
        <w:t xml:space="preserve">el </w:t>
      </w:r>
      <w:r w:rsidRPr="0046745A">
        <w:rPr>
          <w:rFonts w:ascii="Cambria" w:hAnsi="Cambria"/>
          <w:sz w:val="20"/>
          <w:szCs w:val="20"/>
          <w:lang w:val="es-ES"/>
        </w:rPr>
        <w:t>seguimiento de la actividad pesquera, aportando información crítica para la toma de decisiones y el cumplimiento de los compromisos internacionales en materia de control y conservación.</w:t>
      </w:r>
      <w:r w:rsidR="005133E3" w:rsidRPr="0046745A">
        <w:rPr>
          <w:rFonts w:ascii="Cambria" w:hAnsi="Cambria"/>
          <w:sz w:val="20"/>
          <w:szCs w:val="20"/>
          <w:lang w:val="es-ES"/>
        </w:rPr>
        <w:t xml:space="preserve"> Actualmente se encuentran en servidores físicos ubicados en Madrid con un protocolo de seguridad riguroso. Sin embargo, persisten desafíos en cuanto a su disponibilidad y protección ante amenazas.</w:t>
      </w:r>
    </w:p>
    <w:p w14:paraId="0D0A286F" w14:textId="77777777" w:rsidR="008A4C2B" w:rsidRPr="0046745A" w:rsidRDefault="008A4C2B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4543B179" w14:textId="2A3A5BED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En los últimos años, el crecimiento de las necesidades de almacenamiento, la mayor demanda de 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>disponibilidad y la creciente exposición a riesgos de seguridad</w:t>
      </w:r>
      <w:r w:rsidRPr="0046745A">
        <w:rPr>
          <w:rFonts w:ascii="Cambria" w:hAnsi="Cambria"/>
          <w:sz w:val="20"/>
          <w:szCs w:val="20"/>
          <w:lang w:val="es-ES"/>
        </w:rPr>
        <w:t xml:space="preserve"> han puesto de manifiesto la conveniencia de migrar progresivamente los servicios y sistemas actuales hacia una infraestructura en la nube.</w:t>
      </w:r>
    </w:p>
    <w:p w14:paraId="28F6AA80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0FC56F5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Esta transición permitirá no solo mejorar la capacidad operativa, sino también garantizar la continuidad del servicio ante posibles contingencias y facilitar el mantenimiento a largo plazo, asegurando que las inversiones realizadas se traduzcan en una plataforma sostenible, moderna y segura.</w:t>
      </w:r>
    </w:p>
    <w:p w14:paraId="4711F3E6" w14:textId="77777777" w:rsidR="00212BF7" w:rsidRPr="0046745A" w:rsidRDefault="00212BF7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7BA0D356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En este contexto, y tras analizar distintas alternativas, se propone que la migración del sistema VMS se lleve a cabo con el soporte de dos entidades especializadas:</w:t>
      </w:r>
    </w:p>
    <w:p w14:paraId="6A5F2A78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63D87E61" w14:textId="760380EF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IaaS365, empresa española con amplia experiencia en soluciones de infraestructura como servicio (IaaS), responsable del entorno técnico y del alojamiento de los servidores virtuales.</w:t>
      </w:r>
    </w:p>
    <w:p w14:paraId="5C77E4DC" w14:textId="77777777" w:rsidR="00212BF7" w:rsidRPr="0046745A" w:rsidRDefault="00212BF7" w:rsidP="00212BF7">
      <w:pPr>
        <w:pStyle w:val="ListParagraph"/>
        <w:spacing w:after="0" w:line="240" w:lineRule="exact"/>
        <w:ind w:left="1068"/>
        <w:jc w:val="both"/>
        <w:rPr>
          <w:rFonts w:ascii="Cambria" w:hAnsi="Cambria"/>
          <w:sz w:val="20"/>
          <w:szCs w:val="20"/>
          <w:lang w:val="es-ES"/>
        </w:rPr>
      </w:pPr>
    </w:p>
    <w:p w14:paraId="03753E10" w14:textId="1582F465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CLS (Collecte Localisation Satellites), empresa responsable del desarrollo y mantenimiento del sistema THEMIS</w:t>
      </w:r>
      <w:r w:rsidR="00DD17B7" w:rsidRPr="0046745A">
        <w:rPr>
          <w:rFonts w:ascii="Cambria" w:hAnsi="Cambria"/>
          <w:sz w:val="20"/>
          <w:szCs w:val="20"/>
          <w:lang w:val="es-ES"/>
        </w:rPr>
        <w:t xml:space="preserve"> (</w:t>
      </w:r>
      <w:r w:rsidR="0051287D" w:rsidRPr="0046745A">
        <w:rPr>
          <w:rFonts w:ascii="Cambria" w:hAnsi="Cambria"/>
          <w:sz w:val="20"/>
          <w:szCs w:val="20"/>
          <w:lang w:val="es-ES"/>
        </w:rPr>
        <w:t>a</w:t>
      </w:r>
      <w:r w:rsidR="00DD17B7" w:rsidRPr="0046745A">
        <w:rPr>
          <w:rFonts w:ascii="Cambria" w:hAnsi="Cambria"/>
          <w:sz w:val="20"/>
          <w:szCs w:val="20"/>
          <w:lang w:val="es-ES"/>
        </w:rPr>
        <w:t>ctualmente la aplicación que gestiona el VMS de ICCAT)</w:t>
      </w:r>
      <w:r w:rsidRPr="0046745A">
        <w:rPr>
          <w:rFonts w:ascii="Cambria" w:hAnsi="Cambria"/>
          <w:sz w:val="20"/>
          <w:szCs w:val="20"/>
          <w:lang w:val="es-ES"/>
        </w:rPr>
        <w:t>, que ofrecerá el soporte y la asistencia técnica durante el proceso de migración, así como los servicios de mantenimiento anual.</w:t>
      </w:r>
    </w:p>
    <w:p w14:paraId="4EBBE413" w14:textId="77777777" w:rsidR="00B04FDC" w:rsidRPr="0046745A" w:rsidRDefault="00B04FDC" w:rsidP="00212BF7">
      <w:pPr>
        <w:pStyle w:val="ListParagraph"/>
        <w:spacing w:after="0" w:line="240" w:lineRule="exact"/>
        <w:ind w:left="1068"/>
        <w:jc w:val="both"/>
        <w:rPr>
          <w:rFonts w:ascii="Cambria" w:hAnsi="Cambria"/>
          <w:sz w:val="20"/>
          <w:szCs w:val="20"/>
          <w:lang w:val="es-ES"/>
        </w:rPr>
      </w:pPr>
    </w:p>
    <w:p w14:paraId="43DA91BA" w14:textId="4416BFA6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Esta combinación de proveedores permitirá disponer de una infraestructura moderna, segura y con soporte técnico especializado, alineada con los estándares internacionales </w:t>
      </w:r>
      <w:r w:rsidR="00212BF7" w:rsidRPr="0046745A">
        <w:rPr>
          <w:rFonts w:ascii="Cambria" w:hAnsi="Cambria"/>
          <w:sz w:val="20"/>
          <w:szCs w:val="20"/>
          <w:lang w:val="es-ES"/>
        </w:rPr>
        <w:t>para la</w:t>
      </w:r>
      <w:r w:rsidRPr="0046745A">
        <w:rPr>
          <w:rFonts w:ascii="Cambria" w:hAnsi="Cambria"/>
          <w:sz w:val="20"/>
          <w:szCs w:val="20"/>
          <w:lang w:val="es-ES"/>
        </w:rPr>
        <w:t xml:space="preserve"> gestión de servicios </w:t>
      </w:r>
      <w:r w:rsidR="00212BF7" w:rsidRPr="0046745A">
        <w:rPr>
          <w:rFonts w:ascii="Cambria" w:hAnsi="Cambria"/>
          <w:sz w:val="20"/>
          <w:szCs w:val="20"/>
          <w:lang w:val="es-ES"/>
        </w:rPr>
        <w:t xml:space="preserve">de TI </w:t>
      </w:r>
      <w:r w:rsidRPr="0046745A">
        <w:rPr>
          <w:rFonts w:ascii="Cambria" w:hAnsi="Cambria"/>
          <w:sz w:val="20"/>
          <w:szCs w:val="20"/>
          <w:lang w:val="es-ES"/>
        </w:rPr>
        <w:t>(ISO</w:t>
      </w:r>
      <w:r w:rsidR="00212BF7" w:rsidRPr="0046745A">
        <w:rPr>
          <w:rFonts w:ascii="Cambria" w:hAnsi="Cambria"/>
          <w:sz w:val="20"/>
          <w:szCs w:val="20"/>
          <w:lang w:val="es-ES"/>
        </w:rPr>
        <w:t> </w:t>
      </w:r>
      <w:r w:rsidRPr="0046745A">
        <w:rPr>
          <w:rFonts w:ascii="Cambria" w:hAnsi="Cambria"/>
          <w:sz w:val="20"/>
          <w:szCs w:val="20"/>
          <w:lang w:val="es-ES"/>
        </w:rPr>
        <w:t xml:space="preserve">20000), </w:t>
      </w:r>
      <w:r w:rsidR="00212BF7" w:rsidRPr="0046745A">
        <w:rPr>
          <w:rFonts w:ascii="Cambria" w:hAnsi="Cambria"/>
          <w:sz w:val="20"/>
          <w:szCs w:val="20"/>
          <w:lang w:val="es-ES"/>
        </w:rPr>
        <w:t xml:space="preserve">de </w:t>
      </w:r>
      <w:r w:rsidR="000E6C1F" w:rsidRPr="0046745A">
        <w:rPr>
          <w:rFonts w:ascii="Cambria" w:hAnsi="Cambria"/>
          <w:sz w:val="20"/>
          <w:szCs w:val="20"/>
          <w:lang w:val="es-ES"/>
        </w:rPr>
        <w:t xml:space="preserve">la </w:t>
      </w:r>
      <w:r w:rsidRPr="0046745A">
        <w:rPr>
          <w:rFonts w:ascii="Cambria" w:hAnsi="Cambria"/>
          <w:sz w:val="20"/>
          <w:szCs w:val="20"/>
          <w:lang w:val="es-ES"/>
        </w:rPr>
        <w:t xml:space="preserve">seguridad de la información (ISO 27001, ISO 27017) y </w:t>
      </w:r>
      <w:r w:rsidR="000E6C1F" w:rsidRPr="0046745A">
        <w:rPr>
          <w:rFonts w:ascii="Cambria" w:hAnsi="Cambria"/>
          <w:sz w:val="20"/>
          <w:szCs w:val="20"/>
          <w:lang w:val="es-ES"/>
        </w:rPr>
        <w:t xml:space="preserve">de la </w:t>
      </w:r>
      <w:r w:rsidRPr="0046745A">
        <w:rPr>
          <w:rFonts w:ascii="Cambria" w:hAnsi="Cambria"/>
          <w:sz w:val="20"/>
          <w:szCs w:val="20"/>
          <w:lang w:val="es-ES"/>
        </w:rPr>
        <w:t>continuidad de negocio (ISO</w:t>
      </w:r>
      <w:r w:rsidR="000E6C1F" w:rsidRPr="0046745A">
        <w:rPr>
          <w:rFonts w:ascii="Cambria" w:hAnsi="Cambria"/>
          <w:sz w:val="20"/>
          <w:szCs w:val="20"/>
          <w:lang w:val="es-ES"/>
        </w:rPr>
        <w:t> </w:t>
      </w:r>
      <w:r w:rsidRPr="0046745A">
        <w:rPr>
          <w:rFonts w:ascii="Cambria" w:hAnsi="Cambria"/>
          <w:sz w:val="20"/>
          <w:szCs w:val="20"/>
          <w:lang w:val="es-ES"/>
        </w:rPr>
        <w:t>22301).</w:t>
      </w:r>
    </w:p>
    <w:p w14:paraId="62ED7358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05A64956" w14:textId="77777777" w:rsidR="00212BF7" w:rsidRPr="0046745A" w:rsidRDefault="00212BF7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4A6EDA53" w14:textId="464AE369" w:rsidR="000F163C" w:rsidRPr="0046745A" w:rsidRDefault="000F163C" w:rsidP="000E6C1F">
      <w:pPr>
        <w:pStyle w:val="ListParagraph"/>
        <w:numPr>
          <w:ilvl w:val="0"/>
          <w:numId w:val="3"/>
        </w:numPr>
        <w:spacing w:after="0" w:line="240" w:lineRule="exact"/>
        <w:ind w:left="426" w:hanging="426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Servicios </w:t>
      </w:r>
      <w:r w:rsidR="000E6C1F" w:rsidRPr="0046745A">
        <w:rPr>
          <w:rFonts w:ascii="Cambria" w:hAnsi="Cambria"/>
          <w:b/>
          <w:bCs/>
          <w:sz w:val="20"/>
          <w:szCs w:val="20"/>
          <w:lang w:val="es-ES"/>
        </w:rPr>
        <w:t>i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>ncluidos</w:t>
      </w:r>
    </w:p>
    <w:p w14:paraId="512B3E2B" w14:textId="77777777" w:rsidR="000E6C1F" w:rsidRPr="0046745A" w:rsidRDefault="000E6C1F" w:rsidP="000E6C1F">
      <w:pPr>
        <w:pStyle w:val="ListParagraph"/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19BA7673" w14:textId="73AB9886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La propuesta combina la provisión de infraestructura </w:t>
      </w:r>
      <w:r w:rsidR="000E6C1F" w:rsidRPr="0046745A">
        <w:rPr>
          <w:rFonts w:ascii="Cambria" w:hAnsi="Cambria"/>
          <w:sz w:val="20"/>
          <w:szCs w:val="20"/>
          <w:lang w:val="es-ES"/>
        </w:rPr>
        <w:t>en la nube</w:t>
      </w:r>
      <w:r w:rsidRPr="0046745A">
        <w:rPr>
          <w:rFonts w:ascii="Cambria" w:hAnsi="Cambria"/>
          <w:sz w:val="20"/>
          <w:szCs w:val="20"/>
          <w:lang w:val="es-ES"/>
        </w:rPr>
        <w:t xml:space="preserve"> (IaaS) a cargo de IaaS365 con los servicios de mantenimiento, soporte y migración del sistema THEMIS por parte de CLS, conformando una solución integral que asegura la operatividad del sistema VMS y la seguridad de sus datos.</w:t>
      </w:r>
    </w:p>
    <w:p w14:paraId="6F166E91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215EDA85" w14:textId="14736818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i/>
          <w:i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2.1 Infraestructura Cloud (IaaS365)</w:t>
      </w:r>
    </w:p>
    <w:p w14:paraId="591FC3F0" w14:textId="77777777" w:rsidR="007D7B18" w:rsidRPr="0046745A" w:rsidRDefault="007D7B18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4EF1D165" w14:textId="36A95660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El servicio ofrecido por IaaS365 se basará en su plataforma iCloud365, alojada en centros de datos propios en Madrid, garantizando una disponibilidad superior al 99,98</w:t>
      </w:r>
      <w:r w:rsidR="00EC0553" w:rsidRPr="0046745A">
        <w:rPr>
          <w:rFonts w:ascii="Cambria" w:hAnsi="Cambria"/>
          <w:sz w:val="20"/>
          <w:szCs w:val="20"/>
          <w:lang w:val="es-ES"/>
        </w:rPr>
        <w:t> </w:t>
      </w:r>
      <w:r w:rsidRPr="0046745A">
        <w:rPr>
          <w:rFonts w:ascii="Cambria" w:hAnsi="Cambria"/>
          <w:sz w:val="20"/>
          <w:szCs w:val="20"/>
          <w:lang w:val="es-ES"/>
        </w:rPr>
        <w:t>%.</w:t>
      </w:r>
    </w:p>
    <w:p w14:paraId="16176ACC" w14:textId="77777777" w:rsidR="00EC0553" w:rsidRPr="0046745A" w:rsidRDefault="00EC0553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26A5C39E" w14:textId="19636B48" w:rsidR="00B04FD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Entre sus características destacan:</w:t>
      </w:r>
    </w:p>
    <w:p w14:paraId="29FC21CB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3F88EC2F" w14:textId="77777777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Infraestructura virtual dedicada con hasta 24 vCPU, 48 GB de memoria RAM y 1,5 TB de almacenamiento virtual.</w:t>
      </w:r>
    </w:p>
    <w:p w14:paraId="149AB309" w14:textId="77777777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lastRenderedPageBreak/>
        <w:t>Redundancia en dos zonas de disponibilidad y conectividad de alta capacidad (hasta 100 Mbps P95).</w:t>
      </w:r>
    </w:p>
    <w:p w14:paraId="189AC1F1" w14:textId="049F144D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Copias de seguridad diarias y mensuales con almacenamiento NVMe y retención de hasta 12</w:t>
      </w:r>
      <w:r w:rsidR="00EC0553" w:rsidRPr="0046745A">
        <w:rPr>
          <w:rFonts w:ascii="Cambria" w:hAnsi="Cambria"/>
          <w:sz w:val="20"/>
          <w:szCs w:val="20"/>
          <w:lang w:val="es-ES"/>
        </w:rPr>
        <w:t> </w:t>
      </w:r>
      <w:r w:rsidRPr="0046745A">
        <w:rPr>
          <w:rFonts w:ascii="Cambria" w:hAnsi="Cambria"/>
          <w:sz w:val="20"/>
          <w:szCs w:val="20"/>
          <w:lang w:val="es-ES"/>
        </w:rPr>
        <w:t>meses.</w:t>
      </w:r>
    </w:p>
    <w:p w14:paraId="1EBE0BF3" w14:textId="77777777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Servicio de monitorización de los recursos y soporte técnico especializado en horario laboral (9x5).</w:t>
      </w:r>
    </w:p>
    <w:p w14:paraId="7F764843" w14:textId="77777777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Firewall virtual y conectividad segura mediante VPN Site-to-Site, con licencias Check Point CloudGuard Network Security.</w:t>
      </w:r>
    </w:p>
    <w:p w14:paraId="68F5DE5A" w14:textId="7DF6C87C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Cumplimiento de los estándares ISO 20000, 22301, 27001, 27017, 9001 y 14001, que garantizan calidad, seguridad y sostenibilidad en la prestación del servicio.</w:t>
      </w:r>
    </w:p>
    <w:p w14:paraId="7A1771DD" w14:textId="77777777" w:rsidR="000F163C" w:rsidRPr="0046745A" w:rsidRDefault="000F163C" w:rsidP="00212BF7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B601F87" w14:textId="40095D2E" w:rsidR="000F163C" w:rsidRPr="0046745A" w:rsidRDefault="000F163C" w:rsidP="00D37226">
      <w:pPr>
        <w:pStyle w:val="ListParagraph"/>
        <w:numPr>
          <w:ilvl w:val="1"/>
          <w:numId w:val="4"/>
        </w:numPr>
        <w:spacing w:after="0" w:line="240" w:lineRule="exact"/>
        <w:jc w:val="both"/>
        <w:rPr>
          <w:rFonts w:ascii="Cambria" w:hAnsi="Cambria"/>
          <w:b/>
          <w:bCs/>
          <w:i/>
          <w:i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 xml:space="preserve">Mantenimiento y </w:t>
      </w:r>
      <w:r w:rsidR="00D37226"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soporte del si</w:t>
      </w: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stema THEMIS (CLS)</w:t>
      </w:r>
    </w:p>
    <w:p w14:paraId="6CADEBDA" w14:textId="77777777" w:rsidR="00D37226" w:rsidRPr="0046745A" w:rsidRDefault="00D37226" w:rsidP="00D37226">
      <w:pPr>
        <w:pStyle w:val="ListParagraph"/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1A6490B" w14:textId="2F06CD1C" w:rsidR="000F163C" w:rsidRPr="0046745A" w:rsidRDefault="00E00BBE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El importe de 17.405</w:t>
      </w:r>
      <w:r w:rsidR="00543665" w:rsidRPr="0046745A">
        <w:rPr>
          <w:rFonts w:ascii="Cambria" w:hAnsi="Cambria"/>
          <w:sz w:val="20"/>
          <w:szCs w:val="20"/>
          <w:lang w:val="es-ES"/>
        </w:rPr>
        <w:t> euros</w:t>
      </w:r>
      <w:r w:rsidRPr="0046745A">
        <w:rPr>
          <w:rFonts w:ascii="Cambria" w:hAnsi="Cambria"/>
          <w:sz w:val="20"/>
          <w:szCs w:val="20"/>
          <w:lang w:val="es-ES"/>
        </w:rPr>
        <w:t xml:space="preserve"> correspondiente al mantenimiento y acceso del sistema THEMIS permanece invariable respecto al año fiscal previo. Dicha cifra cubre los siguientes servicios:</w:t>
      </w:r>
    </w:p>
    <w:p w14:paraId="1CD18FAE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134D2462" w14:textId="6CF19E19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Soporte técnico especializado ante incidencias o consultas.</w:t>
      </w:r>
    </w:p>
    <w:p w14:paraId="117980F9" w14:textId="32622845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Actualizaciones y mejoras continuas del software.</w:t>
      </w:r>
    </w:p>
    <w:p w14:paraId="7D557ADD" w14:textId="18A4BFD3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Supervisión de seguridad y aplicación de parches críticos.</w:t>
      </w:r>
    </w:p>
    <w:p w14:paraId="19D7D9DA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3576925" w14:textId="6645ABAC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Estos servicios asegurarán que el software continúe operativo, seguro y actualizado durante todo su ciclo de vida.</w:t>
      </w:r>
    </w:p>
    <w:p w14:paraId="5B6989D4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7AD97E9A" w14:textId="682150EB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i/>
          <w:i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2.3</w:t>
      </w:r>
      <w:r w:rsidR="00A363CB"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 xml:space="preserve"> </w:t>
      </w: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 xml:space="preserve">Asistencia </w:t>
      </w:r>
      <w:r w:rsidR="008356B7"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técnica para la mi</w:t>
      </w:r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gración (</w:t>
      </w:r>
      <w:proofErr w:type="spellStart"/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CLS</w:t>
      </w:r>
      <w:proofErr w:type="spellEnd"/>
      <w:r w:rsidRPr="0046745A">
        <w:rPr>
          <w:rFonts w:ascii="Cambria" w:hAnsi="Cambria"/>
          <w:b/>
          <w:bCs/>
          <w:i/>
          <w:iCs/>
          <w:sz w:val="20"/>
          <w:szCs w:val="20"/>
          <w:lang w:val="es-ES"/>
        </w:rPr>
        <w:t>)</w:t>
      </w:r>
    </w:p>
    <w:p w14:paraId="37AF5B93" w14:textId="77777777" w:rsidR="00A363CB" w:rsidRPr="0046745A" w:rsidRDefault="00A363CB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04DACC11" w14:textId="11FC7136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La asistencia técnica para la migración del sistema VMS a la infraestructura </w:t>
      </w:r>
      <w:r w:rsidR="00A363CB" w:rsidRPr="0046745A">
        <w:rPr>
          <w:rFonts w:ascii="Cambria" w:hAnsi="Cambria"/>
          <w:sz w:val="20"/>
          <w:szCs w:val="20"/>
          <w:lang w:val="es-ES"/>
        </w:rPr>
        <w:t>en la nube</w:t>
      </w:r>
      <w:r w:rsidRPr="0046745A">
        <w:rPr>
          <w:rFonts w:ascii="Cambria" w:hAnsi="Cambria"/>
          <w:sz w:val="20"/>
          <w:szCs w:val="20"/>
          <w:lang w:val="es-ES"/>
        </w:rPr>
        <w:t xml:space="preserve"> conllevará un coste estimado de 12.800</w:t>
      </w:r>
      <w:r w:rsidR="00A363CB" w:rsidRPr="0046745A">
        <w:rPr>
          <w:rFonts w:ascii="Cambria" w:hAnsi="Cambria"/>
          <w:sz w:val="20"/>
          <w:szCs w:val="20"/>
          <w:lang w:val="es-ES"/>
        </w:rPr>
        <w:t> euros</w:t>
      </w:r>
      <w:r w:rsidR="00EA307A" w:rsidRPr="0046745A">
        <w:rPr>
          <w:rFonts w:ascii="Cambria" w:hAnsi="Cambria"/>
          <w:sz w:val="20"/>
          <w:szCs w:val="20"/>
          <w:lang w:val="es-ES"/>
        </w:rPr>
        <w:t xml:space="preserve"> </w:t>
      </w:r>
      <w:r w:rsidRPr="0046745A">
        <w:rPr>
          <w:rFonts w:ascii="Cambria" w:hAnsi="Cambria"/>
          <w:sz w:val="20"/>
          <w:szCs w:val="20"/>
          <w:lang w:val="es-ES"/>
        </w:rPr>
        <w:t>que incluye:</w:t>
      </w:r>
    </w:p>
    <w:p w14:paraId="44722771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8D34DDD" w14:textId="756B8DB9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Análisis previo y planificación del entorno de migración.</w:t>
      </w:r>
    </w:p>
    <w:p w14:paraId="3D5EFF23" w14:textId="4A5ACB8A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Transferencia de datos y configuraciones.</w:t>
      </w:r>
    </w:p>
    <w:p w14:paraId="006EB21E" w14:textId="21C37DF2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Reinstalación y validación del software THEMIS en el nuevo entorno.</w:t>
      </w:r>
    </w:p>
    <w:p w14:paraId="31B3D88E" w14:textId="58BFA231" w:rsidR="000F163C" w:rsidRPr="0046745A" w:rsidRDefault="000F163C" w:rsidP="00212BF7">
      <w:pPr>
        <w:pStyle w:val="ListParagraph"/>
        <w:numPr>
          <w:ilvl w:val="0"/>
          <w:numId w:val="2"/>
        </w:num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Soporte técnico durante la fase de transición.</w:t>
      </w:r>
    </w:p>
    <w:p w14:paraId="714168E5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B878724" w14:textId="685A74D8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Los importes indicados son estimativos y podrán ajustarse en función de los resultados del análisis técnico y de los requisitos que se identifiquen durante la implementación.</w:t>
      </w:r>
    </w:p>
    <w:p w14:paraId="79586753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88C7DEB" w14:textId="77777777" w:rsidR="00A363CB" w:rsidRPr="0046745A" w:rsidRDefault="00A363CB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4F80CB3F" w14:textId="1838D425" w:rsidR="000F163C" w:rsidRPr="0046745A" w:rsidRDefault="000F163C" w:rsidP="00A363CB">
      <w:pPr>
        <w:pStyle w:val="ListParagraph"/>
        <w:numPr>
          <w:ilvl w:val="0"/>
          <w:numId w:val="3"/>
        </w:numPr>
        <w:spacing w:after="0" w:line="240" w:lineRule="exact"/>
        <w:ind w:left="426" w:hanging="426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Calendario </w:t>
      </w:r>
      <w:r w:rsidR="00A363CB" w:rsidRPr="0046745A">
        <w:rPr>
          <w:rFonts w:ascii="Cambria" w:hAnsi="Cambria"/>
          <w:b/>
          <w:bCs/>
          <w:sz w:val="20"/>
          <w:szCs w:val="20"/>
          <w:lang w:val="es-ES"/>
        </w:rPr>
        <w:t>p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>ropuesto</w:t>
      </w:r>
    </w:p>
    <w:p w14:paraId="23A78D40" w14:textId="77777777" w:rsidR="00A363CB" w:rsidRPr="0046745A" w:rsidRDefault="00A363CB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1B01FF8A" w14:textId="20C794E3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La migración del sistema VMS se propone realizar de manera gradual durante el año 2026, en coordinación entre IaaS365 y CLS, siguiendo las siguientes etapas principales:</w:t>
      </w:r>
    </w:p>
    <w:p w14:paraId="7EAEDCE7" w14:textId="77777777" w:rsidR="00B04FDC" w:rsidRPr="0046745A" w:rsidRDefault="00B04FD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36B507D5" w14:textId="5B84EA64" w:rsidR="000F163C" w:rsidRPr="0046745A" w:rsidRDefault="000F163C" w:rsidP="00A363CB">
      <w:pPr>
        <w:pStyle w:val="ListParagraph"/>
        <w:numPr>
          <w:ilvl w:val="0"/>
          <w:numId w:val="5"/>
        </w:numPr>
        <w:spacing w:after="0" w:line="240" w:lineRule="exact"/>
        <w:ind w:left="709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Análisis y preparación (</w:t>
      </w:r>
      <w:r w:rsidR="00A363CB" w:rsidRPr="0046745A">
        <w:rPr>
          <w:rFonts w:ascii="Cambria" w:hAnsi="Cambria"/>
          <w:sz w:val="20"/>
          <w:szCs w:val="20"/>
          <w:lang w:val="es-ES"/>
        </w:rPr>
        <w:t>primer</w:t>
      </w:r>
      <w:r w:rsidRPr="0046745A">
        <w:rPr>
          <w:rFonts w:ascii="Cambria" w:hAnsi="Cambria"/>
          <w:sz w:val="20"/>
          <w:szCs w:val="20"/>
          <w:lang w:val="es-ES"/>
        </w:rPr>
        <w:t xml:space="preserve"> trimestre 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de </w:t>
      </w:r>
      <w:r w:rsidRPr="0046745A">
        <w:rPr>
          <w:rFonts w:ascii="Cambria" w:hAnsi="Cambria"/>
          <w:sz w:val="20"/>
          <w:szCs w:val="20"/>
          <w:lang w:val="es-ES"/>
        </w:rPr>
        <w:t>2026) – Evaluación técnica, definición de arquitectura y planificación de recursos.</w:t>
      </w:r>
    </w:p>
    <w:p w14:paraId="65D550D3" w14:textId="77777777" w:rsidR="00A363CB" w:rsidRPr="0046745A" w:rsidRDefault="00A363CB" w:rsidP="00A363CB">
      <w:pPr>
        <w:pStyle w:val="ListParagraph"/>
        <w:spacing w:after="0" w:line="240" w:lineRule="exact"/>
        <w:ind w:left="709"/>
        <w:jc w:val="both"/>
        <w:rPr>
          <w:rFonts w:ascii="Cambria" w:hAnsi="Cambria"/>
          <w:sz w:val="20"/>
          <w:szCs w:val="20"/>
          <w:lang w:val="es-ES"/>
        </w:rPr>
      </w:pPr>
    </w:p>
    <w:p w14:paraId="00F1148B" w14:textId="60589000" w:rsidR="00A363CB" w:rsidRPr="0046745A" w:rsidRDefault="000F163C" w:rsidP="00A363CB">
      <w:pPr>
        <w:pStyle w:val="ListParagraph"/>
        <w:numPr>
          <w:ilvl w:val="0"/>
          <w:numId w:val="5"/>
        </w:numPr>
        <w:spacing w:after="0" w:line="240" w:lineRule="exact"/>
        <w:ind w:left="709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Implementación (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segundo </w:t>
      </w:r>
      <w:r w:rsidRPr="0046745A">
        <w:rPr>
          <w:rFonts w:ascii="Cambria" w:hAnsi="Cambria"/>
          <w:sz w:val="20"/>
          <w:szCs w:val="20"/>
          <w:lang w:val="es-ES"/>
        </w:rPr>
        <w:t xml:space="preserve">y 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tercer </w:t>
      </w:r>
      <w:r w:rsidRPr="0046745A">
        <w:rPr>
          <w:rFonts w:ascii="Cambria" w:hAnsi="Cambria"/>
          <w:sz w:val="20"/>
          <w:szCs w:val="20"/>
          <w:lang w:val="es-ES"/>
        </w:rPr>
        <w:t>trimestre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 de</w:t>
      </w:r>
      <w:r w:rsidRPr="0046745A">
        <w:rPr>
          <w:rFonts w:ascii="Cambria" w:hAnsi="Cambria"/>
          <w:sz w:val="20"/>
          <w:szCs w:val="20"/>
          <w:lang w:val="es-ES"/>
        </w:rPr>
        <w:t xml:space="preserve"> 2026) – Despliegue de la infraestructura </w:t>
      </w:r>
      <w:r w:rsidR="00A363CB" w:rsidRPr="0046745A">
        <w:rPr>
          <w:rFonts w:ascii="Cambria" w:hAnsi="Cambria"/>
          <w:sz w:val="20"/>
          <w:szCs w:val="20"/>
          <w:lang w:val="es-ES"/>
        </w:rPr>
        <w:t>en la nube</w:t>
      </w:r>
      <w:r w:rsidRPr="0046745A">
        <w:rPr>
          <w:rFonts w:ascii="Cambria" w:hAnsi="Cambria"/>
          <w:sz w:val="20"/>
          <w:szCs w:val="20"/>
          <w:lang w:val="es-ES"/>
        </w:rPr>
        <w:t>, migración de datos y validaciones funcionales.</w:t>
      </w:r>
    </w:p>
    <w:p w14:paraId="4FFAE25D" w14:textId="77777777" w:rsidR="00A363CB" w:rsidRPr="0046745A" w:rsidRDefault="00A363CB" w:rsidP="00A363CB">
      <w:pPr>
        <w:pStyle w:val="ListParagraph"/>
        <w:spacing w:after="0" w:line="240" w:lineRule="exact"/>
        <w:ind w:left="709"/>
        <w:jc w:val="both"/>
        <w:rPr>
          <w:rFonts w:ascii="Cambria" w:hAnsi="Cambria"/>
          <w:sz w:val="20"/>
          <w:szCs w:val="20"/>
          <w:lang w:val="es-ES"/>
        </w:rPr>
      </w:pPr>
    </w:p>
    <w:p w14:paraId="0EAE1845" w14:textId="5BD88AA1" w:rsidR="00A363CB" w:rsidRPr="0046745A" w:rsidRDefault="000F163C" w:rsidP="00A363CB">
      <w:pPr>
        <w:pStyle w:val="ListParagraph"/>
        <w:numPr>
          <w:ilvl w:val="0"/>
          <w:numId w:val="5"/>
        </w:numPr>
        <w:spacing w:after="0" w:line="240" w:lineRule="exact"/>
        <w:ind w:left="709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Transición operativa (</w:t>
      </w:r>
      <w:r w:rsidR="00A363CB" w:rsidRPr="0046745A">
        <w:rPr>
          <w:rFonts w:ascii="Cambria" w:hAnsi="Cambria"/>
          <w:sz w:val="20"/>
          <w:szCs w:val="20"/>
          <w:lang w:val="es-ES"/>
        </w:rPr>
        <w:t>cuarto</w:t>
      </w:r>
      <w:r w:rsidRPr="0046745A">
        <w:rPr>
          <w:rFonts w:ascii="Cambria" w:hAnsi="Cambria"/>
          <w:sz w:val="20"/>
          <w:szCs w:val="20"/>
          <w:lang w:val="es-ES"/>
        </w:rPr>
        <w:t xml:space="preserve"> trimestre 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de </w:t>
      </w:r>
      <w:r w:rsidRPr="0046745A">
        <w:rPr>
          <w:rFonts w:ascii="Cambria" w:hAnsi="Cambria"/>
          <w:sz w:val="20"/>
          <w:szCs w:val="20"/>
          <w:lang w:val="es-ES"/>
        </w:rPr>
        <w:t>2026) – Ajustes finales, monitorización de rendimiento y estabilización del sistema.</w:t>
      </w:r>
    </w:p>
    <w:p w14:paraId="64E562E1" w14:textId="77777777" w:rsidR="00A363CB" w:rsidRPr="0046745A" w:rsidRDefault="00A363CB" w:rsidP="00A363CB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17E4A792" w14:textId="1442E204" w:rsidR="000F163C" w:rsidRPr="0046745A" w:rsidRDefault="000F163C" w:rsidP="00A363CB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Este calendario flexible permitirá mantener la continuidad del servicio y minimizar el impacto en las operaciones de ICCAT.</w:t>
      </w:r>
    </w:p>
    <w:p w14:paraId="39FD3926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4286279E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39F390C1" w14:textId="77777777" w:rsidR="00A363CB" w:rsidRPr="0046745A" w:rsidRDefault="00A363CB">
      <w:pPr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br w:type="page"/>
      </w:r>
    </w:p>
    <w:p w14:paraId="2FAAB6CF" w14:textId="745F8DF0" w:rsidR="000F163C" w:rsidRPr="0046745A" w:rsidRDefault="000F163C" w:rsidP="00A363CB">
      <w:pPr>
        <w:pStyle w:val="ListParagraph"/>
        <w:numPr>
          <w:ilvl w:val="0"/>
          <w:numId w:val="5"/>
        </w:numPr>
        <w:spacing w:after="0" w:line="240" w:lineRule="exact"/>
        <w:ind w:left="426" w:hanging="426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lastRenderedPageBreak/>
        <w:t xml:space="preserve">Estimación </w:t>
      </w:r>
      <w:r w:rsidR="00A363CB" w:rsidRPr="0046745A">
        <w:rPr>
          <w:rFonts w:ascii="Cambria" w:hAnsi="Cambria"/>
          <w:b/>
          <w:bCs/>
          <w:sz w:val="20"/>
          <w:szCs w:val="20"/>
          <w:lang w:val="es-ES"/>
        </w:rPr>
        <w:t>e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 xml:space="preserve">conómica </w:t>
      </w:r>
      <w:r w:rsidR="00A363CB" w:rsidRPr="0046745A">
        <w:rPr>
          <w:rFonts w:ascii="Cambria" w:hAnsi="Cambria"/>
          <w:b/>
          <w:bCs/>
          <w:sz w:val="20"/>
          <w:szCs w:val="20"/>
          <w:lang w:val="es-ES"/>
        </w:rPr>
        <w:t>g</w:t>
      </w:r>
      <w:r w:rsidRPr="0046745A">
        <w:rPr>
          <w:rFonts w:ascii="Cambria" w:hAnsi="Cambria"/>
          <w:b/>
          <w:bCs/>
          <w:sz w:val="20"/>
          <w:szCs w:val="20"/>
          <w:lang w:val="es-ES"/>
        </w:rPr>
        <w:t>lobal</w:t>
      </w:r>
    </w:p>
    <w:p w14:paraId="26AA2A67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2050"/>
        <w:gridCol w:w="1238"/>
        <w:gridCol w:w="1036"/>
      </w:tblGrid>
      <w:tr w:rsidR="000F163C" w:rsidRPr="0046745A" w14:paraId="6989F807" w14:textId="77777777" w:rsidTr="00F42BB8">
        <w:trPr>
          <w:trHeight w:val="28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9CD31" w14:textId="77777777" w:rsidR="000F163C" w:rsidRPr="0046745A" w:rsidRDefault="000F163C" w:rsidP="00212BF7">
            <w:pPr>
              <w:spacing w:after="0" w:line="240" w:lineRule="exact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1C1195AA" w14:textId="77777777" w:rsidR="000F163C" w:rsidRPr="0046745A" w:rsidRDefault="000F163C" w:rsidP="00212BF7">
            <w:pPr>
              <w:spacing w:after="0" w:line="240" w:lineRule="exact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Importe estimado (€)</w:t>
            </w:r>
          </w:p>
        </w:tc>
        <w:tc>
          <w:tcPr>
            <w:tcW w:w="0" w:type="auto"/>
            <w:vAlign w:val="center"/>
            <w:hideMark/>
          </w:tcPr>
          <w:p w14:paraId="69A74B76" w14:textId="77777777" w:rsidR="000F163C" w:rsidRPr="0046745A" w:rsidRDefault="000F163C" w:rsidP="00212BF7">
            <w:pPr>
              <w:spacing w:after="0" w:line="240" w:lineRule="exact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Periodicidad</w:t>
            </w:r>
          </w:p>
        </w:tc>
        <w:tc>
          <w:tcPr>
            <w:tcW w:w="0" w:type="auto"/>
            <w:vAlign w:val="center"/>
            <w:hideMark/>
          </w:tcPr>
          <w:p w14:paraId="5206CA41" w14:textId="77777777" w:rsidR="000F163C" w:rsidRPr="0046745A" w:rsidRDefault="000F163C" w:rsidP="00212BF7">
            <w:pPr>
              <w:spacing w:after="0" w:line="240" w:lineRule="exact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Proveedor</w:t>
            </w:r>
          </w:p>
        </w:tc>
      </w:tr>
      <w:tr w:rsidR="00425F17" w:rsidRPr="0046745A" w14:paraId="6316F21A" w14:textId="77777777" w:rsidTr="00F42BB8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6CFD0B44" w14:textId="25A22835" w:rsidR="00425F17" w:rsidRPr="0046745A" w:rsidRDefault="00425F17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Asistencia técnica para migración a la nube</w:t>
            </w:r>
          </w:p>
        </w:tc>
        <w:tc>
          <w:tcPr>
            <w:tcW w:w="0" w:type="auto"/>
            <w:vAlign w:val="center"/>
            <w:hideMark/>
          </w:tcPr>
          <w:p w14:paraId="42A63108" w14:textId="1E6F4CE2" w:rsidR="00425F17" w:rsidRPr="0046745A" w:rsidRDefault="00425F17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12.800 €</w:t>
            </w:r>
          </w:p>
        </w:tc>
        <w:tc>
          <w:tcPr>
            <w:tcW w:w="0" w:type="auto"/>
            <w:vAlign w:val="center"/>
            <w:hideMark/>
          </w:tcPr>
          <w:p w14:paraId="7CB3C729" w14:textId="2B627DCC" w:rsidR="00425F17" w:rsidRPr="0046745A" w:rsidRDefault="00425F17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Único</w:t>
            </w:r>
          </w:p>
        </w:tc>
        <w:tc>
          <w:tcPr>
            <w:tcW w:w="0" w:type="auto"/>
            <w:vAlign w:val="center"/>
            <w:hideMark/>
          </w:tcPr>
          <w:p w14:paraId="17EC6622" w14:textId="74A74942" w:rsidR="00425F17" w:rsidRPr="0046745A" w:rsidRDefault="00425F17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CLS</w:t>
            </w:r>
          </w:p>
        </w:tc>
      </w:tr>
      <w:tr w:rsidR="00DC4CFE" w:rsidRPr="0046745A" w14:paraId="1FDC37CE" w14:textId="77777777" w:rsidTr="00F42BB8">
        <w:trPr>
          <w:trHeight w:val="283"/>
          <w:tblCellSpacing w:w="15" w:type="dxa"/>
        </w:trPr>
        <w:tc>
          <w:tcPr>
            <w:tcW w:w="0" w:type="auto"/>
            <w:vAlign w:val="center"/>
          </w:tcPr>
          <w:p w14:paraId="40156FFB" w14:textId="347D6880" w:rsidR="00DC4CFE" w:rsidRPr="0046745A" w:rsidRDefault="00B60BD3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Mantenimiento</w:t>
            </w:r>
            <w:r w:rsidR="00DC4CFE" w:rsidRPr="0046745A">
              <w:rPr>
                <w:rFonts w:ascii="Cambria" w:hAnsi="Cambria"/>
                <w:sz w:val="20"/>
                <w:szCs w:val="20"/>
                <w:lang w:val="es-ES"/>
              </w:rPr>
              <w:t xml:space="preserve"> de Themis</w:t>
            </w:r>
          </w:p>
        </w:tc>
        <w:tc>
          <w:tcPr>
            <w:tcW w:w="0" w:type="auto"/>
            <w:vAlign w:val="center"/>
          </w:tcPr>
          <w:p w14:paraId="1175CDB3" w14:textId="02794AE2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17.405€</w:t>
            </w:r>
          </w:p>
        </w:tc>
        <w:tc>
          <w:tcPr>
            <w:tcW w:w="0" w:type="auto"/>
            <w:vAlign w:val="center"/>
          </w:tcPr>
          <w:p w14:paraId="6F60F383" w14:textId="023A607A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Anual</w:t>
            </w:r>
          </w:p>
        </w:tc>
        <w:tc>
          <w:tcPr>
            <w:tcW w:w="0" w:type="auto"/>
            <w:vAlign w:val="center"/>
          </w:tcPr>
          <w:p w14:paraId="756ADE39" w14:textId="1493C76C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CLS</w:t>
            </w:r>
          </w:p>
        </w:tc>
      </w:tr>
      <w:tr w:rsidR="00DC4CFE" w:rsidRPr="0046745A" w14:paraId="68727440" w14:textId="77777777" w:rsidTr="0007638C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252C1CA" w14:textId="34A8F748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 xml:space="preserve">Infraestructura </w:t>
            </w:r>
            <w:r w:rsidR="00A363CB" w:rsidRPr="0046745A">
              <w:rPr>
                <w:rFonts w:ascii="Cambria" w:hAnsi="Cambria"/>
                <w:sz w:val="20"/>
                <w:szCs w:val="20"/>
                <w:lang w:val="es-ES"/>
              </w:rPr>
              <w:t>en la nube</w:t>
            </w: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 xml:space="preserve"> (iCloud365) – Recursos IaaS, </w:t>
            </w:r>
            <w:r w:rsidR="00F42BB8" w:rsidRPr="0046745A">
              <w:rPr>
                <w:rFonts w:ascii="Cambria" w:hAnsi="Cambria"/>
                <w:sz w:val="20"/>
                <w:szCs w:val="20"/>
                <w:lang w:val="es-ES"/>
              </w:rPr>
              <w:t>copia de seguridad</w:t>
            </w: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, monitorización y firewall</w:t>
            </w:r>
          </w:p>
        </w:tc>
        <w:tc>
          <w:tcPr>
            <w:tcW w:w="0" w:type="auto"/>
            <w:vAlign w:val="center"/>
            <w:hideMark/>
          </w:tcPr>
          <w:p w14:paraId="3BE11CE7" w14:textId="4549C700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1.203,45 €/mes (aprox. 14.440 €/año)</w:t>
            </w:r>
          </w:p>
        </w:tc>
        <w:tc>
          <w:tcPr>
            <w:tcW w:w="0" w:type="auto"/>
            <w:vAlign w:val="center"/>
            <w:hideMark/>
          </w:tcPr>
          <w:p w14:paraId="461E9E70" w14:textId="31C03CEE" w:rsidR="00DC4CFE" w:rsidRPr="0046745A" w:rsidRDefault="00DC4CFE" w:rsidP="0007638C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Mensual</w:t>
            </w:r>
          </w:p>
        </w:tc>
        <w:tc>
          <w:tcPr>
            <w:tcW w:w="0" w:type="auto"/>
            <w:vAlign w:val="center"/>
            <w:hideMark/>
          </w:tcPr>
          <w:p w14:paraId="1FB11B56" w14:textId="6DD67F4D" w:rsidR="00DC4CFE" w:rsidRPr="0046745A" w:rsidRDefault="00DC4CFE" w:rsidP="0007638C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IaaS365</w:t>
            </w:r>
          </w:p>
        </w:tc>
      </w:tr>
      <w:tr w:rsidR="00DC4CFE" w:rsidRPr="0046745A" w14:paraId="4A85F433" w14:textId="77777777" w:rsidTr="00F42BB8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9E2BC6E" w14:textId="6DB8565B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Servicios iniciales de migración y configuración (</w:t>
            </w:r>
            <w:r w:rsidRPr="0046745A">
              <w:rPr>
                <w:rFonts w:ascii="Cambria" w:hAnsi="Cambria"/>
                <w:i/>
                <w:iCs/>
                <w:sz w:val="20"/>
                <w:szCs w:val="20"/>
                <w:lang w:val="es-ES"/>
              </w:rPr>
              <w:t>onboarding</w:t>
            </w: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, licencias, seguridad)</w:t>
            </w:r>
          </w:p>
        </w:tc>
        <w:tc>
          <w:tcPr>
            <w:tcW w:w="0" w:type="auto"/>
            <w:vAlign w:val="center"/>
            <w:hideMark/>
          </w:tcPr>
          <w:p w14:paraId="5A638121" w14:textId="4DD98867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4.494,62 €</w:t>
            </w:r>
          </w:p>
        </w:tc>
        <w:tc>
          <w:tcPr>
            <w:tcW w:w="0" w:type="auto"/>
            <w:vAlign w:val="center"/>
            <w:hideMark/>
          </w:tcPr>
          <w:p w14:paraId="365DBF88" w14:textId="5716B1C7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Único</w:t>
            </w:r>
          </w:p>
        </w:tc>
        <w:tc>
          <w:tcPr>
            <w:tcW w:w="0" w:type="auto"/>
            <w:vAlign w:val="center"/>
            <w:hideMark/>
          </w:tcPr>
          <w:p w14:paraId="45899780" w14:textId="02CB9A2B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  <w:r w:rsidRPr="0046745A">
              <w:rPr>
                <w:rFonts w:ascii="Cambria" w:hAnsi="Cambria"/>
                <w:sz w:val="20"/>
                <w:szCs w:val="20"/>
                <w:lang w:val="es-ES"/>
              </w:rPr>
              <w:t>IaaS365</w:t>
            </w:r>
          </w:p>
        </w:tc>
      </w:tr>
      <w:tr w:rsidR="00DC4CFE" w:rsidRPr="0046745A" w14:paraId="6C48FE5D" w14:textId="77777777" w:rsidTr="00F42BB8">
        <w:trPr>
          <w:trHeight w:val="283"/>
          <w:tblCellSpacing w:w="15" w:type="dxa"/>
        </w:trPr>
        <w:tc>
          <w:tcPr>
            <w:tcW w:w="0" w:type="auto"/>
            <w:vAlign w:val="center"/>
          </w:tcPr>
          <w:p w14:paraId="0FF6152F" w14:textId="5AEBEF67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6E975894" w14:textId="26DF2DC7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3F2E21EC" w14:textId="78DF3AC9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67D833D2" w14:textId="0DEDDA60" w:rsidR="00DC4CFE" w:rsidRPr="0046745A" w:rsidRDefault="00DC4CFE" w:rsidP="00212BF7">
            <w:pPr>
              <w:spacing w:after="0" w:line="240" w:lineRule="exact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</w:tr>
    </w:tbl>
    <w:p w14:paraId="0566805A" w14:textId="43F8A661" w:rsidR="000F163C" w:rsidRPr="0046745A" w:rsidRDefault="00686A74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El costo total estimado del proceso de migración se sitúa entre 17.000 </w:t>
      </w:r>
      <w:r w:rsidR="00A363CB" w:rsidRPr="0046745A">
        <w:rPr>
          <w:rFonts w:ascii="Cambria" w:hAnsi="Cambria"/>
          <w:sz w:val="20"/>
          <w:szCs w:val="20"/>
          <w:lang w:val="es-ES"/>
        </w:rPr>
        <w:t>euros</w:t>
      </w:r>
      <w:r w:rsidRPr="0046745A">
        <w:rPr>
          <w:rFonts w:ascii="Cambria" w:hAnsi="Cambria"/>
          <w:sz w:val="20"/>
          <w:szCs w:val="20"/>
          <w:lang w:val="es-ES"/>
        </w:rPr>
        <w:t xml:space="preserve"> y 19.000 </w:t>
      </w:r>
      <w:r w:rsidR="00A363CB" w:rsidRPr="0046745A">
        <w:rPr>
          <w:rFonts w:ascii="Cambria" w:hAnsi="Cambria"/>
          <w:sz w:val="20"/>
          <w:szCs w:val="20"/>
          <w:lang w:val="es-ES"/>
        </w:rPr>
        <w:t xml:space="preserve">euros </w:t>
      </w:r>
      <w:r w:rsidRPr="0046745A">
        <w:rPr>
          <w:rFonts w:ascii="Cambria" w:hAnsi="Cambria"/>
          <w:sz w:val="20"/>
          <w:szCs w:val="20"/>
          <w:lang w:val="es-ES"/>
        </w:rPr>
        <w:t xml:space="preserve"> (sin impuestos),</w:t>
      </w:r>
      <w:r w:rsidR="00EA307A" w:rsidRPr="0046745A">
        <w:rPr>
          <w:rFonts w:ascii="Cambria" w:hAnsi="Cambria"/>
          <w:sz w:val="20"/>
          <w:szCs w:val="20"/>
          <w:lang w:val="es-ES"/>
        </w:rPr>
        <w:t xml:space="preserve"> mediante un pago único que</w:t>
      </w:r>
      <w:r w:rsidRPr="0046745A">
        <w:rPr>
          <w:rFonts w:ascii="Cambria" w:hAnsi="Cambria"/>
          <w:sz w:val="20"/>
          <w:szCs w:val="20"/>
          <w:lang w:val="es-ES"/>
        </w:rPr>
        <w:t xml:space="preserve"> incluye los gastos iniciales y de infraestructura. Asimismo, el costo</w:t>
      </w:r>
      <w:r w:rsidR="0008730B" w:rsidRPr="0046745A">
        <w:rPr>
          <w:rFonts w:ascii="Cambria" w:hAnsi="Cambria"/>
          <w:sz w:val="20"/>
          <w:szCs w:val="20"/>
          <w:lang w:val="es-ES"/>
        </w:rPr>
        <w:t xml:space="preserve"> total</w:t>
      </w:r>
      <w:r w:rsidRPr="0046745A">
        <w:rPr>
          <w:rFonts w:ascii="Cambria" w:hAnsi="Cambria"/>
          <w:sz w:val="20"/>
          <w:szCs w:val="20"/>
          <w:lang w:val="es-ES"/>
        </w:rPr>
        <w:t xml:space="preserve"> operativo anual pasaría a ser de aproximadamente 31.845</w:t>
      </w:r>
      <w:r w:rsidR="00F42BB8" w:rsidRPr="0046745A">
        <w:rPr>
          <w:rFonts w:ascii="Cambria" w:hAnsi="Cambria"/>
          <w:sz w:val="20"/>
          <w:szCs w:val="20"/>
          <w:lang w:val="es-ES"/>
        </w:rPr>
        <w:t> euros</w:t>
      </w:r>
      <w:r w:rsidRPr="0046745A">
        <w:rPr>
          <w:rFonts w:ascii="Cambria" w:hAnsi="Cambria"/>
          <w:sz w:val="20"/>
          <w:szCs w:val="20"/>
          <w:lang w:val="es-ES"/>
        </w:rPr>
        <w:t xml:space="preserve">, lo que incorpora un ajuste de 14.440 </w:t>
      </w:r>
      <w:r w:rsidR="00F42BB8" w:rsidRPr="0046745A">
        <w:rPr>
          <w:rFonts w:ascii="Cambria" w:hAnsi="Cambria"/>
          <w:sz w:val="20"/>
          <w:szCs w:val="20"/>
          <w:lang w:val="es-ES"/>
        </w:rPr>
        <w:t xml:space="preserve">euros </w:t>
      </w:r>
      <w:r w:rsidR="00EA307A" w:rsidRPr="0046745A">
        <w:rPr>
          <w:rFonts w:ascii="Cambria" w:hAnsi="Cambria"/>
          <w:sz w:val="20"/>
          <w:szCs w:val="20"/>
          <w:lang w:val="es-ES"/>
        </w:rPr>
        <w:t xml:space="preserve"> en concepto de mantenimiento y servicios de la nube </w:t>
      </w:r>
      <w:r w:rsidRPr="0046745A">
        <w:rPr>
          <w:rFonts w:ascii="Cambria" w:hAnsi="Cambria"/>
          <w:sz w:val="20"/>
          <w:szCs w:val="20"/>
          <w:lang w:val="es-ES"/>
        </w:rPr>
        <w:t>respecto a la situación actual</w:t>
      </w:r>
      <w:r w:rsidR="00EA307A" w:rsidRPr="0046745A">
        <w:rPr>
          <w:rFonts w:ascii="Cambria" w:hAnsi="Cambria"/>
          <w:sz w:val="20"/>
          <w:szCs w:val="20"/>
          <w:lang w:val="es-ES"/>
        </w:rPr>
        <w:t>.</w:t>
      </w:r>
    </w:p>
    <w:p w14:paraId="32DC04B4" w14:textId="77777777" w:rsidR="00686A74" w:rsidRPr="0046745A" w:rsidRDefault="00686A74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506E9313" w14:textId="77777777" w:rsidR="00F42BB8" w:rsidRPr="0046745A" w:rsidRDefault="00F42BB8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48569DAA" w14:textId="2CD2A02D" w:rsidR="000F163C" w:rsidRPr="0046745A" w:rsidRDefault="000F163C" w:rsidP="00F42BB8">
      <w:pPr>
        <w:pStyle w:val="ListParagraph"/>
        <w:numPr>
          <w:ilvl w:val="0"/>
          <w:numId w:val="5"/>
        </w:numPr>
        <w:spacing w:after="0" w:line="240" w:lineRule="exact"/>
        <w:ind w:left="426" w:hanging="426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46745A">
        <w:rPr>
          <w:rFonts w:ascii="Cambria" w:hAnsi="Cambria"/>
          <w:b/>
          <w:bCs/>
          <w:sz w:val="20"/>
          <w:szCs w:val="20"/>
          <w:lang w:val="es-ES"/>
        </w:rPr>
        <w:t>Conclusiones</w:t>
      </w:r>
    </w:p>
    <w:p w14:paraId="3A6DA206" w14:textId="77777777" w:rsidR="00F42BB8" w:rsidRPr="0046745A" w:rsidRDefault="00F42BB8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3DEB599A" w14:textId="47B1E91E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 xml:space="preserve">La migración del sistema VMS a un entorno </w:t>
      </w:r>
      <w:r w:rsidR="00F42BB8" w:rsidRPr="0046745A">
        <w:rPr>
          <w:rFonts w:ascii="Cambria" w:hAnsi="Cambria"/>
          <w:sz w:val="20"/>
          <w:szCs w:val="20"/>
          <w:lang w:val="es-ES"/>
        </w:rPr>
        <w:t>en la nube</w:t>
      </w:r>
      <w:r w:rsidRPr="0046745A">
        <w:rPr>
          <w:rFonts w:ascii="Cambria" w:hAnsi="Cambria"/>
          <w:sz w:val="20"/>
          <w:szCs w:val="20"/>
          <w:lang w:val="es-ES"/>
        </w:rPr>
        <w:t xml:space="preserve"> constituye una medida estratégica que permitirá a la organización:</w:t>
      </w:r>
    </w:p>
    <w:p w14:paraId="6F2D02AF" w14:textId="77777777" w:rsidR="00F1665F" w:rsidRPr="0046745A" w:rsidRDefault="00F1665F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64AC73C9" w14:textId="77777777" w:rsidR="000F163C" w:rsidRPr="0046745A" w:rsidRDefault="000F163C" w:rsidP="00F42BB8">
      <w:pPr>
        <w:pStyle w:val="ListParagraph"/>
        <w:numPr>
          <w:ilvl w:val="0"/>
          <w:numId w:val="2"/>
        </w:numPr>
        <w:spacing w:after="0" w:line="240" w:lineRule="exact"/>
        <w:ind w:left="851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Fortalecer la seguridad, disponibilidad y continuidad de los servicios esenciales.</w:t>
      </w:r>
    </w:p>
    <w:p w14:paraId="2FD8EBD1" w14:textId="77777777" w:rsidR="000F163C" w:rsidRPr="0046745A" w:rsidRDefault="000F163C" w:rsidP="00F42BB8">
      <w:pPr>
        <w:pStyle w:val="ListParagraph"/>
        <w:numPr>
          <w:ilvl w:val="0"/>
          <w:numId w:val="2"/>
        </w:numPr>
        <w:spacing w:after="0" w:line="240" w:lineRule="exact"/>
        <w:ind w:left="851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Asegurar el cumplimiento de estándares internacionales y mejores prácticas en materia tecnológica.</w:t>
      </w:r>
    </w:p>
    <w:p w14:paraId="664C0A7A" w14:textId="6C19AB99" w:rsidR="000F163C" w:rsidRPr="0046745A" w:rsidRDefault="000F163C" w:rsidP="00F42BB8">
      <w:pPr>
        <w:pStyle w:val="ListParagraph"/>
        <w:numPr>
          <w:ilvl w:val="0"/>
          <w:numId w:val="2"/>
        </w:numPr>
        <w:spacing w:after="0" w:line="240" w:lineRule="exact"/>
        <w:ind w:left="851"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Optimizar los costes operativos a medio y largo plazo mediante una infraestructura escalable y gestionada profesionalmente.</w:t>
      </w:r>
    </w:p>
    <w:p w14:paraId="13A3DBAC" w14:textId="77777777" w:rsidR="000F163C" w:rsidRPr="0046745A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</w:p>
    <w:p w14:paraId="3DF05906" w14:textId="2FDB85AC" w:rsidR="00C2558B" w:rsidRPr="00A363CB" w:rsidRDefault="000F163C" w:rsidP="00212BF7">
      <w:pPr>
        <w:spacing w:after="0" w:line="240" w:lineRule="exact"/>
        <w:contextualSpacing/>
        <w:jc w:val="both"/>
        <w:rPr>
          <w:rFonts w:ascii="Cambria" w:hAnsi="Cambria"/>
          <w:sz w:val="20"/>
          <w:szCs w:val="20"/>
          <w:lang w:val="es-ES"/>
        </w:rPr>
      </w:pPr>
      <w:r w:rsidRPr="0046745A">
        <w:rPr>
          <w:rFonts w:ascii="Cambria" w:hAnsi="Cambria"/>
          <w:sz w:val="20"/>
          <w:szCs w:val="20"/>
          <w:lang w:val="es-ES"/>
        </w:rPr>
        <w:t>Por todo ello, se propone que la Comisión respalde la planificación e implementación progresiva de la migración durante el año 2026, autorizando la preparación técnica y presupuestaria correspondiente, con el compromiso de revisar y ajustar los costes conforme avance la ejecución del proyecto.</w:t>
      </w:r>
    </w:p>
    <w:sectPr w:rsidR="00C2558B" w:rsidRPr="00A363CB" w:rsidSect="008412E3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2599" w14:textId="77777777" w:rsidR="004D5C97" w:rsidRDefault="004D5C97" w:rsidP="006813B1">
      <w:pPr>
        <w:spacing w:after="0" w:line="240" w:lineRule="auto"/>
      </w:pPr>
      <w:r>
        <w:separator/>
      </w:r>
    </w:p>
  </w:endnote>
  <w:endnote w:type="continuationSeparator" w:id="0">
    <w:p w14:paraId="718D7F3E" w14:textId="77777777" w:rsidR="004D5C97" w:rsidRDefault="004D5C97" w:rsidP="006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B637" w14:textId="1A7F93CC" w:rsidR="000B3BB3" w:rsidRPr="000B3BB3" w:rsidRDefault="000B3BB3" w:rsidP="000B3BB3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  <w:lang w:val="en-US"/>
      </w:rPr>
    </w:pPr>
    <w:r w:rsidRPr="000D5240">
      <w:rPr>
        <w:rFonts w:ascii="Cambria" w:eastAsia="Calibri" w:hAnsi="Cambria" w:cs="Calibri"/>
        <w:sz w:val="20"/>
        <w:szCs w:val="20"/>
        <w:lang w:val="en-US"/>
      </w:rPr>
      <w:fldChar w:fldCharType="begin"/>
    </w:r>
    <w:r w:rsidRPr="000D5240">
      <w:rPr>
        <w:rFonts w:ascii="Cambria" w:eastAsia="Calibri" w:hAnsi="Cambria" w:cs="Calibri"/>
        <w:sz w:val="20"/>
        <w:szCs w:val="20"/>
        <w:lang w:val="en-US"/>
      </w:rPr>
      <w:instrText xml:space="preserve"> PAGE </w:instrText>
    </w:r>
    <w:r w:rsidRPr="000D5240">
      <w:rPr>
        <w:rFonts w:ascii="Cambria" w:eastAsia="Calibri" w:hAnsi="Cambria" w:cs="Calibri"/>
        <w:sz w:val="20"/>
        <w:szCs w:val="20"/>
        <w:lang w:val="en-US"/>
      </w:rPr>
      <w:fldChar w:fldCharType="separate"/>
    </w:r>
    <w:r>
      <w:rPr>
        <w:rFonts w:ascii="Cambria" w:eastAsia="Calibri" w:hAnsi="Cambria" w:cs="Calibri"/>
        <w:sz w:val="20"/>
        <w:szCs w:val="20"/>
        <w:lang w:val="en-US"/>
      </w:rPr>
      <w:t>1</w:t>
    </w:r>
    <w:r w:rsidRPr="000D5240">
      <w:rPr>
        <w:rFonts w:ascii="Cambria" w:eastAsia="Calibri" w:hAnsi="Cambria" w:cs="Calibri"/>
        <w:sz w:val="20"/>
        <w:szCs w:val="20"/>
        <w:lang w:val="en-US"/>
      </w:rPr>
      <w:fldChar w:fldCharType="end"/>
    </w:r>
    <w:r w:rsidRPr="000D5240">
      <w:rPr>
        <w:rFonts w:ascii="Cambria" w:eastAsia="Calibri" w:hAnsi="Cambria" w:cs="Calibri"/>
        <w:sz w:val="20"/>
        <w:szCs w:val="20"/>
        <w:lang w:val="en-US"/>
      </w:rPr>
      <w:t xml:space="preserve"> / </w:t>
    </w:r>
    <w:r w:rsidRPr="000D5240">
      <w:rPr>
        <w:rFonts w:ascii="Cambria" w:eastAsia="Calibri" w:hAnsi="Cambria" w:cs="Calibri"/>
        <w:sz w:val="20"/>
        <w:szCs w:val="20"/>
        <w:lang w:val="en-US"/>
      </w:rPr>
      <w:fldChar w:fldCharType="begin"/>
    </w:r>
    <w:r w:rsidRPr="000D5240">
      <w:rPr>
        <w:rFonts w:ascii="Cambria" w:eastAsia="Calibri" w:hAnsi="Cambria" w:cs="Calibri"/>
        <w:sz w:val="20"/>
        <w:szCs w:val="20"/>
        <w:lang w:val="en-US"/>
      </w:rPr>
      <w:instrText xml:space="preserve"> NUMPAGES  </w:instrText>
    </w:r>
    <w:r w:rsidRPr="000D5240">
      <w:rPr>
        <w:rFonts w:ascii="Cambria" w:eastAsia="Calibri" w:hAnsi="Cambria" w:cs="Calibri"/>
        <w:sz w:val="20"/>
        <w:szCs w:val="20"/>
        <w:lang w:val="en-US"/>
      </w:rPr>
      <w:fldChar w:fldCharType="separate"/>
    </w:r>
    <w:r>
      <w:rPr>
        <w:rFonts w:ascii="Cambria" w:eastAsia="Calibri" w:hAnsi="Cambria" w:cs="Calibri"/>
        <w:sz w:val="20"/>
        <w:szCs w:val="20"/>
        <w:lang w:val="en-US"/>
      </w:rPr>
      <w:t>5</w:t>
    </w:r>
    <w:r w:rsidRPr="000D5240">
      <w:rPr>
        <w:rFonts w:ascii="Cambria" w:eastAsia="Calibri" w:hAnsi="Cambria" w:cs="Calibri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C997" w14:textId="77777777" w:rsidR="004D5C97" w:rsidRDefault="004D5C97" w:rsidP="006813B1">
      <w:pPr>
        <w:spacing w:after="0" w:line="240" w:lineRule="auto"/>
      </w:pPr>
      <w:r>
        <w:separator/>
      </w:r>
    </w:p>
  </w:footnote>
  <w:footnote w:type="continuationSeparator" w:id="0">
    <w:p w14:paraId="568E4E66" w14:textId="77777777" w:rsidR="004D5C97" w:rsidRDefault="004D5C97" w:rsidP="006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3823" w14:textId="1AC403D7" w:rsidR="001638CA" w:rsidRPr="000D5240" w:rsidRDefault="001638CA" w:rsidP="001638CA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  <w:lang w:val="en-US"/>
      </w:rPr>
    </w:pPr>
    <w:r>
      <w:rPr>
        <w:rFonts w:ascii="Cambria" w:eastAsia="Calibri" w:hAnsi="Cambria" w:cs="Times New Roman"/>
        <w:b/>
        <w:bCs/>
        <w:sz w:val="20"/>
        <w:szCs w:val="20"/>
        <w:lang w:val="en-US"/>
      </w:rPr>
      <w:t>PWG</w:t>
    </w:r>
    <w:r w:rsidRPr="000D5240">
      <w:rPr>
        <w:rFonts w:ascii="Cambria" w:eastAsia="Calibri" w:hAnsi="Cambria" w:cs="Times New Roman"/>
        <w:b/>
        <w:bCs/>
        <w:sz w:val="20"/>
        <w:szCs w:val="20"/>
        <w:lang w:val="en-US"/>
      </w:rPr>
      <w:t>_</w:t>
    </w:r>
    <w:r>
      <w:rPr>
        <w:rFonts w:ascii="Cambria" w:eastAsia="Calibri" w:hAnsi="Cambria" w:cs="Times New Roman"/>
        <w:b/>
        <w:bCs/>
        <w:sz w:val="20"/>
        <w:szCs w:val="20"/>
        <w:lang w:val="en-US"/>
      </w:rPr>
      <w:t>4</w:t>
    </w:r>
    <w:r w:rsidR="00212BF7">
      <w:rPr>
        <w:rFonts w:ascii="Cambria" w:eastAsia="Calibri" w:hAnsi="Cambria" w:cs="Times New Roman"/>
        <w:b/>
        <w:bCs/>
        <w:sz w:val="20"/>
        <w:szCs w:val="20"/>
        <w:lang w:val="en-US"/>
      </w:rPr>
      <w:t>28</w:t>
    </w:r>
    <w:r w:rsidRPr="000D5240">
      <w:rPr>
        <w:rFonts w:ascii="Cambria" w:eastAsia="Calibri" w:hAnsi="Cambria" w:cs="Times New Roman"/>
        <w:b/>
        <w:bCs/>
        <w:sz w:val="20"/>
        <w:szCs w:val="20"/>
        <w:lang w:val="en-US"/>
      </w:rPr>
      <w:t>/202</w:t>
    </w:r>
    <w:r w:rsidR="000F163C">
      <w:rPr>
        <w:rFonts w:ascii="Cambria" w:eastAsia="Calibri" w:hAnsi="Cambria" w:cs="Times New Roman"/>
        <w:b/>
        <w:bCs/>
        <w:sz w:val="20"/>
        <w:szCs w:val="20"/>
        <w:lang w:val="en-US"/>
      </w:rPr>
      <w:t>5</w:t>
    </w:r>
  </w:p>
  <w:p w14:paraId="68CECBCD" w14:textId="66EACBE5" w:rsidR="006813B1" w:rsidRPr="001638CA" w:rsidRDefault="001638CA" w:rsidP="001638CA">
    <w:pPr>
      <w:tabs>
        <w:tab w:val="left" w:pos="7320"/>
      </w:tabs>
      <w:spacing w:after="0" w:line="240" w:lineRule="exact"/>
      <w:jc w:val="right"/>
    </w:pPr>
    <w:r w:rsidRPr="000D524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0D5240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0D524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8356B7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17/11/2025 12:26</w:t>
    </w:r>
    <w:r w:rsidRPr="000D524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2DED"/>
    <w:multiLevelType w:val="multilevel"/>
    <w:tmpl w:val="22E05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DD3BA5"/>
    <w:multiLevelType w:val="hybridMultilevel"/>
    <w:tmpl w:val="684462A8"/>
    <w:lvl w:ilvl="0" w:tplc="D83C2B7A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CF4DE6"/>
    <w:multiLevelType w:val="multilevel"/>
    <w:tmpl w:val="48381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313B9A"/>
    <w:multiLevelType w:val="hybridMultilevel"/>
    <w:tmpl w:val="5F0815EA"/>
    <w:lvl w:ilvl="0" w:tplc="61D24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1172F"/>
    <w:multiLevelType w:val="hybridMultilevel"/>
    <w:tmpl w:val="43AA3B1C"/>
    <w:lvl w:ilvl="0" w:tplc="67B28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37830">
    <w:abstractNumId w:val="4"/>
  </w:num>
  <w:num w:numId="2" w16cid:durableId="1368332008">
    <w:abstractNumId w:val="1"/>
  </w:num>
  <w:num w:numId="3" w16cid:durableId="2134209097">
    <w:abstractNumId w:val="0"/>
  </w:num>
  <w:num w:numId="4" w16cid:durableId="1129082088">
    <w:abstractNumId w:val="2"/>
  </w:num>
  <w:num w:numId="5" w16cid:durableId="1753816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8B"/>
    <w:rsid w:val="0000438F"/>
    <w:rsid w:val="0004313A"/>
    <w:rsid w:val="00044132"/>
    <w:rsid w:val="00067B8C"/>
    <w:rsid w:val="0007638C"/>
    <w:rsid w:val="0008730B"/>
    <w:rsid w:val="00092E09"/>
    <w:rsid w:val="000A3A29"/>
    <w:rsid w:val="000B3BB3"/>
    <w:rsid w:val="000B40F3"/>
    <w:rsid w:val="000D2BFA"/>
    <w:rsid w:val="000E6C1F"/>
    <w:rsid w:val="000F163C"/>
    <w:rsid w:val="001014F7"/>
    <w:rsid w:val="00104A75"/>
    <w:rsid w:val="00110698"/>
    <w:rsid w:val="0012332A"/>
    <w:rsid w:val="00136442"/>
    <w:rsid w:val="00145AC0"/>
    <w:rsid w:val="00163114"/>
    <w:rsid w:val="001638CA"/>
    <w:rsid w:val="001904FE"/>
    <w:rsid w:val="001B7DD1"/>
    <w:rsid w:val="001C1269"/>
    <w:rsid w:val="001D4D28"/>
    <w:rsid w:val="001E0F8E"/>
    <w:rsid w:val="001E4F5D"/>
    <w:rsid w:val="001F00BE"/>
    <w:rsid w:val="001F1494"/>
    <w:rsid w:val="001F406D"/>
    <w:rsid w:val="00200734"/>
    <w:rsid w:val="00210F38"/>
    <w:rsid w:val="00212BF7"/>
    <w:rsid w:val="00212F6F"/>
    <w:rsid w:val="00215E12"/>
    <w:rsid w:val="00221407"/>
    <w:rsid w:val="0023004D"/>
    <w:rsid w:val="00242673"/>
    <w:rsid w:val="00262F07"/>
    <w:rsid w:val="002650BB"/>
    <w:rsid w:val="0027031E"/>
    <w:rsid w:val="00280548"/>
    <w:rsid w:val="00294C6F"/>
    <w:rsid w:val="00297956"/>
    <w:rsid w:val="002C10EA"/>
    <w:rsid w:val="002D52E5"/>
    <w:rsid w:val="002F091A"/>
    <w:rsid w:val="002F0AAB"/>
    <w:rsid w:val="00317ECE"/>
    <w:rsid w:val="003420C4"/>
    <w:rsid w:val="00353FFC"/>
    <w:rsid w:val="0035672C"/>
    <w:rsid w:val="00377108"/>
    <w:rsid w:val="00381651"/>
    <w:rsid w:val="00385DF5"/>
    <w:rsid w:val="00390C38"/>
    <w:rsid w:val="003D12B5"/>
    <w:rsid w:val="003F2996"/>
    <w:rsid w:val="003F3D55"/>
    <w:rsid w:val="004142BC"/>
    <w:rsid w:val="004164EE"/>
    <w:rsid w:val="00425F17"/>
    <w:rsid w:val="00431B61"/>
    <w:rsid w:val="00445B0C"/>
    <w:rsid w:val="0046745A"/>
    <w:rsid w:val="004A1D0E"/>
    <w:rsid w:val="004B685B"/>
    <w:rsid w:val="004C16D1"/>
    <w:rsid w:val="004D5C97"/>
    <w:rsid w:val="004E068D"/>
    <w:rsid w:val="004E606D"/>
    <w:rsid w:val="004F04B8"/>
    <w:rsid w:val="0050530A"/>
    <w:rsid w:val="0051287D"/>
    <w:rsid w:val="005133E3"/>
    <w:rsid w:val="00537AD8"/>
    <w:rsid w:val="00543665"/>
    <w:rsid w:val="00545299"/>
    <w:rsid w:val="005625BE"/>
    <w:rsid w:val="00581EE6"/>
    <w:rsid w:val="005A5958"/>
    <w:rsid w:val="005B7340"/>
    <w:rsid w:val="005C658E"/>
    <w:rsid w:val="005E232C"/>
    <w:rsid w:val="005F6842"/>
    <w:rsid w:val="006031E6"/>
    <w:rsid w:val="00630183"/>
    <w:rsid w:val="00632C30"/>
    <w:rsid w:val="00646559"/>
    <w:rsid w:val="006669D6"/>
    <w:rsid w:val="006813B1"/>
    <w:rsid w:val="00686A74"/>
    <w:rsid w:val="00694ED2"/>
    <w:rsid w:val="006A3A25"/>
    <w:rsid w:val="006A4864"/>
    <w:rsid w:val="006B000D"/>
    <w:rsid w:val="006B5C1E"/>
    <w:rsid w:val="006B5DEA"/>
    <w:rsid w:val="006F05BC"/>
    <w:rsid w:val="007140B8"/>
    <w:rsid w:val="0072477A"/>
    <w:rsid w:val="00732B88"/>
    <w:rsid w:val="007651D2"/>
    <w:rsid w:val="0077239D"/>
    <w:rsid w:val="007933B3"/>
    <w:rsid w:val="007939DD"/>
    <w:rsid w:val="0079400A"/>
    <w:rsid w:val="007957FF"/>
    <w:rsid w:val="007B267C"/>
    <w:rsid w:val="007D300A"/>
    <w:rsid w:val="007D7B18"/>
    <w:rsid w:val="007E5FC7"/>
    <w:rsid w:val="007F3CFC"/>
    <w:rsid w:val="008000E0"/>
    <w:rsid w:val="00814841"/>
    <w:rsid w:val="0081699B"/>
    <w:rsid w:val="00821383"/>
    <w:rsid w:val="008356B7"/>
    <w:rsid w:val="008412E3"/>
    <w:rsid w:val="00866CDF"/>
    <w:rsid w:val="00875BBB"/>
    <w:rsid w:val="00882D69"/>
    <w:rsid w:val="00886642"/>
    <w:rsid w:val="008A4C2B"/>
    <w:rsid w:val="008B0007"/>
    <w:rsid w:val="008C1644"/>
    <w:rsid w:val="008C310B"/>
    <w:rsid w:val="008E001B"/>
    <w:rsid w:val="00903A08"/>
    <w:rsid w:val="009377A2"/>
    <w:rsid w:val="009409DA"/>
    <w:rsid w:val="00941803"/>
    <w:rsid w:val="0095648C"/>
    <w:rsid w:val="00966B19"/>
    <w:rsid w:val="009C6AD4"/>
    <w:rsid w:val="009C6F5D"/>
    <w:rsid w:val="009D24B2"/>
    <w:rsid w:val="009D4CD0"/>
    <w:rsid w:val="009E2953"/>
    <w:rsid w:val="009F00AF"/>
    <w:rsid w:val="00A0799E"/>
    <w:rsid w:val="00A07A27"/>
    <w:rsid w:val="00A10086"/>
    <w:rsid w:val="00A2387C"/>
    <w:rsid w:val="00A24EE6"/>
    <w:rsid w:val="00A259F5"/>
    <w:rsid w:val="00A363CB"/>
    <w:rsid w:val="00A46914"/>
    <w:rsid w:val="00AA3745"/>
    <w:rsid w:val="00AB6B98"/>
    <w:rsid w:val="00AB74C8"/>
    <w:rsid w:val="00AC2F67"/>
    <w:rsid w:val="00AD6627"/>
    <w:rsid w:val="00B03542"/>
    <w:rsid w:val="00B04FDC"/>
    <w:rsid w:val="00B14449"/>
    <w:rsid w:val="00B37C24"/>
    <w:rsid w:val="00B51118"/>
    <w:rsid w:val="00B517D6"/>
    <w:rsid w:val="00B53E4A"/>
    <w:rsid w:val="00B60BD3"/>
    <w:rsid w:val="00B6695A"/>
    <w:rsid w:val="00B75DA2"/>
    <w:rsid w:val="00B846F9"/>
    <w:rsid w:val="00BB32D9"/>
    <w:rsid w:val="00BE0C36"/>
    <w:rsid w:val="00BE5162"/>
    <w:rsid w:val="00BE691E"/>
    <w:rsid w:val="00C150A0"/>
    <w:rsid w:val="00C2558B"/>
    <w:rsid w:val="00C31F4C"/>
    <w:rsid w:val="00C46F0A"/>
    <w:rsid w:val="00C74FA8"/>
    <w:rsid w:val="00C93451"/>
    <w:rsid w:val="00D17DED"/>
    <w:rsid w:val="00D232D8"/>
    <w:rsid w:val="00D37226"/>
    <w:rsid w:val="00D45C88"/>
    <w:rsid w:val="00D77274"/>
    <w:rsid w:val="00D8164C"/>
    <w:rsid w:val="00D84B62"/>
    <w:rsid w:val="00D92DA8"/>
    <w:rsid w:val="00DA317F"/>
    <w:rsid w:val="00DB14A9"/>
    <w:rsid w:val="00DB4CE0"/>
    <w:rsid w:val="00DC0279"/>
    <w:rsid w:val="00DC4CFE"/>
    <w:rsid w:val="00DD17B7"/>
    <w:rsid w:val="00DD2A14"/>
    <w:rsid w:val="00DE347E"/>
    <w:rsid w:val="00DE5D5D"/>
    <w:rsid w:val="00DF4A55"/>
    <w:rsid w:val="00DF5931"/>
    <w:rsid w:val="00E00BBE"/>
    <w:rsid w:val="00E059D5"/>
    <w:rsid w:val="00E11E26"/>
    <w:rsid w:val="00E22CC9"/>
    <w:rsid w:val="00E27006"/>
    <w:rsid w:val="00E31A2B"/>
    <w:rsid w:val="00E40AD7"/>
    <w:rsid w:val="00E441B7"/>
    <w:rsid w:val="00E45A21"/>
    <w:rsid w:val="00E62A36"/>
    <w:rsid w:val="00E66D0D"/>
    <w:rsid w:val="00E67123"/>
    <w:rsid w:val="00E67569"/>
    <w:rsid w:val="00EA307A"/>
    <w:rsid w:val="00EB3A58"/>
    <w:rsid w:val="00EB45EE"/>
    <w:rsid w:val="00EC0553"/>
    <w:rsid w:val="00EC7C9B"/>
    <w:rsid w:val="00EF266D"/>
    <w:rsid w:val="00F1665F"/>
    <w:rsid w:val="00F42BB8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B9480"/>
  <w15:chartTrackingRefBased/>
  <w15:docId w15:val="{7A4620FB-47DF-46AC-B86D-94EFACEC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3B1"/>
  </w:style>
  <w:style w:type="paragraph" w:styleId="Footer">
    <w:name w:val="footer"/>
    <w:basedOn w:val="Normal"/>
    <w:link w:val="FooterChar"/>
    <w:uiPriority w:val="99"/>
    <w:unhideWhenUsed/>
    <w:rsid w:val="0068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B1"/>
  </w:style>
  <w:style w:type="paragraph" w:styleId="Revision">
    <w:name w:val="Revision"/>
    <w:hidden/>
    <w:uiPriority w:val="99"/>
    <w:semiHidden/>
    <w:rsid w:val="008B000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4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40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25A9-9AE6-4A34-B004-7CB2E455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1034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Samedy</dc:creator>
  <cp:keywords/>
  <dc:description/>
  <cp:lastModifiedBy>Author</cp:lastModifiedBy>
  <cp:revision>15</cp:revision>
  <cp:lastPrinted>2023-10-17T09:46:00Z</cp:lastPrinted>
  <dcterms:created xsi:type="dcterms:W3CDTF">2025-11-04T14:32:00Z</dcterms:created>
  <dcterms:modified xsi:type="dcterms:W3CDTF">2025-11-17T11:44:00Z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c6d6b649e396b6b3117990f7231d99092671e8a50ffef2a4afc5f615ea8cb5d8</vt:lpwstr>
  </property>
</Properties>
</file>