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BD35B" w14:textId="30FDB5F7" w:rsidR="000D2BFA" w:rsidRPr="0015787A" w:rsidRDefault="000D2BFA" w:rsidP="00212BF7">
      <w:pPr>
        <w:spacing w:after="0" w:line="240" w:lineRule="exact"/>
        <w:contextualSpacing/>
        <w:jc w:val="right"/>
        <w:rPr>
          <w:rFonts w:ascii="Cambria" w:hAnsi="Cambria"/>
          <w:b/>
          <w:bCs/>
          <w:sz w:val="20"/>
          <w:szCs w:val="20"/>
        </w:rPr>
      </w:pPr>
      <w:r w:rsidRPr="0015787A">
        <w:rPr>
          <w:rFonts w:ascii="Cambria" w:hAnsi="Cambria"/>
          <w:b/>
          <w:bCs/>
          <w:sz w:val="20"/>
          <w:szCs w:val="20"/>
        </w:rPr>
        <w:t>Original</w:t>
      </w:r>
      <w:r w:rsidRPr="0015787A">
        <w:rPr>
          <w:rFonts w:ascii="Cambria" w:hAnsi="Cambria"/>
          <w:b/>
          <w:sz w:val="20"/>
          <w:szCs w:val="20"/>
        </w:rPr>
        <w:t xml:space="preserve"> : espagnol</w:t>
      </w:r>
    </w:p>
    <w:p w14:paraId="7926C3A3" w14:textId="77777777" w:rsidR="000F163C" w:rsidRPr="0015787A" w:rsidRDefault="000F163C" w:rsidP="00212BF7">
      <w:pPr>
        <w:spacing w:after="0" w:line="240" w:lineRule="exact"/>
        <w:contextualSpacing/>
        <w:jc w:val="center"/>
        <w:rPr>
          <w:rFonts w:ascii="Cambria" w:hAnsi="Cambria"/>
          <w:b/>
          <w:bCs/>
          <w:sz w:val="20"/>
          <w:szCs w:val="20"/>
        </w:rPr>
      </w:pPr>
    </w:p>
    <w:p w14:paraId="6A39EAB8" w14:textId="0C6FED37" w:rsidR="009D4CD0" w:rsidRPr="0015787A" w:rsidRDefault="000F163C" w:rsidP="00212BF7">
      <w:pPr>
        <w:spacing w:after="0" w:line="240" w:lineRule="exact"/>
        <w:contextualSpacing/>
        <w:jc w:val="center"/>
        <w:rPr>
          <w:rFonts w:ascii="Cambria" w:hAnsi="Cambria"/>
          <w:b/>
          <w:bCs/>
          <w:sz w:val="20"/>
          <w:szCs w:val="20"/>
        </w:rPr>
      </w:pPr>
      <w:r w:rsidRPr="0015787A">
        <w:rPr>
          <w:rFonts w:ascii="Cambria" w:hAnsi="Cambria"/>
          <w:b/>
          <w:sz w:val="20"/>
          <w:szCs w:val="20"/>
        </w:rPr>
        <w:t>Proposition de migration du système VMS vers une infrastructure en nuage</w:t>
      </w:r>
    </w:p>
    <w:p w14:paraId="6BAE8A89" w14:textId="77777777" w:rsidR="00212BF7" w:rsidRPr="0015787A" w:rsidRDefault="00212BF7" w:rsidP="00212BF7">
      <w:pPr>
        <w:spacing w:after="0" w:line="240" w:lineRule="exact"/>
        <w:contextualSpacing/>
        <w:jc w:val="center"/>
        <w:rPr>
          <w:rFonts w:ascii="Cambria" w:hAnsi="Cambria"/>
          <w:i/>
          <w:iCs/>
          <w:sz w:val="20"/>
          <w:szCs w:val="20"/>
        </w:rPr>
      </w:pPr>
    </w:p>
    <w:p w14:paraId="75541E0D" w14:textId="62B8EED0" w:rsidR="000D2BFA" w:rsidRPr="0015787A" w:rsidRDefault="005E232C" w:rsidP="00212BF7">
      <w:pPr>
        <w:spacing w:after="0" w:line="240" w:lineRule="exact"/>
        <w:contextualSpacing/>
        <w:jc w:val="center"/>
        <w:rPr>
          <w:rFonts w:ascii="Cambria" w:hAnsi="Cambria"/>
          <w:i/>
          <w:iCs/>
          <w:sz w:val="20"/>
          <w:szCs w:val="20"/>
        </w:rPr>
      </w:pPr>
      <w:r w:rsidRPr="0015787A">
        <w:rPr>
          <w:rFonts w:ascii="Cambria" w:hAnsi="Cambria"/>
          <w:i/>
          <w:sz w:val="20"/>
          <w:szCs w:val="20"/>
        </w:rPr>
        <w:t>(Secrétariat de l’ICCAT)</w:t>
      </w:r>
    </w:p>
    <w:p w14:paraId="5ABC6A2A" w14:textId="77777777" w:rsidR="008412E3" w:rsidRPr="0015787A" w:rsidRDefault="008412E3" w:rsidP="00212BF7">
      <w:pPr>
        <w:spacing w:after="0" w:line="240" w:lineRule="exact"/>
        <w:contextualSpacing/>
        <w:jc w:val="both"/>
        <w:rPr>
          <w:rFonts w:ascii="Cambria" w:hAnsi="Cambria"/>
          <w:b/>
          <w:bCs/>
          <w:sz w:val="20"/>
          <w:szCs w:val="20"/>
          <w:lang w:val="es-ES"/>
        </w:rPr>
      </w:pPr>
    </w:p>
    <w:p w14:paraId="0D956F33" w14:textId="76EB59AA" w:rsidR="000F163C" w:rsidRPr="0015787A" w:rsidRDefault="000F163C" w:rsidP="00212BF7">
      <w:pPr>
        <w:pStyle w:val="ListParagraph"/>
        <w:numPr>
          <w:ilvl w:val="0"/>
          <w:numId w:val="3"/>
        </w:numPr>
        <w:spacing w:after="0" w:line="240" w:lineRule="exact"/>
        <w:ind w:left="426" w:hanging="426"/>
        <w:jc w:val="both"/>
        <w:rPr>
          <w:rFonts w:ascii="Cambria" w:hAnsi="Cambria"/>
          <w:b/>
          <w:bCs/>
          <w:sz w:val="20"/>
          <w:szCs w:val="20"/>
        </w:rPr>
      </w:pPr>
      <w:r w:rsidRPr="0015787A">
        <w:rPr>
          <w:rFonts w:ascii="Cambria" w:hAnsi="Cambria"/>
          <w:b/>
          <w:sz w:val="20"/>
          <w:szCs w:val="20"/>
        </w:rPr>
        <w:t>Contexte et justification</w:t>
      </w:r>
    </w:p>
    <w:p w14:paraId="468B6895" w14:textId="77777777" w:rsidR="00212BF7" w:rsidRPr="0015787A" w:rsidRDefault="00212BF7" w:rsidP="00212BF7">
      <w:pPr>
        <w:pStyle w:val="ListParagraph"/>
        <w:spacing w:after="0" w:line="240" w:lineRule="exact"/>
        <w:jc w:val="both"/>
        <w:rPr>
          <w:rFonts w:ascii="Cambria" w:hAnsi="Cambria"/>
          <w:b/>
          <w:bCs/>
          <w:sz w:val="20"/>
          <w:szCs w:val="20"/>
          <w:lang w:val="es-ES"/>
        </w:rPr>
      </w:pPr>
    </w:p>
    <w:p w14:paraId="62F31B13" w14:textId="5A12D2EC" w:rsidR="000F163C" w:rsidRPr="0015787A" w:rsidRDefault="000F163C" w:rsidP="00212BF7">
      <w:pPr>
        <w:spacing w:after="0" w:line="240" w:lineRule="exact"/>
        <w:contextualSpacing/>
        <w:jc w:val="both"/>
        <w:rPr>
          <w:rFonts w:ascii="Cambria" w:hAnsi="Cambria"/>
          <w:sz w:val="20"/>
          <w:szCs w:val="20"/>
        </w:rPr>
      </w:pPr>
      <w:r w:rsidRPr="0015787A">
        <w:rPr>
          <w:rFonts w:ascii="Cambria" w:hAnsi="Cambria"/>
          <w:sz w:val="20"/>
          <w:szCs w:val="20"/>
        </w:rPr>
        <w:t>La Commission internationale pour la conservation des thonidés de l'Atlantique (ICCAT) dispose actuellement de divers systèmes informatiques essentiels à l'exercice de ses fonctions techniques et administratives. Parmi eux, le système de surveillance des navires (VMS) est un outil essentiel pour la gestion et le suivi des activités de pêche, qui fournit des informations cruciales pour la prise de décision et le respect des engagements internationaux en matière de contrôle et de conservation. Ils sont actuellement hébergés dans des serveurs physiques à Madrid, avec un protocole de sécurité rigoureux. Toutefois, des défis subsistent en termes de disponibilité et de protection contre les menaces.</w:t>
      </w:r>
    </w:p>
    <w:p w14:paraId="0D0A286F" w14:textId="77777777" w:rsidR="008A4C2B" w:rsidRPr="0015787A" w:rsidRDefault="008A4C2B" w:rsidP="00212BF7">
      <w:pPr>
        <w:spacing w:after="0" w:line="240" w:lineRule="exact"/>
        <w:contextualSpacing/>
        <w:jc w:val="both"/>
        <w:rPr>
          <w:rFonts w:ascii="Cambria" w:hAnsi="Cambria"/>
          <w:sz w:val="20"/>
          <w:szCs w:val="20"/>
        </w:rPr>
      </w:pPr>
    </w:p>
    <w:p w14:paraId="4543B179" w14:textId="2A3A5BED" w:rsidR="000F163C" w:rsidRPr="0015787A" w:rsidRDefault="000F163C" w:rsidP="00212BF7">
      <w:pPr>
        <w:spacing w:after="0" w:line="240" w:lineRule="exact"/>
        <w:contextualSpacing/>
        <w:jc w:val="both"/>
        <w:rPr>
          <w:rFonts w:ascii="Cambria" w:hAnsi="Cambria"/>
          <w:sz w:val="20"/>
          <w:szCs w:val="20"/>
        </w:rPr>
      </w:pPr>
      <w:r w:rsidRPr="0015787A">
        <w:rPr>
          <w:rFonts w:ascii="Cambria" w:hAnsi="Cambria"/>
          <w:sz w:val="20"/>
          <w:szCs w:val="20"/>
        </w:rPr>
        <w:t xml:space="preserve">Ces dernières années, les besoins croissants en matière de stockage, la demande accrue de </w:t>
      </w:r>
      <w:r w:rsidRPr="0015787A">
        <w:rPr>
          <w:rFonts w:ascii="Cambria" w:hAnsi="Cambria"/>
          <w:b/>
          <w:sz w:val="20"/>
          <w:szCs w:val="20"/>
        </w:rPr>
        <w:t>disponibilité et l'exposition croissante aux risques de sécurité</w:t>
      </w:r>
      <w:r w:rsidRPr="0015787A">
        <w:rPr>
          <w:rFonts w:ascii="Cambria" w:hAnsi="Cambria"/>
          <w:sz w:val="20"/>
          <w:szCs w:val="20"/>
        </w:rPr>
        <w:t xml:space="preserve"> ont mis en évidence l'opportunité de migrer progressivement les services et systèmes existants vers une infrastructure en nuage.</w:t>
      </w:r>
    </w:p>
    <w:p w14:paraId="28F6AA80" w14:textId="77777777" w:rsidR="00B04FDC" w:rsidRPr="0015787A" w:rsidRDefault="00B04FDC" w:rsidP="00212BF7">
      <w:pPr>
        <w:spacing w:after="0" w:line="240" w:lineRule="exact"/>
        <w:contextualSpacing/>
        <w:jc w:val="both"/>
        <w:rPr>
          <w:rFonts w:ascii="Cambria" w:hAnsi="Cambria"/>
          <w:sz w:val="20"/>
          <w:szCs w:val="20"/>
        </w:rPr>
      </w:pPr>
    </w:p>
    <w:p w14:paraId="50FC56F5" w14:textId="77777777" w:rsidR="000F163C" w:rsidRPr="0015787A" w:rsidRDefault="000F163C" w:rsidP="00212BF7">
      <w:pPr>
        <w:spacing w:after="0" w:line="240" w:lineRule="exact"/>
        <w:contextualSpacing/>
        <w:jc w:val="both"/>
        <w:rPr>
          <w:rFonts w:ascii="Cambria" w:hAnsi="Cambria"/>
          <w:sz w:val="20"/>
          <w:szCs w:val="20"/>
        </w:rPr>
      </w:pPr>
      <w:r w:rsidRPr="0015787A">
        <w:rPr>
          <w:rFonts w:ascii="Cambria" w:hAnsi="Cambria"/>
          <w:sz w:val="20"/>
          <w:szCs w:val="20"/>
        </w:rPr>
        <w:t>Cette transition permettra non seulement d'améliorer la capacité opérationnelle, mais aussi de garantir la continuité du service en cas d'imprévus et de faciliter la maintenance à long terme, en veillant à ce que les investissements réalisés débouchent sur une plateforme durable, moderne et sécurisée.</w:t>
      </w:r>
    </w:p>
    <w:p w14:paraId="4711F3E6" w14:textId="77777777" w:rsidR="00212BF7" w:rsidRPr="0015787A" w:rsidRDefault="00212BF7" w:rsidP="00212BF7">
      <w:pPr>
        <w:spacing w:after="0" w:line="240" w:lineRule="exact"/>
        <w:contextualSpacing/>
        <w:jc w:val="both"/>
        <w:rPr>
          <w:rFonts w:ascii="Cambria" w:hAnsi="Cambria"/>
          <w:sz w:val="20"/>
          <w:szCs w:val="20"/>
        </w:rPr>
      </w:pPr>
    </w:p>
    <w:p w14:paraId="7BA0D356" w14:textId="77777777" w:rsidR="000F163C" w:rsidRPr="0015787A" w:rsidRDefault="000F163C" w:rsidP="00212BF7">
      <w:pPr>
        <w:spacing w:after="0" w:line="240" w:lineRule="exact"/>
        <w:contextualSpacing/>
        <w:jc w:val="both"/>
        <w:rPr>
          <w:rFonts w:ascii="Cambria" w:hAnsi="Cambria"/>
          <w:sz w:val="20"/>
          <w:szCs w:val="20"/>
        </w:rPr>
      </w:pPr>
      <w:r w:rsidRPr="0015787A">
        <w:rPr>
          <w:rFonts w:ascii="Cambria" w:hAnsi="Cambria"/>
          <w:sz w:val="20"/>
          <w:szCs w:val="20"/>
        </w:rPr>
        <w:t>Dans ce contexte, et après avoir analysé différentes alternatives, il est proposé que la migration du système VMS soit réalisée avec le soutien de deux entités spécialisées :</w:t>
      </w:r>
    </w:p>
    <w:p w14:paraId="6A5F2A78" w14:textId="77777777" w:rsidR="00B04FDC" w:rsidRPr="0015787A" w:rsidRDefault="00B04FDC" w:rsidP="00212BF7">
      <w:pPr>
        <w:spacing w:after="0" w:line="240" w:lineRule="exact"/>
        <w:contextualSpacing/>
        <w:jc w:val="both"/>
        <w:rPr>
          <w:rFonts w:ascii="Cambria" w:hAnsi="Cambria"/>
          <w:sz w:val="20"/>
          <w:szCs w:val="20"/>
        </w:rPr>
      </w:pPr>
    </w:p>
    <w:p w14:paraId="63D87E61" w14:textId="760380EF" w:rsidR="000F163C" w:rsidRPr="0015787A" w:rsidRDefault="000F163C" w:rsidP="00212BF7">
      <w:pPr>
        <w:pStyle w:val="ListParagraph"/>
        <w:numPr>
          <w:ilvl w:val="0"/>
          <w:numId w:val="2"/>
        </w:numPr>
        <w:spacing w:after="0" w:line="240" w:lineRule="exact"/>
        <w:jc w:val="both"/>
        <w:rPr>
          <w:rFonts w:ascii="Cambria" w:hAnsi="Cambria"/>
          <w:sz w:val="20"/>
          <w:szCs w:val="20"/>
        </w:rPr>
      </w:pPr>
      <w:r w:rsidRPr="0015787A">
        <w:rPr>
          <w:rFonts w:ascii="Cambria" w:hAnsi="Cambria"/>
          <w:sz w:val="20"/>
          <w:szCs w:val="20"/>
        </w:rPr>
        <w:t>IaaS365, une société espagnole possédant une vaste expérience dans les solutions d'infrastructure en tant que service (IaaS), est responsable de l'environnement technique et de l'hébergement des serveurs virtuels.</w:t>
      </w:r>
    </w:p>
    <w:p w14:paraId="5C77E4DC" w14:textId="77777777" w:rsidR="00212BF7" w:rsidRPr="0015787A" w:rsidRDefault="00212BF7" w:rsidP="00212BF7">
      <w:pPr>
        <w:pStyle w:val="ListParagraph"/>
        <w:spacing w:after="0" w:line="240" w:lineRule="exact"/>
        <w:ind w:left="1068"/>
        <w:jc w:val="both"/>
        <w:rPr>
          <w:rFonts w:ascii="Cambria" w:hAnsi="Cambria"/>
          <w:sz w:val="20"/>
          <w:szCs w:val="20"/>
        </w:rPr>
      </w:pPr>
    </w:p>
    <w:p w14:paraId="03753E10" w14:textId="1582F465" w:rsidR="000F163C" w:rsidRPr="0015787A" w:rsidRDefault="000F163C" w:rsidP="00212BF7">
      <w:pPr>
        <w:pStyle w:val="ListParagraph"/>
        <w:numPr>
          <w:ilvl w:val="0"/>
          <w:numId w:val="2"/>
        </w:numPr>
        <w:spacing w:after="0" w:line="240" w:lineRule="exact"/>
        <w:jc w:val="both"/>
        <w:rPr>
          <w:rFonts w:ascii="Cambria" w:hAnsi="Cambria"/>
          <w:sz w:val="20"/>
          <w:szCs w:val="20"/>
        </w:rPr>
      </w:pPr>
      <w:r w:rsidRPr="0015787A">
        <w:rPr>
          <w:rFonts w:ascii="Cambria" w:hAnsi="Cambria"/>
          <w:sz w:val="20"/>
          <w:szCs w:val="20"/>
        </w:rPr>
        <w:t>CLS (Collecte Localisation Satellites), la société responsable du développement et de la maintenance du système THEMIS (actuellement l'application qui gère le VMS de l'ICCAT), qui fournira un soutien et une assistance technique pendant le processus de migration, ainsi que des services de maintenance annuels.</w:t>
      </w:r>
    </w:p>
    <w:p w14:paraId="4EBBE413" w14:textId="77777777" w:rsidR="00B04FDC" w:rsidRPr="0015787A" w:rsidRDefault="00B04FDC" w:rsidP="00212BF7">
      <w:pPr>
        <w:pStyle w:val="ListParagraph"/>
        <w:spacing w:after="0" w:line="240" w:lineRule="exact"/>
        <w:ind w:left="1068"/>
        <w:jc w:val="both"/>
        <w:rPr>
          <w:rFonts w:ascii="Cambria" w:hAnsi="Cambria"/>
          <w:sz w:val="20"/>
          <w:szCs w:val="20"/>
        </w:rPr>
      </w:pPr>
    </w:p>
    <w:p w14:paraId="43DA91BA" w14:textId="4416BFA6" w:rsidR="000F163C" w:rsidRPr="0015787A" w:rsidRDefault="000F163C" w:rsidP="00212BF7">
      <w:pPr>
        <w:spacing w:after="0" w:line="240" w:lineRule="exact"/>
        <w:contextualSpacing/>
        <w:jc w:val="both"/>
        <w:rPr>
          <w:rFonts w:ascii="Cambria" w:hAnsi="Cambria"/>
          <w:sz w:val="20"/>
          <w:szCs w:val="20"/>
        </w:rPr>
      </w:pPr>
      <w:r w:rsidRPr="0015787A">
        <w:rPr>
          <w:rFonts w:ascii="Cambria" w:hAnsi="Cambria"/>
          <w:sz w:val="20"/>
          <w:szCs w:val="20"/>
        </w:rPr>
        <w:t>Cette combinaison de fournisseurs permettra de disposer d'une infrastructure moderne et sécurisée, avec un support technique spécialisé, conforme aux normes internationales en matière de gestion des services informatiques (ISO 20000), de sécurité de l'information (ISO 27001, ISO 27017) et de continuité des activités (ISO 22301).</w:t>
      </w:r>
    </w:p>
    <w:p w14:paraId="62ED7358" w14:textId="77777777" w:rsidR="000F163C" w:rsidRPr="0015787A" w:rsidRDefault="000F163C" w:rsidP="00212BF7">
      <w:pPr>
        <w:spacing w:after="0" w:line="240" w:lineRule="exact"/>
        <w:contextualSpacing/>
        <w:jc w:val="both"/>
        <w:rPr>
          <w:rFonts w:ascii="Cambria" w:hAnsi="Cambria"/>
          <w:b/>
          <w:bCs/>
          <w:sz w:val="20"/>
          <w:szCs w:val="20"/>
        </w:rPr>
      </w:pPr>
    </w:p>
    <w:p w14:paraId="05A64956" w14:textId="77777777" w:rsidR="00212BF7" w:rsidRPr="0015787A" w:rsidRDefault="00212BF7" w:rsidP="00212BF7">
      <w:pPr>
        <w:spacing w:after="0" w:line="240" w:lineRule="exact"/>
        <w:contextualSpacing/>
        <w:jc w:val="both"/>
        <w:rPr>
          <w:rFonts w:ascii="Cambria" w:hAnsi="Cambria"/>
          <w:b/>
          <w:bCs/>
          <w:sz w:val="20"/>
          <w:szCs w:val="20"/>
        </w:rPr>
      </w:pPr>
    </w:p>
    <w:p w14:paraId="4A6EDA53" w14:textId="464AE369" w:rsidR="000F163C" w:rsidRPr="0015787A" w:rsidRDefault="000F163C" w:rsidP="000E6C1F">
      <w:pPr>
        <w:pStyle w:val="ListParagraph"/>
        <w:numPr>
          <w:ilvl w:val="0"/>
          <w:numId w:val="3"/>
        </w:numPr>
        <w:spacing w:after="0" w:line="240" w:lineRule="exact"/>
        <w:ind w:left="426" w:hanging="426"/>
        <w:jc w:val="both"/>
        <w:rPr>
          <w:rFonts w:ascii="Cambria" w:hAnsi="Cambria"/>
          <w:b/>
          <w:bCs/>
          <w:sz w:val="20"/>
          <w:szCs w:val="20"/>
        </w:rPr>
      </w:pPr>
      <w:r w:rsidRPr="0015787A">
        <w:rPr>
          <w:rFonts w:ascii="Cambria" w:hAnsi="Cambria"/>
          <w:b/>
          <w:sz w:val="20"/>
          <w:szCs w:val="20"/>
        </w:rPr>
        <w:t>Services compris</w:t>
      </w:r>
    </w:p>
    <w:p w14:paraId="512B3E2B" w14:textId="77777777" w:rsidR="000E6C1F" w:rsidRPr="0015787A" w:rsidRDefault="000E6C1F" w:rsidP="000E6C1F">
      <w:pPr>
        <w:pStyle w:val="ListParagraph"/>
        <w:spacing w:after="0" w:line="240" w:lineRule="exact"/>
        <w:jc w:val="both"/>
        <w:rPr>
          <w:rFonts w:ascii="Cambria" w:hAnsi="Cambria"/>
          <w:b/>
          <w:bCs/>
          <w:sz w:val="20"/>
          <w:szCs w:val="20"/>
          <w:lang w:val="es-ES"/>
        </w:rPr>
      </w:pPr>
    </w:p>
    <w:p w14:paraId="19BA7673" w14:textId="73AB9886" w:rsidR="000F163C" w:rsidRPr="0015787A" w:rsidRDefault="000F163C" w:rsidP="00212BF7">
      <w:pPr>
        <w:spacing w:after="0" w:line="240" w:lineRule="exact"/>
        <w:contextualSpacing/>
        <w:jc w:val="both"/>
        <w:rPr>
          <w:rFonts w:ascii="Cambria" w:hAnsi="Cambria"/>
          <w:sz w:val="20"/>
          <w:szCs w:val="20"/>
        </w:rPr>
      </w:pPr>
      <w:r w:rsidRPr="0015787A">
        <w:rPr>
          <w:rFonts w:ascii="Cambria" w:hAnsi="Cambria"/>
          <w:sz w:val="20"/>
          <w:szCs w:val="20"/>
        </w:rPr>
        <w:t>La proposition combine la fourniture d'une infrastructure en nuage (IaaS) par IaaS365 avec les services de maintenance, d'assistance et de migration du système THEMIS par CLS, formant une solution complète qui garantit l'opérabilité du système VMS et la sécurité de ses données.</w:t>
      </w:r>
    </w:p>
    <w:p w14:paraId="6F166E91" w14:textId="77777777" w:rsidR="000F163C" w:rsidRPr="0015787A" w:rsidRDefault="000F163C" w:rsidP="00212BF7">
      <w:pPr>
        <w:spacing w:after="0" w:line="240" w:lineRule="exact"/>
        <w:contextualSpacing/>
        <w:jc w:val="both"/>
        <w:rPr>
          <w:rFonts w:ascii="Cambria" w:hAnsi="Cambria"/>
          <w:sz w:val="20"/>
          <w:szCs w:val="20"/>
        </w:rPr>
      </w:pPr>
    </w:p>
    <w:p w14:paraId="215EDA85" w14:textId="14736818" w:rsidR="000F163C" w:rsidRPr="0015787A" w:rsidRDefault="000F163C" w:rsidP="00212BF7">
      <w:pPr>
        <w:spacing w:after="0" w:line="240" w:lineRule="exact"/>
        <w:contextualSpacing/>
        <w:jc w:val="both"/>
        <w:rPr>
          <w:rFonts w:ascii="Cambria" w:hAnsi="Cambria"/>
          <w:b/>
          <w:bCs/>
          <w:i/>
          <w:iCs/>
          <w:sz w:val="20"/>
          <w:szCs w:val="20"/>
        </w:rPr>
      </w:pPr>
      <w:r w:rsidRPr="0015787A">
        <w:rPr>
          <w:rFonts w:ascii="Cambria" w:hAnsi="Cambria"/>
          <w:b/>
          <w:i/>
          <w:sz w:val="20"/>
          <w:szCs w:val="20"/>
        </w:rPr>
        <w:t>2.1 Infrastructure en nuage (IaaS365)</w:t>
      </w:r>
    </w:p>
    <w:p w14:paraId="591FC3F0" w14:textId="77777777" w:rsidR="007D7B18" w:rsidRPr="0015787A" w:rsidRDefault="007D7B18" w:rsidP="00212BF7">
      <w:pPr>
        <w:spacing w:after="0" w:line="240" w:lineRule="exact"/>
        <w:contextualSpacing/>
        <w:jc w:val="both"/>
        <w:rPr>
          <w:rFonts w:ascii="Cambria" w:hAnsi="Cambria"/>
          <w:sz w:val="20"/>
          <w:szCs w:val="20"/>
        </w:rPr>
      </w:pPr>
    </w:p>
    <w:p w14:paraId="4EF1D165" w14:textId="36A95660" w:rsidR="000F163C" w:rsidRPr="0015787A" w:rsidRDefault="000F163C" w:rsidP="00212BF7">
      <w:pPr>
        <w:spacing w:after="0" w:line="240" w:lineRule="exact"/>
        <w:contextualSpacing/>
        <w:jc w:val="both"/>
        <w:rPr>
          <w:rFonts w:ascii="Cambria" w:hAnsi="Cambria"/>
          <w:sz w:val="20"/>
          <w:szCs w:val="20"/>
        </w:rPr>
      </w:pPr>
      <w:r w:rsidRPr="0015787A">
        <w:rPr>
          <w:rFonts w:ascii="Cambria" w:hAnsi="Cambria"/>
          <w:sz w:val="20"/>
          <w:szCs w:val="20"/>
        </w:rPr>
        <w:t>Le service offert par IaaS365 sera basé sur sa plateforme iCloud365, hébergée dans ses propres centres de données à Madrid, garantissant une disponibilité de plus de 99,98%.</w:t>
      </w:r>
    </w:p>
    <w:p w14:paraId="16176ACC" w14:textId="77777777" w:rsidR="00EC0553" w:rsidRPr="0015787A" w:rsidRDefault="00EC0553" w:rsidP="00212BF7">
      <w:pPr>
        <w:spacing w:after="0" w:line="240" w:lineRule="exact"/>
        <w:contextualSpacing/>
        <w:jc w:val="both"/>
        <w:rPr>
          <w:rFonts w:ascii="Cambria" w:hAnsi="Cambria"/>
          <w:sz w:val="20"/>
          <w:szCs w:val="20"/>
        </w:rPr>
      </w:pPr>
    </w:p>
    <w:p w14:paraId="26A5C39E" w14:textId="19636B48" w:rsidR="00B04FDC" w:rsidRPr="0015787A" w:rsidRDefault="000F163C" w:rsidP="00212BF7">
      <w:pPr>
        <w:spacing w:after="0" w:line="240" w:lineRule="exact"/>
        <w:contextualSpacing/>
        <w:jc w:val="both"/>
        <w:rPr>
          <w:rFonts w:ascii="Cambria" w:hAnsi="Cambria"/>
          <w:sz w:val="20"/>
          <w:szCs w:val="20"/>
        </w:rPr>
      </w:pPr>
      <w:r w:rsidRPr="0015787A">
        <w:rPr>
          <w:rFonts w:ascii="Cambria" w:hAnsi="Cambria"/>
          <w:sz w:val="20"/>
          <w:szCs w:val="20"/>
        </w:rPr>
        <w:t>Ses caractéristiques sont les suivantes :</w:t>
      </w:r>
    </w:p>
    <w:p w14:paraId="29FC21CB" w14:textId="77777777" w:rsidR="00B04FDC" w:rsidRPr="0015787A" w:rsidRDefault="00B04FDC" w:rsidP="00212BF7">
      <w:pPr>
        <w:spacing w:after="0" w:line="240" w:lineRule="exact"/>
        <w:contextualSpacing/>
        <w:jc w:val="both"/>
        <w:rPr>
          <w:rFonts w:ascii="Cambria" w:hAnsi="Cambria"/>
          <w:sz w:val="20"/>
          <w:szCs w:val="20"/>
        </w:rPr>
      </w:pPr>
    </w:p>
    <w:p w14:paraId="3F88EC2F" w14:textId="77777777" w:rsidR="000F163C" w:rsidRPr="0015787A" w:rsidRDefault="000F163C" w:rsidP="00212BF7">
      <w:pPr>
        <w:pStyle w:val="ListParagraph"/>
        <w:numPr>
          <w:ilvl w:val="0"/>
          <w:numId w:val="2"/>
        </w:numPr>
        <w:spacing w:after="0" w:line="240" w:lineRule="exact"/>
        <w:jc w:val="both"/>
        <w:rPr>
          <w:rFonts w:ascii="Cambria" w:hAnsi="Cambria"/>
          <w:sz w:val="20"/>
          <w:szCs w:val="20"/>
        </w:rPr>
      </w:pPr>
      <w:r w:rsidRPr="0015787A">
        <w:rPr>
          <w:rFonts w:ascii="Cambria" w:hAnsi="Cambria"/>
          <w:sz w:val="20"/>
          <w:szCs w:val="20"/>
        </w:rPr>
        <w:t xml:space="preserve">Infrastructure virtuelle dédiée avec jusqu'à 24 </w:t>
      </w:r>
      <w:proofErr w:type="spellStart"/>
      <w:r w:rsidRPr="0015787A">
        <w:rPr>
          <w:rFonts w:ascii="Cambria" w:hAnsi="Cambria"/>
          <w:sz w:val="20"/>
          <w:szCs w:val="20"/>
        </w:rPr>
        <w:t>vCPU</w:t>
      </w:r>
      <w:proofErr w:type="spellEnd"/>
      <w:r w:rsidRPr="0015787A">
        <w:rPr>
          <w:rFonts w:ascii="Cambria" w:hAnsi="Cambria"/>
          <w:sz w:val="20"/>
          <w:szCs w:val="20"/>
        </w:rPr>
        <w:t>, 48 Go de mémoire RAM et 1,5 To de stockage virtuel.</w:t>
      </w:r>
    </w:p>
    <w:p w14:paraId="149AB309" w14:textId="77777777" w:rsidR="000F163C" w:rsidRPr="0015787A" w:rsidRDefault="000F163C" w:rsidP="00212BF7">
      <w:pPr>
        <w:pStyle w:val="ListParagraph"/>
        <w:numPr>
          <w:ilvl w:val="0"/>
          <w:numId w:val="2"/>
        </w:numPr>
        <w:spacing w:after="0" w:line="240" w:lineRule="exact"/>
        <w:jc w:val="both"/>
        <w:rPr>
          <w:rFonts w:ascii="Cambria" w:hAnsi="Cambria"/>
          <w:sz w:val="20"/>
          <w:szCs w:val="20"/>
        </w:rPr>
      </w:pPr>
      <w:r w:rsidRPr="0015787A">
        <w:rPr>
          <w:rFonts w:ascii="Cambria" w:hAnsi="Cambria"/>
          <w:sz w:val="20"/>
          <w:szCs w:val="20"/>
        </w:rPr>
        <w:lastRenderedPageBreak/>
        <w:t>Redondance dans deux zones de disponibilité et connectivité à haute capacité (jusqu'à 100 Mbps P95).</w:t>
      </w:r>
    </w:p>
    <w:p w14:paraId="189AC1F1" w14:textId="049F144D" w:rsidR="000F163C" w:rsidRPr="0015787A" w:rsidRDefault="000F163C" w:rsidP="00212BF7">
      <w:pPr>
        <w:pStyle w:val="ListParagraph"/>
        <w:numPr>
          <w:ilvl w:val="0"/>
          <w:numId w:val="2"/>
        </w:numPr>
        <w:spacing w:after="0" w:line="240" w:lineRule="exact"/>
        <w:jc w:val="both"/>
        <w:rPr>
          <w:rFonts w:ascii="Cambria" w:hAnsi="Cambria"/>
          <w:sz w:val="20"/>
          <w:szCs w:val="20"/>
        </w:rPr>
      </w:pPr>
      <w:r w:rsidRPr="0015787A">
        <w:rPr>
          <w:rFonts w:ascii="Cambria" w:hAnsi="Cambria"/>
          <w:sz w:val="20"/>
          <w:szCs w:val="20"/>
        </w:rPr>
        <w:t xml:space="preserve">Copies de sauvegarde quotidiennes et mensuelles avec stockage </w:t>
      </w:r>
      <w:proofErr w:type="spellStart"/>
      <w:r w:rsidRPr="0015787A">
        <w:rPr>
          <w:rFonts w:ascii="Cambria" w:hAnsi="Cambria"/>
          <w:sz w:val="20"/>
          <w:szCs w:val="20"/>
        </w:rPr>
        <w:t>NVMe</w:t>
      </w:r>
      <w:proofErr w:type="spellEnd"/>
      <w:r w:rsidRPr="0015787A">
        <w:rPr>
          <w:rFonts w:ascii="Cambria" w:hAnsi="Cambria"/>
          <w:sz w:val="20"/>
          <w:szCs w:val="20"/>
        </w:rPr>
        <w:t xml:space="preserve"> et rétention jusqu'à 12 mois.</w:t>
      </w:r>
    </w:p>
    <w:p w14:paraId="1EBE0BF3" w14:textId="77777777" w:rsidR="000F163C" w:rsidRPr="0015787A" w:rsidRDefault="000F163C" w:rsidP="00212BF7">
      <w:pPr>
        <w:pStyle w:val="ListParagraph"/>
        <w:numPr>
          <w:ilvl w:val="0"/>
          <w:numId w:val="2"/>
        </w:numPr>
        <w:spacing w:after="0" w:line="240" w:lineRule="exact"/>
        <w:jc w:val="both"/>
        <w:rPr>
          <w:rFonts w:ascii="Cambria" w:hAnsi="Cambria"/>
          <w:sz w:val="20"/>
          <w:szCs w:val="20"/>
        </w:rPr>
      </w:pPr>
      <w:r w:rsidRPr="0015787A">
        <w:rPr>
          <w:rFonts w:ascii="Cambria" w:hAnsi="Cambria"/>
          <w:sz w:val="20"/>
          <w:szCs w:val="20"/>
        </w:rPr>
        <w:t>Service de surveillance des ressources et assistance technique spécialisée pendant les heures de travail (9x5).</w:t>
      </w:r>
    </w:p>
    <w:p w14:paraId="7F764843" w14:textId="77777777" w:rsidR="000F163C" w:rsidRPr="0015787A" w:rsidRDefault="000F163C" w:rsidP="00212BF7">
      <w:pPr>
        <w:pStyle w:val="ListParagraph"/>
        <w:numPr>
          <w:ilvl w:val="0"/>
          <w:numId w:val="2"/>
        </w:numPr>
        <w:spacing w:after="0" w:line="240" w:lineRule="exact"/>
        <w:jc w:val="both"/>
        <w:rPr>
          <w:rFonts w:ascii="Cambria" w:hAnsi="Cambria"/>
          <w:sz w:val="20"/>
          <w:szCs w:val="20"/>
        </w:rPr>
      </w:pPr>
      <w:r w:rsidRPr="0015787A">
        <w:rPr>
          <w:rFonts w:ascii="Cambria" w:hAnsi="Cambria"/>
          <w:sz w:val="20"/>
          <w:szCs w:val="20"/>
        </w:rPr>
        <w:t xml:space="preserve">Pare-feu virtuel et connectivité sécurisée via un VPN site à site, avec les licences Check Point </w:t>
      </w:r>
      <w:proofErr w:type="spellStart"/>
      <w:r w:rsidRPr="0015787A">
        <w:rPr>
          <w:rFonts w:ascii="Cambria" w:hAnsi="Cambria"/>
          <w:sz w:val="20"/>
          <w:szCs w:val="20"/>
        </w:rPr>
        <w:t>CloudGuard</w:t>
      </w:r>
      <w:proofErr w:type="spellEnd"/>
      <w:r w:rsidRPr="0015787A">
        <w:rPr>
          <w:rFonts w:ascii="Cambria" w:hAnsi="Cambria"/>
          <w:sz w:val="20"/>
          <w:szCs w:val="20"/>
        </w:rPr>
        <w:t xml:space="preserve"> Network Security.</w:t>
      </w:r>
    </w:p>
    <w:p w14:paraId="68F5DE5A" w14:textId="7DF6C87C" w:rsidR="000F163C" w:rsidRPr="0015787A" w:rsidRDefault="000F163C" w:rsidP="00212BF7">
      <w:pPr>
        <w:pStyle w:val="ListParagraph"/>
        <w:numPr>
          <w:ilvl w:val="0"/>
          <w:numId w:val="2"/>
        </w:numPr>
        <w:spacing w:after="0" w:line="240" w:lineRule="exact"/>
        <w:jc w:val="both"/>
        <w:rPr>
          <w:rFonts w:ascii="Cambria" w:hAnsi="Cambria"/>
          <w:sz w:val="20"/>
          <w:szCs w:val="20"/>
        </w:rPr>
      </w:pPr>
      <w:r w:rsidRPr="0015787A">
        <w:rPr>
          <w:rFonts w:ascii="Cambria" w:hAnsi="Cambria"/>
          <w:sz w:val="20"/>
          <w:szCs w:val="20"/>
        </w:rPr>
        <w:t>Respect des normes ISO 20000, 22301, 27001, 27017, 9001 et 14001, qui garantissent la qualité, la sécurité et la durabilité des services fournis.</w:t>
      </w:r>
    </w:p>
    <w:p w14:paraId="7A1771DD" w14:textId="77777777" w:rsidR="000F163C" w:rsidRPr="0015787A" w:rsidRDefault="000F163C" w:rsidP="00212BF7">
      <w:pPr>
        <w:spacing w:after="0" w:line="240" w:lineRule="exact"/>
        <w:jc w:val="both"/>
        <w:rPr>
          <w:rFonts w:ascii="Cambria" w:hAnsi="Cambria"/>
          <w:sz w:val="20"/>
          <w:szCs w:val="20"/>
        </w:rPr>
      </w:pPr>
    </w:p>
    <w:p w14:paraId="3B601F87" w14:textId="40095D2E" w:rsidR="000F163C" w:rsidRPr="0015787A" w:rsidRDefault="000F163C" w:rsidP="00D37226">
      <w:pPr>
        <w:pStyle w:val="ListParagraph"/>
        <w:numPr>
          <w:ilvl w:val="1"/>
          <w:numId w:val="4"/>
        </w:numPr>
        <w:spacing w:after="0" w:line="240" w:lineRule="exact"/>
        <w:jc w:val="both"/>
        <w:rPr>
          <w:rFonts w:ascii="Cambria" w:hAnsi="Cambria"/>
          <w:b/>
          <w:bCs/>
          <w:i/>
          <w:iCs/>
          <w:sz w:val="20"/>
          <w:szCs w:val="20"/>
        </w:rPr>
      </w:pPr>
      <w:r w:rsidRPr="0015787A">
        <w:rPr>
          <w:rFonts w:ascii="Cambria" w:hAnsi="Cambria"/>
          <w:b/>
          <w:i/>
          <w:sz w:val="20"/>
          <w:szCs w:val="20"/>
        </w:rPr>
        <w:t>Maintenance et soutien du système THEMIS (CLS)</w:t>
      </w:r>
    </w:p>
    <w:p w14:paraId="6CADEBDA" w14:textId="77777777" w:rsidR="00D37226" w:rsidRPr="0015787A" w:rsidRDefault="00D37226" w:rsidP="00D37226">
      <w:pPr>
        <w:pStyle w:val="ListParagraph"/>
        <w:spacing w:after="0" w:line="240" w:lineRule="exact"/>
        <w:jc w:val="both"/>
        <w:rPr>
          <w:rFonts w:ascii="Cambria" w:hAnsi="Cambria"/>
          <w:sz w:val="20"/>
          <w:szCs w:val="20"/>
        </w:rPr>
      </w:pPr>
    </w:p>
    <w:p w14:paraId="71A6490B" w14:textId="2F06CD1C" w:rsidR="000F163C" w:rsidRPr="0015787A" w:rsidRDefault="00E00BBE" w:rsidP="00212BF7">
      <w:pPr>
        <w:spacing w:after="0" w:line="240" w:lineRule="exact"/>
        <w:contextualSpacing/>
        <w:jc w:val="both"/>
        <w:rPr>
          <w:rFonts w:ascii="Cambria" w:hAnsi="Cambria"/>
          <w:sz w:val="20"/>
          <w:szCs w:val="20"/>
        </w:rPr>
      </w:pPr>
      <w:r w:rsidRPr="0015787A">
        <w:rPr>
          <w:rFonts w:ascii="Cambria" w:hAnsi="Cambria"/>
          <w:sz w:val="20"/>
          <w:szCs w:val="20"/>
        </w:rPr>
        <w:t>Le montant de 17.405 euros pour la maintenance et l'accès au système THEMIS reste inchangé par rapport à l'exercice fiscal précédent. Ce chiffre couvre les services suivants :</w:t>
      </w:r>
    </w:p>
    <w:p w14:paraId="1CD18FAE" w14:textId="77777777" w:rsidR="00B04FDC" w:rsidRPr="0015787A" w:rsidRDefault="00B04FDC" w:rsidP="00212BF7">
      <w:pPr>
        <w:spacing w:after="0" w:line="240" w:lineRule="exact"/>
        <w:contextualSpacing/>
        <w:jc w:val="both"/>
        <w:rPr>
          <w:rFonts w:ascii="Cambria" w:hAnsi="Cambria"/>
          <w:sz w:val="20"/>
          <w:szCs w:val="20"/>
          <w:lang w:val="es-ES"/>
        </w:rPr>
      </w:pPr>
    </w:p>
    <w:p w14:paraId="134D2462" w14:textId="6CF19E19" w:rsidR="000F163C" w:rsidRPr="0015787A" w:rsidRDefault="000F163C" w:rsidP="00212BF7">
      <w:pPr>
        <w:pStyle w:val="ListParagraph"/>
        <w:numPr>
          <w:ilvl w:val="0"/>
          <w:numId w:val="2"/>
        </w:numPr>
        <w:spacing w:after="0" w:line="240" w:lineRule="exact"/>
        <w:jc w:val="both"/>
        <w:rPr>
          <w:rFonts w:ascii="Cambria" w:hAnsi="Cambria"/>
          <w:sz w:val="20"/>
          <w:szCs w:val="20"/>
        </w:rPr>
      </w:pPr>
      <w:r w:rsidRPr="0015787A">
        <w:rPr>
          <w:rFonts w:ascii="Cambria" w:hAnsi="Cambria"/>
          <w:sz w:val="20"/>
          <w:szCs w:val="20"/>
        </w:rPr>
        <w:t>Assistance technique spécialisée en cas d'incidents ou de demandes de renseignements.</w:t>
      </w:r>
    </w:p>
    <w:p w14:paraId="117980F9" w14:textId="32622845" w:rsidR="000F163C" w:rsidRPr="0015787A" w:rsidRDefault="000F163C" w:rsidP="00212BF7">
      <w:pPr>
        <w:pStyle w:val="ListParagraph"/>
        <w:numPr>
          <w:ilvl w:val="0"/>
          <w:numId w:val="2"/>
        </w:numPr>
        <w:spacing w:after="0" w:line="240" w:lineRule="exact"/>
        <w:jc w:val="both"/>
        <w:rPr>
          <w:rFonts w:ascii="Cambria" w:hAnsi="Cambria"/>
          <w:sz w:val="20"/>
          <w:szCs w:val="20"/>
        </w:rPr>
      </w:pPr>
      <w:r w:rsidRPr="0015787A">
        <w:rPr>
          <w:rFonts w:ascii="Cambria" w:hAnsi="Cambria"/>
          <w:sz w:val="20"/>
          <w:szCs w:val="20"/>
        </w:rPr>
        <w:t>Mises à jour et améliorations continues du logiciel.</w:t>
      </w:r>
    </w:p>
    <w:p w14:paraId="7D557ADD" w14:textId="18A4BFD3" w:rsidR="000F163C" w:rsidRPr="0015787A" w:rsidRDefault="000F163C" w:rsidP="00212BF7">
      <w:pPr>
        <w:pStyle w:val="ListParagraph"/>
        <w:numPr>
          <w:ilvl w:val="0"/>
          <w:numId w:val="2"/>
        </w:numPr>
        <w:spacing w:after="0" w:line="240" w:lineRule="exact"/>
        <w:jc w:val="both"/>
        <w:rPr>
          <w:rFonts w:ascii="Cambria" w:hAnsi="Cambria"/>
          <w:sz w:val="20"/>
          <w:szCs w:val="20"/>
        </w:rPr>
      </w:pPr>
      <w:r w:rsidRPr="0015787A">
        <w:rPr>
          <w:rFonts w:ascii="Cambria" w:hAnsi="Cambria"/>
          <w:sz w:val="20"/>
          <w:szCs w:val="20"/>
        </w:rPr>
        <w:t>Surveillance de la sécurité et mise en place de correctifs critiques.</w:t>
      </w:r>
    </w:p>
    <w:p w14:paraId="19D7D9DA" w14:textId="77777777" w:rsidR="000F163C" w:rsidRPr="0015787A" w:rsidRDefault="000F163C" w:rsidP="00212BF7">
      <w:pPr>
        <w:spacing w:after="0" w:line="240" w:lineRule="exact"/>
        <w:contextualSpacing/>
        <w:jc w:val="both"/>
        <w:rPr>
          <w:rFonts w:ascii="Cambria" w:hAnsi="Cambria"/>
          <w:sz w:val="20"/>
          <w:szCs w:val="20"/>
        </w:rPr>
      </w:pPr>
    </w:p>
    <w:p w14:paraId="53576925" w14:textId="6645ABAC" w:rsidR="000F163C" w:rsidRPr="0015787A" w:rsidRDefault="000F163C" w:rsidP="00212BF7">
      <w:pPr>
        <w:spacing w:after="0" w:line="240" w:lineRule="exact"/>
        <w:contextualSpacing/>
        <w:jc w:val="both"/>
        <w:rPr>
          <w:rFonts w:ascii="Cambria" w:hAnsi="Cambria"/>
          <w:b/>
          <w:bCs/>
          <w:sz w:val="20"/>
          <w:szCs w:val="20"/>
        </w:rPr>
      </w:pPr>
      <w:r w:rsidRPr="0015787A">
        <w:rPr>
          <w:rFonts w:ascii="Cambria" w:hAnsi="Cambria"/>
          <w:sz w:val="20"/>
          <w:szCs w:val="20"/>
        </w:rPr>
        <w:t>Ces services garantissent que le logiciel reste opérationnel, sécurisé et à jour tout au long de son cycle de vie.</w:t>
      </w:r>
    </w:p>
    <w:p w14:paraId="5B6989D4" w14:textId="77777777" w:rsidR="000F163C" w:rsidRPr="0015787A" w:rsidRDefault="000F163C" w:rsidP="00212BF7">
      <w:pPr>
        <w:spacing w:after="0" w:line="240" w:lineRule="exact"/>
        <w:contextualSpacing/>
        <w:jc w:val="both"/>
        <w:rPr>
          <w:rFonts w:ascii="Cambria" w:hAnsi="Cambria"/>
          <w:b/>
          <w:bCs/>
          <w:sz w:val="20"/>
          <w:szCs w:val="20"/>
        </w:rPr>
      </w:pPr>
    </w:p>
    <w:p w14:paraId="7AD97E9A" w14:textId="1359C4D1" w:rsidR="000F163C" w:rsidRPr="0015787A" w:rsidRDefault="000F163C" w:rsidP="00212BF7">
      <w:pPr>
        <w:spacing w:after="0" w:line="240" w:lineRule="exact"/>
        <w:contextualSpacing/>
        <w:jc w:val="both"/>
        <w:rPr>
          <w:rFonts w:ascii="Cambria" w:hAnsi="Cambria"/>
          <w:b/>
          <w:bCs/>
          <w:i/>
          <w:iCs/>
          <w:sz w:val="20"/>
          <w:szCs w:val="20"/>
        </w:rPr>
      </w:pPr>
      <w:r w:rsidRPr="0015787A">
        <w:rPr>
          <w:rFonts w:ascii="Cambria" w:hAnsi="Cambria"/>
          <w:b/>
          <w:i/>
          <w:sz w:val="20"/>
          <w:szCs w:val="20"/>
        </w:rPr>
        <w:t>2.3 Assistance technique pour la migration (CLS)</w:t>
      </w:r>
    </w:p>
    <w:p w14:paraId="37AF5B93" w14:textId="77777777" w:rsidR="00A363CB" w:rsidRPr="0015787A" w:rsidRDefault="00A363CB" w:rsidP="00212BF7">
      <w:pPr>
        <w:spacing w:after="0" w:line="240" w:lineRule="exact"/>
        <w:contextualSpacing/>
        <w:jc w:val="both"/>
        <w:rPr>
          <w:rFonts w:ascii="Cambria" w:hAnsi="Cambria"/>
          <w:b/>
          <w:bCs/>
          <w:sz w:val="20"/>
          <w:szCs w:val="20"/>
        </w:rPr>
      </w:pPr>
    </w:p>
    <w:p w14:paraId="04DACC11" w14:textId="11FC7136" w:rsidR="000F163C" w:rsidRPr="0015787A" w:rsidRDefault="000F163C" w:rsidP="00212BF7">
      <w:pPr>
        <w:spacing w:after="0" w:line="240" w:lineRule="exact"/>
        <w:contextualSpacing/>
        <w:jc w:val="both"/>
        <w:rPr>
          <w:rFonts w:ascii="Cambria" w:hAnsi="Cambria"/>
          <w:sz w:val="20"/>
          <w:szCs w:val="20"/>
        </w:rPr>
      </w:pPr>
      <w:r w:rsidRPr="0015787A">
        <w:rPr>
          <w:rFonts w:ascii="Cambria" w:hAnsi="Cambria"/>
          <w:sz w:val="20"/>
          <w:szCs w:val="20"/>
        </w:rPr>
        <w:t>L'assistance technique pour la migration du système VMS vers l'infrastructure en nuage entraînera un coût estimé à 12.800 euros et comprendra :</w:t>
      </w:r>
    </w:p>
    <w:p w14:paraId="44722771" w14:textId="77777777" w:rsidR="00B04FDC" w:rsidRPr="0015787A" w:rsidRDefault="00B04FDC" w:rsidP="00212BF7">
      <w:pPr>
        <w:spacing w:after="0" w:line="240" w:lineRule="exact"/>
        <w:contextualSpacing/>
        <w:jc w:val="both"/>
        <w:rPr>
          <w:rFonts w:ascii="Cambria" w:hAnsi="Cambria"/>
          <w:sz w:val="20"/>
          <w:szCs w:val="20"/>
        </w:rPr>
      </w:pPr>
    </w:p>
    <w:p w14:paraId="58D34DDD" w14:textId="756B8DB9" w:rsidR="000F163C" w:rsidRPr="0015787A" w:rsidRDefault="000F163C" w:rsidP="00212BF7">
      <w:pPr>
        <w:pStyle w:val="ListParagraph"/>
        <w:numPr>
          <w:ilvl w:val="0"/>
          <w:numId w:val="2"/>
        </w:numPr>
        <w:spacing w:after="0" w:line="240" w:lineRule="exact"/>
        <w:jc w:val="both"/>
        <w:rPr>
          <w:rFonts w:ascii="Cambria" w:hAnsi="Cambria"/>
          <w:sz w:val="20"/>
          <w:szCs w:val="20"/>
        </w:rPr>
      </w:pPr>
      <w:proofErr w:type="spellStart"/>
      <w:r w:rsidRPr="0015787A">
        <w:rPr>
          <w:rFonts w:ascii="Cambria" w:hAnsi="Cambria"/>
          <w:sz w:val="20"/>
          <w:szCs w:val="20"/>
        </w:rPr>
        <w:t>Pré-analyse</w:t>
      </w:r>
      <w:proofErr w:type="spellEnd"/>
      <w:r w:rsidRPr="0015787A">
        <w:rPr>
          <w:rFonts w:ascii="Cambria" w:hAnsi="Cambria"/>
          <w:sz w:val="20"/>
          <w:szCs w:val="20"/>
        </w:rPr>
        <w:t xml:space="preserve"> et planification de l'environnement de migration.</w:t>
      </w:r>
    </w:p>
    <w:p w14:paraId="3D5EFF23" w14:textId="4A5ACB8A" w:rsidR="000F163C" w:rsidRPr="0015787A" w:rsidRDefault="000F163C" w:rsidP="00212BF7">
      <w:pPr>
        <w:pStyle w:val="ListParagraph"/>
        <w:numPr>
          <w:ilvl w:val="0"/>
          <w:numId w:val="2"/>
        </w:numPr>
        <w:spacing w:after="0" w:line="240" w:lineRule="exact"/>
        <w:jc w:val="both"/>
        <w:rPr>
          <w:rFonts w:ascii="Cambria" w:hAnsi="Cambria"/>
          <w:sz w:val="20"/>
          <w:szCs w:val="20"/>
        </w:rPr>
      </w:pPr>
      <w:r w:rsidRPr="0015787A">
        <w:rPr>
          <w:rFonts w:ascii="Cambria" w:hAnsi="Cambria"/>
          <w:sz w:val="20"/>
          <w:szCs w:val="20"/>
        </w:rPr>
        <w:t>Transfert de données et configurations.</w:t>
      </w:r>
    </w:p>
    <w:p w14:paraId="006EB21E" w14:textId="21C37DF2" w:rsidR="000F163C" w:rsidRPr="0015787A" w:rsidRDefault="000F163C" w:rsidP="00212BF7">
      <w:pPr>
        <w:pStyle w:val="ListParagraph"/>
        <w:numPr>
          <w:ilvl w:val="0"/>
          <w:numId w:val="2"/>
        </w:numPr>
        <w:spacing w:after="0" w:line="240" w:lineRule="exact"/>
        <w:jc w:val="both"/>
        <w:rPr>
          <w:rFonts w:ascii="Cambria" w:hAnsi="Cambria"/>
          <w:sz w:val="20"/>
          <w:szCs w:val="20"/>
        </w:rPr>
      </w:pPr>
      <w:r w:rsidRPr="0015787A">
        <w:rPr>
          <w:rFonts w:ascii="Cambria" w:hAnsi="Cambria"/>
          <w:sz w:val="20"/>
          <w:szCs w:val="20"/>
        </w:rPr>
        <w:t>Réinstallation et validation du logiciel THEMIS dans le nouvel environnement.</w:t>
      </w:r>
    </w:p>
    <w:p w14:paraId="31B3D88E" w14:textId="58BFA231" w:rsidR="000F163C" w:rsidRPr="0015787A" w:rsidRDefault="000F163C" w:rsidP="00212BF7">
      <w:pPr>
        <w:pStyle w:val="ListParagraph"/>
        <w:numPr>
          <w:ilvl w:val="0"/>
          <w:numId w:val="2"/>
        </w:numPr>
        <w:spacing w:after="0" w:line="240" w:lineRule="exact"/>
        <w:jc w:val="both"/>
        <w:rPr>
          <w:rFonts w:ascii="Cambria" w:hAnsi="Cambria"/>
          <w:sz w:val="20"/>
          <w:szCs w:val="20"/>
        </w:rPr>
      </w:pPr>
      <w:r w:rsidRPr="0015787A">
        <w:rPr>
          <w:rFonts w:ascii="Cambria" w:hAnsi="Cambria"/>
          <w:sz w:val="20"/>
          <w:szCs w:val="20"/>
        </w:rPr>
        <w:t>Appui technique durant la phase de transition</w:t>
      </w:r>
    </w:p>
    <w:p w14:paraId="714168E5" w14:textId="77777777" w:rsidR="000F163C" w:rsidRPr="0015787A" w:rsidRDefault="000F163C" w:rsidP="00212BF7">
      <w:pPr>
        <w:spacing w:after="0" w:line="240" w:lineRule="exact"/>
        <w:contextualSpacing/>
        <w:jc w:val="both"/>
        <w:rPr>
          <w:rFonts w:ascii="Cambria" w:hAnsi="Cambria"/>
          <w:sz w:val="20"/>
          <w:szCs w:val="20"/>
        </w:rPr>
      </w:pPr>
    </w:p>
    <w:p w14:paraId="5B878724" w14:textId="685A74D8" w:rsidR="000F163C" w:rsidRPr="0015787A" w:rsidRDefault="000F163C" w:rsidP="00212BF7">
      <w:pPr>
        <w:spacing w:after="0" w:line="240" w:lineRule="exact"/>
        <w:contextualSpacing/>
        <w:jc w:val="both"/>
        <w:rPr>
          <w:rFonts w:ascii="Cambria" w:hAnsi="Cambria"/>
          <w:sz w:val="20"/>
          <w:szCs w:val="20"/>
        </w:rPr>
      </w:pPr>
      <w:r w:rsidRPr="0015787A">
        <w:rPr>
          <w:rFonts w:ascii="Cambria" w:hAnsi="Cambria"/>
          <w:sz w:val="20"/>
          <w:szCs w:val="20"/>
        </w:rPr>
        <w:t>Les montants indiqués sont des estimations et peuvent être ajustés en fonction des résultats de l'analyse technique et des besoins identifiés au cours de la mise en œuvre.</w:t>
      </w:r>
    </w:p>
    <w:p w14:paraId="79586753" w14:textId="77777777" w:rsidR="000F163C" w:rsidRPr="0015787A" w:rsidRDefault="000F163C" w:rsidP="00212BF7">
      <w:pPr>
        <w:spacing w:after="0" w:line="240" w:lineRule="exact"/>
        <w:contextualSpacing/>
        <w:jc w:val="both"/>
        <w:rPr>
          <w:rFonts w:ascii="Cambria" w:hAnsi="Cambria"/>
          <w:sz w:val="20"/>
          <w:szCs w:val="20"/>
        </w:rPr>
      </w:pPr>
    </w:p>
    <w:p w14:paraId="588C7DEB" w14:textId="77777777" w:rsidR="00A363CB" w:rsidRPr="0015787A" w:rsidRDefault="00A363CB" w:rsidP="00212BF7">
      <w:pPr>
        <w:spacing w:after="0" w:line="240" w:lineRule="exact"/>
        <w:contextualSpacing/>
        <w:jc w:val="both"/>
        <w:rPr>
          <w:rFonts w:ascii="Cambria" w:hAnsi="Cambria"/>
          <w:sz w:val="20"/>
          <w:szCs w:val="20"/>
        </w:rPr>
      </w:pPr>
    </w:p>
    <w:p w14:paraId="4F80CB3F" w14:textId="1838D425" w:rsidR="000F163C" w:rsidRPr="0015787A" w:rsidRDefault="000F163C" w:rsidP="00A363CB">
      <w:pPr>
        <w:pStyle w:val="ListParagraph"/>
        <w:numPr>
          <w:ilvl w:val="0"/>
          <w:numId w:val="3"/>
        </w:numPr>
        <w:spacing w:after="0" w:line="240" w:lineRule="exact"/>
        <w:ind w:left="426" w:hanging="426"/>
        <w:jc w:val="both"/>
        <w:rPr>
          <w:rFonts w:ascii="Cambria" w:hAnsi="Cambria"/>
          <w:b/>
          <w:bCs/>
          <w:sz w:val="20"/>
          <w:szCs w:val="20"/>
        </w:rPr>
      </w:pPr>
      <w:r w:rsidRPr="0015787A">
        <w:rPr>
          <w:rFonts w:ascii="Cambria" w:hAnsi="Cambria"/>
          <w:b/>
          <w:sz w:val="20"/>
          <w:szCs w:val="20"/>
        </w:rPr>
        <w:t>Calendrier proposé</w:t>
      </w:r>
    </w:p>
    <w:p w14:paraId="23A78D40" w14:textId="77777777" w:rsidR="00A363CB" w:rsidRPr="0015787A" w:rsidRDefault="00A363CB" w:rsidP="00212BF7">
      <w:pPr>
        <w:spacing w:after="0" w:line="240" w:lineRule="exact"/>
        <w:contextualSpacing/>
        <w:jc w:val="both"/>
        <w:rPr>
          <w:rFonts w:ascii="Cambria" w:hAnsi="Cambria"/>
          <w:sz w:val="20"/>
          <w:szCs w:val="20"/>
          <w:lang w:val="es-ES"/>
        </w:rPr>
      </w:pPr>
    </w:p>
    <w:p w14:paraId="1B01FF8A" w14:textId="20C794E3" w:rsidR="000F163C" w:rsidRPr="0015787A" w:rsidRDefault="000F163C" w:rsidP="00212BF7">
      <w:pPr>
        <w:spacing w:after="0" w:line="240" w:lineRule="exact"/>
        <w:contextualSpacing/>
        <w:jc w:val="both"/>
        <w:rPr>
          <w:rFonts w:ascii="Cambria" w:hAnsi="Cambria"/>
          <w:sz w:val="20"/>
          <w:szCs w:val="20"/>
        </w:rPr>
      </w:pPr>
      <w:r w:rsidRPr="0015787A">
        <w:rPr>
          <w:rFonts w:ascii="Cambria" w:hAnsi="Cambria"/>
          <w:sz w:val="20"/>
          <w:szCs w:val="20"/>
        </w:rPr>
        <w:t>Il est proposé que la migration du système VMS soit réalisée progressivement au cours de l'année 2026, en coordination entre IaaS365 et CLS, en suivant les principales étapes suivantes :</w:t>
      </w:r>
    </w:p>
    <w:p w14:paraId="7EAEDCE7" w14:textId="77777777" w:rsidR="00B04FDC" w:rsidRPr="0015787A" w:rsidRDefault="00B04FDC" w:rsidP="00212BF7">
      <w:pPr>
        <w:spacing w:after="0" w:line="240" w:lineRule="exact"/>
        <w:contextualSpacing/>
        <w:jc w:val="both"/>
        <w:rPr>
          <w:rFonts w:ascii="Cambria" w:hAnsi="Cambria"/>
          <w:sz w:val="20"/>
          <w:szCs w:val="20"/>
        </w:rPr>
      </w:pPr>
    </w:p>
    <w:p w14:paraId="36B507D5" w14:textId="5B84EA64" w:rsidR="000F163C" w:rsidRPr="0015787A" w:rsidRDefault="000F163C" w:rsidP="00A363CB">
      <w:pPr>
        <w:pStyle w:val="ListParagraph"/>
        <w:numPr>
          <w:ilvl w:val="0"/>
          <w:numId w:val="5"/>
        </w:numPr>
        <w:spacing w:after="0" w:line="240" w:lineRule="exact"/>
        <w:ind w:left="709"/>
        <w:jc w:val="both"/>
        <w:rPr>
          <w:rFonts w:ascii="Cambria" w:hAnsi="Cambria"/>
          <w:sz w:val="20"/>
          <w:szCs w:val="20"/>
        </w:rPr>
      </w:pPr>
      <w:r w:rsidRPr="0015787A">
        <w:rPr>
          <w:rFonts w:ascii="Cambria" w:hAnsi="Cambria"/>
          <w:sz w:val="20"/>
          <w:szCs w:val="20"/>
        </w:rPr>
        <w:t>Analyse et préparation (premier trimestre de 2026) - Évaluation technique, définition de l'architecture et planification des ressources.</w:t>
      </w:r>
    </w:p>
    <w:p w14:paraId="65D550D3" w14:textId="77777777" w:rsidR="00A363CB" w:rsidRPr="0015787A" w:rsidRDefault="00A363CB" w:rsidP="00A363CB">
      <w:pPr>
        <w:pStyle w:val="ListParagraph"/>
        <w:spacing w:after="0" w:line="240" w:lineRule="exact"/>
        <w:ind w:left="709"/>
        <w:jc w:val="both"/>
        <w:rPr>
          <w:rFonts w:ascii="Cambria" w:hAnsi="Cambria"/>
          <w:sz w:val="20"/>
          <w:szCs w:val="20"/>
        </w:rPr>
      </w:pPr>
    </w:p>
    <w:p w14:paraId="00F1148B" w14:textId="60589000" w:rsidR="00A363CB" w:rsidRPr="0015787A" w:rsidRDefault="000F163C" w:rsidP="00A363CB">
      <w:pPr>
        <w:pStyle w:val="ListParagraph"/>
        <w:numPr>
          <w:ilvl w:val="0"/>
          <w:numId w:val="5"/>
        </w:numPr>
        <w:spacing w:after="0" w:line="240" w:lineRule="exact"/>
        <w:ind w:left="709"/>
        <w:jc w:val="both"/>
        <w:rPr>
          <w:rFonts w:ascii="Cambria" w:hAnsi="Cambria"/>
          <w:sz w:val="20"/>
          <w:szCs w:val="20"/>
        </w:rPr>
      </w:pPr>
      <w:r w:rsidRPr="0015787A">
        <w:rPr>
          <w:rFonts w:ascii="Cambria" w:hAnsi="Cambria"/>
          <w:sz w:val="20"/>
          <w:szCs w:val="20"/>
        </w:rPr>
        <w:t>Mise en œuvre (</w:t>
      </w:r>
      <w:proofErr w:type="gramStart"/>
      <w:r w:rsidRPr="0015787A">
        <w:rPr>
          <w:rFonts w:ascii="Cambria" w:hAnsi="Cambria"/>
          <w:sz w:val="20"/>
          <w:szCs w:val="20"/>
        </w:rPr>
        <w:t>deuxième et troisième trimestres</w:t>
      </w:r>
      <w:proofErr w:type="gramEnd"/>
      <w:r w:rsidRPr="0015787A">
        <w:rPr>
          <w:rFonts w:ascii="Cambria" w:hAnsi="Cambria"/>
          <w:sz w:val="20"/>
          <w:szCs w:val="20"/>
        </w:rPr>
        <w:t xml:space="preserve"> de 2026) - Déploiement de l'infrastructure en nuage, migration des données et validations fonctionnelles.</w:t>
      </w:r>
    </w:p>
    <w:p w14:paraId="4FFAE25D" w14:textId="77777777" w:rsidR="00A363CB" w:rsidRPr="0015787A" w:rsidRDefault="00A363CB" w:rsidP="00A363CB">
      <w:pPr>
        <w:pStyle w:val="ListParagraph"/>
        <w:spacing w:after="0" w:line="240" w:lineRule="exact"/>
        <w:ind w:left="709"/>
        <w:jc w:val="both"/>
        <w:rPr>
          <w:rFonts w:ascii="Cambria" w:hAnsi="Cambria"/>
          <w:sz w:val="20"/>
          <w:szCs w:val="20"/>
        </w:rPr>
      </w:pPr>
    </w:p>
    <w:p w14:paraId="0EAE1845" w14:textId="5BD88AA1" w:rsidR="00A363CB" w:rsidRPr="0015787A" w:rsidRDefault="000F163C" w:rsidP="00A363CB">
      <w:pPr>
        <w:pStyle w:val="ListParagraph"/>
        <w:numPr>
          <w:ilvl w:val="0"/>
          <w:numId w:val="5"/>
        </w:numPr>
        <w:spacing w:after="0" w:line="240" w:lineRule="exact"/>
        <w:ind w:left="709"/>
        <w:jc w:val="both"/>
        <w:rPr>
          <w:rFonts w:ascii="Cambria" w:hAnsi="Cambria"/>
          <w:sz w:val="20"/>
          <w:szCs w:val="20"/>
        </w:rPr>
      </w:pPr>
      <w:r w:rsidRPr="0015787A">
        <w:rPr>
          <w:rFonts w:ascii="Cambria" w:hAnsi="Cambria"/>
          <w:sz w:val="20"/>
          <w:szCs w:val="20"/>
        </w:rPr>
        <w:t>Transition opérationnelle (quatrième trimestre de 2026) - Ajustements finaux, contrôle des performances et stabilisation du système.</w:t>
      </w:r>
    </w:p>
    <w:p w14:paraId="64E562E1" w14:textId="77777777" w:rsidR="00A363CB" w:rsidRPr="0015787A" w:rsidRDefault="00A363CB" w:rsidP="00A363CB">
      <w:pPr>
        <w:spacing w:after="0" w:line="240" w:lineRule="exact"/>
        <w:contextualSpacing/>
        <w:jc w:val="both"/>
        <w:rPr>
          <w:rFonts w:ascii="Cambria" w:hAnsi="Cambria"/>
          <w:sz w:val="20"/>
          <w:szCs w:val="20"/>
        </w:rPr>
      </w:pPr>
    </w:p>
    <w:p w14:paraId="17E4A792" w14:textId="1442E204" w:rsidR="000F163C" w:rsidRPr="0015787A" w:rsidRDefault="000F163C" w:rsidP="00A363CB">
      <w:pPr>
        <w:spacing w:after="0" w:line="240" w:lineRule="exact"/>
        <w:contextualSpacing/>
        <w:jc w:val="both"/>
        <w:rPr>
          <w:rFonts w:ascii="Cambria" w:hAnsi="Cambria"/>
          <w:sz w:val="20"/>
          <w:szCs w:val="20"/>
        </w:rPr>
      </w:pPr>
      <w:r w:rsidRPr="0015787A">
        <w:rPr>
          <w:rFonts w:ascii="Cambria" w:hAnsi="Cambria"/>
          <w:sz w:val="20"/>
          <w:szCs w:val="20"/>
        </w:rPr>
        <w:t>Ce calendrier flexible permettra de maintenir la continuité du service et de minimiser l'impact sur les opérations de l’ICCAT.</w:t>
      </w:r>
    </w:p>
    <w:p w14:paraId="39FD3926" w14:textId="77777777" w:rsidR="000F163C" w:rsidRPr="0015787A" w:rsidRDefault="000F163C" w:rsidP="00212BF7">
      <w:pPr>
        <w:spacing w:after="0" w:line="240" w:lineRule="exact"/>
        <w:contextualSpacing/>
        <w:jc w:val="both"/>
        <w:rPr>
          <w:rFonts w:ascii="Cambria" w:hAnsi="Cambria"/>
          <w:b/>
          <w:bCs/>
          <w:sz w:val="20"/>
          <w:szCs w:val="20"/>
        </w:rPr>
      </w:pPr>
    </w:p>
    <w:p w14:paraId="4286279E" w14:textId="77777777" w:rsidR="000F163C" w:rsidRPr="0015787A" w:rsidRDefault="000F163C" w:rsidP="00212BF7">
      <w:pPr>
        <w:spacing w:after="0" w:line="240" w:lineRule="exact"/>
        <w:contextualSpacing/>
        <w:jc w:val="both"/>
        <w:rPr>
          <w:rFonts w:ascii="Cambria" w:hAnsi="Cambria"/>
          <w:b/>
          <w:bCs/>
          <w:sz w:val="20"/>
          <w:szCs w:val="20"/>
        </w:rPr>
      </w:pPr>
    </w:p>
    <w:p w14:paraId="39F390C1" w14:textId="77777777" w:rsidR="00A363CB" w:rsidRPr="0015787A" w:rsidRDefault="00A363CB">
      <w:pPr>
        <w:rPr>
          <w:rFonts w:ascii="Cambria" w:hAnsi="Cambria"/>
          <w:b/>
          <w:bCs/>
          <w:sz w:val="20"/>
          <w:szCs w:val="20"/>
        </w:rPr>
      </w:pPr>
      <w:r w:rsidRPr="0015787A">
        <w:rPr>
          <w:rFonts w:ascii="Cambria" w:hAnsi="Cambria"/>
          <w:sz w:val="20"/>
          <w:szCs w:val="20"/>
        </w:rPr>
        <w:br w:type="page"/>
      </w:r>
    </w:p>
    <w:p w14:paraId="2FAAB6CF" w14:textId="745F8DF0" w:rsidR="000F163C" w:rsidRPr="0015787A" w:rsidRDefault="000F163C" w:rsidP="00A363CB">
      <w:pPr>
        <w:pStyle w:val="ListParagraph"/>
        <w:numPr>
          <w:ilvl w:val="0"/>
          <w:numId w:val="5"/>
        </w:numPr>
        <w:spacing w:after="0" w:line="240" w:lineRule="exact"/>
        <w:ind w:left="426" w:hanging="426"/>
        <w:jc w:val="both"/>
        <w:rPr>
          <w:rFonts w:ascii="Cambria" w:hAnsi="Cambria"/>
          <w:b/>
          <w:bCs/>
          <w:sz w:val="20"/>
          <w:szCs w:val="20"/>
        </w:rPr>
      </w:pPr>
      <w:r w:rsidRPr="0015787A">
        <w:rPr>
          <w:rFonts w:ascii="Cambria" w:hAnsi="Cambria"/>
          <w:b/>
          <w:sz w:val="20"/>
          <w:szCs w:val="20"/>
        </w:rPr>
        <w:lastRenderedPageBreak/>
        <w:t>Estimation économique globale</w:t>
      </w:r>
    </w:p>
    <w:p w14:paraId="26AA2A67" w14:textId="77777777" w:rsidR="000F163C" w:rsidRPr="0015787A" w:rsidRDefault="000F163C" w:rsidP="00212BF7">
      <w:pPr>
        <w:spacing w:after="0" w:line="240" w:lineRule="exact"/>
        <w:contextualSpacing/>
        <w:jc w:val="both"/>
        <w:rPr>
          <w:rFonts w:ascii="Cambria" w:hAnsi="Cambria"/>
          <w:sz w:val="20"/>
          <w:szCs w:val="20"/>
          <w:lang w:val="es-E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20"/>
        <w:gridCol w:w="1994"/>
        <w:gridCol w:w="1069"/>
        <w:gridCol w:w="1187"/>
      </w:tblGrid>
      <w:tr w:rsidR="000F163C" w:rsidRPr="0015787A" w14:paraId="6989F807" w14:textId="77777777" w:rsidTr="00A117C5">
        <w:trPr>
          <w:trHeight w:val="283"/>
          <w:tblHeader/>
          <w:tblCellSpacing w:w="15" w:type="dxa"/>
        </w:trPr>
        <w:tc>
          <w:tcPr>
            <w:tcW w:w="4775" w:type="dxa"/>
            <w:vAlign w:val="center"/>
            <w:hideMark/>
          </w:tcPr>
          <w:p w14:paraId="1D09CD31" w14:textId="77777777" w:rsidR="000F163C" w:rsidRPr="0015787A" w:rsidRDefault="000F163C" w:rsidP="00212BF7">
            <w:pPr>
              <w:spacing w:after="0" w:line="240" w:lineRule="exact"/>
              <w:rPr>
                <w:rFonts w:ascii="Cambria" w:hAnsi="Cambria"/>
                <w:b/>
                <w:bCs/>
                <w:sz w:val="20"/>
                <w:szCs w:val="20"/>
              </w:rPr>
            </w:pPr>
            <w:r w:rsidRPr="0015787A">
              <w:rPr>
                <w:rFonts w:ascii="Cambria" w:hAnsi="Cambria"/>
                <w:b/>
                <w:sz w:val="20"/>
                <w:szCs w:val="20"/>
              </w:rPr>
              <w:t>Concept</w:t>
            </w:r>
          </w:p>
        </w:tc>
        <w:tc>
          <w:tcPr>
            <w:tcW w:w="1964" w:type="dxa"/>
            <w:vAlign w:val="center"/>
            <w:hideMark/>
          </w:tcPr>
          <w:p w14:paraId="1C1195AA" w14:textId="77777777" w:rsidR="000F163C" w:rsidRPr="0015787A" w:rsidRDefault="000F163C" w:rsidP="00212BF7">
            <w:pPr>
              <w:spacing w:after="0" w:line="240" w:lineRule="exact"/>
              <w:rPr>
                <w:rFonts w:ascii="Cambria" w:hAnsi="Cambria"/>
                <w:b/>
                <w:bCs/>
                <w:sz w:val="20"/>
                <w:szCs w:val="20"/>
              </w:rPr>
            </w:pPr>
            <w:r w:rsidRPr="0015787A">
              <w:rPr>
                <w:rFonts w:ascii="Cambria" w:hAnsi="Cambria"/>
                <w:b/>
                <w:sz w:val="20"/>
                <w:szCs w:val="20"/>
              </w:rPr>
              <w:t>Montant estimé (€)</w:t>
            </w:r>
          </w:p>
        </w:tc>
        <w:tc>
          <w:tcPr>
            <w:tcW w:w="0" w:type="auto"/>
            <w:vAlign w:val="center"/>
            <w:hideMark/>
          </w:tcPr>
          <w:p w14:paraId="69A74B76" w14:textId="77777777" w:rsidR="000F163C" w:rsidRPr="0015787A" w:rsidRDefault="000F163C" w:rsidP="00212BF7">
            <w:pPr>
              <w:spacing w:after="0" w:line="240" w:lineRule="exact"/>
              <w:rPr>
                <w:rFonts w:ascii="Cambria" w:hAnsi="Cambria"/>
                <w:b/>
                <w:bCs/>
                <w:sz w:val="20"/>
                <w:szCs w:val="20"/>
              </w:rPr>
            </w:pPr>
            <w:r w:rsidRPr="0015787A">
              <w:rPr>
                <w:rFonts w:ascii="Cambria" w:hAnsi="Cambria"/>
                <w:b/>
                <w:sz w:val="20"/>
                <w:szCs w:val="20"/>
              </w:rPr>
              <w:t>Périodicité</w:t>
            </w:r>
          </w:p>
        </w:tc>
        <w:tc>
          <w:tcPr>
            <w:tcW w:w="0" w:type="auto"/>
            <w:vAlign w:val="center"/>
            <w:hideMark/>
          </w:tcPr>
          <w:p w14:paraId="5206CA41" w14:textId="77777777" w:rsidR="000F163C" w:rsidRPr="0015787A" w:rsidRDefault="000F163C" w:rsidP="00212BF7">
            <w:pPr>
              <w:spacing w:after="0" w:line="240" w:lineRule="exact"/>
              <w:rPr>
                <w:rFonts w:ascii="Cambria" w:hAnsi="Cambria"/>
                <w:b/>
                <w:bCs/>
                <w:sz w:val="20"/>
                <w:szCs w:val="20"/>
              </w:rPr>
            </w:pPr>
            <w:r w:rsidRPr="0015787A">
              <w:rPr>
                <w:rFonts w:ascii="Cambria" w:hAnsi="Cambria"/>
                <w:b/>
                <w:sz w:val="20"/>
                <w:szCs w:val="20"/>
              </w:rPr>
              <w:t>Fournisseur</w:t>
            </w:r>
          </w:p>
        </w:tc>
      </w:tr>
      <w:tr w:rsidR="00425F17" w:rsidRPr="0015787A" w14:paraId="6316F21A" w14:textId="77777777" w:rsidTr="00A117C5">
        <w:trPr>
          <w:trHeight w:val="283"/>
          <w:tblCellSpacing w:w="15" w:type="dxa"/>
        </w:trPr>
        <w:tc>
          <w:tcPr>
            <w:tcW w:w="4775" w:type="dxa"/>
            <w:vAlign w:val="center"/>
            <w:hideMark/>
          </w:tcPr>
          <w:p w14:paraId="6CFD0B44" w14:textId="25A22835" w:rsidR="00425F17" w:rsidRPr="0015787A" w:rsidRDefault="00425F17" w:rsidP="00212BF7">
            <w:pPr>
              <w:spacing w:after="0" w:line="240" w:lineRule="exact"/>
              <w:rPr>
                <w:rFonts w:ascii="Cambria" w:hAnsi="Cambria"/>
                <w:sz w:val="20"/>
                <w:szCs w:val="20"/>
              </w:rPr>
            </w:pPr>
            <w:r w:rsidRPr="0015787A">
              <w:rPr>
                <w:rFonts w:ascii="Cambria" w:hAnsi="Cambria"/>
                <w:sz w:val="20"/>
                <w:szCs w:val="20"/>
              </w:rPr>
              <w:t>Assistance technique pour la migration vers le nuage</w:t>
            </w:r>
          </w:p>
        </w:tc>
        <w:tc>
          <w:tcPr>
            <w:tcW w:w="1964" w:type="dxa"/>
            <w:vAlign w:val="center"/>
            <w:hideMark/>
          </w:tcPr>
          <w:p w14:paraId="42A63108" w14:textId="1E6F4CE2" w:rsidR="00425F17" w:rsidRPr="0015787A" w:rsidRDefault="00425F17" w:rsidP="00A117C5">
            <w:pPr>
              <w:spacing w:after="0" w:line="240" w:lineRule="exact"/>
              <w:jc w:val="right"/>
              <w:rPr>
                <w:rFonts w:ascii="Cambria" w:hAnsi="Cambria"/>
                <w:sz w:val="20"/>
                <w:szCs w:val="20"/>
              </w:rPr>
            </w:pPr>
            <w:r w:rsidRPr="0015787A">
              <w:rPr>
                <w:rFonts w:ascii="Cambria" w:hAnsi="Cambria"/>
                <w:sz w:val="20"/>
                <w:szCs w:val="20"/>
              </w:rPr>
              <w:t>12.800 €</w:t>
            </w:r>
          </w:p>
        </w:tc>
        <w:tc>
          <w:tcPr>
            <w:tcW w:w="0" w:type="auto"/>
            <w:vAlign w:val="center"/>
            <w:hideMark/>
          </w:tcPr>
          <w:p w14:paraId="7CB3C729" w14:textId="2B627DCC" w:rsidR="00425F17" w:rsidRPr="0015787A" w:rsidRDefault="00425F17" w:rsidP="00A117C5">
            <w:pPr>
              <w:spacing w:after="0" w:line="240" w:lineRule="exact"/>
              <w:jc w:val="right"/>
              <w:rPr>
                <w:rFonts w:ascii="Cambria" w:hAnsi="Cambria"/>
                <w:sz w:val="20"/>
                <w:szCs w:val="20"/>
              </w:rPr>
            </w:pPr>
            <w:r w:rsidRPr="0015787A">
              <w:rPr>
                <w:rFonts w:ascii="Cambria" w:hAnsi="Cambria"/>
                <w:sz w:val="20"/>
                <w:szCs w:val="20"/>
              </w:rPr>
              <w:t>Unique</w:t>
            </w:r>
          </w:p>
        </w:tc>
        <w:tc>
          <w:tcPr>
            <w:tcW w:w="0" w:type="auto"/>
            <w:vAlign w:val="center"/>
            <w:hideMark/>
          </w:tcPr>
          <w:p w14:paraId="17EC6622" w14:textId="74A74942" w:rsidR="00425F17" w:rsidRPr="0015787A" w:rsidRDefault="00425F17" w:rsidP="00A117C5">
            <w:pPr>
              <w:spacing w:after="0" w:line="240" w:lineRule="exact"/>
              <w:jc w:val="right"/>
              <w:rPr>
                <w:rFonts w:ascii="Cambria" w:hAnsi="Cambria"/>
                <w:sz w:val="20"/>
                <w:szCs w:val="20"/>
              </w:rPr>
            </w:pPr>
            <w:r w:rsidRPr="0015787A">
              <w:rPr>
                <w:rFonts w:ascii="Cambria" w:hAnsi="Cambria"/>
                <w:sz w:val="20"/>
                <w:szCs w:val="20"/>
              </w:rPr>
              <w:t>CLS</w:t>
            </w:r>
          </w:p>
        </w:tc>
      </w:tr>
      <w:tr w:rsidR="00DC4CFE" w:rsidRPr="0015787A" w14:paraId="1FDC37CE" w14:textId="77777777" w:rsidTr="00A117C5">
        <w:trPr>
          <w:trHeight w:val="283"/>
          <w:tblCellSpacing w:w="15" w:type="dxa"/>
        </w:trPr>
        <w:tc>
          <w:tcPr>
            <w:tcW w:w="4775" w:type="dxa"/>
            <w:vAlign w:val="center"/>
          </w:tcPr>
          <w:p w14:paraId="40156FFB" w14:textId="223C6848" w:rsidR="00DC4CFE" w:rsidRPr="0015787A" w:rsidRDefault="00DC4CFE" w:rsidP="00212BF7">
            <w:pPr>
              <w:spacing w:after="0" w:line="240" w:lineRule="exact"/>
              <w:rPr>
                <w:rFonts w:ascii="Cambria" w:hAnsi="Cambria"/>
                <w:sz w:val="20"/>
                <w:szCs w:val="20"/>
              </w:rPr>
            </w:pPr>
            <w:r w:rsidRPr="0015787A">
              <w:rPr>
                <w:rFonts w:ascii="Cambria" w:hAnsi="Cambria"/>
                <w:sz w:val="20"/>
                <w:szCs w:val="20"/>
              </w:rPr>
              <w:t>Maintenance de Thémis</w:t>
            </w:r>
          </w:p>
        </w:tc>
        <w:tc>
          <w:tcPr>
            <w:tcW w:w="1964" w:type="dxa"/>
            <w:vAlign w:val="center"/>
          </w:tcPr>
          <w:p w14:paraId="1175CDB3" w14:textId="02794AE2" w:rsidR="00DC4CFE" w:rsidRPr="0015787A" w:rsidRDefault="00DC4CFE" w:rsidP="00A117C5">
            <w:pPr>
              <w:spacing w:after="0" w:line="240" w:lineRule="exact"/>
              <w:jc w:val="right"/>
              <w:rPr>
                <w:rFonts w:ascii="Cambria" w:hAnsi="Cambria"/>
                <w:sz w:val="20"/>
                <w:szCs w:val="20"/>
              </w:rPr>
            </w:pPr>
            <w:r w:rsidRPr="0015787A">
              <w:rPr>
                <w:rFonts w:ascii="Cambria" w:hAnsi="Cambria"/>
                <w:sz w:val="20"/>
                <w:szCs w:val="20"/>
              </w:rPr>
              <w:t>17.405€</w:t>
            </w:r>
          </w:p>
        </w:tc>
        <w:tc>
          <w:tcPr>
            <w:tcW w:w="0" w:type="auto"/>
            <w:vAlign w:val="center"/>
          </w:tcPr>
          <w:p w14:paraId="6F60F383" w14:textId="023A607A" w:rsidR="00DC4CFE" w:rsidRPr="0015787A" w:rsidRDefault="00DC4CFE" w:rsidP="00A117C5">
            <w:pPr>
              <w:spacing w:after="0" w:line="240" w:lineRule="exact"/>
              <w:jc w:val="right"/>
              <w:rPr>
                <w:rFonts w:ascii="Cambria" w:hAnsi="Cambria"/>
                <w:sz w:val="20"/>
                <w:szCs w:val="20"/>
              </w:rPr>
            </w:pPr>
            <w:r w:rsidRPr="0015787A">
              <w:rPr>
                <w:rFonts w:ascii="Cambria" w:hAnsi="Cambria"/>
                <w:sz w:val="20"/>
                <w:szCs w:val="20"/>
              </w:rPr>
              <w:t>Annuel</w:t>
            </w:r>
          </w:p>
        </w:tc>
        <w:tc>
          <w:tcPr>
            <w:tcW w:w="0" w:type="auto"/>
            <w:vAlign w:val="center"/>
          </w:tcPr>
          <w:p w14:paraId="756ADE39" w14:textId="1493C76C" w:rsidR="00DC4CFE" w:rsidRPr="0015787A" w:rsidRDefault="00DC4CFE" w:rsidP="00A117C5">
            <w:pPr>
              <w:spacing w:after="0" w:line="240" w:lineRule="exact"/>
              <w:jc w:val="right"/>
              <w:rPr>
                <w:rFonts w:ascii="Cambria" w:hAnsi="Cambria"/>
                <w:sz w:val="20"/>
                <w:szCs w:val="20"/>
              </w:rPr>
            </w:pPr>
            <w:r w:rsidRPr="0015787A">
              <w:rPr>
                <w:rFonts w:ascii="Cambria" w:hAnsi="Cambria"/>
                <w:sz w:val="20"/>
                <w:szCs w:val="20"/>
              </w:rPr>
              <w:t>CLS</w:t>
            </w:r>
          </w:p>
        </w:tc>
      </w:tr>
      <w:tr w:rsidR="00DC4CFE" w:rsidRPr="0015787A" w14:paraId="68727440" w14:textId="77777777" w:rsidTr="00A117C5">
        <w:trPr>
          <w:trHeight w:val="283"/>
          <w:tblCellSpacing w:w="15" w:type="dxa"/>
        </w:trPr>
        <w:tc>
          <w:tcPr>
            <w:tcW w:w="4775" w:type="dxa"/>
            <w:vAlign w:val="center"/>
            <w:hideMark/>
          </w:tcPr>
          <w:p w14:paraId="0252C1CA" w14:textId="34A8F748" w:rsidR="00DC4CFE" w:rsidRPr="0015787A" w:rsidRDefault="00DC4CFE" w:rsidP="00212BF7">
            <w:pPr>
              <w:spacing w:after="0" w:line="240" w:lineRule="exact"/>
              <w:rPr>
                <w:rFonts w:ascii="Cambria" w:hAnsi="Cambria"/>
                <w:sz w:val="20"/>
                <w:szCs w:val="20"/>
              </w:rPr>
            </w:pPr>
            <w:r w:rsidRPr="0015787A">
              <w:rPr>
                <w:rFonts w:ascii="Cambria" w:hAnsi="Cambria"/>
                <w:sz w:val="20"/>
                <w:szCs w:val="20"/>
              </w:rPr>
              <w:t>Infrastructure en nuage (iCloud365) - Ressources IaaS, copie de sauvegarde, surveillance et pare-feu</w:t>
            </w:r>
          </w:p>
        </w:tc>
        <w:tc>
          <w:tcPr>
            <w:tcW w:w="1964" w:type="dxa"/>
            <w:vAlign w:val="center"/>
            <w:hideMark/>
          </w:tcPr>
          <w:p w14:paraId="3BE11CE7" w14:textId="4549C700" w:rsidR="00DC4CFE" w:rsidRPr="0015787A" w:rsidRDefault="00DC4CFE" w:rsidP="00A117C5">
            <w:pPr>
              <w:spacing w:after="0" w:line="240" w:lineRule="exact"/>
              <w:jc w:val="right"/>
              <w:rPr>
                <w:rFonts w:ascii="Cambria" w:hAnsi="Cambria"/>
                <w:sz w:val="20"/>
                <w:szCs w:val="20"/>
              </w:rPr>
            </w:pPr>
            <w:r w:rsidRPr="0015787A">
              <w:rPr>
                <w:rFonts w:ascii="Cambria" w:hAnsi="Cambria"/>
                <w:sz w:val="20"/>
                <w:szCs w:val="20"/>
              </w:rPr>
              <w:t>1.203,45 €/mois (approx. 14.440 €/an)</w:t>
            </w:r>
          </w:p>
        </w:tc>
        <w:tc>
          <w:tcPr>
            <w:tcW w:w="0" w:type="auto"/>
            <w:vAlign w:val="center"/>
            <w:hideMark/>
          </w:tcPr>
          <w:p w14:paraId="461E9E70" w14:textId="31C03CEE" w:rsidR="00DC4CFE" w:rsidRPr="0015787A" w:rsidRDefault="00DC4CFE" w:rsidP="00A117C5">
            <w:pPr>
              <w:spacing w:after="0" w:line="240" w:lineRule="exact"/>
              <w:jc w:val="right"/>
              <w:rPr>
                <w:rFonts w:ascii="Cambria" w:hAnsi="Cambria"/>
                <w:sz w:val="20"/>
                <w:szCs w:val="20"/>
              </w:rPr>
            </w:pPr>
            <w:r w:rsidRPr="0015787A">
              <w:rPr>
                <w:rFonts w:ascii="Cambria" w:hAnsi="Cambria"/>
                <w:sz w:val="20"/>
                <w:szCs w:val="20"/>
              </w:rPr>
              <w:t>Mensuel</w:t>
            </w:r>
          </w:p>
        </w:tc>
        <w:tc>
          <w:tcPr>
            <w:tcW w:w="0" w:type="auto"/>
            <w:vAlign w:val="center"/>
            <w:hideMark/>
          </w:tcPr>
          <w:p w14:paraId="1FB11B56" w14:textId="6DD67F4D" w:rsidR="00DC4CFE" w:rsidRPr="0015787A" w:rsidRDefault="00DC4CFE" w:rsidP="00A117C5">
            <w:pPr>
              <w:spacing w:after="0" w:line="240" w:lineRule="exact"/>
              <w:jc w:val="right"/>
              <w:rPr>
                <w:rFonts w:ascii="Cambria" w:hAnsi="Cambria"/>
                <w:sz w:val="20"/>
                <w:szCs w:val="20"/>
              </w:rPr>
            </w:pPr>
            <w:r w:rsidRPr="0015787A">
              <w:rPr>
                <w:rFonts w:ascii="Cambria" w:hAnsi="Cambria"/>
                <w:sz w:val="20"/>
                <w:szCs w:val="20"/>
              </w:rPr>
              <w:t>IaaS365</w:t>
            </w:r>
          </w:p>
        </w:tc>
      </w:tr>
      <w:tr w:rsidR="00DC4CFE" w:rsidRPr="0015787A" w14:paraId="4A85F433" w14:textId="77777777" w:rsidTr="00A117C5">
        <w:trPr>
          <w:trHeight w:val="283"/>
          <w:tblCellSpacing w:w="15" w:type="dxa"/>
        </w:trPr>
        <w:tc>
          <w:tcPr>
            <w:tcW w:w="4775" w:type="dxa"/>
            <w:vAlign w:val="center"/>
            <w:hideMark/>
          </w:tcPr>
          <w:p w14:paraId="09E2BC6E" w14:textId="6DB8565B" w:rsidR="00DC4CFE" w:rsidRPr="0015787A" w:rsidRDefault="00DC4CFE" w:rsidP="00212BF7">
            <w:pPr>
              <w:spacing w:after="0" w:line="240" w:lineRule="exact"/>
              <w:rPr>
                <w:rFonts w:ascii="Cambria" w:hAnsi="Cambria"/>
                <w:sz w:val="20"/>
                <w:szCs w:val="20"/>
              </w:rPr>
            </w:pPr>
            <w:r w:rsidRPr="0015787A">
              <w:rPr>
                <w:rFonts w:ascii="Cambria" w:hAnsi="Cambria"/>
                <w:sz w:val="20"/>
                <w:szCs w:val="20"/>
              </w:rPr>
              <w:t>Services initiaux de migration et configuration (</w:t>
            </w:r>
            <w:proofErr w:type="spellStart"/>
            <w:r w:rsidRPr="0015787A">
              <w:rPr>
                <w:rFonts w:ascii="Cambria" w:hAnsi="Cambria"/>
                <w:i/>
                <w:sz w:val="20"/>
                <w:szCs w:val="20"/>
              </w:rPr>
              <w:t>onboarding</w:t>
            </w:r>
            <w:proofErr w:type="spellEnd"/>
            <w:r w:rsidRPr="0015787A">
              <w:rPr>
                <w:rFonts w:ascii="Cambria" w:hAnsi="Cambria"/>
                <w:sz w:val="20"/>
                <w:szCs w:val="20"/>
              </w:rPr>
              <w:t>, licences, sécurité)</w:t>
            </w:r>
          </w:p>
        </w:tc>
        <w:tc>
          <w:tcPr>
            <w:tcW w:w="1964" w:type="dxa"/>
            <w:vAlign w:val="center"/>
            <w:hideMark/>
          </w:tcPr>
          <w:p w14:paraId="5A638121" w14:textId="4DD98867" w:rsidR="00DC4CFE" w:rsidRPr="0015787A" w:rsidRDefault="00DC4CFE" w:rsidP="00A117C5">
            <w:pPr>
              <w:spacing w:after="0" w:line="240" w:lineRule="exact"/>
              <w:jc w:val="right"/>
              <w:rPr>
                <w:rFonts w:ascii="Cambria" w:hAnsi="Cambria"/>
                <w:sz w:val="20"/>
                <w:szCs w:val="20"/>
              </w:rPr>
            </w:pPr>
            <w:r w:rsidRPr="0015787A">
              <w:rPr>
                <w:rFonts w:ascii="Cambria" w:hAnsi="Cambria"/>
                <w:sz w:val="20"/>
                <w:szCs w:val="20"/>
              </w:rPr>
              <w:t>4.494,62 €</w:t>
            </w:r>
          </w:p>
        </w:tc>
        <w:tc>
          <w:tcPr>
            <w:tcW w:w="0" w:type="auto"/>
            <w:vAlign w:val="center"/>
            <w:hideMark/>
          </w:tcPr>
          <w:p w14:paraId="365DBF88" w14:textId="5716B1C7" w:rsidR="00DC4CFE" w:rsidRPr="0015787A" w:rsidRDefault="00DC4CFE" w:rsidP="00A117C5">
            <w:pPr>
              <w:spacing w:after="0" w:line="240" w:lineRule="exact"/>
              <w:jc w:val="right"/>
              <w:rPr>
                <w:rFonts w:ascii="Cambria" w:hAnsi="Cambria"/>
                <w:sz w:val="20"/>
                <w:szCs w:val="20"/>
              </w:rPr>
            </w:pPr>
            <w:r w:rsidRPr="0015787A">
              <w:rPr>
                <w:rFonts w:ascii="Cambria" w:hAnsi="Cambria"/>
                <w:sz w:val="20"/>
                <w:szCs w:val="20"/>
              </w:rPr>
              <w:t>Unique</w:t>
            </w:r>
          </w:p>
        </w:tc>
        <w:tc>
          <w:tcPr>
            <w:tcW w:w="0" w:type="auto"/>
            <w:vAlign w:val="center"/>
            <w:hideMark/>
          </w:tcPr>
          <w:p w14:paraId="45899780" w14:textId="02CB9A2B" w:rsidR="00DC4CFE" w:rsidRPr="0015787A" w:rsidRDefault="00DC4CFE" w:rsidP="00A117C5">
            <w:pPr>
              <w:spacing w:after="0" w:line="240" w:lineRule="exact"/>
              <w:jc w:val="right"/>
              <w:rPr>
                <w:rFonts w:ascii="Cambria" w:hAnsi="Cambria"/>
                <w:sz w:val="20"/>
                <w:szCs w:val="20"/>
              </w:rPr>
            </w:pPr>
            <w:r w:rsidRPr="0015787A">
              <w:rPr>
                <w:rFonts w:ascii="Cambria" w:hAnsi="Cambria"/>
                <w:sz w:val="20"/>
                <w:szCs w:val="20"/>
              </w:rPr>
              <w:t>IaaS365</w:t>
            </w:r>
          </w:p>
        </w:tc>
      </w:tr>
      <w:tr w:rsidR="00DC4CFE" w:rsidRPr="0015787A" w14:paraId="6C48FE5D" w14:textId="77777777" w:rsidTr="00A117C5">
        <w:trPr>
          <w:trHeight w:val="283"/>
          <w:tblCellSpacing w:w="15" w:type="dxa"/>
        </w:trPr>
        <w:tc>
          <w:tcPr>
            <w:tcW w:w="4775" w:type="dxa"/>
            <w:vAlign w:val="center"/>
          </w:tcPr>
          <w:p w14:paraId="0FF6152F" w14:textId="5AEBEF67" w:rsidR="00DC4CFE" w:rsidRPr="0015787A" w:rsidRDefault="00DC4CFE" w:rsidP="00212BF7">
            <w:pPr>
              <w:spacing w:after="0" w:line="240" w:lineRule="exact"/>
              <w:rPr>
                <w:rFonts w:ascii="Cambria" w:hAnsi="Cambria"/>
                <w:sz w:val="20"/>
                <w:szCs w:val="20"/>
                <w:lang w:val="es-ES"/>
              </w:rPr>
            </w:pPr>
          </w:p>
        </w:tc>
        <w:tc>
          <w:tcPr>
            <w:tcW w:w="1964" w:type="dxa"/>
            <w:vAlign w:val="center"/>
          </w:tcPr>
          <w:p w14:paraId="6E975894" w14:textId="26DF2DC7" w:rsidR="00DC4CFE" w:rsidRPr="0015787A" w:rsidRDefault="00DC4CFE" w:rsidP="00212BF7">
            <w:pPr>
              <w:spacing w:after="0" w:line="240" w:lineRule="exact"/>
              <w:rPr>
                <w:rFonts w:ascii="Cambria" w:hAnsi="Cambria"/>
                <w:sz w:val="20"/>
                <w:szCs w:val="20"/>
                <w:lang w:val="es-ES"/>
              </w:rPr>
            </w:pPr>
          </w:p>
        </w:tc>
        <w:tc>
          <w:tcPr>
            <w:tcW w:w="0" w:type="auto"/>
            <w:vAlign w:val="center"/>
          </w:tcPr>
          <w:p w14:paraId="3F2E21EC" w14:textId="78DF3AC9" w:rsidR="00DC4CFE" w:rsidRPr="0015787A" w:rsidRDefault="00DC4CFE" w:rsidP="00212BF7">
            <w:pPr>
              <w:spacing w:after="0" w:line="240" w:lineRule="exact"/>
              <w:rPr>
                <w:rFonts w:ascii="Cambria" w:hAnsi="Cambria"/>
                <w:sz w:val="20"/>
                <w:szCs w:val="20"/>
                <w:lang w:val="es-ES"/>
              </w:rPr>
            </w:pPr>
          </w:p>
        </w:tc>
        <w:tc>
          <w:tcPr>
            <w:tcW w:w="0" w:type="auto"/>
            <w:vAlign w:val="center"/>
          </w:tcPr>
          <w:p w14:paraId="67D833D2" w14:textId="0DEDDA60" w:rsidR="00DC4CFE" w:rsidRPr="0015787A" w:rsidRDefault="00DC4CFE" w:rsidP="00212BF7">
            <w:pPr>
              <w:spacing w:after="0" w:line="240" w:lineRule="exact"/>
              <w:rPr>
                <w:rFonts w:ascii="Cambria" w:hAnsi="Cambria"/>
                <w:sz w:val="20"/>
                <w:szCs w:val="20"/>
                <w:lang w:val="es-ES"/>
              </w:rPr>
            </w:pPr>
          </w:p>
        </w:tc>
      </w:tr>
    </w:tbl>
    <w:p w14:paraId="0566805A" w14:textId="43F8A661" w:rsidR="000F163C" w:rsidRPr="0015787A" w:rsidRDefault="00686A74" w:rsidP="00212BF7">
      <w:pPr>
        <w:spacing w:after="0" w:line="240" w:lineRule="exact"/>
        <w:contextualSpacing/>
        <w:jc w:val="both"/>
        <w:rPr>
          <w:rFonts w:ascii="Cambria" w:hAnsi="Cambria"/>
          <w:sz w:val="20"/>
          <w:szCs w:val="20"/>
        </w:rPr>
      </w:pPr>
      <w:r w:rsidRPr="0015787A">
        <w:rPr>
          <w:rFonts w:ascii="Cambria" w:hAnsi="Cambria"/>
          <w:sz w:val="20"/>
          <w:szCs w:val="20"/>
        </w:rPr>
        <w:t>Le coût total du processus de migration est estimé entre 17.000 euros et 19.000 euros (hors taxes), par le biais d'un paiement unique qui comprend les coûts initiaux et d'infrastructure. En outre, le coût d'exploitation annuel total serait d'environ 31.845 euros, ce qui comprend un ajustement de 14.440 euros pour la maintenance et les services en nuage par rapport à la situation actuelle.</w:t>
      </w:r>
    </w:p>
    <w:p w14:paraId="32DC04B4" w14:textId="77777777" w:rsidR="00686A74" w:rsidRPr="0015787A" w:rsidRDefault="00686A74" w:rsidP="00212BF7">
      <w:pPr>
        <w:spacing w:after="0" w:line="240" w:lineRule="exact"/>
        <w:contextualSpacing/>
        <w:jc w:val="both"/>
        <w:rPr>
          <w:rFonts w:ascii="Cambria" w:hAnsi="Cambria"/>
          <w:sz w:val="20"/>
          <w:szCs w:val="20"/>
        </w:rPr>
      </w:pPr>
    </w:p>
    <w:p w14:paraId="506E9313" w14:textId="77777777" w:rsidR="00F42BB8" w:rsidRPr="0015787A" w:rsidRDefault="00F42BB8" w:rsidP="00212BF7">
      <w:pPr>
        <w:spacing w:after="0" w:line="240" w:lineRule="exact"/>
        <w:contextualSpacing/>
        <w:jc w:val="both"/>
        <w:rPr>
          <w:rFonts w:ascii="Cambria" w:hAnsi="Cambria"/>
          <w:sz w:val="20"/>
          <w:szCs w:val="20"/>
        </w:rPr>
      </w:pPr>
    </w:p>
    <w:p w14:paraId="48569DAA" w14:textId="2CD2A02D" w:rsidR="000F163C" w:rsidRPr="0015787A" w:rsidRDefault="000F163C" w:rsidP="00F42BB8">
      <w:pPr>
        <w:pStyle w:val="ListParagraph"/>
        <w:numPr>
          <w:ilvl w:val="0"/>
          <w:numId w:val="5"/>
        </w:numPr>
        <w:spacing w:after="0" w:line="240" w:lineRule="exact"/>
        <w:ind w:left="426" w:hanging="426"/>
        <w:jc w:val="both"/>
        <w:rPr>
          <w:rFonts w:ascii="Cambria" w:hAnsi="Cambria"/>
          <w:b/>
          <w:bCs/>
          <w:sz w:val="20"/>
          <w:szCs w:val="20"/>
        </w:rPr>
      </w:pPr>
      <w:r w:rsidRPr="0015787A">
        <w:rPr>
          <w:rFonts w:ascii="Cambria" w:hAnsi="Cambria"/>
          <w:b/>
          <w:sz w:val="20"/>
          <w:szCs w:val="20"/>
        </w:rPr>
        <w:t>Conclusions</w:t>
      </w:r>
    </w:p>
    <w:p w14:paraId="3A6DA206" w14:textId="77777777" w:rsidR="00F42BB8" w:rsidRPr="0015787A" w:rsidRDefault="00F42BB8" w:rsidP="00212BF7">
      <w:pPr>
        <w:spacing w:after="0" w:line="240" w:lineRule="exact"/>
        <w:contextualSpacing/>
        <w:jc w:val="both"/>
        <w:rPr>
          <w:rFonts w:ascii="Cambria" w:hAnsi="Cambria"/>
          <w:sz w:val="20"/>
          <w:szCs w:val="20"/>
          <w:lang w:val="es-ES"/>
        </w:rPr>
      </w:pPr>
    </w:p>
    <w:p w14:paraId="3DEB599A" w14:textId="47B1E91E" w:rsidR="000F163C" w:rsidRPr="0015787A" w:rsidRDefault="000F163C" w:rsidP="00212BF7">
      <w:pPr>
        <w:spacing w:after="0" w:line="240" w:lineRule="exact"/>
        <w:contextualSpacing/>
        <w:jc w:val="both"/>
        <w:rPr>
          <w:rFonts w:ascii="Cambria" w:hAnsi="Cambria"/>
          <w:sz w:val="20"/>
          <w:szCs w:val="20"/>
        </w:rPr>
      </w:pPr>
      <w:r w:rsidRPr="0015787A">
        <w:rPr>
          <w:rFonts w:ascii="Cambria" w:hAnsi="Cambria"/>
          <w:sz w:val="20"/>
          <w:szCs w:val="20"/>
        </w:rPr>
        <w:t>La migration du système VMS vers un environnement en nuage est une mesure stratégique qui permettra à l'organisation de :</w:t>
      </w:r>
    </w:p>
    <w:p w14:paraId="6F2D02AF" w14:textId="77777777" w:rsidR="00F1665F" w:rsidRPr="0015787A" w:rsidRDefault="00F1665F" w:rsidP="00212BF7">
      <w:pPr>
        <w:spacing w:after="0" w:line="240" w:lineRule="exact"/>
        <w:contextualSpacing/>
        <w:jc w:val="both"/>
        <w:rPr>
          <w:rFonts w:ascii="Cambria" w:hAnsi="Cambria"/>
          <w:sz w:val="20"/>
          <w:szCs w:val="20"/>
        </w:rPr>
      </w:pPr>
    </w:p>
    <w:p w14:paraId="64AC73C9" w14:textId="77777777" w:rsidR="000F163C" w:rsidRPr="0015787A" w:rsidRDefault="000F163C" w:rsidP="00F42BB8">
      <w:pPr>
        <w:pStyle w:val="ListParagraph"/>
        <w:numPr>
          <w:ilvl w:val="0"/>
          <w:numId w:val="2"/>
        </w:numPr>
        <w:spacing w:after="0" w:line="240" w:lineRule="exact"/>
        <w:ind w:left="851"/>
        <w:jc w:val="both"/>
        <w:rPr>
          <w:rFonts w:ascii="Cambria" w:hAnsi="Cambria"/>
          <w:sz w:val="20"/>
          <w:szCs w:val="20"/>
        </w:rPr>
      </w:pPr>
      <w:r w:rsidRPr="0015787A">
        <w:rPr>
          <w:rFonts w:ascii="Cambria" w:hAnsi="Cambria"/>
          <w:sz w:val="20"/>
          <w:szCs w:val="20"/>
        </w:rPr>
        <w:t>Renforcer la sécurité, la disponibilité et la continuité des services essentiels.</w:t>
      </w:r>
    </w:p>
    <w:p w14:paraId="2FD8EBD1" w14:textId="77777777" w:rsidR="000F163C" w:rsidRPr="0015787A" w:rsidRDefault="000F163C" w:rsidP="00F42BB8">
      <w:pPr>
        <w:pStyle w:val="ListParagraph"/>
        <w:numPr>
          <w:ilvl w:val="0"/>
          <w:numId w:val="2"/>
        </w:numPr>
        <w:spacing w:after="0" w:line="240" w:lineRule="exact"/>
        <w:ind w:left="851"/>
        <w:jc w:val="both"/>
        <w:rPr>
          <w:rFonts w:ascii="Cambria" w:hAnsi="Cambria"/>
          <w:sz w:val="20"/>
          <w:szCs w:val="20"/>
        </w:rPr>
      </w:pPr>
      <w:r w:rsidRPr="0015787A">
        <w:rPr>
          <w:rFonts w:ascii="Cambria" w:hAnsi="Cambria"/>
          <w:sz w:val="20"/>
          <w:szCs w:val="20"/>
        </w:rPr>
        <w:t>Veiller au respect des normes internationales et des meilleures pratiques en matière de technologie.</w:t>
      </w:r>
    </w:p>
    <w:p w14:paraId="664C0A7A" w14:textId="6C19AB99" w:rsidR="000F163C" w:rsidRPr="0015787A" w:rsidRDefault="000F163C" w:rsidP="00F42BB8">
      <w:pPr>
        <w:pStyle w:val="ListParagraph"/>
        <w:numPr>
          <w:ilvl w:val="0"/>
          <w:numId w:val="2"/>
        </w:numPr>
        <w:spacing w:after="0" w:line="240" w:lineRule="exact"/>
        <w:ind w:left="851"/>
        <w:jc w:val="both"/>
        <w:rPr>
          <w:rFonts w:ascii="Cambria" w:hAnsi="Cambria"/>
          <w:sz w:val="20"/>
          <w:szCs w:val="20"/>
        </w:rPr>
      </w:pPr>
      <w:r w:rsidRPr="0015787A">
        <w:rPr>
          <w:rFonts w:ascii="Cambria" w:hAnsi="Cambria"/>
          <w:sz w:val="20"/>
          <w:szCs w:val="20"/>
        </w:rPr>
        <w:t>Optimiser les coûts opérationnels à moyen et long terme grâce à une infrastructure évolutive et gérée de manière professionnelle.</w:t>
      </w:r>
    </w:p>
    <w:p w14:paraId="13A3DBAC" w14:textId="77777777" w:rsidR="000F163C" w:rsidRPr="0015787A" w:rsidRDefault="000F163C" w:rsidP="00212BF7">
      <w:pPr>
        <w:spacing w:after="0" w:line="240" w:lineRule="exact"/>
        <w:contextualSpacing/>
        <w:jc w:val="both"/>
        <w:rPr>
          <w:rFonts w:ascii="Cambria" w:hAnsi="Cambria"/>
          <w:sz w:val="20"/>
          <w:szCs w:val="20"/>
        </w:rPr>
      </w:pPr>
    </w:p>
    <w:p w14:paraId="3DF05906" w14:textId="2FDB85AC" w:rsidR="00C2558B" w:rsidRPr="0015787A" w:rsidRDefault="000F163C" w:rsidP="00212BF7">
      <w:pPr>
        <w:spacing w:after="0" w:line="240" w:lineRule="exact"/>
        <w:contextualSpacing/>
        <w:jc w:val="both"/>
        <w:rPr>
          <w:rFonts w:ascii="Cambria" w:hAnsi="Cambria"/>
          <w:sz w:val="20"/>
          <w:szCs w:val="20"/>
        </w:rPr>
      </w:pPr>
      <w:r w:rsidRPr="0015787A">
        <w:rPr>
          <w:rFonts w:ascii="Cambria" w:hAnsi="Cambria"/>
          <w:sz w:val="20"/>
          <w:szCs w:val="20"/>
        </w:rPr>
        <w:t>Il est donc proposé que la Commission approuve la planification et la mise en œuvre progressive de la migration au cours de l'année 2026, en autorisant la préparation technique et budgétaire correspondante, avec l'engagement de réviser et d'ajuster les coûts au fur et à mesure de l'avancement du projet.</w:t>
      </w:r>
    </w:p>
    <w:sectPr w:rsidR="00C2558B" w:rsidRPr="0015787A" w:rsidSect="008412E3">
      <w:headerReference w:type="default" r:id="rId8"/>
      <w:footerReference w:type="default" r:id="rId9"/>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62599" w14:textId="77777777" w:rsidR="004D5C97" w:rsidRDefault="004D5C97" w:rsidP="006813B1">
      <w:pPr>
        <w:spacing w:after="0" w:line="240" w:lineRule="auto"/>
      </w:pPr>
      <w:r>
        <w:separator/>
      </w:r>
    </w:p>
  </w:endnote>
  <w:endnote w:type="continuationSeparator" w:id="0">
    <w:p w14:paraId="718D7F3E" w14:textId="77777777" w:rsidR="004D5C97" w:rsidRDefault="004D5C97" w:rsidP="00681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9B637" w14:textId="1A7F93CC" w:rsidR="000B3BB3" w:rsidRPr="000B3BB3" w:rsidRDefault="000B3BB3" w:rsidP="000B3BB3">
    <w:pPr>
      <w:tabs>
        <w:tab w:val="center" w:pos="4535"/>
        <w:tab w:val="center" w:pos="4680"/>
        <w:tab w:val="left" w:pos="6150"/>
        <w:tab w:val="right" w:pos="9360"/>
      </w:tabs>
      <w:spacing w:after="0" w:line="240" w:lineRule="auto"/>
      <w:jc w:val="center"/>
      <w:rPr>
        <w:rFonts w:ascii="Cambria" w:eastAsia="Calibri" w:hAnsi="Cambria" w:cs="Calibri"/>
        <w:sz w:val="20"/>
      </w:rPr>
    </w:pPr>
    <w:r w:rsidRPr="000D5240">
      <w:rPr>
        <w:rFonts w:ascii="Cambria" w:eastAsia="Calibri" w:hAnsi="Cambria" w:cs="Calibri"/>
        <w:sz w:val="20"/>
      </w:rPr>
      <w:fldChar w:fldCharType="begin"/>
    </w:r>
    <w:r w:rsidRPr="000D5240">
      <w:rPr>
        <w:rFonts w:ascii="Cambria" w:eastAsia="Calibri" w:hAnsi="Cambria" w:cs="Calibri"/>
        <w:sz w:val="20"/>
      </w:rPr>
      <w:instrText xml:space="preserve"> PAGE </w:instrText>
    </w:r>
    <w:r w:rsidRPr="000D5240">
      <w:rPr>
        <w:rFonts w:ascii="Cambria" w:eastAsia="Calibri" w:hAnsi="Cambria" w:cs="Calibri"/>
        <w:sz w:val="20"/>
      </w:rPr>
      <w:fldChar w:fldCharType="separate"/>
    </w:r>
    <w:r>
      <w:rPr>
        <w:rFonts w:ascii="Cambria" w:eastAsia="Calibri" w:hAnsi="Cambria" w:cs="Calibri"/>
        <w:sz w:val="20"/>
      </w:rPr>
      <w:t>1</w:t>
    </w:r>
    <w:r w:rsidRPr="000D5240">
      <w:rPr>
        <w:rFonts w:ascii="Cambria" w:eastAsia="Calibri" w:hAnsi="Cambria" w:cs="Calibri"/>
        <w:sz w:val="20"/>
      </w:rPr>
      <w:fldChar w:fldCharType="end"/>
    </w:r>
    <w:r>
      <w:rPr>
        <w:rFonts w:ascii="Cambria" w:hAnsi="Cambria"/>
        <w:sz w:val="20"/>
      </w:rPr>
      <w:t xml:space="preserve"> / </w:t>
    </w:r>
    <w:r w:rsidRPr="000D5240">
      <w:rPr>
        <w:rFonts w:ascii="Cambria" w:eastAsia="Calibri" w:hAnsi="Cambria" w:cs="Calibri"/>
        <w:sz w:val="20"/>
      </w:rPr>
      <w:fldChar w:fldCharType="begin"/>
    </w:r>
    <w:r w:rsidRPr="000D5240">
      <w:rPr>
        <w:rFonts w:ascii="Cambria" w:eastAsia="Calibri" w:hAnsi="Cambria" w:cs="Calibri"/>
        <w:sz w:val="20"/>
      </w:rPr>
      <w:instrText xml:space="preserve"> NUMPAGES  </w:instrText>
    </w:r>
    <w:r w:rsidRPr="000D5240">
      <w:rPr>
        <w:rFonts w:ascii="Cambria" w:eastAsia="Calibri" w:hAnsi="Cambria" w:cs="Calibri"/>
        <w:sz w:val="20"/>
      </w:rPr>
      <w:fldChar w:fldCharType="separate"/>
    </w:r>
    <w:r>
      <w:rPr>
        <w:rFonts w:ascii="Cambria" w:eastAsia="Calibri" w:hAnsi="Cambria" w:cs="Calibri"/>
        <w:sz w:val="20"/>
      </w:rPr>
      <w:t>5</w:t>
    </w:r>
    <w:r w:rsidRPr="000D5240">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FC997" w14:textId="77777777" w:rsidR="004D5C97" w:rsidRDefault="004D5C97" w:rsidP="006813B1">
      <w:pPr>
        <w:spacing w:after="0" w:line="240" w:lineRule="auto"/>
      </w:pPr>
      <w:r>
        <w:separator/>
      </w:r>
    </w:p>
  </w:footnote>
  <w:footnote w:type="continuationSeparator" w:id="0">
    <w:p w14:paraId="568E4E66" w14:textId="77777777" w:rsidR="004D5C97" w:rsidRDefault="004D5C97" w:rsidP="00681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3823" w14:textId="1AC403D7" w:rsidR="001638CA" w:rsidRPr="000D5240" w:rsidRDefault="001638CA" w:rsidP="001638CA">
    <w:pPr>
      <w:tabs>
        <w:tab w:val="center" w:pos="4680"/>
        <w:tab w:val="left" w:pos="6520"/>
        <w:tab w:val="right" w:pos="9360"/>
        <w:tab w:val="right" w:pos="14240"/>
      </w:tabs>
      <w:spacing w:after="0" w:line="240" w:lineRule="auto"/>
      <w:jc w:val="right"/>
      <w:rPr>
        <w:rFonts w:ascii="Cambria" w:eastAsia="Calibri" w:hAnsi="Cambria" w:cs="Times New Roman"/>
        <w:b/>
        <w:bCs/>
        <w:sz w:val="20"/>
        <w:szCs w:val="20"/>
      </w:rPr>
    </w:pPr>
    <w:r>
      <w:rPr>
        <w:rFonts w:ascii="Cambria" w:hAnsi="Cambria"/>
        <w:b/>
        <w:sz w:val="20"/>
      </w:rPr>
      <w:t>PWG_428/2025</w:t>
    </w:r>
  </w:p>
  <w:p w14:paraId="68CECBCD" w14:textId="1125ABCD" w:rsidR="006813B1" w:rsidRPr="001638CA" w:rsidRDefault="001638CA" w:rsidP="001638CA">
    <w:pPr>
      <w:tabs>
        <w:tab w:val="left" w:pos="7320"/>
      </w:tabs>
      <w:spacing w:after="0" w:line="240" w:lineRule="exact"/>
      <w:jc w:val="right"/>
    </w:pPr>
    <w:r w:rsidRPr="000D5240">
      <w:rPr>
        <w:rFonts w:ascii="Cambria" w:eastAsia="Times New Roman" w:hAnsi="Cambria" w:cs="Times New Roman"/>
        <w:b/>
        <w:sz w:val="16"/>
      </w:rPr>
      <w:fldChar w:fldCharType="begin"/>
    </w:r>
    <w:r w:rsidRPr="000D5240">
      <w:rPr>
        <w:rFonts w:ascii="Cambria" w:eastAsia="Times New Roman" w:hAnsi="Cambria" w:cs="Times New Roman"/>
        <w:b/>
        <w:sz w:val="16"/>
      </w:rPr>
      <w:instrText xml:space="preserve"> TIME \@ "dd/MM/yyyy H:mm" </w:instrText>
    </w:r>
    <w:r w:rsidRPr="000D5240">
      <w:rPr>
        <w:rFonts w:ascii="Cambria" w:eastAsia="Times New Roman" w:hAnsi="Cambria" w:cs="Times New Roman"/>
        <w:b/>
        <w:sz w:val="16"/>
      </w:rPr>
      <w:fldChar w:fldCharType="separate"/>
    </w:r>
    <w:r w:rsidR="0015787A">
      <w:rPr>
        <w:rFonts w:ascii="Cambria" w:eastAsia="Times New Roman" w:hAnsi="Cambria" w:cs="Times New Roman"/>
        <w:b/>
        <w:noProof/>
        <w:sz w:val="16"/>
      </w:rPr>
      <w:t>17/11/2025 12:45</w:t>
    </w:r>
    <w:r w:rsidRPr="000D5240">
      <w:rPr>
        <w:rFonts w:ascii="Cambria" w:eastAsia="Times New Roman" w:hAnsi="Cambria" w:cs="Times New Roman"/>
        <w:b/>
        <w:bCs/>
        <w:sz w:val="16"/>
        <w:szCs w:val="16"/>
        <w:lang w:val="es-ES_trad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32DED"/>
    <w:multiLevelType w:val="multilevel"/>
    <w:tmpl w:val="22E0539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BDD3BA5"/>
    <w:multiLevelType w:val="hybridMultilevel"/>
    <w:tmpl w:val="684462A8"/>
    <w:lvl w:ilvl="0" w:tplc="D83C2B7A">
      <w:start w:val="1"/>
      <w:numFmt w:val="bullet"/>
      <w:lvlText w:val="-"/>
      <w:lvlJc w:val="left"/>
      <w:pPr>
        <w:ind w:left="1068" w:hanging="360"/>
      </w:pPr>
      <w:rPr>
        <w:rFonts w:ascii="Cambria" w:eastAsiaTheme="minorHAnsi" w:hAnsi="Cambria"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45CF4DE6"/>
    <w:multiLevelType w:val="multilevel"/>
    <w:tmpl w:val="48381D6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C313B9A"/>
    <w:multiLevelType w:val="hybridMultilevel"/>
    <w:tmpl w:val="5F0815EA"/>
    <w:lvl w:ilvl="0" w:tplc="61D24A80">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 w15:restartNumberingAfterBreak="0">
    <w:nsid w:val="4F01172F"/>
    <w:multiLevelType w:val="hybridMultilevel"/>
    <w:tmpl w:val="43AA3B1C"/>
    <w:lvl w:ilvl="0" w:tplc="67B2892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87137830">
    <w:abstractNumId w:val="4"/>
  </w:num>
  <w:num w:numId="2" w16cid:durableId="1368332008">
    <w:abstractNumId w:val="1"/>
  </w:num>
  <w:num w:numId="3" w16cid:durableId="2134209097">
    <w:abstractNumId w:val="0"/>
  </w:num>
  <w:num w:numId="4" w16cid:durableId="1129082088">
    <w:abstractNumId w:val="2"/>
  </w:num>
  <w:num w:numId="5" w16cid:durableId="1753816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58B"/>
    <w:rsid w:val="0000438F"/>
    <w:rsid w:val="00015B57"/>
    <w:rsid w:val="0004313A"/>
    <w:rsid w:val="00067B8C"/>
    <w:rsid w:val="0008730B"/>
    <w:rsid w:val="00092E09"/>
    <w:rsid w:val="000A3A29"/>
    <w:rsid w:val="000B3BB3"/>
    <w:rsid w:val="000B40F3"/>
    <w:rsid w:val="000D2BFA"/>
    <w:rsid w:val="000E6C1F"/>
    <w:rsid w:val="000F163C"/>
    <w:rsid w:val="001014F7"/>
    <w:rsid w:val="00104A75"/>
    <w:rsid w:val="00110698"/>
    <w:rsid w:val="0012332A"/>
    <w:rsid w:val="00136442"/>
    <w:rsid w:val="00145AC0"/>
    <w:rsid w:val="0015787A"/>
    <w:rsid w:val="00163114"/>
    <w:rsid w:val="001638CA"/>
    <w:rsid w:val="001904FE"/>
    <w:rsid w:val="001B7DD1"/>
    <w:rsid w:val="001C1269"/>
    <w:rsid w:val="001E0F8E"/>
    <w:rsid w:val="001E4F5D"/>
    <w:rsid w:val="001F00BE"/>
    <w:rsid w:val="001F1494"/>
    <w:rsid w:val="001F406D"/>
    <w:rsid w:val="00200734"/>
    <w:rsid w:val="00210F38"/>
    <w:rsid w:val="00212BF7"/>
    <w:rsid w:val="00212F6F"/>
    <w:rsid w:val="00215E12"/>
    <w:rsid w:val="00221407"/>
    <w:rsid w:val="0023004D"/>
    <w:rsid w:val="00242673"/>
    <w:rsid w:val="00262F07"/>
    <w:rsid w:val="002650BB"/>
    <w:rsid w:val="0027031E"/>
    <w:rsid w:val="00280548"/>
    <w:rsid w:val="00294C6F"/>
    <w:rsid w:val="00297956"/>
    <w:rsid w:val="002C10EA"/>
    <w:rsid w:val="002D52E5"/>
    <w:rsid w:val="002F091A"/>
    <w:rsid w:val="002F0AAB"/>
    <w:rsid w:val="00317ECE"/>
    <w:rsid w:val="003420C4"/>
    <w:rsid w:val="00353FFC"/>
    <w:rsid w:val="0035672C"/>
    <w:rsid w:val="00377108"/>
    <w:rsid w:val="00381651"/>
    <w:rsid w:val="00385DF5"/>
    <w:rsid w:val="00390C38"/>
    <w:rsid w:val="003D12B5"/>
    <w:rsid w:val="003F2996"/>
    <w:rsid w:val="003F3D55"/>
    <w:rsid w:val="004142BC"/>
    <w:rsid w:val="004164EE"/>
    <w:rsid w:val="00425F17"/>
    <w:rsid w:val="00431B61"/>
    <w:rsid w:val="00445B0C"/>
    <w:rsid w:val="004A1D0E"/>
    <w:rsid w:val="004B685B"/>
    <w:rsid w:val="004C16D1"/>
    <w:rsid w:val="004D5C97"/>
    <w:rsid w:val="004E068D"/>
    <w:rsid w:val="004E606D"/>
    <w:rsid w:val="004F04B8"/>
    <w:rsid w:val="0050530A"/>
    <w:rsid w:val="0051287D"/>
    <w:rsid w:val="005133E3"/>
    <w:rsid w:val="00537AD8"/>
    <w:rsid w:val="00543665"/>
    <w:rsid w:val="00545299"/>
    <w:rsid w:val="005625BE"/>
    <w:rsid w:val="00581EE6"/>
    <w:rsid w:val="00583587"/>
    <w:rsid w:val="005A5958"/>
    <w:rsid w:val="005B7340"/>
    <w:rsid w:val="005C658E"/>
    <w:rsid w:val="005E232C"/>
    <w:rsid w:val="005F6842"/>
    <w:rsid w:val="006031E6"/>
    <w:rsid w:val="00630183"/>
    <w:rsid w:val="00632C30"/>
    <w:rsid w:val="00646559"/>
    <w:rsid w:val="006669D6"/>
    <w:rsid w:val="006813B1"/>
    <w:rsid w:val="00686A74"/>
    <w:rsid w:val="00694ED2"/>
    <w:rsid w:val="006A3A25"/>
    <w:rsid w:val="006A4864"/>
    <w:rsid w:val="006B000D"/>
    <w:rsid w:val="006B5C1E"/>
    <w:rsid w:val="006B5DEA"/>
    <w:rsid w:val="006F05BC"/>
    <w:rsid w:val="007140B8"/>
    <w:rsid w:val="0072477A"/>
    <w:rsid w:val="00732B88"/>
    <w:rsid w:val="007651D2"/>
    <w:rsid w:val="0077239D"/>
    <w:rsid w:val="007933B3"/>
    <w:rsid w:val="007939DD"/>
    <w:rsid w:val="0079400A"/>
    <w:rsid w:val="007957FF"/>
    <w:rsid w:val="007B267C"/>
    <w:rsid w:val="007D300A"/>
    <w:rsid w:val="007D7B18"/>
    <w:rsid w:val="007E5FC7"/>
    <w:rsid w:val="007F3CFC"/>
    <w:rsid w:val="008000E0"/>
    <w:rsid w:val="00814841"/>
    <w:rsid w:val="0081699B"/>
    <w:rsid w:val="00821383"/>
    <w:rsid w:val="008412E3"/>
    <w:rsid w:val="00866CDF"/>
    <w:rsid w:val="00875BBB"/>
    <w:rsid w:val="00882D69"/>
    <w:rsid w:val="00886642"/>
    <w:rsid w:val="008A4C2B"/>
    <w:rsid w:val="008B0007"/>
    <w:rsid w:val="008C1644"/>
    <w:rsid w:val="008C310B"/>
    <w:rsid w:val="008E001B"/>
    <w:rsid w:val="00903A08"/>
    <w:rsid w:val="009377A2"/>
    <w:rsid w:val="009409DA"/>
    <w:rsid w:val="00941803"/>
    <w:rsid w:val="0095648C"/>
    <w:rsid w:val="00966B19"/>
    <w:rsid w:val="009C6AD4"/>
    <w:rsid w:val="009C6F5D"/>
    <w:rsid w:val="009D24B2"/>
    <w:rsid w:val="009D4CD0"/>
    <w:rsid w:val="009E2953"/>
    <w:rsid w:val="009F00AF"/>
    <w:rsid w:val="00A0799E"/>
    <w:rsid w:val="00A07A27"/>
    <w:rsid w:val="00A10086"/>
    <w:rsid w:val="00A117C5"/>
    <w:rsid w:val="00A2387C"/>
    <w:rsid w:val="00A24EE6"/>
    <w:rsid w:val="00A259F5"/>
    <w:rsid w:val="00A363CB"/>
    <w:rsid w:val="00A46914"/>
    <w:rsid w:val="00AA3745"/>
    <w:rsid w:val="00AB6B98"/>
    <w:rsid w:val="00AB74C8"/>
    <w:rsid w:val="00AC2F67"/>
    <w:rsid w:val="00AD6627"/>
    <w:rsid w:val="00B03542"/>
    <w:rsid w:val="00B04FDC"/>
    <w:rsid w:val="00B14449"/>
    <w:rsid w:val="00B37C24"/>
    <w:rsid w:val="00B51118"/>
    <w:rsid w:val="00B517D6"/>
    <w:rsid w:val="00B53E4A"/>
    <w:rsid w:val="00B6695A"/>
    <w:rsid w:val="00B75DA2"/>
    <w:rsid w:val="00B846F9"/>
    <w:rsid w:val="00BB32D9"/>
    <w:rsid w:val="00BE0C36"/>
    <w:rsid w:val="00BE5162"/>
    <w:rsid w:val="00BE691E"/>
    <w:rsid w:val="00C150A0"/>
    <w:rsid w:val="00C2558B"/>
    <w:rsid w:val="00C31F4C"/>
    <w:rsid w:val="00C46F0A"/>
    <w:rsid w:val="00C74FA8"/>
    <w:rsid w:val="00C93451"/>
    <w:rsid w:val="00D17DED"/>
    <w:rsid w:val="00D232D8"/>
    <w:rsid w:val="00D37226"/>
    <w:rsid w:val="00D45C88"/>
    <w:rsid w:val="00D77274"/>
    <w:rsid w:val="00D8164C"/>
    <w:rsid w:val="00D84B62"/>
    <w:rsid w:val="00D92DA8"/>
    <w:rsid w:val="00DA317F"/>
    <w:rsid w:val="00DB14A9"/>
    <w:rsid w:val="00DB4CE0"/>
    <w:rsid w:val="00DC0279"/>
    <w:rsid w:val="00DC4CFE"/>
    <w:rsid w:val="00DD17B7"/>
    <w:rsid w:val="00DD2A14"/>
    <w:rsid w:val="00DE347E"/>
    <w:rsid w:val="00DE5D5D"/>
    <w:rsid w:val="00DF4A55"/>
    <w:rsid w:val="00DF5931"/>
    <w:rsid w:val="00E00BBE"/>
    <w:rsid w:val="00E059D5"/>
    <w:rsid w:val="00E11E26"/>
    <w:rsid w:val="00E22CC9"/>
    <w:rsid w:val="00E27006"/>
    <w:rsid w:val="00E31A2B"/>
    <w:rsid w:val="00E40AD7"/>
    <w:rsid w:val="00E441B7"/>
    <w:rsid w:val="00E45A21"/>
    <w:rsid w:val="00E62A36"/>
    <w:rsid w:val="00E66D0D"/>
    <w:rsid w:val="00E67123"/>
    <w:rsid w:val="00E67569"/>
    <w:rsid w:val="00EA307A"/>
    <w:rsid w:val="00EB3A58"/>
    <w:rsid w:val="00EB45EE"/>
    <w:rsid w:val="00EC0553"/>
    <w:rsid w:val="00EC7C9B"/>
    <w:rsid w:val="00EF266D"/>
    <w:rsid w:val="00F1665F"/>
    <w:rsid w:val="00F42BB8"/>
    <w:rsid w:val="00FE5D1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B9480"/>
  <w15:chartTrackingRefBased/>
  <w15:docId w15:val="{7A4620FB-47DF-46AC-B86D-94EFACECD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558B"/>
    <w:pPr>
      <w:ind w:left="720"/>
      <w:contextualSpacing/>
    </w:pPr>
  </w:style>
  <w:style w:type="paragraph" w:styleId="Header">
    <w:name w:val="header"/>
    <w:basedOn w:val="Normal"/>
    <w:link w:val="HeaderChar"/>
    <w:uiPriority w:val="99"/>
    <w:unhideWhenUsed/>
    <w:rsid w:val="006813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13B1"/>
  </w:style>
  <w:style w:type="paragraph" w:styleId="Footer">
    <w:name w:val="footer"/>
    <w:basedOn w:val="Normal"/>
    <w:link w:val="FooterChar"/>
    <w:uiPriority w:val="99"/>
    <w:unhideWhenUsed/>
    <w:rsid w:val="006813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13B1"/>
  </w:style>
  <w:style w:type="paragraph" w:styleId="Revision">
    <w:name w:val="Revision"/>
    <w:hidden/>
    <w:uiPriority w:val="99"/>
    <w:semiHidden/>
    <w:rsid w:val="008B0007"/>
    <w:pPr>
      <w:spacing w:after="0" w:line="240" w:lineRule="auto"/>
    </w:pPr>
  </w:style>
  <w:style w:type="paragraph" w:styleId="HTMLPreformatted">
    <w:name w:val="HTML Preformatted"/>
    <w:basedOn w:val="Normal"/>
    <w:link w:val="HTMLPreformattedChar"/>
    <w:uiPriority w:val="99"/>
    <w:semiHidden/>
    <w:unhideWhenUsed/>
    <w:rsid w:val="0022140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2140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159143">
      <w:bodyDiv w:val="1"/>
      <w:marLeft w:val="0"/>
      <w:marRight w:val="0"/>
      <w:marTop w:val="0"/>
      <w:marBottom w:val="0"/>
      <w:divBdr>
        <w:top w:val="none" w:sz="0" w:space="0" w:color="auto"/>
        <w:left w:val="none" w:sz="0" w:space="0" w:color="auto"/>
        <w:bottom w:val="none" w:sz="0" w:space="0" w:color="auto"/>
        <w:right w:val="none" w:sz="0" w:space="0" w:color="auto"/>
      </w:divBdr>
    </w:div>
    <w:div w:id="611320718">
      <w:bodyDiv w:val="1"/>
      <w:marLeft w:val="0"/>
      <w:marRight w:val="0"/>
      <w:marTop w:val="0"/>
      <w:marBottom w:val="0"/>
      <w:divBdr>
        <w:top w:val="none" w:sz="0" w:space="0" w:color="auto"/>
        <w:left w:val="none" w:sz="0" w:space="0" w:color="auto"/>
        <w:bottom w:val="none" w:sz="0" w:space="0" w:color="auto"/>
        <w:right w:val="none" w:sz="0" w:space="0" w:color="auto"/>
      </w:divBdr>
    </w:div>
    <w:div w:id="1005981231">
      <w:bodyDiv w:val="1"/>
      <w:marLeft w:val="0"/>
      <w:marRight w:val="0"/>
      <w:marTop w:val="0"/>
      <w:marBottom w:val="0"/>
      <w:divBdr>
        <w:top w:val="none" w:sz="0" w:space="0" w:color="auto"/>
        <w:left w:val="none" w:sz="0" w:space="0" w:color="auto"/>
        <w:bottom w:val="none" w:sz="0" w:space="0" w:color="auto"/>
        <w:right w:val="none" w:sz="0" w:space="0" w:color="auto"/>
      </w:divBdr>
    </w:div>
    <w:div w:id="1593587471">
      <w:bodyDiv w:val="1"/>
      <w:marLeft w:val="0"/>
      <w:marRight w:val="0"/>
      <w:marTop w:val="0"/>
      <w:marBottom w:val="0"/>
      <w:divBdr>
        <w:top w:val="none" w:sz="0" w:space="0" w:color="auto"/>
        <w:left w:val="none" w:sz="0" w:space="0" w:color="auto"/>
        <w:bottom w:val="none" w:sz="0" w:space="0" w:color="auto"/>
        <w:right w:val="none" w:sz="0" w:space="0" w:color="auto"/>
      </w:divBdr>
    </w:div>
    <w:div w:id="1658462353">
      <w:bodyDiv w:val="1"/>
      <w:marLeft w:val="0"/>
      <w:marRight w:val="0"/>
      <w:marTop w:val="0"/>
      <w:marBottom w:val="0"/>
      <w:divBdr>
        <w:top w:val="none" w:sz="0" w:space="0" w:color="auto"/>
        <w:left w:val="none" w:sz="0" w:space="0" w:color="auto"/>
        <w:bottom w:val="none" w:sz="0" w:space="0" w:color="auto"/>
        <w:right w:val="none" w:sz="0" w:space="0" w:color="auto"/>
      </w:divBdr>
    </w:div>
    <w:div w:id="188790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525A9-9AE6-4A34-B004-7CB2E4558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3</Pages>
  <Words>1077</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Samedy</dc:creator>
  <cp:keywords/>
  <dc:description/>
  <cp:lastModifiedBy>Christine Peyre</cp:lastModifiedBy>
  <cp:revision>14</cp:revision>
  <cp:lastPrinted>2023-10-17T09:46:00Z</cp:lastPrinted>
  <dcterms:created xsi:type="dcterms:W3CDTF">2025-11-04T14:32:00Z</dcterms:created>
  <dcterms:modified xsi:type="dcterms:W3CDTF">2025-11-17T11:47:00Z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c6d6b649e396b6b3117990f7231d99092671e8a50ffef2a4afc5f615ea8cb5d8</vt:lpwstr>
  </property>
</Properties>
</file>