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6AD6" w14:textId="076B8297" w:rsidR="007F13D3" w:rsidRPr="00F97531" w:rsidRDefault="007F13D3" w:rsidP="007F13D3">
      <w:pPr>
        <w:pStyle w:val="Heading1"/>
        <w:spacing w:before="0" w:line="240" w:lineRule="auto"/>
        <w:jc w:val="right"/>
        <w:rPr>
          <w:rFonts w:asciiTheme="minorHAnsi" w:hAnsiTheme="minorHAnsi" w:cs="Times New Roman"/>
          <w:color w:val="auto"/>
          <w:sz w:val="20"/>
          <w:szCs w:val="20"/>
        </w:rPr>
      </w:pPr>
      <w:r>
        <w:rPr>
          <w:rFonts w:asciiTheme="minorHAnsi" w:hAnsiTheme="minorHAnsi"/>
          <w:color w:val="auto"/>
          <w:sz w:val="20"/>
        </w:rPr>
        <w:t>Original : anglais</w:t>
      </w:r>
    </w:p>
    <w:p w14:paraId="633AC209" w14:textId="77777777" w:rsidR="007F13D3" w:rsidRPr="00F97531" w:rsidRDefault="007F13D3" w:rsidP="007F13D3">
      <w:pPr>
        <w:spacing w:after="0" w:line="240" w:lineRule="auto"/>
      </w:pPr>
    </w:p>
    <w:p w14:paraId="202E4239" w14:textId="5E144FD5" w:rsidR="001848E7" w:rsidRPr="00F97531" w:rsidRDefault="00530BF6" w:rsidP="007F13D3">
      <w:pPr>
        <w:pStyle w:val="Heading1"/>
        <w:spacing w:before="0" w:line="240" w:lineRule="auto"/>
        <w:jc w:val="center"/>
        <w:rPr>
          <w:rFonts w:asciiTheme="minorHAnsi" w:hAnsiTheme="minorHAnsi" w:cs="Times New Roman"/>
          <w:color w:val="auto"/>
          <w:sz w:val="20"/>
          <w:szCs w:val="20"/>
        </w:rPr>
      </w:pPr>
      <w:r>
        <w:rPr>
          <w:rFonts w:asciiTheme="minorHAnsi" w:hAnsiTheme="minorHAnsi"/>
          <w:color w:val="auto"/>
          <w:sz w:val="20"/>
        </w:rPr>
        <w:t>Analyse des obligations de déclaration de l’ICCAT</w:t>
      </w:r>
    </w:p>
    <w:p w14:paraId="494FE13D" w14:textId="6BE2E5D5" w:rsidR="00E55239" w:rsidRPr="00F97531" w:rsidRDefault="00530BF6" w:rsidP="007F13D3">
      <w:pPr>
        <w:spacing w:after="0" w:line="240" w:lineRule="auto"/>
        <w:jc w:val="center"/>
        <w:rPr>
          <w:rFonts w:cs="Times New Roman"/>
          <w:i/>
          <w:iCs/>
          <w:sz w:val="20"/>
          <w:szCs w:val="20"/>
        </w:rPr>
      </w:pPr>
      <w:r>
        <w:rPr>
          <w:i/>
          <w:sz w:val="20"/>
        </w:rPr>
        <w:t>(Document présenté par l’Union européenne)</w:t>
      </w:r>
    </w:p>
    <w:p w14:paraId="348B201F" w14:textId="77777777" w:rsidR="00894EFD" w:rsidRPr="00F97531" w:rsidRDefault="00894EFD" w:rsidP="007F13D3">
      <w:pPr>
        <w:spacing w:after="0" w:line="240" w:lineRule="auto"/>
        <w:jc w:val="center"/>
        <w:rPr>
          <w:rFonts w:cs="Times New Roman"/>
          <w:i/>
          <w:iCs/>
          <w:sz w:val="20"/>
          <w:szCs w:val="20"/>
        </w:rPr>
      </w:pPr>
    </w:p>
    <w:p w14:paraId="0CECCEB4" w14:textId="77777777" w:rsidR="001848E7" w:rsidRPr="00F97531" w:rsidRDefault="002B024D" w:rsidP="007F13D3">
      <w:pPr>
        <w:pStyle w:val="Heading2"/>
        <w:spacing w:before="0" w:line="240" w:lineRule="auto"/>
        <w:jc w:val="both"/>
        <w:rPr>
          <w:rFonts w:asciiTheme="minorHAnsi" w:hAnsiTheme="minorHAnsi" w:cs="Times New Roman"/>
          <w:color w:val="auto"/>
          <w:sz w:val="20"/>
          <w:szCs w:val="20"/>
        </w:rPr>
      </w:pPr>
      <w:r>
        <w:rPr>
          <w:rFonts w:asciiTheme="minorHAnsi" w:hAnsiTheme="minorHAnsi"/>
          <w:color w:val="auto"/>
          <w:sz w:val="20"/>
        </w:rPr>
        <w:t>Contexte</w:t>
      </w:r>
    </w:p>
    <w:p w14:paraId="458BFA87" w14:textId="77777777" w:rsidR="007F13D3" w:rsidRPr="00F97531" w:rsidRDefault="007F13D3" w:rsidP="007F13D3">
      <w:pPr>
        <w:spacing w:after="0" w:line="240" w:lineRule="auto"/>
        <w:jc w:val="both"/>
        <w:rPr>
          <w:rFonts w:cs="Times New Roman"/>
          <w:sz w:val="20"/>
          <w:szCs w:val="20"/>
        </w:rPr>
      </w:pPr>
    </w:p>
    <w:p w14:paraId="73C28962" w14:textId="211E153F" w:rsidR="001848E7" w:rsidRPr="00F97531" w:rsidRDefault="002B024D" w:rsidP="007F13D3">
      <w:pPr>
        <w:spacing w:after="0" w:line="240" w:lineRule="auto"/>
        <w:jc w:val="both"/>
        <w:rPr>
          <w:rFonts w:cs="Times New Roman"/>
          <w:sz w:val="20"/>
          <w:szCs w:val="20"/>
        </w:rPr>
      </w:pPr>
      <w:r>
        <w:rPr>
          <w:sz w:val="20"/>
        </w:rPr>
        <w:t>Le cadre réglementaire de l’ICCAT prévoit des obligations de déclaration étendues et complexes pour les Parties contractantes (CPC). Au fil du temps, ces obligations se sont considérablement accrues. Malgré l'augmentation de la déclaration, peu d'analyses ont été entreprises pour déterminer si toutes les obligations restent nécessaires et efficaces. Cela peut entraîner une charge administrative inutile, des doubles emplois et une qualité inégale des données. À cet égard, l'Union européenne, dans le cadre de son objectif plus large de simplification réglementaire et de transformation numérique, s'est engagée à soutenir financièrement, à compter de 2026, cette analyse qui n'a que trop tardé.</w:t>
      </w:r>
    </w:p>
    <w:p w14:paraId="52C17C74" w14:textId="77777777" w:rsidR="007F13D3" w:rsidRPr="00F97531" w:rsidRDefault="007F13D3" w:rsidP="007F13D3">
      <w:pPr>
        <w:spacing w:after="0" w:line="240" w:lineRule="auto"/>
        <w:jc w:val="both"/>
        <w:rPr>
          <w:rFonts w:cs="Times New Roman"/>
          <w:sz w:val="20"/>
          <w:szCs w:val="20"/>
        </w:rPr>
      </w:pPr>
    </w:p>
    <w:p w14:paraId="49C4EA14" w14:textId="77777777" w:rsidR="007F13D3" w:rsidRPr="00F97531" w:rsidRDefault="007F13D3" w:rsidP="007F13D3">
      <w:pPr>
        <w:spacing w:after="0" w:line="240" w:lineRule="auto"/>
        <w:jc w:val="both"/>
        <w:rPr>
          <w:rFonts w:cs="Times New Roman"/>
          <w:sz w:val="20"/>
          <w:szCs w:val="20"/>
        </w:rPr>
      </w:pPr>
    </w:p>
    <w:p w14:paraId="091D6513" w14:textId="1C471657" w:rsidR="001848E7" w:rsidRPr="00F97531" w:rsidRDefault="002B024D" w:rsidP="007F13D3">
      <w:pPr>
        <w:pStyle w:val="Heading2"/>
        <w:spacing w:before="0" w:line="240" w:lineRule="auto"/>
        <w:jc w:val="both"/>
        <w:rPr>
          <w:rFonts w:asciiTheme="minorHAnsi" w:hAnsiTheme="minorHAnsi" w:cs="Times New Roman"/>
          <w:color w:val="auto"/>
          <w:sz w:val="20"/>
          <w:szCs w:val="20"/>
        </w:rPr>
      </w:pPr>
      <w:r>
        <w:rPr>
          <w:rFonts w:asciiTheme="minorHAnsi" w:hAnsiTheme="minorHAnsi"/>
          <w:color w:val="auto"/>
          <w:sz w:val="20"/>
        </w:rPr>
        <w:t>Principaux objectifs</w:t>
      </w:r>
    </w:p>
    <w:p w14:paraId="4A27522E" w14:textId="77777777" w:rsidR="007F13D3" w:rsidRPr="00F97531" w:rsidRDefault="007F13D3" w:rsidP="007F13D3">
      <w:pPr>
        <w:spacing w:after="0" w:line="240" w:lineRule="auto"/>
        <w:ind w:left="851" w:hanging="425"/>
        <w:jc w:val="both"/>
        <w:rPr>
          <w:sz w:val="20"/>
          <w:szCs w:val="20"/>
        </w:rPr>
      </w:pPr>
    </w:p>
    <w:p w14:paraId="68C94DC9" w14:textId="4F5087F9" w:rsidR="002B024D" w:rsidRPr="00F97531" w:rsidRDefault="002B024D" w:rsidP="007F13D3">
      <w:pPr>
        <w:pStyle w:val="ListBullet"/>
        <w:numPr>
          <w:ilvl w:val="0"/>
          <w:numId w:val="12"/>
        </w:numPr>
        <w:spacing w:after="0" w:line="240" w:lineRule="auto"/>
        <w:ind w:left="851" w:hanging="425"/>
        <w:contextualSpacing w:val="0"/>
        <w:jc w:val="both"/>
        <w:rPr>
          <w:rFonts w:cs="Times New Roman"/>
          <w:sz w:val="20"/>
          <w:szCs w:val="20"/>
        </w:rPr>
      </w:pPr>
      <w:r>
        <w:rPr>
          <w:sz w:val="20"/>
        </w:rPr>
        <w:t>Évaluer l'efficacité et l'efficience des systèmes de déclaration et des flux de données actuels.</w:t>
      </w:r>
    </w:p>
    <w:p w14:paraId="4044FFEC" w14:textId="0AC195A2" w:rsidR="6A89CF6F" w:rsidRPr="00F97531" w:rsidRDefault="6A89CF6F" w:rsidP="007F13D3">
      <w:pPr>
        <w:pStyle w:val="ListBullet"/>
        <w:numPr>
          <w:ilvl w:val="0"/>
          <w:numId w:val="12"/>
        </w:numPr>
        <w:spacing w:after="0" w:line="240" w:lineRule="auto"/>
        <w:ind w:left="851" w:hanging="425"/>
        <w:contextualSpacing w:val="0"/>
        <w:jc w:val="both"/>
        <w:rPr>
          <w:rFonts w:cs="Times New Roman"/>
          <w:sz w:val="20"/>
          <w:szCs w:val="20"/>
        </w:rPr>
      </w:pPr>
      <w:r>
        <w:rPr>
          <w:sz w:val="20"/>
        </w:rPr>
        <w:t>Évaluer l'exactitude et l'utilisation des données générées par les exigences de déclaration.</w:t>
      </w:r>
    </w:p>
    <w:p w14:paraId="73235B72" w14:textId="77777777" w:rsidR="001848E7" w:rsidRPr="00F97531" w:rsidRDefault="002B024D" w:rsidP="007F13D3">
      <w:pPr>
        <w:pStyle w:val="ListBullet"/>
        <w:numPr>
          <w:ilvl w:val="0"/>
          <w:numId w:val="12"/>
        </w:numPr>
        <w:spacing w:after="0" w:line="240" w:lineRule="auto"/>
        <w:ind w:left="851" w:hanging="425"/>
        <w:contextualSpacing w:val="0"/>
        <w:jc w:val="both"/>
        <w:rPr>
          <w:rFonts w:cs="Times New Roman"/>
          <w:sz w:val="20"/>
          <w:szCs w:val="20"/>
        </w:rPr>
      </w:pPr>
      <w:r>
        <w:rPr>
          <w:sz w:val="20"/>
        </w:rPr>
        <w:t>Identifier les redondances, les incohérences et les inefficacités des obligations de déclaration existantes.</w:t>
      </w:r>
    </w:p>
    <w:p w14:paraId="2E7812EF" w14:textId="5E04340B" w:rsidR="001848E7" w:rsidRPr="00F97531" w:rsidRDefault="002B024D" w:rsidP="007F13D3">
      <w:pPr>
        <w:pStyle w:val="ListBullet"/>
        <w:numPr>
          <w:ilvl w:val="0"/>
          <w:numId w:val="12"/>
        </w:numPr>
        <w:spacing w:after="0" w:line="240" w:lineRule="auto"/>
        <w:ind w:left="851" w:hanging="425"/>
        <w:contextualSpacing w:val="0"/>
        <w:jc w:val="both"/>
        <w:rPr>
          <w:rFonts w:cs="Times New Roman"/>
          <w:sz w:val="20"/>
          <w:szCs w:val="20"/>
        </w:rPr>
      </w:pPr>
      <w:r>
        <w:rPr>
          <w:sz w:val="20"/>
        </w:rPr>
        <w:t>Élaborer des recommandations pour la rationalisation, la simplification et l'amélioration de la rentabilité de la numérisation de la déclaration.</w:t>
      </w:r>
    </w:p>
    <w:p w14:paraId="4F7B31AA" w14:textId="4308856A" w:rsidR="001848E7" w:rsidRPr="00F97531" w:rsidRDefault="002B024D" w:rsidP="007F13D3">
      <w:pPr>
        <w:pStyle w:val="ListBullet"/>
        <w:numPr>
          <w:ilvl w:val="0"/>
          <w:numId w:val="12"/>
        </w:numPr>
        <w:spacing w:after="0" w:line="240" w:lineRule="auto"/>
        <w:ind w:left="851" w:hanging="425"/>
        <w:contextualSpacing w:val="0"/>
        <w:jc w:val="both"/>
        <w:rPr>
          <w:rFonts w:cs="Times New Roman"/>
          <w:sz w:val="20"/>
          <w:szCs w:val="20"/>
        </w:rPr>
      </w:pPr>
      <w:r>
        <w:rPr>
          <w:sz w:val="20"/>
        </w:rPr>
        <w:t>Soutenir le contrôle de l'application en fournissant des informations et des outils au Comité d'application de l’ICCAT.</w:t>
      </w:r>
    </w:p>
    <w:p w14:paraId="2BB9F43E" w14:textId="77777777" w:rsidR="007F13D3" w:rsidRPr="00F97531" w:rsidRDefault="007F13D3" w:rsidP="007F13D3">
      <w:pPr>
        <w:pStyle w:val="Heading2"/>
        <w:spacing w:before="0" w:line="240" w:lineRule="auto"/>
        <w:ind w:left="851" w:hanging="425"/>
        <w:jc w:val="both"/>
        <w:rPr>
          <w:rFonts w:asciiTheme="minorHAnsi" w:hAnsiTheme="minorHAnsi" w:cs="Times New Roman"/>
          <w:color w:val="auto"/>
          <w:sz w:val="20"/>
          <w:szCs w:val="20"/>
        </w:rPr>
      </w:pPr>
    </w:p>
    <w:p w14:paraId="6260CEF6" w14:textId="77777777" w:rsidR="007F13D3" w:rsidRPr="00F97531" w:rsidRDefault="007F13D3" w:rsidP="007F13D3">
      <w:pPr>
        <w:pStyle w:val="Heading2"/>
        <w:spacing w:before="0" w:line="240" w:lineRule="auto"/>
        <w:jc w:val="both"/>
        <w:rPr>
          <w:rFonts w:asciiTheme="minorHAnsi" w:hAnsiTheme="minorHAnsi" w:cs="Times New Roman"/>
          <w:color w:val="auto"/>
          <w:sz w:val="20"/>
          <w:szCs w:val="20"/>
        </w:rPr>
      </w:pPr>
    </w:p>
    <w:p w14:paraId="442D349A" w14:textId="5FBC5855" w:rsidR="001848E7" w:rsidRPr="00F97531" w:rsidRDefault="002B024D" w:rsidP="007F13D3">
      <w:pPr>
        <w:pStyle w:val="Heading2"/>
        <w:spacing w:before="0" w:line="240" w:lineRule="auto"/>
        <w:jc w:val="both"/>
        <w:rPr>
          <w:rFonts w:asciiTheme="minorHAnsi" w:hAnsiTheme="minorHAnsi" w:cs="Times New Roman"/>
          <w:color w:val="auto"/>
          <w:sz w:val="20"/>
          <w:szCs w:val="20"/>
        </w:rPr>
      </w:pPr>
      <w:r>
        <w:rPr>
          <w:rFonts w:asciiTheme="minorHAnsi" w:hAnsiTheme="minorHAnsi"/>
          <w:color w:val="auto"/>
          <w:sz w:val="20"/>
        </w:rPr>
        <w:t>Étendue des travaux</w:t>
      </w:r>
    </w:p>
    <w:p w14:paraId="4634F29D" w14:textId="77777777" w:rsidR="007F13D3" w:rsidRPr="00F97531" w:rsidRDefault="007F13D3" w:rsidP="007F13D3">
      <w:pPr>
        <w:spacing w:after="0" w:line="240" w:lineRule="auto"/>
        <w:ind w:left="851" w:hanging="425"/>
        <w:jc w:val="both"/>
      </w:pPr>
    </w:p>
    <w:p w14:paraId="1547DCBA" w14:textId="26294657" w:rsidR="001848E7" w:rsidRPr="00F97531" w:rsidRDefault="002B024D" w:rsidP="007F13D3">
      <w:pPr>
        <w:pStyle w:val="ListBullet"/>
        <w:numPr>
          <w:ilvl w:val="0"/>
          <w:numId w:val="13"/>
        </w:numPr>
        <w:spacing w:after="0" w:line="240" w:lineRule="auto"/>
        <w:ind w:left="851" w:hanging="425"/>
        <w:contextualSpacing w:val="0"/>
        <w:jc w:val="both"/>
        <w:rPr>
          <w:rFonts w:cs="Times New Roman"/>
          <w:sz w:val="20"/>
          <w:szCs w:val="20"/>
        </w:rPr>
      </w:pPr>
      <w:r>
        <w:rPr>
          <w:sz w:val="20"/>
        </w:rPr>
        <w:t>Examiner toutes les recommandations, résolutions et normes de l'ICCAT relatives à la déclaration.</w:t>
      </w:r>
    </w:p>
    <w:p w14:paraId="00EB8AD0" w14:textId="77777777" w:rsidR="001848E7" w:rsidRPr="00F97531" w:rsidRDefault="002B024D" w:rsidP="007F13D3">
      <w:pPr>
        <w:pStyle w:val="ListBullet"/>
        <w:numPr>
          <w:ilvl w:val="0"/>
          <w:numId w:val="13"/>
        </w:numPr>
        <w:spacing w:after="0" w:line="240" w:lineRule="auto"/>
        <w:ind w:left="851" w:hanging="425"/>
        <w:contextualSpacing w:val="0"/>
        <w:jc w:val="both"/>
        <w:rPr>
          <w:rFonts w:cs="Times New Roman"/>
          <w:sz w:val="20"/>
          <w:szCs w:val="20"/>
        </w:rPr>
      </w:pPr>
      <w:r>
        <w:rPr>
          <w:sz w:val="20"/>
        </w:rPr>
        <w:t>Analyser les pratiques de déclaration, la qualité des données et les délais dans l'ensemble des CPC.</w:t>
      </w:r>
    </w:p>
    <w:p w14:paraId="67390CBA" w14:textId="21B40789" w:rsidR="001848E7" w:rsidRPr="00F97531" w:rsidRDefault="002B024D" w:rsidP="007F13D3">
      <w:pPr>
        <w:pStyle w:val="ListBullet"/>
        <w:numPr>
          <w:ilvl w:val="0"/>
          <w:numId w:val="13"/>
        </w:numPr>
        <w:spacing w:after="0" w:line="240" w:lineRule="auto"/>
        <w:ind w:left="851" w:hanging="425"/>
        <w:contextualSpacing w:val="0"/>
        <w:jc w:val="both"/>
        <w:rPr>
          <w:rFonts w:cs="Times New Roman"/>
          <w:sz w:val="20"/>
          <w:szCs w:val="20"/>
        </w:rPr>
      </w:pPr>
      <w:r>
        <w:rPr>
          <w:sz w:val="20"/>
        </w:rPr>
        <w:t>Consulter le Secrétariat de l'ICCAT, les représentants des CPC, l'industrie, les ONG, ou toute autre partie prenante jugée utile ou nécessaire.</w:t>
      </w:r>
    </w:p>
    <w:p w14:paraId="12AA1A22" w14:textId="7A2DC130" w:rsidR="001848E7" w:rsidRPr="00F97531" w:rsidRDefault="002B024D" w:rsidP="007F13D3">
      <w:pPr>
        <w:pStyle w:val="ListBullet"/>
        <w:numPr>
          <w:ilvl w:val="0"/>
          <w:numId w:val="13"/>
        </w:numPr>
        <w:spacing w:after="0" w:line="240" w:lineRule="auto"/>
        <w:ind w:left="851" w:hanging="425"/>
        <w:contextualSpacing w:val="0"/>
        <w:jc w:val="both"/>
        <w:rPr>
          <w:rFonts w:cs="Times New Roman"/>
          <w:sz w:val="20"/>
          <w:szCs w:val="20"/>
        </w:rPr>
      </w:pPr>
      <w:r>
        <w:rPr>
          <w:sz w:val="20"/>
        </w:rPr>
        <w:t>Comparer l'efficacité et l'efficience des pratiques de l'ICCAT par rapport à d'autres organisations régionales de gestion des pêches (ORGP) en termes de charge pour les CPC et de ressources déployées au sein du Secrétariat.</w:t>
      </w:r>
    </w:p>
    <w:p w14:paraId="22B95223" w14:textId="129AA94A" w:rsidR="001848E7" w:rsidRPr="00F97531" w:rsidRDefault="002B024D" w:rsidP="007F13D3">
      <w:pPr>
        <w:pStyle w:val="ListBullet"/>
        <w:numPr>
          <w:ilvl w:val="0"/>
          <w:numId w:val="13"/>
        </w:numPr>
        <w:spacing w:after="0" w:line="240" w:lineRule="auto"/>
        <w:ind w:left="851" w:hanging="425"/>
        <w:contextualSpacing w:val="0"/>
        <w:jc w:val="both"/>
        <w:rPr>
          <w:rFonts w:cs="Times New Roman"/>
          <w:sz w:val="20"/>
          <w:szCs w:val="20"/>
        </w:rPr>
      </w:pPr>
      <w:r>
        <w:rPr>
          <w:sz w:val="20"/>
        </w:rPr>
        <w:t>Réaliser une évaluation complète et proposer des solutions de déclaration simplifiées, harmonisées et améliorées sur le plan technologique.</w:t>
      </w:r>
    </w:p>
    <w:p w14:paraId="2356F43D" w14:textId="77777777" w:rsidR="007F13D3" w:rsidRPr="00F97531" w:rsidRDefault="007F13D3" w:rsidP="007F13D3">
      <w:pPr>
        <w:pStyle w:val="Heading2"/>
        <w:spacing w:before="0" w:line="240" w:lineRule="auto"/>
        <w:ind w:left="851" w:hanging="425"/>
        <w:jc w:val="both"/>
        <w:rPr>
          <w:rFonts w:asciiTheme="minorHAnsi" w:hAnsiTheme="minorHAnsi" w:cs="Times New Roman"/>
          <w:color w:val="auto"/>
          <w:sz w:val="20"/>
          <w:szCs w:val="20"/>
        </w:rPr>
      </w:pPr>
    </w:p>
    <w:p w14:paraId="2D8A6C56" w14:textId="77777777" w:rsidR="007F13D3" w:rsidRPr="00F97531" w:rsidRDefault="007F13D3" w:rsidP="007F13D3">
      <w:pPr>
        <w:pStyle w:val="Heading2"/>
        <w:spacing w:before="0" w:line="240" w:lineRule="auto"/>
        <w:jc w:val="both"/>
        <w:rPr>
          <w:rFonts w:asciiTheme="minorHAnsi" w:hAnsiTheme="minorHAnsi" w:cs="Times New Roman"/>
          <w:color w:val="auto"/>
          <w:sz w:val="20"/>
          <w:szCs w:val="20"/>
        </w:rPr>
      </w:pPr>
    </w:p>
    <w:p w14:paraId="3A90BCA4" w14:textId="21CFE0A7" w:rsidR="001848E7" w:rsidRPr="00F97531" w:rsidRDefault="002B024D" w:rsidP="007F13D3">
      <w:pPr>
        <w:pStyle w:val="Heading2"/>
        <w:spacing w:before="0" w:line="240" w:lineRule="auto"/>
        <w:jc w:val="both"/>
        <w:rPr>
          <w:rFonts w:asciiTheme="minorHAnsi" w:hAnsiTheme="minorHAnsi" w:cs="Times New Roman"/>
          <w:color w:val="auto"/>
          <w:sz w:val="20"/>
          <w:szCs w:val="20"/>
        </w:rPr>
      </w:pPr>
      <w:r>
        <w:rPr>
          <w:rFonts w:asciiTheme="minorHAnsi" w:hAnsiTheme="minorHAnsi"/>
          <w:color w:val="auto"/>
          <w:sz w:val="20"/>
        </w:rPr>
        <w:t>Impact attendu</w:t>
      </w:r>
    </w:p>
    <w:p w14:paraId="4B27C037" w14:textId="77777777" w:rsidR="007F13D3" w:rsidRPr="00F97531" w:rsidRDefault="007F13D3" w:rsidP="007F13D3">
      <w:pPr>
        <w:spacing w:after="0" w:line="240" w:lineRule="auto"/>
        <w:ind w:left="851" w:hanging="425"/>
        <w:jc w:val="both"/>
      </w:pPr>
    </w:p>
    <w:p w14:paraId="5DA1B4B2" w14:textId="5AAE7E91" w:rsidR="001848E7" w:rsidRPr="00F97531" w:rsidRDefault="002B024D" w:rsidP="007F13D3">
      <w:pPr>
        <w:pStyle w:val="ListBullet"/>
        <w:numPr>
          <w:ilvl w:val="0"/>
          <w:numId w:val="11"/>
        </w:numPr>
        <w:spacing w:after="0" w:line="240" w:lineRule="auto"/>
        <w:ind w:left="851" w:hanging="425"/>
        <w:contextualSpacing w:val="0"/>
        <w:jc w:val="both"/>
        <w:rPr>
          <w:rFonts w:cs="Times New Roman"/>
          <w:sz w:val="20"/>
          <w:szCs w:val="20"/>
        </w:rPr>
      </w:pPr>
      <w:r>
        <w:rPr>
          <w:sz w:val="20"/>
        </w:rPr>
        <w:t xml:space="preserve">Rapport détaillé comprenant des recommandations </w:t>
      </w:r>
      <w:r w:rsidR="00141100">
        <w:rPr>
          <w:sz w:val="20"/>
        </w:rPr>
        <w:t>normatives</w:t>
      </w:r>
      <w:r>
        <w:rPr>
          <w:sz w:val="20"/>
        </w:rPr>
        <w:t xml:space="preserve"> pour un système de déclaration plus efficace, transparent et cohérent.</w:t>
      </w:r>
    </w:p>
    <w:p w14:paraId="1F9DF7B1" w14:textId="77777777" w:rsidR="001848E7" w:rsidRPr="00F97531" w:rsidRDefault="002B024D" w:rsidP="007F13D3">
      <w:pPr>
        <w:pStyle w:val="ListBullet"/>
        <w:numPr>
          <w:ilvl w:val="0"/>
          <w:numId w:val="11"/>
        </w:numPr>
        <w:spacing w:after="0" w:line="240" w:lineRule="auto"/>
        <w:ind w:left="851" w:hanging="425"/>
        <w:contextualSpacing w:val="0"/>
        <w:jc w:val="both"/>
        <w:rPr>
          <w:rFonts w:cs="Times New Roman"/>
          <w:sz w:val="20"/>
          <w:szCs w:val="20"/>
        </w:rPr>
      </w:pPr>
      <w:r>
        <w:rPr>
          <w:sz w:val="20"/>
        </w:rPr>
        <w:t>Réduction de la charge administrative pour les CPC et le Secrétariat de l'ICCAT.</w:t>
      </w:r>
    </w:p>
    <w:p w14:paraId="0A3411C7" w14:textId="77777777" w:rsidR="001848E7" w:rsidRPr="007F13D3" w:rsidRDefault="002B024D" w:rsidP="007F13D3">
      <w:pPr>
        <w:pStyle w:val="ListBullet"/>
        <w:numPr>
          <w:ilvl w:val="0"/>
          <w:numId w:val="11"/>
        </w:numPr>
        <w:spacing w:after="0" w:line="240" w:lineRule="auto"/>
        <w:ind w:left="851" w:hanging="425"/>
        <w:contextualSpacing w:val="0"/>
        <w:jc w:val="both"/>
        <w:rPr>
          <w:rFonts w:cs="Times New Roman"/>
          <w:sz w:val="20"/>
          <w:szCs w:val="20"/>
        </w:rPr>
      </w:pPr>
      <w:r>
        <w:rPr>
          <w:sz w:val="20"/>
        </w:rPr>
        <w:t>Amélioration de la fiabilité des données et de l’application, ce qui permet de prendre des décisions de gestion mieux éclairées.</w:t>
      </w:r>
    </w:p>
    <w:sectPr w:rsidR="001848E7" w:rsidRPr="007F13D3" w:rsidSect="00894EFD">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9C23" w14:textId="77777777" w:rsidR="00447AEA" w:rsidRDefault="00447AEA" w:rsidP="007F13D3">
      <w:pPr>
        <w:spacing w:after="0" w:line="240" w:lineRule="auto"/>
      </w:pPr>
      <w:r>
        <w:separator/>
      </w:r>
    </w:p>
  </w:endnote>
  <w:endnote w:type="continuationSeparator" w:id="0">
    <w:p w14:paraId="1319C563" w14:textId="77777777" w:rsidR="00447AEA" w:rsidRDefault="00447AEA" w:rsidP="007F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B787" w14:textId="77777777" w:rsidR="00261CB6" w:rsidRPr="00CD1539" w:rsidRDefault="00141100" w:rsidP="00261CB6">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1CB6" w:rsidRPr="00CD1539">
          <w:rPr>
            <w:rFonts w:ascii="Cambria" w:eastAsia="Calibri" w:hAnsi="Cambria" w:cs="Calibri"/>
            <w:sz w:val="20"/>
          </w:rPr>
          <w:fldChar w:fldCharType="begin"/>
        </w:r>
        <w:r w:rsidR="00261CB6" w:rsidRPr="00CD1539">
          <w:rPr>
            <w:rFonts w:ascii="Cambria" w:eastAsia="Calibri" w:hAnsi="Cambria" w:cs="Calibri"/>
            <w:sz w:val="20"/>
          </w:rPr>
          <w:instrText xml:space="preserve"> PAGE </w:instrText>
        </w:r>
        <w:r w:rsidR="00261CB6" w:rsidRPr="00CD1539">
          <w:rPr>
            <w:rFonts w:ascii="Cambria" w:eastAsia="Calibri" w:hAnsi="Cambria" w:cs="Calibri"/>
            <w:sz w:val="20"/>
          </w:rPr>
          <w:fldChar w:fldCharType="separate"/>
        </w:r>
        <w:r w:rsidR="00261CB6">
          <w:rPr>
            <w:rFonts w:ascii="Cambria" w:eastAsia="Calibri" w:hAnsi="Cambria" w:cs="Calibri"/>
            <w:sz w:val="20"/>
          </w:rPr>
          <w:t>1</w:t>
        </w:r>
        <w:r w:rsidR="00261CB6" w:rsidRPr="00CD1539">
          <w:rPr>
            <w:rFonts w:ascii="Cambria" w:eastAsia="Calibri" w:hAnsi="Cambria" w:cs="Calibri"/>
            <w:sz w:val="20"/>
          </w:rPr>
          <w:fldChar w:fldCharType="end"/>
        </w:r>
        <w:r w:rsidR="009101E0">
          <w:rPr>
            <w:rFonts w:ascii="Cambria" w:hAnsi="Cambria"/>
            <w:sz w:val="20"/>
          </w:rPr>
          <w:t xml:space="preserve"> / </w:t>
        </w:r>
        <w:r w:rsidR="00261CB6" w:rsidRPr="00CD1539">
          <w:rPr>
            <w:rFonts w:ascii="Cambria" w:eastAsia="Calibri" w:hAnsi="Cambria" w:cs="Calibri"/>
            <w:sz w:val="20"/>
          </w:rPr>
          <w:fldChar w:fldCharType="begin"/>
        </w:r>
        <w:r w:rsidR="00261CB6" w:rsidRPr="00CD1539">
          <w:rPr>
            <w:rFonts w:ascii="Cambria" w:eastAsia="Calibri" w:hAnsi="Cambria" w:cs="Calibri"/>
            <w:sz w:val="20"/>
          </w:rPr>
          <w:instrText xml:space="preserve"> NUMPAGES  </w:instrText>
        </w:r>
        <w:r w:rsidR="00261CB6" w:rsidRPr="00CD1539">
          <w:rPr>
            <w:rFonts w:ascii="Cambria" w:eastAsia="Calibri" w:hAnsi="Cambria" w:cs="Calibri"/>
            <w:sz w:val="20"/>
          </w:rPr>
          <w:fldChar w:fldCharType="separate"/>
        </w:r>
        <w:r w:rsidR="00261CB6">
          <w:rPr>
            <w:rFonts w:ascii="Cambria" w:eastAsia="Calibri" w:hAnsi="Cambria" w:cs="Calibri"/>
            <w:sz w:val="20"/>
          </w:rPr>
          <w:t>5</w:t>
        </w:r>
        <w:r w:rsidR="00261CB6" w:rsidRPr="00CD1539">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0A87" w14:textId="77777777" w:rsidR="00447AEA" w:rsidRDefault="00447AEA" w:rsidP="007F13D3">
      <w:pPr>
        <w:spacing w:after="0" w:line="240" w:lineRule="auto"/>
      </w:pPr>
      <w:r>
        <w:separator/>
      </w:r>
    </w:p>
  </w:footnote>
  <w:footnote w:type="continuationSeparator" w:id="0">
    <w:p w14:paraId="2AE1CECF" w14:textId="77777777" w:rsidR="00447AEA" w:rsidRDefault="00447AEA" w:rsidP="007F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E2F4" w14:textId="7EE815A2" w:rsidR="007F13D3" w:rsidRPr="00FA74C4" w:rsidRDefault="007F13D3" w:rsidP="007F13D3">
    <w:pPr>
      <w:tabs>
        <w:tab w:val="center" w:pos="4680"/>
        <w:tab w:val="left" w:pos="6520"/>
        <w:tab w:val="right" w:pos="9360"/>
        <w:tab w:val="right" w:pos="14240"/>
      </w:tabs>
      <w:spacing w:after="0" w:line="240" w:lineRule="auto"/>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PWG_427/2025</w:t>
    </w:r>
  </w:p>
  <w:p w14:paraId="0D4193C5" w14:textId="0B8A7D57" w:rsidR="007F13D3" w:rsidRPr="00FA74C4" w:rsidRDefault="007F13D3" w:rsidP="007F13D3">
    <w:pPr>
      <w:tabs>
        <w:tab w:val="left" w:pos="7320"/>
      </w:tabs>
      <w:spacing w:after="0" w:line="240" w:lineRule="auto"/>
      <w:jc w:val="right"/>
      <w:rPr>
        <w:rFonts w:ascii="Cambria" w:hAnsi="Cambria"/>
        <w:b/>
        <w:bCs/>
        <w:sz w:val="16"/>
        <w:szCs w:val="16"/>
      </w:rPr>
    </w:pPr>
    <w:r w:rsidRPr="00FA74C4">
      <w:rPr>
        <w:rFonts w:ascii="Cambria" w:hAnsi="Cambria"/>
        <w:b/>
        <w:sz w:val="16"/>
      </w:rPr>
      <w:fldChar w:fldCharType="begin"/>
    </w:r>
    <w:r w:rsidRPr="00FA74C4">
      <w:rPr>
        <w:rFonts w:ascii="Cambria" w:hAnsi="Cambria"/>
        <w:b/>
        <w:sz w:val="16"/>
      </w:rPr>
      <w:instrText xml:space="preserve"> TIME \@ "dd/MM/yyyy H:mm" </w:instrText>
    </w:r>
    <w:r w:rsidRPr="00FA74C4">
      <w:rPr>
        <w:rFonts w:ascii="Cambria" w:hAnsi="Cambria"/>
        <w:b/>
        <w:sz w:val="16"/>
      </w:rPr>
      <w:fldChar w:fldCharType="separate"/>
    </w:r>
    <w:r w:rsidR="00141100">
      <w:rPr>
        <w:rFonts w:ascii="Cambria" w:hAnsi="Cambria"/>
        <w:b/>
        <w:noProof/>
        <w:sz w:val="16"/>
      </w:rPr>
      <w:t>17/11/2025 11:50</w:t>
    </w:r>
    <w:r w:rsidRPr="00FA74C4">
      <w:rPr>
        <w:rFonts w:ascii="Cambria" w:hAnsi="Cambria"/>
        <w:b/>
        <w:bCs/>
        <w:sz w:val="16"/>
        <w:szCs w:val="16"/>
        <w:lang w:val="es-ES_tradnl"/>
      </w:rPr>
      <w:fldChar w:fldCharType="end"/>
    </w:r>
    <w:bookmarkEnd w:id="0"/>
    <w:bookmarkEnd w:id="1"/>
    <w:bookmarkEnd w:id="2"/>
    <w:bookmarkEnd w:id="3"/>
    <w:bookmarkEnd w:id="4"/>
    <w:bookmarkEnd w:id="5"/>
  </w:p>
  <w:p w14:paraId="01F8D55C" w14:textId="77777777" w:rsidR="007F13D3" w:rsidRDefault="007F13D3" w:rsidP="007F13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D9A4B3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19D455C"/>
    <w:multiLevelType w:val="hybridMultilevel"/>
    <w:tmpl w:val="2C4608DA"/>
    <w:lvl w:ilvl="0" w:tplc="8D0217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DB3385"/>
    <w:multiLevelType w:val="hybridMultilevel"/>
    <w:tmpl w:val="74B60428"/>
    <w:lvl w:ilvl="0" w:tplc="8D0217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C5190F"/>
    <w:multiLevelType w:val="hybridMultilevel"/>
    <w:tmpl w:val="34FC2720"/>
    <w:lvl w:ilvl="0" w:tplc="8D0217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9AFA18"/>
    <w:multiLevelType w:val="hybridMultilevel"/>
    <w:tmpl w:val="26E47D0C"/>
    <w:lvl w:ilvl="0" w:tplc="9C8402D4">
      <w:start w:val="1"/>
      <w:numFmt w:val="bullet"/>
      <w:lvlText w:val=""/>
      <w:lvlJc w:val="left"/>
      <w:pPr>
        <w:ind w:left="720" w:hanging="360"/>
      </w:pPr>
      <w:rPr>
        <w:rFonts w:ascii="Symbol" w:hAnsi="Symbol" w:hint="default"/>
      </w:rPr>
    </w:lvl>
    <w:lvl w:ilvl="1" w:tplc="BC1C2EB0">
      <w:start w:val="1"/>
      <w:numFmt w:val="bullet"/>
      <w:lvlText w:val="o"/>
      <w:lvlJc w:val="left"/>
      <w:pPr>
        <w:ind w:left="1440" w:hanging="360"/>
      </w:pPr>
      <w:rPr>
        <w:rFonts w:ascii="Courier New" w:hAnsi="Courier New" w:hint="default"/>
      </w:rPr>
    </w:lvl>
    <w:lvl w:ilvl="2" w:tplc="8CBA3B12">
      <w:start w:val="1"/>
      <w:numFmt w:val="bullet"/>
      <w:lvlText w:val=""/>
      <w:lvlJc w:val="left"/>
      <w:pPr>
        <w:ind w:left="2160" w:hanging="360"/>
      </w:pPr>
      <w:rPr>
        <w:rFonts w:ascii="Wingdings" w:hAnsi="Wingdings" w:hint="default"/>
      </w:rPr>
    </w:lvl>
    <w:lvl w:ilvl="3" w:tplc="ABAC8E62">
      <w:start w:val="1"/>
      <w:numFmt w:val="bullet"/>
      <w:lvlText w:val=""/>
      <w:lvlJc w:val="left"/>
      <w:pPr>
        <w:ind w:left="2880" w:hanging="360"/>
      </w:pPr>
      <w:rPr>
        <w:rFonts w:ascii="Symbol" w:hAnsi="Symbol" w:hint="default"/>
      </w:rPr>
    </w:lvl>
    <w:lvl w:ilvl="4" w:tplc="E33E7E86">
      <w:start w:val="1"/>
      <w:numFmt w:val="bullet"/>
      <w:lvlText w:val="o"/>
      <w:lvlJc w:val="left"/>
      <w:pPr>
        <w:ind w:left="3600" w:hanging="360"/>
      </w:pPr>
      <w:rPr>
        <w:rFonts w:ascii="Courier New" w:hAnsi="Courier New" w:hint="default"/>
      </w:rPr>
    </w:lvl>
    <w:lvl w:ilvl="5" w:tplc="51045BC6">
      <w:start w:val="1"/>
      <w:numFmt w:val="bullet"/>
      <w:lvlText w:val=""/>
      <w:lvlJc w:val="left"/>
      <w:pPr>
        <w:ind w:left="4320" w:hanging="360"/>
      </w:pPr>
      <w:rPr>
        <w:rFonts w:ascii="Wingdings" w:hAnsi="Wingdings" w:hint="default"/>
      </w:rPr>
    </w:lvl>
    <w:lvl w:ilvl="6" w:tplc="53008022">
      <w:start w:val="1"/>
      <w:numFmt w:val="bullet"/>
      <w:lvlText w:val=""/>
      <w:lvlJc w:val="left"/>
      <w:pPr>
        <w:ind w:left="5040" w:hanging="360"/>
      </w:pPr>
      <w:rPr>
        <w:rFonts w:ascii="Symbol" w:hAnsi="Symbol" w:hint="default"/>
      </w:rPr>
    </w:lvl>
    <w:lvl w:ilvl="7" w:tplc="2258D24C">
      <w:start w:val="1"/>
      <w:numFmt w:val="bullet"/>
      <w:lvlText w:val="o"/>
      <w:lvlJc w:val="left"/>
      <w:pPr>
        <w:ind w:left="5760" w:hanging="360"/>
      </w:pPr>
      <w:rPr>
        <w:rFonts w:ascii="Courier New" w:hAnsi="Courier New" w:hint="default"/>
      </w:rPr>
    </w:lvl>
    <w:lvl w:ilvl="8" w:tplc="541AE960">
      <w:start w:val="1"/>
      <w:numFmt w:val="bullet"/>
      <w:lvlText w:val=""/>
      <w:lvlJc w:val="left"/>
      <w:pPr>
        <w:ind w:left="6480" w:hanging="360"/>
      </w:pPr>
      <w:rPr>
        <w:rFonts w:ascii="Wingdings" w:hAnsi="Wingdings" w:hint="default"/>
      </w:rPr>
    </w:lvl>
  </w:abstractNum>
  <w:num w:numId="1" w16cid:durableId="58134647">
    <w:abstractNumId w:val="12"/>
  </w:num>
  <w:num w:numId="2" w16cid:durableId="175655890">
    <w:abstractNumId w:val="8"/>
  </w:num>
  <w:num w:numId="3" w16cid:durableId="1041636422">
    <w:abstractNumId w:val="6"/>
  </w:num>
  <w:num w:numId="4" w16cid:durableId="1959990845">
    <w:abstractNumId w:val="5"/>
  </w:num>
  <w:num w:numId="5" w16cid:durableId="1102187722">
    <w:abstractNumId w:val="4"/>
  </w:num>
  <w:num w:numId="6" w16cid:durableId="2095080027">
    <w:abstractNumId w:val="7"/>
  </w:num>
  <w:num w:numId="7" w16cid:durableId="418794703">
    <w:abstractNumId w:val="3"/>
  </w:num>
  <w:num w:numId="8" w16cid:durableId="1656714157">
    <w:abstractNumId w:val="2"/>
  </w:num>
  <w:num w:numId="9" w16cid:durableId="1787849393">
    <w:abstractNumId w:val="1"/>
  </w:num>
  <w:num w:numId="10" w16cid:durableId="1926643652">
    <w:abstractNumId w:val="0"/>
  </w:num>
  <w:num w:numId="11" w16cid:durableId="1715697263">
    <w:abstractNumId w:val="9"/>
  </w:num>
  <w:num w:numId="12" w16cid:durableId="1275938222">
    <w:abstractNumId w:val="11"/>
  </w:num>
  <w:num w:numId="13" w16cid:durableId="616252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47730"/>
    <w:rsid w:val="00034616"/>
    <w:rsid w:val="0006063C"/>
    <w:rsid w:val="00141100"/>
    <w:rsid w:val="0015074B"/>
    <w:rsid w:val="00152A68"/>
    <w:rsid w:val="001848E7"/>
    <w:rsid w:val="00261CB6"/>
    <w:rsid w:val="0029639D"/>
    <w:rsid w:val="002B024D"/>
    <w:rsid w:val="00326F90"/>
    <w:rsid w:val="00447AEA"/>
    <w:rsid w:val="00530BF6"/>
    <w:rsid w:val="00583587"/>
    <w:rsid w:val="005A4D10"/>
    <w:rsid w:val="007F13D3"/>
    <w:rsid w:val="00894EFD"/>
    <w:rsid w:val="009101E0"/>
    <w:rsid w:val="00A67E12"/>
    <w:rsid w:val="00AA0924"/>
    <w:rsid w:val="00AA1D8D"/>
    <w:rsid w:val="00B47730"/>
    <w:rsid w:val="00CB0664"/>
    <w:rsid w:val="00CC152E"/>
    <w:rsid w:val="00E55239"/>
    <w:rsid w:val="00F97531"/>
    <w:rsid w:val="00FA5478"/>
    <w:rsid w:val="00FC693F"/>
    <w:rsid w:val="11007CCA"/>
    <w:rsid w:val="17776F11"/>
    <w:rsid w:val="1ED49442"/>
    <w:rsid w:val="1FB595E4"/>
    <w:rsid w:val="218B4587"/>
    <w:rsid w:val="273894B6"/>
    <w:rsid w:val="2CA916E3"/>
    <w:rsid w:val="2EC5CA8E"/>
    <w:rsid w:val="322240A1"/>
    <w:rsid w:val="3639877A"/>
    <w:rsid w:val="3F93FD50"/>
    <w:rsid w:val="48CF488A"/>
    <w:rsid w:val="5334EE4D"/>
    <w:rsid w:val="57693E3F"/>
    <w:rsid w:val="5CEBC27F"/>
    <w:rsid w:val="5E160B43"/>
    <w:rsid w:val="61005207"/>
    <w:rsid w:val="64298B88"/>
    <w:rsid w:val="66D38EAB"/>
    <w:rsid w:val="6A89CF6F"/>
    <w:rsid w:val="6B83B94E"/>
    <w:rsid w:val="6EA4E928"/>
    <w:rsid w:val="7564E85F"/>
    <w:rsid w:val="7FF7D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4C123"/>
  <w14:defaultImageDpi w14:val="300"/>
  <w15:docId w15:val="{019EFFBF-94B0-428F-88D8-9EDA7C87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F1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fcf7daab4c7946db9108a330e12ae09d">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4b820f553532dfdfd344da649f6db379"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E56EAD5-72F4-4F07-85A3-9E34854B0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77974-ADB2-47E5-82D8-36D1B6BC695F}">
  <ds:schemaRefs>
    <ds:schemaRef ds:uri="http://schemas.microsoft.com/sharepoint/v3/contenttype/forms"/>
  </ds:schemaRefs>
</ds:datastoreItem>
</file>

<file path=customXml/itemProps4.xml><?xml version="1.0" encoding="utf-8"?>
<ds:datastoreItem xmlns:ds="http://schemas.openxmlformats.org/officeDocument/2006/customXml" ds:itemID="{A944DA82-FFA7-4000-83FD-06F932521825}">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Peyre</cp:lastModifiedBy>
  <cp:revision>14</cp:revision>
  <dcterms:created xsi:type="dcterms:W3CDTF">2025-11-03T08:30:00Z</dcterms:created>
  <dcterms:modified xsi:type="dcterms:W3CDTF">2025-11-17T10:50:00Z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2025-11-03T08:30:41Z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598e362e-ae16-43df-8777-c6db2c0a05c2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