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ECB8" w14:textId="05B8B18E" w:rsidR="004865D8" w:rsidRDefault="006528C3" w:rsidP="006528C3">
      <w:pPr>
        <w:pStyle w:val="Heading1"/>
        <w:spacing w:before="0" w:line="240" w:lineRule="auto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</w:rPr>
        <w:t>Original: English</w:t>
      </w:r>
    </w:p>
    <w:p w14:paraId="66991F2B" w14:textId="77777777" w:rsidR="006528C3" w:rsidRPr="006528C3" w:rsidRDefault="006528C3" w:rsidP="006528C3"/>
    <w:p w14:paraId="202E4239" w14:textId="5AB92291" w:rsidR="001848E7" w:rsidRPr="00530BF6" w:rsidRDefault="00530BF6" w:rsidP="00B97352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530BF6">
        <w:rPr>
          <w:rFonts w:asciiTheme="minorHAnsi" w:hAnsiTheme="minorHAnsi" w:cs="Times New Roman"/>
          <w:color w:val="auto"/>
          <w:sz w:val="20"/>
          <w:szCs w:val="20"/>
        </w:rPr>
        <w:t>A</w:t>
      </w:r>
      <w:r w:rsidR="002B024D" w:rsidRPr="00530BF6">
        <w:rPr>
          <w:rFonts w:asciiTheme="minorHAnsi" w:hAnsiTheme="minorHAnsi" w:cs="Times New Roman"/>
          <w:color w:val="auto"/>
          <w:sz w:val="20"/>
          <w:szCs w:val="20"/>
        </w:rPr>
        <w:t>nalysis of</w:t>
      </w:r>
      <w:r w:rsidR="00E55239" w:rsidRPr="00530BF6">
        <w:rPr>
          <w:rFonts w:asciiTheme="minorHAnsi" w:hAnsiTheme="minorHAnsi" w:cs="Times New Roman"/>
          <w:color w:val="auto"/>
          <w:sz w:val="20"/>
          <w:szCs w:val="20"/>
        </w:rPr>
        <w:t xml:space="preserve"> ICCAT</w:t>
      </w:r>
      <w:r w:rsidR="002B024D" w:rsidRPr="00530BF6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E55239" w:rsidRPr="00530BF6">
        <w:rPr>
          <w:rFonts w:asciiTheme="minorHAnsi" w:hAnsiTheme="minorHAnsi" w:cs="Times New Roman"/>
          <w:color w:val="auto"/>
          <w:sz w:val="20"/>
          <w:szCs w:val="20"/>
        </w:rPr>
        <w:t>r</w:t>
      </w:r>
      <w:r w:rsidR="002B024D" w:rsidRPr="00530BF6">
        <w:rPr>
          <w:rFonts w:asciiTheme="minorHAnsi" w:hAnsiTheme="minorHAnsi" w:cs="Times New Roman"/>
          <w:color w:val="auto"/>
          <w:sz w:val="20"/>
          <w:szCs w:val="20"/>
        </w:rPr>
        <w:t xml:space="preserve">eporting </w:t>
      </w:r>
      <w:r w:rsidR="00E55239" w:rsidRPr="00530BF6">
        <w:rPr>
          <w:rFonts w:asciiTheme="minorHAnsi" w:hAnsiTheme="minorHAnsi" w:cs="Times New Roman"/>
          <w:color w:val="auto"/>
          <w:sz w:val="20"/>
          <w:szCs w:val="20"/>
        </w:rPr>
        <w:t>o</w:t>
      </w:r>
      <w:r w:rsidR="002B024D" w:rsidRPr="00530BF6">
        <w:rPr>
          <w:rFonts w:asciiTheme="minorHAnsi" w:hAnsiTheme="minorHAnsi" w:cs="Times New Roman"/>
          <w:color w:val="auto"/>
          <w:sz w:val="20"/>
          <w:szCs w:val="20"/>
        </w:rPr>
        <w:t>bligations</w:t>
      </w:r>
    </w:p>
    <w:p w14:paraId="494FE13D" w14:textId="79B35325" w:rsidR="00E55239" w:rsidRPr="004865D8" w:rsidRDefault="00530BF6" w:rsidP="00B97352">
      <w:pPr>
        <w:spacing w:after="0" w:line="240" w:lineRule="auto"/>
        <w:jc w:val="center"/>
        <w:rPr>
          <w:rFonts w:cs="Times New Roman"/>
          <w:i/>
          <w:iCs/>
          <w:sz w:val="20"/>
          <w:szCs w:val="20"/>
        </w:rPr>
      </w:pPr>
      <w:r w:rsidRPr="004865D8">
        <w:rPr>
          <w:rFonts w:cs="Times New Roman"/>
          <w:i/>
          <w:iCs/>
          <w:sz w:val="20"/>
          <w:szCs w:val="20"/>
        </w:rPr>
        <w:t>(</w:t>
      </w:r>
      <w:r w:rsidRPr="004865D8">
        <w:rPr>
          <w:i/>
          <w:iCs/>
          <w:sz w:val="20"/>
          <w:szCs w:val="20"/>
        </w:rPr>
        <w:t>Information</w:t>
      </w:r>
      <w:r w:rsidRPr="004865D8">
        <w:rPr>
          <w:rFonts w:cs="Times New Roman"/>
          <w:i/>
          <w:iCs/>
          <w:sz w:val="20"/>
          <w:szCs w:val="20"/>
        </w:rPr>
        <w:t xml:space="preserve"> paper s</w:t>
      </w:r>
      <w:r w:rsidR="00E55239" w:rsidRPr="004865D8">
        <w:rPr>
          <w:rFonts w:cs="Times New Roman"/>
          <w:i/>
          <w:iCs/>
          <w:sz w:val="20"/>
          <w:szCs w:val="20"/>
        </w:rPr>
        <w:t>ubmitted by the European Union)</w:t>
      </w:r>
    </w:p>
    <w:p w14:paraId="1CD83335" w14:textId="77777777" w:rsidR="007E4ED0" w:rsidRDefault="007E4ED0" w:rsidP="00B97352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14:paraId="0CECCEB4" w14:textId="76C2738F" w:rsidR="001848E7" w:rsidRPr="00530BF6" w:rsidRDefault="002B024D" w:rsidP="00B97352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530BF6">
        <w:rPr>
          <w:rFonts w:asciiTheme="minorHAnsi" w:hAnsiTheme="minorHAnsi" w:cs="Times New Roman"/>
          <w:color w:val="auto"/>
          <w:sz w:val="20"/>
          <w:szCs w:val="20"/>
        </w:rPr>
        <w:t>Background</w:t>
      </w:r>
    </w:p>
    <w:p w14:paraId="0840B763" w14:textId="77777777" w:rsidR="00E21203" w:rsidRDefault="00E21203" w:rsidP="00B97352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3C28962" w14:textId="322958C2" w:rsidR="001848E7" w:rsidRPr="00530BF6" w:rsidRDefault="002B024D" w:rsidP="00B97352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ICCAT</w:t>
      </w:r>
      <w:r w:rsidR="00E55239" w:rsidRPr="6EA4E928">
        <w:rPr>
          <w:rFonts w:cs="Times New Roman"/>
          <w:sz w:val="20"/>
          <w:szCs w:val="20"/>
        </w:rPr>
        <w:t>’s</w:t>
      </w:r>
      <w:r w:rsidRPr="6EA4E928">
        <w:rPr>
          <w:rFonts w:cs="Times New Roman"/>
          <w:sz w:val="20"/>
          <w:szCs w:val="20"/>
        </w:rPr>
        <w:t xml:space="preserve"> regulatory framework involves extensive and complex reporting obligations for </w:t>
      </w:r>
      <w:r w:rsidR="005C7BB8" w:rsidRPr="6EA4E928">
        <w:rPr>
          <w:rFonts w:cs="Times New Roman"/>
          <w:sz w:val="20"/>
          <w:szCs w:val="20"/>
        </w:rPr>
        <w:t xml:space="preserve">Contracting Parties </w:t>
      </w:r>
      <w:r w:rsidRPr="6EA4E928">
        <w:rPr>
          <w:rFonts w:cs="Times New Roman"/>
          <w:sz w:val="20"/>
          <w:szCs w:val="20"/>
        </w:rPr>
        <w:t>(CPCs). Over time, these obligations have grown significantly. Despite the increase in reporting, limited analysis has been undertaken to assess whether all obligations remain necessary and effective.</w:t>
      </w:r>
      <w:r w:rsidR="00E55239" w:rsidRPr="6EA4E928">
        <w:rPr>
          <w:rFonts w:cs="Times New Roman"/>
          <w:sz w:val="20"/>
          <w:szCs w:val="20"/>
        </w:rPr>
        <w:t xml:space="preserve"> </w:t>
      </w:r>
      <w:r w:rsidR="00FA5478" w:rsidRPr="6EA4E928">
        <w:rPr>
          <w:rFonts w:cs="Times New Roman"/>
          <w:sz w:val="20"/>
          <w:szCs w:val="20"/>
        </w:rPr>
        <w:t xml:space="preserve">This can result in unnecessary administrative burden, duplication, and uneven data quality. </w:t>
      </w:r>
      <w:r w:rsidR="00E55239" w:rsidRPr="6EA4E928">
        <w:rPr>
          <w:rFonts w:cs="Times New Roman"/>
          <w:sz w:val="20"/>
          <w:szCs w:val="20"/>
        </w:rPr>
        <w:t xml:space="preserve">In that regard, the European Union, under its broader objective of regulatory simplification and digital transformation, is committed to financially support </w:t>
      </w:r>
      <w:proofErr w:type="gramStart"/>
      <w:r w:rsidR="00E55239" w:rsidRPr="6EA4E928">
        <w:rPr>
          <w:rFonts w:cs="Times New Roman"/>
          <w:sz w:val="20"/>
          <w:szCs w:val="20"/>
        </w:rPr>
        <w:t>such an</w:t>
      </w:r>
      <w:proofErr w:type="gramEnd"/>
      <w:r w:rsidR="00E55239" w:rsidRPr="6EA4E928">
        <w:rPr>
          <w:rFonts w:cs="Times New Roman"/>
          <w:sz w:val="20"/>
          <w:szCs w:val="20"/>
        </w:rPr>
        <w:t xml:space="preserve"> </w:t>
      </w:r>
      <w:r w:rsidR="7564E85F" w:rsidRPr="6EA4E928">
        <w:rPr>
          <w:rFonts w:cs="Times New Roman"/>
          <w:sz w:val="20"/>
          <w:szCs w:val="20"/>
        </w:rPr>
        <w:t xml:space="preserve">overdue </w:t>
      </w:r>
      <w:r w:rsidR="00E55239" w:rsidRPr="6EA4E928">
        <w:rPr>
          <w:rFonts w:cs="Times New Roman"/>
          <w:sz w:val="20"/>
          <w:szCs w:val="20"/>
        </w:rPr>
        <w:t>analysis beginning in 2026.</w:t>
      </w:r>
    </w:p>
    <w:p w14:paraId="565C2957" w14:textId="77777777" w:rsidR="00E21203" w:rsidRDefault="00E21203" w:rsidP="00B97352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14:paraId="091D6513" w14:textId="35C80B09" w:rsidR="001848E7" w:rsidRDefault="002B024D" w:rsidP="00B97352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530BF6">
        <w:rPr>
          <w:rFonts w:asciiTheme="minorHAnsi" w:hAnsiTheme="minorHAnsi" w:cs="Times New Roman"/>
          <w:color w:val="auto"/>
          <w:sz w:val="20"/>
          <w:szCs w:val="20"/>
        </w:rPr>
        <w:t>Main Objectives</w:t>
      </w:r>
    </w:p>
    <w:p w14:paraId="037DDA42" w14:textId="77777777" w:rsidR="00E21203" w:rsidRDefault="00E21203" w:rsidP="00E21203">
      <w:pPr>
        <w:pStyle w:val="ListBullet"/>
        <w:spacing w:after="0" w:line="240" w:lineRule="auto"/>
        <w:ind w:left="360"/>
        <w:jc w:val="both"/>
        <w:rPr>
          <w:rFonts w:cs="Times New Roman"/>
          <w:sz w:val="20"/>
          <w:szCs w:val="20"/>
        </w:rPr>
      </w:pPr>
    </w:p>
    <w:p w14:paraId="68C94DC9" w14:textId="17F740CE" w:rsidR="002B024D" w:rsidRDefault="002B024D" w:rsidP="003600B1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Assess and evaluate the effectiveness</w:t>
      </w:r>
      <w:r w:rsidR="6B83B94E" w:rsidRPr="6EA4E928">
        <w:rPr>
          <w:rFonts w:cs="Times New Roman"/>
          <w:sz w:val="20"/>
          <w:szCs w:val="20"/>
        </w:rPr>
        <w:t xml:space="preserve"> and </w:t>
      </w:r>
      <w:r w:rsidR="5CEBC27F" w:rsidRPr="6EA4E928">
        <w:rPr>
          <w:rFonts w:cs="Times New Roman"/>
          <w:sz w:val="20"/>
          <w:szCs w:val="20"/>
        </w:rPr>
        <w:t>efficiency of</w:t>
      </w:r>
      <w:r w:rsidRPr="6EA4E928">
        <w:rPr>
          <w:rFonts w:cs="Times New Roman"/>
          <w:sz w:val="20"/>
          <w:szCs w:val="20"/>
        </w:rPr>
        <w:t xml:space="preserve"> current reporting systems and data flows.</w:t>
      </w:r>
    </w:p>
    <w:p w14:paraId="4044FFEC" w14:textId="0AC195A2" w:rsidR="6A89CF6F" w:rsidRDefault="6A89CF6F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Assess and evaluate the accuracy and use of the data generated by the reporting requirements.</w:t>
      </w:r>
    </w:p>
    <w:p w14:paraId="73235B72" w14:textId="77777777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Identify redundancies, inconsistencies, and inefficiencies in existing reporting obligations.</w:t>
      </w:r>
    </w:p>
    <w:p w14:paraId="2E7812EF" w14:textId="5E04340B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 xml:space="preserve">Develop recommendations for streamlining, simplification, and improved </w:t>
      </w:r>
      <w:r w:rsidR="17776F11" w:rsidRPr="6EA4E928">
        <w:rPr>
          <w:rFonts w:cs="Times New Roman"/>
          <w:sz w:val="20"/>
          <w:szCs w:val="20"/>
        </w:rPr>
        <w:t xml:space="preserve">cost-effective </w:t>
      </w:r>
      <w:proofErr w:type="gramStart"/>
      <w:r w:rsidRPr="6EA4E928">
        <w:rPr>
          <w:rFonts w:cs="Times New Roman"/>
          <w:sz w:val="20"/>
          <w:szCs w:val="20"/>
        </w:rPr>
        <w:t>digitalisation of reporting</w:t>
      </w:r>
      <w:proofErr w:type="gramEnd"/>
      <w:r w:rsidRPr="6EA4E928">
        <w:rPr>
          <w:rFonts w:cs="Times New Roman"/>
          <w:sz w:val="20"/>
          <w:szCs w:val="20"/>
        </w:rPr>
        <w:t>.</w:t>
      </w:r>
    </w:p>
    <w:p w14:paraId="4F7B31AA" w14:textId="4308856A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Support compliance monitoring by providing insights and tools for the ICCAT Compliance Committee.</w:t>
      </w:r>
    </w:p>
    <w:p w14:paraId="3DEC2BA7" w14:textId="77777777" w:rsidR="00E21203" w:rsidRDefault="00E21203" w:rsidP="004865D8">
      <w:pPr>
        <w:pStyle w:val="ListBullet"/>
        <w:spacing w:after="0" w:line="240" w:lineRule="auto"/>
        <w:ind w:left="360"/>
        <w:jc w:val="both"/>
        <w:rPr>
          <w:rFonts w:cs="Times New Roman"/>
          <w:sz w:val="20"/>
          <w:szCs w:val="20"/>
        </w:rPr>
      </w:pPr>
    </w:p>
    <w:p w14:paraId="10ECAAC3" w14:textId="20BD55B3" w:rsidR="00E21203" w:rsidRDefault="002B024D" w:rsidP="00E21203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530BF6">
        <w:rPr>
          <w:rFonts w:asciiTheme="minorHAnsi" w:hAnsiTheme="minorHAnsi" w:cs="Times New Roman"/>
          <w:color w:val="auto"/>
          <w:sz w:val="20"/>
          <w:szCs w:val="20"/>
        </w:rPr>
        <w:t>Scope of Work</w:t>
      </w:r>
    </w:p>
    <w:p w14:paraId="66072606" w14:textId="77777777" w:rsidR="00E21203" w:rsidRDefault="00E21203" w:rsidP="00E21203">
      <w:pPr>
        <w:pStyle w:val="ListBullet"/>
        <w:spacing w:after="0" w:line="240" w:lineRule="auto"/>
        <w:ind w:left="360"/>
        <w:jc w:val="both"/>
        <w:rPr>
          <w:rFonts w:cs="Times New Roman"/>
          <w:sz w:val="20"/>
          <w:szCs w:val="20"/>
        </w:rPr>
      </w:pPr>
    </w:p>
    <w:p w14:paraId="1547DCBA" w14:textId="48EC35F7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 xml:space="preserve">Review all ICCAT </w:t>
      </w:r>
      <w:r w:rsidR="00B02F53" w:rsidRPr="6EA4E928">
        <w:rPr>
          <w:rFonts w:cs="Times New Roman"/>
          <w:sz w:val="20"/>
          <w:szCs w:val="20"/>
        </w:rPr>
        <w:t>Recommendations</w:t>
      </w:r>
      <w:r w:rsidRPr="6EA4E928">
        <w:rPr>
          <w:rFonts w:cs="Times New Roman"/>
          <w:sz w:val="20"/>
          <w:szCs w:val="20"/>
        </w:rPr>
        <w:t xml:space="preserve">, </w:t>
      </w:r>
      <w:r w:rsidR="00B02F53" w:rsidRPr="6EA4E928">
        <w:rPr>
          <w:rFonts w:cs="Times New Roman"/>
          <w:sz w:val="20"/>
          <w:szCs w:val="20"/>
        </w:rPr>
        <w:t>Resolutions</w:t>
      </w:r>
      <w:r w:rsidRPr="6EA4E928">
        <w:rPr>
          <w:rFonts w:cs="Times New Roman"/>
          <w:sz w:val="20"/>
          <w:szCs w:val="20"/>
        </w:rPr>
        <w:t xml:space="preserve">, and </w:t>
      </w:r>
      <w:r w:rsidR="00B02F53" w:rsidRPr="6EA4E928">
        <w:rPr>
          <w:rFonts w:cs="Times New Roman"/>
          <w:sz w:val="20"/>
          <w:szCs w:val="20"/>
        </w:rPr>
        <w:t xml:space="preserve">Rules </w:t>
      </w:r>
      <w:r w:rsidRPr="6EA4E928">
        <w:rPr>
          <w:rFonts w:cs="Times New Roman"/>
          <w:sz w:val="20"/>
          <w:szCs w:val="20"/>
        </w:rPr>
        <w:t>related to reporting.</w:t>
      </w:r>
    </w:p>
    <w:p w14:paraId="00EB8AD0" w14:textId="77777777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Analyse reporting practices, data quality, and timelines across CPCs.</w:t>
      </w:r>
    </w:p>
    <w:p w14:paraId="67390CBA" w14:textId="5214E49C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Consult ICCAT Secretariat, CPC representatives, industry, NGOs</w:t>
      </w:r>
      <w:r w:rsidR="57693E3F" w:rsidRPr="6EA4E928">
        <w:rPr>
          <w:rFonts w:cs="Times New Roman"/>
          <w:sz w:val="20"/>
          <w:szCs w:val="20"/>
        </w:rPr>
        <w:t xml:space="preserve"> or any other stakeholder deemed useful or necessary</w:t>
      </w:r>
      <w:r w:rsidRPr="6EA4E928">
        <w:rPr>
          <w:rFonts w:cs="Times New Roman"/>
          <w:sz w:val="20"/>
          <w:szCs w:val="20"/>
        </w:rPr>
        <w:t>.</w:t>
      </w:r>
    </w:p>
    <w:p w14:paraId="12AA1A22" w14:textId="2B2931A0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 xml:space="preserve">Benchmark </w:t>
      </w:r>
      <w:r w:rsidR="218B4587" w:rsidRPr="6EA4E928">
        <w:rPr>
          <w:rFonts w:cs="Times New Roman"/>
          <w:sz w:val="20"/>
          <w:szCs w:val="20"/>
        </w:rPr>
        <w:t xml:space="preserve">the effectiveness and efficiency of </w:t>
      </w:r>
      <w:r w:rsidRPr="6EA4E928">
        <w:rPr>
          <w:rFonts w:cs="Times New Roman"/>
          <w:sz w:val="20"/>
          <w:szCs w:val="20"/>
        </w:rPr>
        <w:t>ICCAT practices</w:t>
      </w:r>
      <w:r w:rsidR="2EC5CA8E" w:rsidRPr="6EA4E928">
        <w:rPr>
          <w:rFonts w:cs="Times New Roman"/>
          <w:sz w:val="20"/>
          <w:szCs w:val="20"/>
        </w:rPr>
        <w:t xml:space="preserve"> </w:t>
      </w:r>
      <w:r w:rsidRPr="6EA4E928">
        <w:rPr>
          <w:rFonts w:cs="Times New Roman"/>
          <w:sz w:val="20"/>
          <w:szCs w:val="20"/>
        </w:rPr>
        <w:t>against other Regional Fisheries Management Organisations (RFMOs)</w:t>
      </w:r>
      <w:r w:rsidR="5334EE4D" w:rsidRPr="6EA4E928">
        <w:rPr>
          <w:rFonts w:cs="Times New Roman"/>
          <w:sz w:val="20"/>
          <w:szCs w:val="20"/>
        </w:rPr>
        <w:t xml:space="preserve"> in terms of burden for CPCs and resources deployed in the secretariat</w:t>
      </w:r>
      <w:r w:rsidRPr="6EA4E928">
        <w:rPr>
          <w:rFonts w:cs="Times New Roman"/>
          <w:sz w:val="20"/>
          <w:szCs w:val="20"/>
        </w:rPr>
        <w:t>.</w:t>
      </w:r>
    </w:p>
    <w:p w14:paraId="22B95223" w14:textId="77777777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Produce a comprehensive assessment and propose simplified, harmonised, and technology-enhanced reporting solutions.</w:t>
      </w:r>
    </w:p>
    <w:p w14:paraId="23C00D63" w14:textId="77777777" w:rsidR="00E21203" w:rsidRDefault="00E21203" w:rsidP="00B97352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14:paraId="3A90BCA4" w14:textId="28536E6D" w:rsidR="001848E7" w:rsidRDefault="002B024D" w:rsidP="00B97352">
      <w:pPr>
        <w:pStyle w:val="Heading2"/>
        <w:spacing w:before="0" w:line="240" w:lineRule="auto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530BF6">
        <w:rPr>
          <w:rFonts w:asciiTheme="minorHAnsi" w:hAnsiTheme="minorHAnsi" w:cs="Times New Roman"/>
          <w:color w:val="auto"/>
          <w:sz w:val="20"/>
          <w:szCs w:val="20"/>
        </w:rPr>
        <w:t>Expected Impact</w:t>
      </w:r>
    </w:p>
    <w:p w14:paraId="262CBE9B" w14:textId="77777777" w:rsidR="00E21203" w:rsidRDefault="00E21203" w:rsidP="00E21203">
      <w:pPr>
        <w:pStyle w:val="ListBullet"/>
        <w:spacing w:after="0" w:line="240" w:lineRule="auto"/>
        <w:ind w:left="360"/>
        <w:jc w:val="both"/>
        <w:rPr>
          <w:rFonts w:cs="Times New Roman"/>
          <w:sz w:val="20"/>
          <w:szCs w:val="20"/>
        </w:rPr>
      </w:pPr>
    </w:p>
    <w:p w14:paraId="5DA1B4B2" w14:textId="2BA2F8BA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 xml:space="preserve">A detailed report </w:t>
      </w:r>
      <w:r w:rsidR="5E160B43" w:rsidRPr="6EA4E928">
        <w:rPr>
          <w:rFonts w:cs="Times New Roman"/>
          <w:sz w:val="20"/>
          <w:szCs w:val="20"/>
        </w:rPr>
        <w:t xml:space="preserve">including </w:t>
      </w:r>
      <w:r w:rsidRPr="6EA4E928">
        <w:rPr>
          <w:rFonts w:cs="Times New Roman"/>
          <w:sz w:val="20"/>
          <w:szCs w:val="20"/>
        </w:rPr>
        <w:t>policy recommendations for a more efficient, transparent, and coherent reporting system.</w:t>
      </w:r>
    </w:p>
    <w:p w14:paraId="1F9DF7B1" w14:textId="77777777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Reduced administrative burden for CPCs and the ICCAT Secretariat.</w:t>
      </w:r>
    </w:p>
    <w:p w14:paraId="0A3411C7" w14:textId="77777777" w:rsidR="001848E7" w:rsidRPr="00530BF6" w:rsidRDefault="002B024D" w:rsidP="004865D8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6EA4E928">
        <w:rPr>
          <w:rFonts w:cs="Times New Roman"/>
          <w:sz w:val="20"/>
          <w:szCs w:val="20"/>
        </w:rPr>
        <w:t>Improved data reliability and compliance, leading to better-informed management decisions.</w:t>
      </w:r>
    </w:p>
    <w:sectPr w:rsidR="001848E7" w:rsidRPr="00530BF6" w:rsidSect="007E4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318B" w14:textId="77777777" w:rsidR="007028F8" w:rsidRDefault="007028F8" w:rsidP="007028F8">
      <w:pPr>
        <w:spacing w:after="0" w:line="240" w:lineRule="auto"/>
      </w:pPr>
      <w:r>
        <w:separator/>
      </w:r>
    </w:p>
  </w:endnote>
  <w:endnote w:type="continuationSeparator" w:id="0">
    <w:p w14:paraId="691E211E" w14:textId="77777777" w:rsidR="007028F8" w:rsidRDefault="007028F8" w:rsidP="0070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B46C" w14:textId="77777777" w:rsidR="00AF1ADF" w:rsidRDefault="00AF1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1258" w14:textId="696649B5" w:rsidR="007E4ED0" w:rsidRPr="007E4ED0" w:rsidRDefault="00AF1ADF" w:rsidP="00AF1ADF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E4ED0" w:rsidRPr="00713AD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instrText xml:space="preserve"> PAGE </w:instrText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7E4ED0">
          <w:rPr>
            <w:rFonts w:ascii="Cambria" w:eastAsia="Calibri" w:hAnsi="Cambria" w:cs="Calibri"/>
            <w:szCs w:val="20"/>
          </w:rPr>
          <w:t>1</w:t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fldChar w:fldCharType="end"/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t xml:space="preserve"> / </w:t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fldChar w:fldCharType="begin"/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instrText xml:space="preserve"> NUMPAGES  </w:instrText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fldChar w:fldCharType="separate"/>
        </w:r>
        <w:r w:rsidR="007E4ED0">
          <w:rPr>
            <w:rFonts w:ascii="Cambria" w:eastAsia="Calibri" w:hAnsi="Cambria" w:cs="Calibri"/>
            <w:szCs w:val="20"/>
          </w:rPr>
          <w:t>20</w:t>
        </w:r>
        <w:r w:rsidR="007E4ED0" w:rsidRPr="00713AD4">
          <w:rPr>
            <w:rFonts w:ascii="Cambria" w:eastAsia="Calibri" w:hAnsi="Cambria" w:cs="Calibri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2582" w14:textId="77777777" w:rsidR="00AF1ADF" w:rsidRDefault="00AF1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EE20" w14:textId="77777777" w:rsidR="007028F8" w:rsidRDefault="007028F8" w:rsidP="007028F8">
      <w:pPr>
        <w:spacing w:after="0" w:line="240" w:lineRule="auto"/>
      </w:pPr>
      <w:r>
        <w:separator/>
      </w:r>
    </w:p>
  </w:footnote>
  <w:footnote w:type="continuationSeparator" w:id="0">
    <w:p w14:paraId="4E1B121A" w14:textId="77777777" w:rsidR="007028F8" w:rsidRDefault="007028F8" w:rsidP="0070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7233" w14:textId="77777777" w:rsidR="00AF1ADF" w:rsidRDefault="00AF1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C25A" w14:textId="21919AFF" w:rsidR="007028F8" w:rsidRPr="007028F8" w:rsidRDefault="007028F8" w:rsidP="007028F8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 w:cs="Times New Roman"/>
        <w:b/>
        <w:bCs/>
        <w:sz w:val="20"/>
        <w:szCs w:val="20"/>
      </w:rPr>
      <w:t>PWG_427</w:t>
    </w:r>
    <w:r w:rsidRPr="007028F8">
      <w:rPr>
        <w:rFonts w:ascii="Cambria" w:eastAsia="Calibri" w:hAnsi="Cambria" w:cs="Times New Roman"/>
        <w:b/>
        <w:bCs/>
        <w:sz w:val="20"/>
        <w:szCs w:val="20"/>
      </w:rPr>
      <w:t>/2025</w:t>
    </w:r>
  </w:p>
  <w:p w14:paraId="0F92383E" w14:textId="12EF59F4" w:rsidR="007028F8" w:rsidRDefault="007028F8" w:rsidP="006528C3">
    <w:pPr>
      <w:tabs>
        <w:tab w:val="left" w:pos="7320"/>
      </w:tabs>
      <w:spacing w:after="0" w:line="240" w:lineRule="exact"/>
      <w:jc w:val="right"/>
    </w:pPr>
    <w:r w:rsidRPr="007028F8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begin"/>
    </w:r>
    <w:r w:rsidRPr="007028F8">
      <w:rPr>
        <w:rFonts w:ascii="Cambria" w:eastAsia="Times New Roman" w:hAnsi="Cambria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7028F8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separate"/>
    </w:r>
    <w:r w:rsidR="005C7BB8">
      <w:rPr>
        <w:rFonts w:ascii="Cambria" w:eastAsia="Times New Roman" w:hAnsi="Cambria" w:cs="Times New Roman"/>
        <w:b/>
        <w:bCs/>
        <w:noProof/>
        <w:sz w:val="16"/>
        <w:szCs w:val="16"/>
        <w:lang w:val="es-ES_tradnl"/>
      </w:rPr>
      <w:t>15/11/2025 14:49</w:t>
    </w:r>
    <w:r w:rsidRPr="007028F8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8C0E" w14:textId="77777777" w:rsidR="00AF1ADF" w:rsidRDefault="00AF1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F94BC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9AFA18"/>
    <w:multiLevelType w:val="hybridMultilevel"/>
    <w:tmpl w:val="8D00A116"/>
    <w:lvl w:ilvl="0" w:tplc="4EB03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C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CC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8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0F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29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6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28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603723">
    <w:abstractNumId w:val="9"/>
  </w:num>
  <w:num w:numId="2" w16cid:durableId="175655890">
    <w:abstractNumId w:val="8"/>
  </w:num>
  <w:num w:numId="3" w16cid:durableId="1041636422">
    <w:abstractNumId w:val="6"/>
  </w:num>
  <w:num w:numId="4" w16cid:durableId="1959990845">
    <w:abstractNumId w:val="5"/>
  </w:num>
  <w:num w:numId="5" w16cid:durableId="1102187722">
    <w:abstractNumId w:val="4"/>
  </w:num>
  <w:num w:numId="6" w16cid:durableId="2095080027">
    <w:abstractNumId w:val="7"/>
  </w:num>
  <w:num w:numId="7" w16cid:durableId="418794703">
    <w:abstractNumId w:val="3"/>
  </w:num>
  <w:num w:numId="8" w16cid:durableId="1656714157">
    <w:abstractNumId w:val="2"/>
  </w:num>
  <w:num w:numId="9" w16cid:durableId="1787849393">
    <w:abstractNumId w:val="1"/>
  </w:num>
  <w:num w:numId="10" w16cid:durableId="192664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47730"/>
    <w:rsid w:val="00034616"/>
    <w:rsid w:val="0006063C"/>
    <w:rsid w:val="0015074B"/>
    <w:rsid w:val="001848E7"/>
    <w:rsid w:val="0029639D"/>
    <w:rsid w:val="002B024D"/>
    <w:rsid w:val="00326F90"/>
    <w:rsid w:val="003600B1"/>
    <w:rsid w:val="004865D8"/>
    <w:rsid w:val="00530BF6"/>
    <w:rsid w:val="005C7BB8"/>
    <w:rsid w:val="006528C3"/>
    <w:rsid w:val="006A1E52"/>
    <w:rsid w:val="007028F8"/>
    <w:rsid w:val="007E4ED0"/>
    <w:rsid w:val="00A67E12"/>
    <w:rsid w:val="00AA1D8D"/>
    <w:rsid w:val="00AF1ADF"/>
    <w:rsid w:val="00B02F53"/>
    <w:rsid w:val="00B47730"/>
    <w:rsid w:val="00B97352"/>
    <w:rsid w:val="00C02495"/>
    <w:rsid w:val="00CB0664"/>
    <w:rsid w:val="00CC152E"/>
    <w:rsid w:val="00E21203"/>
    <w:rsid w:val="00E55239"/>
    <w:rsid w:val="00FA5478"/>
    <w:rsid w:val="00FC693F"/>
    <w:rsid w:val="11007CCA"/>
    <w:rsid w:val="17776F11"/>
    <w:rsid w:val="1ED49442"/>
    <w:rsid w:val="1FB595E4"/>
    <w:rsid w:val="218B4587"/>
    <w:rsid w:val="273894B6"/>
    <w:rsid w:val="2CA916E3"/>
    <w:rsid w:val="2EC5CA8E"/>
    <w:rsid w:val="322240A1"/>
    <w:rsid w:val="3639877A"/>
    <w:rsid w:val="3F93FD50"/>
    <w:rsid w:val="48CF488A"/>
    <w:rsid w:val="5334EE4D"/>
    <w:rsid w:val="57693E3F"/>
    <w:rsid w:val="5CEBC27F"/>
    <w:rsid w:val="5E160B43"/>
    <w:rsid w:val="61005207"/>
    <w:rsid w:val="64298B88"/>
    <w:rsid w:val="66D38EAB"/>
    <w:rsid w:val="6A89CF6F"/>
    <w:rsid w:val="6B83B94E"/>
    <w:rsid w:val="6EA4E928"/>
    <w:rsid w:val="7564E85F"/>
    <w:rsid w:val="7FF7D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B4C12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02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5E712-F18A-4876-B9CA-91702CAF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2025-11-15T12:02:00Z</dcterms:created>
  <dcterms:modified xsi:type="dcterms:W3CDTF">2025-11-15T13:51:00Z</dcterms:modified>
  <cp:category/>
</cp:coreProperties>
</file>