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2124" w14:textId="77777777" w:rsidR="002C77AF" w:rsidRPr="006230CC" w:rsidRDefault="002C77AF" w:rsidP="002C77AF">
      <w:pPr>
        <w:widowControl w:val="0"/>
        <w:autoSpaceDE w:val="0"/>
        <w:autoSpaceDN w:val="0"/>
        <w:spacing w:after="0" w:line="240" w:lineRule="auto"/>
        <w:jc w:val="center"/>
        <w:rPr>
          <w:rFonts w:asciiTheme="majorHAnsi" w:eastAsia="Cambria" w:hAnsiTheme="majorHAnsi" w:cs="Cambria"/>
          <w:b/>
          <w:kern w:val="0"/>
          <w:sz w:val="20"/>
          <w:szCs w:val="20"/>
          <w:lang w:val="en-US"/>
          <w14:ligatures w14:val="none"/>
        </w:rPr>
      </w:pPr>
    </w:p>
    <w:p w14:paraId="31AA98A7" w14:textId="5ADD64E2" w:rsidR="002C77AF" w:rsidRPr="006230CC" w:rsidRDefault="002C77AF" w:rsidP="002C77AF">
      <w:pPr>
        <w:widowControl w:val="0"/>
        <w:autoSpaceDE w:val="0"/>
        <w:autoSpaceDN w:val="0"/>
        <w:spacing w:after="0" w:line="240" w:lineRule="auto"/>
        <w:jc w:val="center"/>
        <w:rPr>
          <w:rFonts w:asciiTheme="majorHAnsi" w:eastAsia="Cambria" w:hAnsiTheme="majorHAnsi" w:cs="Cambria"/>
          <w:b/>
          <w:kern w:val="0"/>
          <w:sz w:val="20"/>
          <w:szCs w:val="20"/>
          <w14:ligatures w14:val="none"/>
        </w:rPr>
      </w:pPr>
      <w:r w:rsidRPr="006230CC">
        <w:rPr>
          <w:rFonts w:asciiTheme="majorHAnsi" w:hAnsiTheme="majorHAnsi"/>
          <w:b/>
          <w:sz w:val="20"/>
          <w:szCs w:val="20"/>
        </w:rPr>
        <w:t>Page de garde accompagnant les nouvelles propositions</w:t>
      </w:r>
    </w:p>
    <w:p w14:paraId="78AF144F" w14:textId="77777777" w:rsidR="002C77AF" w:rsidRPr="006230CC" w:rsidRDefault="002C77AF" w:rsidP="002C77AF">
      <w:pPr>
        <w:widowControl w:val="0"/>
        <w:autoSpaceDE w:val="0"/>
        <w:autoSpaceDN w:val="0"/>
        <w:spacing w:after="0" w:line="240" w:lineRule="auto"/>
        <w:jc w:val="center"/>
        <w:rPr>
          <w:rFonts w:asciiTheme="majorHAnsi" w:eastAsia="Cambria" w:hAnsiTheme="majorHAnsi" w:cs="Cambria"/>
          <w:b/>
          <w:bCs/>
          <w:i/>
          <w:iCs/>
          <w:kern w:val="0"/>
          <w:sz w:val="20"/>
          <w:szCs w:val="20"/>
          <w14:ligatures w14:val="none"/>
        </w:rPr>
      </w:pPr>
    </w:p>
    <w:p w14:paraId="6FAB0C23" w14:textId="2D12AF33" w:rsidR="002C77AF" w:rsidRPr="006230CC" w:rsidRDefault="002C77AF" w:rsidP="002C77AF">
      <w:pPr>
        <w:widowControl w:val="0"/>
        <w:autoSpaceDE w:val="0"/>
        <w:autoSpaceDN w:val="0"/>
        <w:spacing w:after="0" w:line="240" w:lineRule="auto"/>
        <w:jc w:val="center"/>
        <w:rPr>
          <w:rFonts w:asciiTheme="majorHAnsi" w:eastAsia="Cambria" w:hAnsiTheme="majorHAnsi" w:cs="Cambria"/>
          <w:i/>
          <w:iCs/>
          <w:kern w:val="0"/>
          <w:sz w:val="20"/>
          <w:szCs w:val="20"/>
          <w14:ligatures w14:val="none"/>
        </w:rPr>
      </w:pPr>
      <w:r w:rsidRPr="006230CC">
        <w:rPr>
          <w:rFonts w:asciiTheme="majorHAnsi" w:hAnsiTheme="majorHAnsi"/>
          <w:i/>
          <w:sz w:val="20"/>
          <w:szCs w:val="20"/>
        </w:rPr>
        <w:t>(Document présenté par l’Union européenne)</w:t>
      </w:r>
    </w:p>
    <w:p w14:paraId="5A0DAA6F" w14:textId="77777777" w:rsidR="00115C40" w:rsidRPr="006230CC" w:rsidRDefault="00115C40" w:rsidP="1CCA3B5F">
      <w:pPr>
        <w:widowControl w:val="0"/>
        <w:spacing w:after="0" w:line="240" w:lineRule="auto"/>
        <w:ind w:hanging="10"/>
        <w:jc w:val="both"/>
        <w:rPr>
          <w:rFonts w:asciiTheme="majorHAnsi" w:eastAsia="Cambria" w:hAnsiTheme="majorHAnsi" w:cs="Cambria"/>
          <w:b/>
          <w:bCs/>
          <w:color w:val="000000" w:themeColor="text1"/>
          <w:sz w:val="20"/>
          <w:szCs w:val="20"/>
        </w:rPr>
      </w:pPr>
    </w:p>
    <w:p w14:paraId="45DD7181" w14:textId="45C171FA" w:rsidR="06F7A77E" w:rsidRPr="006230CC" w:rsidRDefault="06F7A77E" w:rsidP="724FE288">
      <w:pPr>
        <w:widowControl w:val="0"/>
        <w:spacing w:after="0" w:line="240" w:lineRule="auto"/>
        <w:ind w:hanging="10"/>
        <w:jc w:val="both"/>
        <w:rPr>
          <w:rFonts w:asciiTheme="majorHAnsi" w:eastAsia="Cambria" w:hAnsiTheme="majorHAnsi" w:cs="Cambria"/>
          <w:color w:val="0070C0"/>
          <w:sz w:val="20"/>
          <w:szCs w:val="20"/>
        </w:rPr>
      </w:pPr>
      <w:r w:rsidRPr="006230CC">
        <w:rPr>
          <w:rFonts w:asciiTheme="majorHAnsi" w:hAnsiTheme="majorHAnsi"/>
          <w:b/>
          <w:color w:val="000000" w:themeColor="text1"/>
          <w:sz w:val="20"/>
          <w:szCs w:val="20"/>
        </w:rPr>
        <w:t xml:space="preserve">Titre de la proposition de projet de Recommandation/Résolution : </w:t>
      </w:r>
      <w:r w:rsidRPr="006230CC">
        <w:rPr>
          <w:rFonts w:asciiTheme="majorHAnsi" w:hAnsiTheme="majorHAnsi"/>
          <w:color w:val="EE0000"/>
          <w:sz w:val="20"/>
          <w:szCs w:val="20"/>
        </w:rPr>
        <w:t xml:space="preserve">Proposition visant à introduire des systèmes de surveillance électronique (EMS) pour améliorer le contrôle des navires de transformation de thon rouge  </w:t>
      </w:r>
    </w:p>
    <w:p w14:paraId="0977BD88" w14:textId="1E16FAD1" w:rsidR="69DFD198" w:rsidRPr="006230CC" w:rsidRDefault="69DFD198" w:rsidP="1CCA3B5F">
      <w:pPr>
        <w:widowControl w:val="0"/>
        <w:spacing w:after="0" w:line="240" w:lineRule="auto"/>
        <w:ind w:hanging="10"/>
        <w:jc w:val="both"/>
        <w:rPr>
          <w:rFonts w:asciiTheme="majorHAnsi" w:eastAsia="Cambria" w:hAnsiTheme="majorHAnsi" w:cs="Cambria"/>
          <w:color w:val="000000" w:themeColor="text1"/>
          <w:sz w:val="20"/>
          <w:szCs w:val="20"/>
        </w:rPr>
      </w:pPr>
    </w:p>
    <w:p w14:paraId="50A67D53" w14:textId="1F63F5CE" w:rsidR="69DFD198" w:rsidRPr="006230CC" w:rsidRDefault="06F7A77E" w:rsidP="1CCA3B5F">
      <w:pPr>
        <w:widowControl w:val="0"/>
        <w:spacing w:after="0" w:line="240" w:lineRule="auto"/>
        <w:ind w:hanging="10"/>
        <w:jc w:val="both"/>
        <w:rPr>
          <w:rFonts w:asciiTheme="majorHAnsi" w:eastAsia="Cambria" w:hAnsiTheme="majorHAnsi" w:cs="Cambria"/>
          <w:color w:val="000000" w:themeColor="text1"/>
          <w:sz w:val="20"/>
          <w:szCs w:val="20"/>
        </w:rPr>
      </w:pPr>
      <w:r w:rsidRPr="006230CC">
        <w:rPr>
          <w:rFonts w:asciiTheme="majorHAnsi" w:hAnsiTheme="majorHAnsi"/>
          <w:b/>
          <w:color w:val="000000" w:themeColor="text1"/>
          <w:sz w:val="20"/>
          <w:szCs w:val="20"/>
        </w:rPr>
        <w:t>Titre de la ou des Recommandations ou Résolutions en vigueur traitant des mêmes questions ou de questions connexes :</w:t>
      </w:r>
    </w:p>
    <w:p w14:paraId="7C68C858" w14:textId="0EB8C6B5" w:rsidR="69DFD198" w:rsidRPr="006230CC" w:rsidRDefault="69DFD198" w:rsidP="1CCA3B5F">
      <w:pPr>
        <w:widowControl w:val="0"/>
        <w:spacing w:after="0" w:line="240" w:lineRule="auto"/>
        <w:ind w:left="10" w:hanging="10"/>
        <w:jc w:val="both"/>
        <w:rPr>
          <w:rFonts w:asciiTheme="majorHAnsi" w:eastAsia="Cambria" w:hAnsiTheme="majorHAnsi" w:cs="Cambria"/>
          <w:color w:val="000000" w:themeColor="text1"/>
          <w:sz w:val="20"/>
          <w:szCs w:val="20"/>
        </w:rPr>
      </w:pPr>
    </w:p>
    <w:p w14:paraId="75E08966" w14:textId="35178760" w:rsidR="06F7A77E" w:rsidRPr="006230CC" w:rsidRDefault="06F7A77E" w:rsidP="724FE288">
      <w:pPr>
        <w:pStyle w:val="ListParagraph"/>
        <w:widowControl w:val="0"/>
        <w:numPr>
          <w:ilvl w:val="0"/>
          <w:numId w:val="3"/>
        </w:numPr>
        <w:spacing w:after="0" w:line="240" w:lineRule="auto"/>
        <w:jc w:val="both"/>
        <w:rPr>
          <w:rFonts w:asciiTheme="majorHAnsi" w:eastAsia="Cambria" w:hAnsiTheme="majorHAnsi" w:cs="Cambria"/>
          <w:color w:val="EE0000"/>
          <w:sz w:val="20"/>
          <w:szCs w:val="20"/>
        </w:rPr>
      </w:pPr>
      <w:r w:rsidRPr="006230CC">
        <w:rPr>
          <w:rFonts w:asciiTheme="majorHAnsi" w:hAnsiTheme="majorHAnsi"/>
          <w:i/>
          <w:iCs/>
          <w:color w:val="EE0000"/>
          <w:sz w:val="20"/>
          <w:szCs w:val="20"/>
        </w:rPr>
        <w:t>Résolution de l'ICCAT établissant un projet pilote aux fins de la mise en œuvre de la surveillance électronique à distance (REM) à bord des navires de transformation du thon rouge</w:t>
      </w:r>
      <w:r w:rsidRPr="006230CC">
        <w:rPr>
          <w:rFonts w:asciiTheme="majorHAnsi" w:hAnsiTheme="majorHAnsi"/>
          <w:color w:val="EE0000"/>
          <w:sz w:val="20"/>
          <w:szCs w:val="20"/>
        </w:rPr>
        <w:t xml:space="preserve"> (Rés. 21-17)</w:t>
      </w:r>
    </w:p>
    <w:p w14:paraId="39E18B80" w14:textId="427F3C22" w:rsidR="06F7A77E" w:rsidRPr="006230CC" w:rsidRDefault="06F7A77E" w:rsidP="724FE288">
      <w:pPr>
        <w:pStyle w:val="ListParagraph"/>
        <w:widowControl w:val="0"/>
        <w:numPr>
          <w:ilvl w:val="0"/>
          <w:numId w:val="2"/>
        </w:numPr>
        <w:spacing w:after="0" w:line="240" w:lineRule="auto"/>
        <w:jc w:val="both"/>
        <w:rPr>
          <w:rFonts w:asciiTheme="majorHAnsi" w:eastAsia="Cambria" w:hAnsiTheme="majorHAnsi" w:cs="Cambria"/>
          <w:color w:val="EE0000"/>
          <w:sz w:val="20"/>
          <w:szCs w:val="20"/>
        </w:rPr>
      </w:pPr>
      <w:r w:rsidRPr="006230CC">
        <w:rPr>
          <w:rFonts w:asciiTheme="majorHAnsi" w:hAnsiTheme="majorHAnsi"/>
          <w:i/>
          <w:iCs/>
          <w:color w:val="EE0000"/>
          <w:sz w:val="20"/>
          <w:szCs w:val="20"/>
        </w:rPr>
        <w:t xml:space="preserve">Recommandation de l’ICCAT amendant la Recommandation 22-08 établissant un plan pluriannuel de gestion du thon rouge dans l’Atlantique Est et la Méditerranée </w:t>
      </w:r>
      <w:r w:rsidRPr="006230CC">
        <w:rPr>
          <w:rFonts w:asciiTheme="majorHAnsi" w:hAnsiTheme="majorHAnsi"/>
          <w:color w:val="EE0000"/>
          <w:sz w:val="20"/>
          <w:szCs w:val="20"/>
        </w:rPr>
        <w:t>(Rec. 24-05)</w:t>
      </w:r>
    </w:p>
    <w:p w14:paraId="3D7C5F77" w14:textId="0F52C6C9" w:rsidR="7A6F04D9" w:rsidRPr="006230CC" w:rsidRDefault="7A6F04D9" w:rsidP="724FE288">
      <w:pPr>
        <w:pStyle w:val="ListParagraph"/>
        <w:widowControl w:val="0"/>
        <w:numPr>
          <w:ilvl w:val="0"/>
          <w:numId w:val="1"/>
        </w:numPr>
        <w:spacing w:after="0" w:line="240" w:lineRule="auto"/>
        <w:jc w:val="both"/>
        <w:rPr>
          <w:rFonts w:asciiTheme="majorHAnsi" w:eastAsia="Cambria" w:hAnsiTheme="majorHAnsi" w:cs="Cambria"/>
          <w:color w:val="EE0000"/>
          <w:sz w:val="20"/>
          <w:szCs w:val="20"/>
        </w:rPr>
      </w:pPr>
      <w:r w:rsidRPr="006230CC">
        <w:rPr>
          <w:rFonts w:asciiTheme="majorHAnsi" w:hAnsiTheme="majorHAnsi"/>
          <w:i/>
          <w:iCs/>
          <w:color w:val="EE0000"/>
          <w:sz w:val="20"/>
          <w:szCs w:val="20"/>
        </w:rPr>
        <w:t xml:space="preserve">Recommandation de l’ICCAT visant à établir des normes minimales et des exigences du programme aux fins de l'utilisation des systèmes de surveillance électronique (EMS) dans les pêcheries de l’ICCAT </w:t>
      </w:r>
      <w:r w:rsidRPr="006230CC">
        <w:rPr>
          <w:rFonts w:asciiTheme="majorHAnsi" w:hAnsiTheme="majorHAnsi"/>
          <w:color w:val="EE0000"/>
          <w:sz w:val="20"/>
          <w:szCs w:val="20"/>
        </w:rPr>
        <w:t>(Rec. 23-18)</w:t>
      </w:r>
    </w:p>
    <w:p w14:paraId="095C6CEB" w14:textId="755817EB" w:rsidR="69DFD198" w:rsidRPr="006230CC" w:rsidRDefault="69DFD198" w:rsidP="1CCA3B5F">
      <w:pPr>
        <w:widowControl w:val="0"/>
        <w:spacing w:after="0" w:line="240" w:lineRule="auto"/>
        <w:ind w:hanging="10"/>
        <w:jc w:val="both"/>
        <w:rPr>
          <w:rFonts w:asciiTheme="majorHAnsi" w:eastAsia="Cambria" w:hAnsiTheme="majorHAnsi" w:cs="Cambria"/>
          <w:color w:val="0070C0"/>
          <w:sz w:val="20"/>
          <w:szCs w:val="20"/>
        </w:rPr>
      </w:pPr>
    </w:p>
    <w:p w14:paraId="5518CFB5" w14:textId="5A5D95F1" w:rsidR="69DFD198" w:rsidRPr="006230CC" w:rsidRDefault="69DFD198" w:rsidP="1CCA3B5F">
      <w:pPr>
        <w:widowControl w:val="0"/>
        <w:spacing w:after="0" w:line="240" w:lineRule="auto"/>
        <w:ind w:hanging="10"/>
        <w:jc w:val="both"/>
        <w:rPr>
          <w:rFonts w:asciiTheme="majorHAnsi" w:eastAsia="Cambria" w:hAnsiTheme="majorHAnsi" w:cs="Cambria"/>
          <w:color w:val="000000" w:themeColor="text1"/>
          <w:sz w:val="20"/>
          <w:szCs w:val="20"/>
        </w:rPr>
      </w:pPr>
    </w:p>
    <w:p w14:paraId="496D3D4F" w14:textId="5E28881F" w:rsidR="69DFD198" w:rsidRPr="006230CC" w:rsidRDefault="06F7A77E" w:rsidP="1CCA3B5F">
      <w:pPr>
        <w:pStyle w:val="ListParagraph"/>
        <w:widowControl w:val="0"/>
        <w:numPr>
          <w:ilvl w:val="0"/>
          <w:numId w:val="4"/>
        </w:numPr>
        <w:spacing w:after="0" w:line="240" w:lineRule="auto"/>
        <w:ind w:left="426" w:hanging="426"/>
        <w:rPr>
          <w:rFonts w:asciiTheme="majorHAnsi" w:eastAsia="Cambria" w:hAnsiTheme="majorHAnsi" w:cs="Cambria"/>
          <w:color w:val="EE0000"/>
          <w:sz w:val="20"/>
          <w:szCs w:val="20"/>
        </w:rPr>
      </w:pPr>
      <w:r w:rsidRPr="006230CC">
        <w:rPr>
          <w:rFonts w:asciiTheme="majorHAnsi" w:hAnsiTheme="majorHAnsi"/>
          <w:color w:val="000000" w:themeColor="text1"/>
          <w:sz w:val="20"/>
          <w:szCs w:val="20"/>
        </w:rPr>
        <w:t xml:space="preserve">Cela crée-t-il de nouvelles </w:t>
      </w:r>
      <w:r w:rsidRPr="006230CC">
        <w:rPr>
          <w:rFonts w:asciiTheme="majorHAnsi" w:hAnsiTheme="majorHAnsi"/>
          <w:b/>
          <w:color w:val="000000" w:themeColor="text1"/>
          <w:sz w:val="20"/>
          <w:szCs w:val="20"/>
        </w:rPr>
        <w:t xml:space="preserve">obligations de déclaration </w:t>
      </w:r>
      <w:r w:rsidRPr="006230CC">
        <w:rPr>
          <w:rFonts w:asciiTheme="majorHAnsi" w:hAnsiTheme="majorHAnsi"/>
          <w:color w:val="000000" w:themeColor="text1"/>
          <w:sz w:val="20"/>
          <w:szCs w:val="20"/>
        </w:rPr>
        <w:t xml:space="preserve">pour les CPC ?     Oui  </w:t>
      </w:r>
      <w:r w:rsidRPr="006230CC">
        <w:rPr>
          <w:rFonts w:ascii="Segoe UI Symbol" w:hAnsi="Segoe UI Symbol" w:cs="Segoe UI Symbol"/>
          <w:color w:val="000000" w:themeColor="text1"/>
          <w:sz w:val="20"/>
          <w:szCs w:val="20"/>
        </w:rPr>
        <w:t>☐</w:t>
      </w:r>
      <w:r w:rsidRPr="006230CC">
        <w:rPr>
          <w:rFonts w:asciiTheme="majorHAnsi" w:hAnsiTheme="majorHAnsi"/>
          <w:color w:val="000000" w:themeColor="text1"/>
          <w:sz w:val="20"/>
          <w:szCs w:val="20"/>
        </w:rPr>
        <w:t xml:space="preserve"> </w:t>
      </w:r>
      <w:r w:rsidRPr="006230CC">
        <w:rPr>
          <w:rFonts w:asciiTheme="majorHAnsi" w:hAnsiTheme="majorHAnsi"/>
          <w:sz w:val="20"/>
          <w:szCs w:val="20"/>
        </w:rPr>
        <w:tab/>
      </w:r>
      <w:r w:rsidRPr="006230CC">
        <w:rPr>
          <w:rFonts w:asciiTheme="majorHAnsi" w:hAnsiTheme="majorHAnsi"/>
          <w:sz w:val="20"/>
          <w:szCs w:val="20"/>
        </w:rPr>
        <w:tab/>
      </w:r>
      <w:r w:rsidRPr="006230CC">
        <w:rPr>
          <w:rFonts w:asciiTheme="majorHAnsi" w:hAnsiTheme="majorHAnsi"/>
          <w:color w:val="EE0000"/>
          <w:sz w:val="20"/>
          <w:szCs w:val="20"/>
        </w:rPr>
        <w:t xml:space="preserve">Non  </w:t>
      </w:r>
      <w:r w:rsidRPr="006230CC">
        <w:rPr>
          <w:rFonts w:ascii="Segoe UI Symbol" w:hAnsi="Segoe UI Symbol" w:cs="Segoe UI Symbol"/>
          <w:color w:val="EE0000"/>
          <w:sz w:val="20"/>
          <w:szCs w:val="20"/>
        </w:rPr>
        <w:t>☒</w:t>
      </w:r>
      <w:r w:rsidRPr="006230CC">
        <w:rPr>
          <w:rFonts w:asciiTheme="majorHAnsi" w:hAnsiTheme="majorHAnsi"/>
          <w:sz w:val="20"/>
          <w:szCs w:val="20"/>
        </w:rPr>
        <w:t>.</w:t>
      </w:r>
      <w:r w:rsidRPr="006230CC">
        <w:rPr>
          <w:rFonts w:asciiTheme="majorHAnsi" w:hAnsiTheme="majorHAnsi"/>
          <w:color w:val="EE0000"/>
          <w:sz w:val="20"/>
          <w:szCs w:val="20"/>
        </w:rPr>
        <w:t xml:space="preserve"> </w:t>
      </w:r>
    </w:p>
    <w:p w14:paraId="6061482C" w14:textId="740C5C35" w:rsidR="69DFD198" w:rsidRPr="006230CC"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44665ABE" w14:textId="78CFF91E" w:rsidR="69DFD198" w:rsidRPr="006230CC" w:rsidRDefault="06F7A77E" w:rsidP="1CCA3B5F">
      <w:pPr>
        <w:widowControl w:val="0"/>
        <w:spacing w:after="0" w:line="240" w:lineRule="auto"/>
        <w:ind w:left="426" w:hanging="10"/>
        <w:jc w:val="both"/>
        <w:rPr>
          <w:rFonts w:asciiTheme="majorHAnsi" w:eastAsia="Cambria" w:hAnsiTheme="majorHAnsi" w:cs="Cambria"/>
          <w:color w:val="000000" w:themeColor="text1"/>
          <w:sz w:val="20"/>
          <w:szCs w:val="20"/>
        </w:rPr>
      </w:pPr>
      <w:r w:rsidRPr="006230CC">
        <w:rPr>
          <w:rFonts w:asciiTheme="majorHAnsi" w:hAnsiTheme="majorHAnsi"/>
          <w:color w:val="000000" w:themeColor="text1"/>
          <w:sz w:val="20"/>
          <w:szCs w:val="20"/>
        </w:rPr>
        <w:t xml:space="preserve">Brève description de la ou des nouvelle(s) obligation(s) de déclaration : </w:t>
      </w:r>
    </w:p>
    <w:p w14:paraId="6C65AA1A" w14:textId="704A20C3" w:rsidR="69DFD198" w:rsidRPr="006230CC" w:rsidRDefault="69DFD198" w:rsidP="1CCA3B5F">
      <w:pPr>
        <w:widowControl w:val="0"/>
        <w:spacing w:after="0" w:line="240" w:lineRule="auto"/>
        <w:ind w:left="426" w:hanging="10"/>
        <w:jc w:val="both"/>
        <w:rPr>
          <w:rFonts w:asciiTheme="majorHAnsi" w:eastAsia="Times New Roman" w:hAnsiTheme="majorHAnsi" w:cs="Times New Roman"/>
          <w:color w:val="000000" w:themeColor="text1"/>
          <w:sz w:val="20"/>
          <w:szCs w:val="20"/>
        </w:rPr>
      </w:pPr>
    </w:p>
    <w:p w14:paraId="7004F253" w14:textId="77777777" w:rsidR="00CA6026" w:rsidRPr="00CA6026" w:rsidRDefault="06F7A77E" w:rsidP="1CCA3B5F">
      <w:pPr>
        <w:pStyle w:val="ListParagraph"/>
        <w:widowControl w:val="0"/>
        <w:numPr>
          <w:ilvl w:val="0"/>
          <w:numId w:val="4"/>
        </w:numPr>
        <w:spacing w:after="0" w:line="240" w:lineRule="auto"/>
        <w:ind w:left="426" w:hanging="426"/>
        <w:rPr>
          <w:rFonts w:asciiTheme="majorHAnsi" w:eastAsia="MS Gothic" w:hAnsiTheme="majorHAnsi" w:cs="MS Gothic"/>
          <w:color w:val="000000" w:themeColor="text1"/>
          <w:sz w:val="20"/>
          <w:szCs w:val="20"/>
        </w:rPr>
      </w:pPr>
      <w:r w:rsidRPr="006230CC">
        <w:rPr>
          <w:rFonts w:asciiTheme="majorHAnsi" w:hAnsiTheme="majorHAnsi"/>
          <w:color w:val="000000" w:themeColor="text1"/>
          <w:sz w:val="20"/>
          <w:szCs w:val="20"/>
        </w:rPr>
        <w:t xml:space="preserve">Cela nécessite-t-il une contribution ou un </w:t>
      </w:r>
      <w:r w:rsidRPr="006230CC">
        <w:rPr>
          <w:rFonts w:asciiTheme="majorHAnsi" w:hAnsiTheme="majorHAnsi"/>
          <w:b/>
          <w:color w:val="000000" w:themeColor="text1"/>
          <w:sz w:val="20"/>
          <w:szCs w:val="20"/>
        </w:rPr>
        <w:t>travail</w:t>
      </w:r>
      <w:r w:rsidRPr="006230CC">
        <w:rPr>
          <w:rFonts w:asciiTheme="majorHAnsi" w:hAnsiTheme="majorHAnsi"/>
          <w:color w:val="000000" w:themeColor="text1"/>
          <w:sz w:val="20"/>
          <w:szCs w:val="20"/>
        </w:rPr>
        <w:t xml:space="preserve"> supplémentaire </w:t>
      </w:r>
      <w:r w:rsidRPr="006230CC">
        <w:rPr>
          <w:rFonts w:asciiTheme="majorHAnsi" w:hAnsiTheme="majorHAnsi"/>
          <w:b/>
          <w:color w:val="000000" w:themeColor="text1"/>
          <w:sz w:val="20"/>
          <w:szCs w:val="20"/>
        </w:rPr>
        <w:t>de la part du SCRS</w:t>
      </w:r>
      <w:r w:rsidRPr="006230CC">
        <w:rPr>
          <w:rFonts w:asciiTheme="majorHAnsi" w:hAnsiTheme="majorHAnsi"/>
          <w:color w:val="000000" w:themeColor="text1"/>
          <w:sz w:val="20"/>
          <w:szCs w:val="20"/>
        </w:rPr>
        <w:t xml:space="preserve"> ?   </w:t>
      </w:r>
    </w:p>
    <w:p w14:paraId="389D7570" w14:textId="20C63C53" w:rsidR="69DFD198" w:rsidRPr="006230CC" w:rsidRDefault="06F7A77E" w:rsidP="00CA6026">
      <w:pPr>
        <w:pStyle w:val="ListParagraph"/>
        <w:widowControl w:val="0"/>
        <w:spacing w:after="0" w:line="240" w:lineRule="auto"/>
        <w:ind w:left="426"/>
        <w:rPr>
          <w:rFonts w:asciiTheme="majorHAnsi" w:eastAsia="MS Gothic" w:hAnsiTheme="majorHAnsi" w:cs="MS Gothic"/>
          <w:color w:val="000000" w:themeColor="text1"/>
          <w:sz w:val="20"/>
          <w:szCs w:val="20"/>
        </w:rPr>
      </w:pPr>
      <w:r w:rsidRPr="006230CC">
        <w:rPr>
          <w:rFonts w:asciiTheme="majorHAnsi" w:hAnsiTheme="majorHAnsi"/>
          <w:color w:val="000000" w:themeColor="text1"/>
          <w:sz w:val="20"/>
          <w:szCs w:val="20"/>
        </w:rPr>
        <w:t xml:space="preserve"> Oui  </w:t>
      </w:r>
      <w:r w:rsidRPr="006230CC">
        <w:rPr>
          <w:rFonts w:ascii="Segoe UI Symbol" w:hAnsi="Segoe UI Symbol" w:cs="Segoe UI Symbol"/>
          <w:color w:val="000000" w:themeColor="text1"/>
          <w:sz w:val="20"/>
          <w:szCs w:val="20"/>
        </w:rPr>
        <w:t>☐</w:t>
      </w:r>
      <w:r w:rsidRPr="006230CC">
        <w:rPr>
          <w:rFonts w:asciiTheme="majorHAnsi" w:hAnsiTheme="majorHAnsi"/>
          <w:color w:val="000000" w:themeColor="text1"/>
          <w:sz w:val="20"/>
          <w:szCs w:val="20"/>
        </w:rPr>
        <w:t xml:space="preserve"> </w:t>
      </w:r>
      <w:r w:rsidRPr="006230CC">
        <w:rPr>
          <w:rFonts w:asciiTheme="majorHAnsi" w:hAnsiTheme="majorHAnsi"/>
          <w:sz w:val="20"/>
          <w:szCs w:val="20"/>
        </w:rPr>
        <w:tab/>
      </w:r>
      <w:r w:rsidRPr="006230CC">
        <w:rPr>
          <w:rFonts w:asciiTheme="majorHAnsi" w:hAnsiTheme="majorHAnsi"/>
          <w:sz w:val="20"/>
          <w:szCs w:val="20"/>
        </w:rPr>
        <w:tab/>
      </w:r>
      <w:r w:rsidRPr="006230CC">
        <w:rPr>
          <w:rFonts w:asciiTheme="majorHAnsi" w:hAnsiTheme="majorHAnsi"/>
          <w:color w:val="EE0000"/>
          <w:sz w:val="20"/>
          <w:szCs w:val="20"/>
        </w:rPr>
        <w:t xml:space="preserve">Non  </w:t>
      </w:r>
      <w:r w:rsidRPr="006230CC">
        <w:rPr>
          <w:rFonts w:ascii="Segoe UI Symbol" w:hAnsi="Segoe UI Symbol" w:cs="Segoe UI Symbol"/>
          <w:color w:val="EE0000"/>
          <w:sz w:val="20"/>
          <w:szCs w:val="20"/>
        </w:rPr>
        <w:t>☒</w:t>
      </w:r>
      <w:r w:rsidRPr="006230CC">
        <w:rPr>
          <w:rFonts w:asciiTheme="majorHAnsi" w:hAnsiTheme="majorHAnsi"/>
          <w:sz w:val="20"/>
          <w:szCs w:val="20"/>
        </w:rPr>
        <w:t>.</w:t>
      </w:r>
    </w:p>
    <w:p w14:paraId="58501682" w14:textId="40ECB0EF" w:rsidR="69DFD198" w:rsidRPr="006230CC" w:rsidRDefault="69DFD198" w:rsidP="1CCA3B5F">
      <w:pPr>
        <w:widowControl w:val="0"/>
        <w:spacing w:after="0" w:line="240" w:lineRule="auto"/>
        <w:ind w:left="360" w:hanging="10"/>
        <w:rPr>
          <w:rFonts w:asciiTheme="majorHAnsi" w:eastAsia="Cambria" w:hAnsiTheme="majorHAnsi" w:cs="Cambria"/>
          <w:color w:val="000000" w:themeColor="text1"/>
          <w:sz w:val="20"/>
          <w:szCs w:val="20"/>
        </w:rPr>
      </w:pPr>
    </w:p>
    <w:p w14:paraId="1430FA33" w14:textId="08D14082" w:rsidR="69DFD198" w:rsidRPr="006230CC" w:rsidRDefault="06F7A77E" w:rsidP="724FE288">
      <w:pPr>
        <w:widowControl w:val="0"/>
        <w:spacing w:after="0" w:line="240" w:lineRule="auto"/>
        <w:ind w:left="360" w:hanging="10"/>
        <w:jc w:val="both"/>
        <w:rPr>
          <w:rFonts w:asciiTheme="majorHAnsi" w:eastAsia="MS Gothic" w:hAnsiTheme="majorHAnsi" w:cs="MS Gothic"/>
          <w:color w:val="000000" w:themeColor="text1"/>
          <w:sz w:val="20"/>
          <w:szCs w:val="20"/>
        </w:rPr>
      </w:pPr>
      <w:r w:rsidRPr="006230CC">
        <w:rPr>
          <w:rFonts w:asciiTheme="majorHAnsi" w:hAnsiTheme="majorHAnsi"/>
          <w:sz w:val="20"/>
          <w:szCs w:val="20"/>
        </w:rPr>
        <w:t>Ce travail est-il déjà inclus dans le plan de travail actuel du SCRS ? Oui</w:t>
      </w:r>
      <w:r w:rsidRPr="006230CC">
        <w:rPr>
          <w:rFonts w:asciiTheme="majorHAnsi" w:hAnsiTheme="majorHAnsi"/>
          <w:color w:val="000000" w:themeColor="text1"/>
          <w:sz w:val="20"/>
          <w:szCs w:val="20"/>
        </w:rPr>
        <w:t xml:space="preserve"> </w:t>
      </w:r>
      <w:r w:rsidRPr="006230CC">
        <w:rPr>
          <w:rFonts w:ascii="Segoe UI Symbol" w:hAnsi="Segoe UI Symbol" w:cs="Segoe UI Symbol"/>
          <w:color w:val="000000" w:themeColor="text1"/>
          <w:sz w:val="20"/>
          <w:szCs w:val="20"/>
        </w:rPr>
        <w:t>☐</w:t>
      </w:r>
      <w:r w:rsidRPr="006230CC">
        <w:rPr>
          <w:rFonts w:asciiTheme="majorHAnsi" w:hAnsiTheme="majorHAnsi"/>
          <w:color w:val="000000" w:themeColor="text1"/>
          <w:sz w:val="20"/>
          <w:szCs w:val="20"/>
        </w:rPr>
        <w:t xml:space="preserve"> </w:t>
      </w:r>
      <w:r w:rsidRPr="006230CC">
        <w:rPr>
          <w:rFonts w:asciiTheme="majorHAnsi" w:hAnsiTheme="majorHAnsi"/>
          <w:sz w:val="20"/>
          <w:szCs w:val="20"/>
        </w:rPr>
        <w:tab/>
        <w:t xml:space="preserve">Non  </w:t>
      </w:r>
      <w:r w:rsidRPr="006230CC">
        <w:rPr>
          <w:rFonts w:ascii="Segoe UI Symbol" w:hAnsi="Segoe UI Symbol" w:cs="Segoe UI Symbol"/>
          <w:sz w:val="20"/>
          <w:szCs w:val="20"/>
        </w:rPr>
        <w:t>☐</w:t>
      </w:r>
    </w:p>
    <w:p w14:paraId="4E2DC85A" w14:textId="66A3C578" w:rsidR="69DFD198" w:rsidRPr="006230CC" w:rsidRDefault="69DFD198" w:rsidP="1CCA3B5F">
      <w:pPr>
        <w:widowControl w:val="0"/>
        <w:spacing w:after="0" w:line="240" w:lineRule="auto"/>
        <w:ind w:left="360" w:hanging="10"/>
        <w:rPr>
          <w:rFonts w:asciiTheme="majorHAnsi" w:eastAsia="Cambria" w:hAnsiTheme="majorHAnsi" w:cs="Cambria"/>
          <w:color w:val="000000" w:themeColor="text1"/>
          <w:sz w:val="20"/>
          <w:szCs w:val="20"/>
        </w:rPr>
      </w:pPr>
    </w:p>
    <w:p w14:paraId="496EE323" w14:textId="4C015B02" w:rsidR="69DFD198" w:rsidRPr="006230CC" w:rsidRDefault="06F7A77E" w:rsidP="1CCA3B5F">
      <w:pPr>
        <w:widowControl w:val="0"/>
        <w:spacing w:after="0" w:line="240" w:lineRule="auto"/>
        <w:ind w:left="360" w:hanging="10"/>
        <w:jc w:val="both"/>
        <w:rPr>
          <w:rFonts w:asciiTheme="majorHAnsi" w:eastAsia="Cambria" w:hAnsiTheme="majorHAnsi" w:cs="Cambria"/>
          <w:color w:val="000000" w:themeColor="text1"/>
          <w:sz w:val="20"/>
          <w:szCs w:val="20"/>
        </w:rPr>
      </w:pPr>
      <w:r w:rsidRPr="006230CC">
        <w:rPr>
          <w:rFonts w:asciiTheme="majorHAnsi" w:hAnsiTheme="majorHAnsi"/>
          <w:color w:val="000000" w:themeColor="text1"/>
          <w:sz w:val="20"/>
          <w:szCs w:val="20"/>
        </w:rPr>
        <w:t>Brève description des nouveaux travaux scientifiques requis (évaluation des stocks, analyse, consultant externe) :</w:t>
      </w:r>
    </w:p>
    <w:p w14:paraId="728A4D86" w14:textId="40819779" w:rsidR="69DFD198" w:rsidRPr="006230CC" w:rsidRDefault="69DFD198" w:rsidP="1CCA3B5F">
      <w:pPr>
        <w:widowControl w:val="0"/>
        <w:spacing w:after="0" w:line="240" w:lineRule="auto"/>
        <w:ind w:left="426" w:hanging="10"/>
        <w:jc w:val="both"/>
        <w:rPr>
          <w:rFonts w:asciiTheme="majorHAnsi" w:eastAsia="Cambria" w:hAnsiTheme="majorHAnsi" w:cs="Cambria"/>
          <w:color w:val="0070C0"/>
          <w:sz w:val="20"/>
          <w:szCs w:val="20"/>
        </w:rPr>
      </w:pPr>
    </w:p>
    <w:p w14:paraId="68F06219" w14:textId="27501218" w:rsidR="69DFD198" w:rsidRPr="006230CC" w:rsidRDefault="06F7A77E" w:rsidP="1CCA3B5F">
      <w:pPr>
        <w:pStyle w:val="ListParagraph"/>
        <w:widowControl w:val="0"/>
        <w:numPr>
          <w:ilvl w:val="0"/>
          <w:numId w:val="4"/>
        </w:numPr>
        <w:spacing w:after="0" w:line="240" w:lineRule="auto"/>
        <w:ind w:left="426" w:hanging="426"/>
        <w:rPr>
          <w:rFonts w:asciiTheme="majorHAnsi" w:eastAsia="Cambria" w:hAnsiTheme="majorHAnsi" w:cs="Cambria"/>
          <w:color w:val="EE0000"/>
          <w:sz w:val="20"/>
          <w:szCs w:val="20"/>
        </w:rPr>
      </w:pPr>
      <w:r w:rsidRPr="006230CC">
        <w:rPr>
          <w:rFonts w:asciiTheme="majorHAnsi" w:hAnsiTheme="majorHAnsi"/>
          <w:color w:val="000000" w:themeColor="text1"/>
          <w:sz w:val="20"/>
          <w:szCs w:val="20"/>
        </w:rPr>
        <w:t xml:space="preserve">Cela implique-t-il la création d'un </w:t>
      </w:r>
      <w:r w:rsidRPr="006230CC">
        <w:rPr>
          <w:rFonts w:asciiTheme="majorHAnsi" w:hAnsiTheme="majorHAnsi"/>
          <w:b/>
          <w:color w:val="000000" w:themeColor="text1"/>
          <w:sz w:val="20"/>
          <w:szCs w:val="20"/>
        </w:rPr>
        <w:t xml:space="preserve">nouveau groupe de travail ou d'un processus intersessions </w:t>
      </w:r>
      <w:r w:rsidRPr="006230CC">
        <w:rPr>
          <w:rFonts w:asciiTheme="majorHAnsi" w:hAnsiTheme="majorHAnsi"/>
          <w:color w:val="000000" w:themeColor="text1"/>
          <w:sz w:val="20"/>
          <w:szCs w:val="20"/>
        </w:rPr>
        <w:t xml:space="preserve">?    </w:t>
      </w:r>
      <w:r w:rsidRPr="006230CC">
        <w:rPr>
          <w:rFonts w:asciiTheme="majorHAnsi" w:hAnsiTheme="majorHAnsi"/>
          <w:sz w:val="20"/>
          <w:szCs w:val="20"/>
        </w:rPr>
        <w:t xml:space="preserve">Oui </w:t>
      </w:r>
      <w:r w:rsidRPr="006230CC">
        <w:rPr>
          <w:rFonts w:ascii="Segoe UI Symbol" w:hAnsi="Segoe UI Symbol" w:cs="Segoe UI Symbol"/>
          <w:sz w:val="20"/>
          <w:szCs w:val="20"/>
        </w:rPr>
        <w:t>☐</w:t>
      </w:r>
      <w:r w:rsidRPr="006230CC">
        <w:rPr>
          <w:rFonts w:asciiTheme="majorHAnsi" w:hAnsiTheme="majorHAnsi"/>
          <w:sz w:val="20"/>
          <w:szCs w:val="20"/>
        </w:rPr>
        <w:t xml:space="preserve"> </w:t>
      </w:r>
      <w:r w:rsidR="00CA6026">
        <w:rPr>
          <w:rFonts w:asciiTheme="majorHAnsi" w:hAnsiTheme="majorHAnsi"/>
          <w:sz w:val="20"/>
          <w:szCs w:val="20"/>
        </w:rPr>
        <w:t xml:space="preserve">    </w:t>
      </w:r>
      <w:r w:rsidRPr="006230CC">
        <w:rPr>
          <w:rFonts w:asciiTheme="majorHAnsi" w:hAnsiTheme="majorHAnsi"/>
          <w:sz w:val="20"/>
          <w:szCs w:val="20"/>
        </w:rPr>
        <w:t xml:space="preserve"> </w:t>
      </w:r>
      <w:r w:rsidRPr="006230CC">
        <w:rPr>
          <w:rFonts w:asciiTheme="majorHAnsi" w:hAnsiTheme="majorHAnsi"/>
          <w:color w:val="EE0000"/>
          <w:sz w:val="20"/>
          <w:szCs w:val="20"/>
        </w:rPr>
        <w:t xml:space="preserve">Non </w:t>
      </w:r>
      <w:r w:rsidRPr="006230CC">
        <w:rPr>
          <w:rFonts w:ascii="Segoe UI Symbol" w:hAnsi="Segoe UI Symbol" w:cs="Segoe UI Symbol"/>
          <w:color w:val="EE0000"/>
          <w:sz w:val="20"/>
          <w:szCs w:val="20"/>
        </w:rPr>
        <w:t>☒</w:t>
      </w:r>
      <w:r w:rsidRPr="006230CC">
        <w:rPr>
          <w:rFonts w:asciiTheme="majorHAnsi" w:hAnsiTheme="majorHAnsi"/>
          <w:color w:val="EE0000"/>
          <w:sz w:val="20"/>
          <w:szCs w:val="20"/>
        </w:rPr>
        <w:t xml:space="preserve"> </w:t>
      </w:r>
    </w:p>
    <w:p w14:paraId="41047A0F" w14:textId="39FE94D6" w:rsidR="69DFD198" w:rsidRPr="006230CC"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6B7CF1B2" w14:textId="0E032FEE" w:rsidR="69DFD198" w:rsidRPr="006230CC" w:rsidRDefault="06F7A77E" w:rsidP="1CCA3B5F">
      <w:pPr>
        <w:pStyle w:val="ListParagraph"/>
        <w:widowControl w:val="0"/>
        <w:numPr>
          <w:ilvl w:val="0"/>
          <w:numId w:val="4"/>
        </w:numPr>
        <w:spacing w:after="0" w:line="240" w:lineRule="auto"/>
        <w:ind w:left="426" w:hanging="426"/>
        <w:rPr>
          <w:rFonts w:asciiTheme="majorHAnsi" w:eastAsia="Cambria" w:hAnsiTheme="majorHAnsi" w:cs="Cambria"/>
          <w:color w:val="000000" w:themeColor="text1"/>
          <w:sz w:val="20"/>
          <w:szCs w:val="20"/>
        </w:rPr>
      </w:pPr>
      <w:r w:rsidRPr="006230CC">
        <w:rPr>
          <w:rFonts w:asciiTheme="majorHAnsi" w:hAnsiTheme="majorHAnsi"/>
          <w:color w:val="000000" w:themeColor="text1"/>
          <w:sz w:val="20"/>
          <w:szCs w:val="20"/>
        </w:rPr>
        <w:t xml:space="preserve">Cela nécessite-t-il un nouveau </w:t>
      </w:r>
      <w:r w:rsidRPr="006230CC">
        <w:rPr>
          <w:rFonts w:asciiTheme="majorHAnsi" w:hAnsiTheme="majorHAnsi"/>
          <w:b/>
          <w:color w:val="000000" w:themeColor="text1"/>
          <w:sz w:val="20"/>
          <w:szCs w:val="20"/>
        </w:rPr>
        <w:t xml:space="preserve">programme ou des activités supplémentaires à gérer par le Secrétariat </w:t>
      </w:r>
      <w:r w:rsidRPr="006230CC">
        <w:rPr>
          <w:rFonts w:asciiTheme="majorHAnsi" w:hAnsiTheme="majorHAnsi"/>
          <w:color w:val="000000" w:themeColor="text1"/>
          <w:sz w:val="20"/>
          <w:szCs w:val="20"/>
        </w:rPr>
        <w:t xml:space="preserve">?  </w:t>
      </w:r>
    </w:p>
    <w:p w14:paraId="679A4714" w14:textId="2201506B" w:rsidR="69DFD198" w:rsidRPr="006230CC" w:rsidRDefault="69DFD198" w:rsidP="1CCA3B5F">
      <w:pPr>
        <w:widowControl w:val="0"/>
        <w:spacing w:after="0" w:line="240" w:lineRule="auto"/>
        <w:ind w:left="426" w:hanging="10"/>
        <w:rPr>
          <w:rFonts w:asciiTheme="majorHAnsi" w:eastAsia="Cambria" w:hAnsiTheme="majorHAnsi" w:cs="Cambria"/>
          <w:color w:val="000000" w:themeColor="text1"/>
          <w:sz w:val="20"/>
          <w:szCs w:val="20"/>
        </w:rPr>
      </w:pPr>
    </w:p>
    <w:p w14:paraId="027ACA62" w14:textId="45D2F344" w:rsidR="69DFD198" w:rsidRPr="006230CC" w:rsidRDefault="06F7A77E" w:rsidP="1CCA3B5F">
      <w:pPr>
        <w:widowControl w:val="0"/>
        <w:spacing w:after="0" w:line="240" w:lineRule="auto"/>
        <w:ind w:left="426" w:hanging="10"/>
        <w:rPr>
          <w:rFonts w:asciiTheme="majorHAnsi" w:eastAsia="Cambria" w:hAnsiTheme="majorHAnsi" w:cs="Cambria"/>
          <w:color w:val="EE0000"/>
          <w:sz w:val="20"/>
          <w:szCs w:val="20"/>
        </w:rPr>
      </w:pPr>
      <w:r w:rsidRPr="006230CC">
        <w:rPr>
          <w:rFonts w:asciiTheme="majorHAnsi" w:hAnsiTheme="majorHAnsi"/>
          <w:color w:val="000000" w:themeColor="text1"/>
          <w:sz w:val="20"/>
          <w:szCs w:val="20"/>
        </w:rPr>
        <w:t xml:space="preserve">Oui  </w:t>
      </w:r>
      <w:r w:rsidRPr="006230CC">
        <w:rPr>
          <w:rFonts w:ascii="Segoe UI Symbol" w:hAnsi="Segoe UI Symbol" w:cs="Segoe UI Symbol"/>
          <w:color w:val="000000" w:themeColor="text1"/>
          <w:sz w:val="20"/>
          <w:szCs w:val="20"/>
        </w:rPr>
        <w:t>☐</w:t>
      </w:r>
      <w:r w:rsidRPr="006230CC">
        <w:rPr>
          <w:rFonts w:asciiTheme="majorHAnsi" w:hAnsiTheme="majorHAnsi"/>
          <w:color w:val="000000" w:themeColor="text1"/>
          <w:sz w:val="20"/>
          <w:szCs w:val="20"/>
        </w:rPr>
        <w:t xml:space="preserve"> </w:t>
      </w:r>
      <w:r w:rsidRPr="006230CC">
        <w:rPr>
          <w:rFonts w:asciiTheme="majorHAnsi" w:hAnsiTheme="majorHAnsi"/>
          <w:sz w:val="20"/>
          <w:szCs w:val="20"/>
        </w:rPr>
        <w:tab/>
      </w:r>
      <w:r w:rsidRPr="006230CC">
        <w:rPr>
          <w:rFonts w:asciiTheme="majorHAnsi" w:hAnsiTheme="majorHAnsi"/>
          <w:color w:val="EE0000"/>
          <w:sz w:val="20"/>
          <w:szCs w:val="20"/>
        </w:rPr>
        <w:t xml:space="preserve">Non  </w:t>
      </w:r>
      <w:r w:rsidRPr="006230CC">
        <w:rPr>
          <w:rFonts w:ascii="Segoe UI Symbol" w:hAnsi="Segoe UI Symbol" w:cs="Segoe UI Symbol"/>
          <w:color w:val="EE0000"/>
          <w:sz w:val="20"/>
          <w:szCs w:val="20"/>
        </w:rPr>
        <w:t>☒</w:t>
      </w:r>
      <w:r w:rsidRPr="006230CC">
        <w:rPr>
          <w:rFonts w:asciiTheme="majorHAnsi" w:hAnsiTheme="majorHAnsi"/>
          <w:sz w:val="20"/>
          <w:szCs w:val="20"/>
        </w:rPr>
        <w:t>.</w:t>
      </w:r>
      <w:r w:rsidRPr="006230CC">
        <w:rPr>
          <w:rFonts w:asciiTheme="majorHAnsi" w:hAnsiTheme="majorHAnsi"/>
          <w:color w:val="EE0000"/>
          <w:sz w:val="20"/>
          <w:szCs w:val="20"/>
        </w:rPr>
        <w:t xml:space="preserve"> </w:t>
      </w:r>
    </w:p>
    <w:p w14:paraId="0F40CBF7" w14:textId="44B4EE89" w:rsidR="69DFD198" w:rsidRPr="006230CC" w:rsidRDefault="69DFD198" w:rsidP="1CCA3B5F">
      <w:pPr>
        <w:widowControl w:val="0"/>
        <w:spacing w:after="0" w:line="240" w:lineRule="auto"/>
        <w:ind w:left="360" w:hanging="10"/>
        <w:jc w:val="both"/>
        <w:rPr>
          <w:rFonts w:asciiTheme="majorHAnsi" w:eastAsia="Cambria" w:hAnsiTheme="majorHAnsi" w:cs="Cambria"/>
          <w:color w:val="000000" w:themeColor="text1"/>
          <w:sz w:val="20"/>
          <w:szCs w:val="20"/>
        </w:rPr>
      </w:pPr>
    </w:p>
    <w:p w14:paraId="45F8EB5E" w14:textId="1FC937D3" w:rsidR="69DFD198" w:rsidRPr="006230CC" w:rsidRDefault="06F7A77E" w:rsidP="1CCA3B5F">
      <w:pPr>
        <w:widowControl w:val="0"/>
        <w:spacing w:after="0" w:line="240" w:lineRule="auto"/>
        <w:ind w:left="360" w:hanging="10"/>
        <w:jc w:val="both"/>
        <w:rPr>
          <w:rFonts w:asciiTheme="majorHAnsi" w:eastAsia="Cambria" w:hAnsiTheme="majorHAnsi" w:cs="Cambria"/>
          <w:color w:val="000000" w:themeColor="text1"/>
          <w:sz w:val="20"/>
          <w:szCs w:val="20"/>
        </w:rPr>
      </w:pPr>
      <w:r w:rsidRPr="006230CC">
        <w:rPr>
          <w:rFonts w:asciiTheme="majorHAnsi" w:hAnsiTheme="majorHAnsi"/>
          <w:color w:val="000000" w:themeColor="text1"/>
          <w:sz w:val="20"/>
          <w:szCs w:val="20"/>
        </w:rPr>
        <w:t xml:space="preserve">Brève description du nouveau travail requis pour le Secrétariat : </w:t>
      </w:r>
    </w:p>
    <w:p w14:paraId="251F2C91" w14:textId="63D54E92" w:rsidR="69DFD198" w:rsidRPr="006230CC"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2686F603" w14:textId="521919A6" w:rsidR="69DFD198" w:rsidRPr="006230CC" w:rsidRDefault="06F7A77E" w:rsidP="1CCA3B5F">
      <w:pPr>
        <w:pStyle w:val="ListParagraph"/>
        <w:widowControl w:val="0"/>
        <w:numPr>
          <w:ilvl w:val="0"/>
          <w:numId w:val="4"/>
        </w:numPr>
        <w:spacing w:after="0" w:line="240" w:lineRule="auto"/>
        <w:ind w:left="426" w:hanging="426"/>
        <w:jc w:val="both"/>
        <w:rPr>
          <w:rFonts w:asciiTheme="majorHAnsi" w:eastAsia="Cambria" w:hAnsiTheme="majorHAnsi" w:cs="Cambria"/>
          <w:color w:val="000000" w:themeColor="text1"/>
          <w:sz w:val="20"/>
          <w:szCs w:val="20"/>
        </w:rPr>
      </w:pPr>
      <w:r w:rsidRPr="006230CC">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1F09CBDD" w14:textId="77777777" w:rsidR="00C35971" w:rsidRPr="006230CC" w:rsidRDefault="00C35971" w:rsidP="00C35971">
      <w:pPr>
        <w:pStyle w:val="ListParagraph"/>
        <w:widowControl w:val="0"/>
        <w:spacing w:after="0" w:line="240" w:lineRule="auto"/>
        <w:ind w:left="426"/>
        <w:jc w:val="both"/>
        <w:rPr>
          <w:rFonts w:asciiTheme="majorHAnsi" w:eastAsia="Cambria" w:hAnsiTheme="majorHAnsi" w:cs="Cambria"/>
          <w:color w:val="000000" w:themeColor="text1"/>
          <w:sz w:val="20"/>
          <w:szCs w:val="20"/>
        </w:rPr>
      </w:pPr>
    </w:p>
    <w:p w14:paraId="296611B6" w14:textId="23173E8A" w:rsidR="69DFD198" w:rsidRPr="006230CC" w:rsidRDefault="06F7A77E" w:rsidP="1CCA3B5F">
      <w:pPr>
        <w:widowControl w:val="0"/>
        <w:spacing w:after="0" w:line="240" w:lineRule="auto"/>
        <w:ind w:left="426"/>
        <w:jc w:val="both"/>
        <w:rPr>
          <w:rFonts w:asciiTheme="majorHAnsi" w:eastAsia="Cambria" w:hAnsiTheme="majorHAnsi" w:cs="Cambria"/>
          <w:color w:val="EE0000"/>
          <w:sz w:val="20"/>
          <w:szCs w:val="20"/>
        </w:rPr>
      </w:pPr>
      <w:r w:rsidRPr="006230CC">
        <w:rPr>
          <w:rFonts w:asciiTheme="majorHAnsi" w:hAnsiTheme="majorHAnsi"/>
          <w:color w:val="EE0000"/>
          <w:sz w:val="20"/>
          <w:szCs w:val="20"/>
        </w:rPr>
        <w:t>Aucun calendrier n'est applicable.</w:t>
      </w:r>
    </w:p>
    <w:p w14:paraId="72AA43CE" w14:textId="6CC99CAD" w:rsidR="69DFD198" w:rsidRPr="006230CC"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5645AF05" w14:textId="5D807415" w:rsidR="69DFD198" w:rsidRPr="006230CC" w:rsidRDefault="06F7A77E" w:rsidP="1CCA3B5F">
      <w:pPr>
        <w:pStyle w:val="ListParagraph"/>
        <w:widowControl w:val="0"/>
        <w:numPr>
          <w:ilvl w:val="0"/>
          <w:numId w:val="4"/>
        </w:numPr>
        <w:spacing w:after="0" w:line="240" w:lineRule="auto"/>
        <w:ind w:left="426" w:hanging="426"/>
        <w:rPr>
          <w:rFonts w:asciiTheme="majorHAnsi" w:eastAsia="Cambria" w:hAnsiTheme="majorHAnsi" w:cs="Cambria"/>
          <w:color w:val="000000" w:themeColor="text1"/>
          <w:sz w:val="20"/>
          <w:szCs w:val="20"/>
        </w:rPr>
      </w:pPr>
      <w:r w:rsidRPr="006230CC">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p>
    <w:p w14:paraId="591BFB37" w14:textId="77777777" w:rsidR="00C35971" w:rsidRPr="006230CC" w:rsidRDefault="00C35971" w:rsidP="1CCA3B5F">
      <w:pPr>
        <w:widowControl w:val="0"/>
        <w:spacing w:after="0" w:line="240" w:lineRule="auto"/>
        <w:ind w:left="426" w:right="126"/>
        <w:rPr>
          <w:rFonts w:asciiTheme="majorHAnsi" w:eastAsia="Cambria" w:hAnsiTheme="majorHAnsi" w:cs="Cambria"/>
          <w:color w:val="0070C0"/>
          <w:sz w:val="20"/>
          <w:szCs w:val="20"/>
        </w:rPr>
      </w:pPr>
    </w:p>
    <w:p w14:paraId="3246CD02" w14:textId="55DEA2E4" w:rsidR="69DFD198" w:rsidRPr="006230CC" w:rsidRDefault="06F7A77E" w:rsidP="1CCA3B5F">
      <w:pPr>
        <w:widowControl w:val="0"/>
        <w:spacing w:after="0" w:line="240" w:lineRule="auto"/>
        <w:ind w:left="426" w:right="126"/>
        <w:rPr>
          <w:rFonts w:asciiTheme="majorHAnsi" w:eastAsia="Cambria" w:hAnsiTheme="majorHAnsi" w:cs="Cambria"/>
          <w:color w:val="EE0000"/>
          <w:sz w:val="20"/>
          <w:szCs w:val="20"/>
        </w:rPr>
      </w:pPr>
      <w:r w:rsidRPr="006230CC">
        <w:rPr>
          <w:rFonts w:asciiTheme="majorHAnsi" w:hAnsiTheme="majorHAnsi"/>
          <w:color w:val="EE0000"/>
          <w:sz w:val="20"/>
          <w:szCs w:val="20"/>
        </w:rPr>
        <w:t>Non</w:t>
      </w:r>
    </w:p>
    <w:p w14:paraId="6668A4C7" w14:textId="5A8D15B4" w:rsidR="69DFD198" w:rsidRPr="006230CC" w:rsidRDefault="69DFD198" w:rsidP="1CCA3B5F">
      <w:pPr>
        <w:widowControl w:val="0"/>
        <w:spacing w:after="0" w:line="240" w:lineRule="auto"/>
        <w:ind w:left="426" w:hanging="10"/>
        <w:rPr>
          <w:rFonts w:asciiTheme="majorHAnsi" w:eastAsia="Cambria" w:hAnsiTheme="majorHAnsi" w:cs="Cambria"/>
          <w:color w:val="000000" w:themeColor="text1"/>
          <w:sz w:val="20"/>
          <w:szCs w:val="20"/>
        </w:rPr>
      </w:pPr>
    </w:p>
    <w:p w14:paraId="2C4526C4" w14:textId="67A052C1" w:rsidR="69DFD198" w:rsidRPr="006230CC"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777B387A" w14:textId="77777777" w:rsidR="00C35971" w:rsidRPr="006230CC" w:rsidRDefault="00C35971">
      <w:pPr>
        <w:rPr>
          <w:rFonts w:asciiTheme="majorHAnsi" w:eastAsia="Cambria" w:hAnsiTheme="majorHAnsi" w:cs="Cambria"/>
          <w:b/>
          <w:bCs/>
          <w:color w:val="000000" w:themeColor="text1"/>
          <w:sz w:val="20"/>
          <w:szCs w:val="20"/>
        </w:rPr>
      </w:pPr>
      <w:r w:rsidRPr="006230CC">
        <w:rPr>
          <w:rFonts w:asciiTheme="majorHAnsi" w:hAnsiTheme="majorHAnsi"/>
          <w:sz w:val="20"/>
          <w:szCs w:val="20"/>
        </w:rPr>
        <w:br w:type="page"/>
      </w:r>
    </w:p>
    <w:p w14:paraId="330E152C" w14:textId="599B526A" w:rsidR="00E41795" w:rsidRPr="006230CC" w:rsidRDefault="00E41795" w:rsidP="00EE1557">
      <w:pPr>
        <w:widowControl w:val="0"/>
        <w:spacing w:after="0" w:line="240" w:lineRule="auto"/>
        <w:ind w:hanging="10"/>
        <w:jc w:val="right"/>
        <w:rPr>
          <w:rFonts w:asciiTheme="majorHAnsi" w:eastAsia="Cambria" w:hAnsiTheme="majorHAnsi" w:cs="Cambria"/>
          <w:b/>
          <w:bCs/>
          <w:sz w:val="20"/>
          <w:szCs w:val="20"/>
        </w:rPr>
      </w:pPr>
      <w:r w:rsidRPr="006230CC">
        <w:rPr>
          <w:rFonts w:asciiTheme="majorHAnsi" w:hAnsiTheme="majorHAnsi"/>
          <w:b/>
          <w:sz w:val="20"/>
          <w:szCs w:val="20"/>
        </w:rPr>
        <w:lastRenderedPageBreak/>
        <w:t xml:space="preserve">Original : </w:t>
      </w:r>
      <w:r w:rsidRPr="006230CC">
        <w:rPr>
          <w:rFonts w:asciiTheme="majorHAnsi" w:hAnsiTheme="majorHAnsi"/>
          <w:b/>
          <w:bCs/>
          <w:sz w:val="20"/>
          <w:szCs w:val="20"/>
        </w:rPr>
        <w:t>anglais</w:t>
      </w:r>
    </w:p>
    <w:p w14:paraId="7A559D09" w14:textId="77777777" w:rsidR="00E41795" w:rsidRPr="006230CC" w:rsidRDefault="00E41795" w:rsidP="00E41795">
      <w:pPr>
        <w:widowControl w:val="0"/>
        <w:spacing w:after="0" w:line="240" w:lineRule="auto"/>
        <w:ind w:hanging="10"/>
        <w:jc w:val="center"/>
        <w:rPr>
          <w:rFonts w:asciiTheme="majorHAnsi" w:eastAsia="Cambria" w:hAnsiTheme="majorHAnsi" w:cs="Cambria"/>
          <w:b/>
          <w:bCs/>
          <w:sz w:val="20"/>
          <w:szCs w:val="20"/>
        </w:rPr>
      </w:pPr>
    </w:p>
    <w:p w14:paraId="00527650" w14:textId="5A5993B3" w:rsidR="69DFD198" w:rsidRPr="006230CC" w:rsidRDefault="06F7A77E" w:rsidP="00E41795">
      <w:pPr>
        <w:widowControl w:val="0"/>
        <w:spacing w:after="0" w:line="240" w:lineRule="auto"/>
        <w:ind w:hanging="10"/>
        <w:jc w:val="center"/>
        <w:rPr>
          <w:rFonts w:asciiTheme="majorHAnsi" w:eastAsia="Cambria" w:hAnsiTheme="majorHAnsi" w:cs="Cambria"/>
          <w:b/>
          <w:bCs/>
          <w:sz w:val="20"/>
          <w:szCs w:val="20"/>
        </w:rPr>
      </w:pPr>
      <w:r w:rsidRPr="006230CC">
        <w:rPr>
          <w:rFonts w:asciiTheme="majorHAnsi" w:hAnsiTheme="majorHAnsi"/>
          <w:b/>
          <w:sz w:val="20"/>
          <w:szCs w:val="20"/>
        </w:rPr>
        <w:t xml:space="preserve">Note explicative sur une proposition visant à introduire des systèmes de surveillance électronique (EMS) pour améliorer le contrôle des navires de transformation de thon rouge </w:t>
      </w:r>
    </w:p>
    <w:p w14:paraId="69E9263B" w14:textId="77777777" w:rsidR="00C35971" w:rsidRPr="006230CC" w:rsidRDefault="00C35971" w:rsidP="1CCA3B5F">
      <w:pPr>
        <w:widowControl w:val="0"/>
        <w:spacing w:after="0" w:line="240" w:lineRule="auto"/>
        <w:ind w:hanging="10"/>
        <w:jc w:val="both"/>
        <w:rPr>
          <w:rFonts w:asciiTheme="majorHAnsi" w:eastAsia="Cambria" w:hAnsiTheme="majorHAnsi" w:cs="Cambria"/>
          <w:sz w:val="20"/>
          <w:szCs w:val="20"/>
        </w:rPr>
      </w:pPr>
    </w:p>
    <w:p w14:paraId="421A14B3" w14:textId="77777777" w:rsidR="00EE1557" w:rsidRPr="006230CC" w:rsidRDefault="00EE1557" w:rsidP="00EE1557">
      <w:pPr>
        <w:widowControl w:val="0"/>
        <w:autoSpaceDE w:val="0"/>
        <w:autoSpaceDN w:val="0"/>
        <w:spacing w:after="0" w:line="240" w:lineRule="auto"/>
        <w:jc w:val="center"/>
        <w:rPr>
          <w:rFonts w:asciiTheme="majorHAnsi" w:eastAsia="Cambria" w:hAnsiTheme="majorHAnsi" w:cs="Cambria"/>
          <w:i/>
          <w:iCs/>
          <w:kern w:val="0"/>
          <w:sz w:val="20"/>
          <w:szCs w:val="20"/>
          <w14:ligatures w14:val="none"/>
        </w:rPr>
      </w:pPr>
      <w:r w:rsidRPr="006230CC">
        <w:rPr>
          <w:rFonts w:asciiTheme="majorHAnsi" w:hAnsiTheme="majorHAnsi"/>
          <w:i/>
          <w:sz w:val="20"/>
          <w:szCs w:val="20"/>
        </w:rPr>
        <w:t>(Document présenté par l’Union européenne)</w:t>
      </w:r>
    </w:p>
    <w:p w14:paraId="7D98EFAA" w14:textId="77777777" w:rsidR="00EE1557" w:rsidRPr="006230CC" w:rsidRDefault="00EE1557" w:rsidP="00EE1557">
      <w:pPr>
        <w:widowControl w:val="0"/>
        <w:spacing w:after="0" w:line="240" w:lineRule="auto"/>
        <w:ind w:hanging="10"/>
        <w:jc w:val="both"/>
        <w:rPr>
          <w:rFonts w:asciiTheme="majorHAnsi" w:eastAsia="Cambria" w:hAnsiTheme="majorHAnsi" w:cs="Cambria"/>
          <w:b/>
          <w:bCs/>
          <w:color w:val="000000" w:themeColor="text1"/>
          <w:sz w:val="20"/>
          <w:szCs w:val="20"/>
        </w:rPr>
      </w:pPr>
    </w:p>
    <w:p w14:paraId="4E21C92D" w14:textId="77777777" w:rsidR="00C35971" w:rsidRPr="006230CC" w:rsidRDefault="00C35971" w:rsidP="1CCA3B5F">
      <w:pPr>
        <w:widowControl w:val="0"/>
        <w:spacing w:after="0" w:line="240" w:lineRule="auto"/>
        <w:ind w:hanging="10"/>
        <w:jc w:val="both"/>
        <w:rPr>
          <w:rFonts w:asciiTheme="majorHAnsi" w:eastAsia="Cambria" w:hAnsiTheme="majorHAnsi" w:cs="Cambria"/>
          <w:sz w:val="20"/>
          <w:szCs w:val="20"/>
        </w:rPr>
      </w:pPr>
    </w:p>
    <w:p w14:paraId="76167327" w14:textId="6E682A8C" w:rsidR="369CA84E" w:rsidRPr="006230CC" w:rsidRDefault="369CA84E" w:rsidP="00B84401">
      <w:pPr>
        <w:spacing w:after="0" w:line="240" w:lineRule="auto"/>
        <w:jc w:val="both"/>
        <w:rPr>
          <w:rFonts w:asciiTheme="majorHAnsi" w:eastAsia="Cambria" w:hAnsiTheme="majorHAnsi" w:cs="Cambria"/>
          <w:sz w:val="20"/>
          <w:szCs w:val="20"/>
        </w:rPr>
      </w:pPr>
      <w:r w:rsidRPr="006230CC">
        <w:rPr>
          <w:rFonts w:asciiTheme="majorHAnsi" w:hAnsiTheme="majorHAnsi"/>
          <w:sz w:val="20"/>
          <w:szCs w:val="20"/>
        </w:rPr>
        <w:t>Il s’agit d’une proposition visant à introduire des systèmes de surveillance électronique (EMS) pour améliorer le contrôle des navires de transformation de thon rouge</w:t>
      </w:r>
      <w:r w:rsidR="00323F8E">
        <w:rPr>
          <w:rFonts w:asciiTheme="majorHAnsi" w:hAnsiTheme="majorHAnsi"/>
          <w:sz w:val="20"/>
          <w:szCs w:val="20"/>
        </w:rPr>
        <w:t>.</w:t>
      </w:r>
      <w:r w:rsidRPr="006230CC">
        <w:rPr>
          <w:rFonts w:asciiTheme="majorHAnsi" w:hAnsiTheme="majorHAnsi"/>
          <w:sz w:val="20"/>
          <w:szCs w:val="20"/>
        </w:rPr>
        <w:t xml:space="preserve"> Cette proposition implique une modification de la Recommandation 24-05 afin d'introduire le système parmi les outils de contrôle établis pour la pêcherie de thon rouge et la modification de la Recommandation 23-18 afin d'inclure une annexe avec les normes minimales pour le système EMS sur les navires de transformation, étant donné que les normes minimales actuelles dans la recommandation ne couvrent que les senneurs et les palangriers.</w:t>
      </w:r>
    </w:p>
    <w:p w14:paraId="7C7C2051" w14:textId="47C9E958" w:rsidR="724FE288" w:rsidRPr="006230CC" w:rsidRDefault="724FE288" w:rsidP="00B84401">
      <w:pPr>
        <w:spacing w:after="0" w:line="240" w:lineRule="auto"/>
        <w:rPr>
          <w:rFonts w:asciiTheme="majorHAnsi" w:hAnsiTheme="majorHAnsi"/>
          <w:sz w:val="20"/>
          <w:szCs w:val="20"/>
        </w:rPr>
      </w:pPr>
      <w:r w:rsidRPr="006230CC">
        <w:rPr>
          <w:rFonts w:asciiTheme="majorHAnsi" w:hAnsiTheme="majorHAnsi"/>
          <w:sz w:val="20"/>
          <w:szCs w:val="20"/>
        </w:rPr>
        <w:br w:type="page"/>
      </w:r>
    </w:p>
    <w:p w14:paraId="33E5F00C" w14:textId="57420F12" w:rsidR="724FE288" w:rsidRPr="006230CC" w:rsidRDefault="002F327B" w:rsidP="002F327B">
      <w:pPr>
        <w:jc w:val="right"/>
        <w:rPr>
          <w:rFonts w:asciiTheme="majorHAnsi" w:eastAsia="Cambria" w:hAnsiTheme="majorHAnsi" w:cs="Cambria"/>
          <w:b/>
          <w:bCs/>
          <w:sz w:val="20"/>
          <w:szCs w:val="20"/>
        </w:rPr>
      </w:pPr>
      <w:r w:rsidRPr="006230CC">
        <w:rPr>
          <w:rFonts w:asciiTheme="majorHAnsi" w:hAnsiTheme="majorHAnsi"/>
          <w:b/>
          <w:sz w:val="20"/>
          <w:szCs w:val="20"/>
        </w:rPr>
        <w:lastRenderedPageBreak/>
        <w:t xml:space="preserve">Original : </w:t>
      </w:r>
      <w:r w:rsidRPr="006230CC">
        <w:rPr>
          <w:rFonts w:asciiTheme="majorHAnsi" w:hAnsiTheme="majorHAnsi"/>
          <w:b/>
          <w:bCs/>
          <w:sz w:val="20"/>
          <w:szCs w:val="20"/>
        </w:rPr>
        <w:t>anglais</w:t>
      </w:r>
    </w:p>
    <w:p w14:paraId="3B2CEE5E" w14:textId="77777777" w:rsidR="002A2D3C" w:rsidRPr="006230CC" w:rsidRDefault="00050B24" w:rsidP="00094890">
      <w:pPr>
        <w:spacing w:after="0" w:line="240" w:lineRule="auto"/>
        <w:jc w:val="center"/>
        <w:rPr>
          <w:rFonts w:asciiTheme="majorHAnsi" w:hAnsiTheme="majorHAnsi" w:cs="Times New Roman"/>
          <w:b/>
          <w:bCs/>
          <w:sz w:val="20"/>
          <w:szCs w:val="20"/>
        </w:rPr>
      </w:pPr>
      <w:r w:rsidRPr="006230CC">
        <w:rPr>
          <w:rFonts w:asciiTheme="majorHAnsi" w:hAnsiTheme="majorHAnsi"/>
          <w:b/>
          <w:bCs/>
          <w:sz w:val="20"/>
          <w:szCs w:val="20"/>
        </w:rPr>
        <w:t>Proposition visant à introduire des systèmes de surveillance électronique (EMS)</w:t>
      </w:r>
      <w:r w:rsidRPr="006230CC">
        <w:rPr>
          <w:rFonts w:asciiTheme="majorHAnsi" w:hAnsiTheme="majorHAnsi"/>
          <w:b/>
          <w:sz w:val="20"/>
          <w:szCs w:val="20"/>
        </w:rPr>
        <w:t xml:space="preserve"> </w:t>
      </w:r>
    </w:p>
    <w:p w14:paraId="316AD79D" w14:textId="6CD17972" w:rsidR="00F61464" w:rsidRPr="006230CC" w:rsidRDefault="00F61464" w:rsidP="00094890">
      <w:pPr>
        <w:spacing w:after="0" w:line="240" w:lineRule="auto"/>
        <w:jc w:val="center"/>
        <w:rPr>
          <w:rFonts w:asciiTheme="majorHAnsi" w:hAnsiTheme="majorHAnsi" w:cs="Times New Roman"/>
          <w:b/>
          <w:bCs/>
          <w:sz w:val="20"/>
          <w:szCs w:val="20"/>
        </w:rPr>
      </w:pPr>
      <w:r w:rsidRPr="006230CC">
        <w:rPr>
          <w:rFonts w:asciiTheme="majorHAnsi" w:hAnsiTheme="majorHAnsi"/>
          <w:b/>
          <w:sz w:val="20"/>
          <w:szCs w:val="20"/>
        </w:rPr>
        <w:t>pour améliorer le contrôle des navires de transformation de thon rouge</w:t>
      </w:r>
    </w:p>
    <w:p w14:paraId="28022840" w14:textId="6F33CDCB" w:rsidR="00F61464" w:rsidRPr="006230CC" w:rsidRDefault="00F61464" w:rsidP="00094890">
      <w:pPr>
        <w:spacing w:after="0" w:line="240" w:lineRule="auto"/>
        <w:jc w:val="center"/>
        <w:rPr>
          <w:rFonts w:asciiTheme="majorHAnsi" w:hAnsiTheme="majorHAnsi" w:cs="Times New Roman"/>
          <w:sz w:val="20"/>
          <w:szCs w:val="20"/>
        </w:rPr>
      </w:pPr>
      <w:r w:rsidRPr="006230CC">
        <w:rPr>
          <w:rFonts w:asciiTheme="majorHAnsi" w:hAnsiTheme="majorHAnsi"/>
          <w:sz w:val="20"/>
          <w:szCs w:val="20"/>
        </w:rPr>
        <w:t>(</w:t>
      </w:r>
      <w:r w:rsidRPr="006230CC">
        <w:rPr>
          <w:rFonts w:asciiTheme="majorHAnsi" w:hAnsiTheme="majorHAnsi"/>
          <w:i/>
          <w:iCs/>
          <w:sz w:val="20"/>
          <w:szCs w:val="20"/>
        </w:rPr>
        <w:t>Document présenté par l’Union européenne)</w:t>
      </w:r>
    </w:p>
    <w:p w14:paraId="47756C78" w14:textId="77777777" w:rsidR="00C57519" w:rsidRPr="006230CC" w:rsidRDefault="00C57519" w:rsidP="00094890">
      <w:pPr>
        <w:spacing w:after="0" w:line="240" w:lineRule="auto"/>
        <w:jc w:val="both"/>
        <w:rPr>
          <w:rFonts w:asciiTheme="majorHAnsi" w:hAnsiTheme="majorHAnsi" w:cs="Times New Roman"/>
          <w:b/>
          <w:bCs/>
          <w:sz w:val="20"/>
          <w:szCs w:val="20"/>
        </w:rPr>
      </w:pPr>
    </w:p>
    <w:p w14:paraId="75CEF471" w14:textId="0A57055D" w:rsidR="00F61464" w:rsidRPr="006230CC" w:rsidRDefault="00F61464" w:rsidP="00094890">
      <w:pPr>
        <w:spacing w:after="0" w:line="240" w:lineRule="auto"/>
        <w:jc w:val="both"/>
        <w:rPr>
          <w:rFonts w:asciiTheme="majorHAnsi" w:hAnsiTheme="majorHAnsi" w:cs="Times New Roman"/>
          <w:b/>
          <w:bCs/>
          <w:sz w:val="20"/>
          <w:szCs w:val="20"/>
        </w:rPr>
      </w:pPr>
      <w:r w:rsidRPr="006230CC">
        <w:rPr>
          <w:rFonts w:asciiTheme="majorHAnsi" w:hAnsiTheme="majorHAnsi"/>
          <w:b/>
          <w:bCs/>
          <w:sz w:val="20"/>
          <w:szCs w:val="20"/>
        </w:rPr>
        <w:t>Introduction</w:t>
      </w:r>
    </w:p>
    <w:p w14:paraId="684447D9" w14:textId="77777777" w:rsidR="00C57519" w:rsidRPr="006230CC" w:rsidRDefault="00C57519" w:rsidP="00094890">
      <w:pPr>
        <w:spacing w:after="0" w:line="240" w:lineRule="auto"/>
        <w:jc w:val="both"/>
        <w:rPr>
          <w:rFonts w:asciiTheme="majorHAnsi" w:hAnsiTheme="majorHAnsi" w:cs="Times New Roman"/>
          <w:b/>
          <w:bCs/>
          <w:sz w:val="20"/>
          <w:szCs w:val="20"/>
        </w:rPr>
      </w:pPr>
    </w:p>
    <w:p w14:paraId="395775B6" w14:textId="15C0EE83"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Lors de la réunion annuelle de l’ICCAT de 2024, l'UE a présenté le « Projet de Recommandation de l’ICCAT amendant la Recommandation 22-08 établissant un plan pluriannuel de gestion du thon rouge dans l’Atlantique Est et la Méditerranée – Systèmes de surveillance électronique (EMS) » [PWG_418/2024] ], une proposition visant à introduire des systèmes de surveillance électronique (EMS) afin d'améliorer le contrôle des navires de transformation.</w:t>
      </w:r>
    </w:p>
    <w:p w14:paraId="798A8FE4" w14:textId="77777777" w:rsidR="00C57519" w:rsidRPr="006230CC" w:rsidRDefault="00C57519" w:rsidP="00094890">
      <w:pPr>
        <w:spacing w:after="0" w:line="240" w:lineRule="auto"/>
        <w:jc w:val="both"/>
        <w:rPr>
          <w:rFonts w:asciiTheme="majorHAnsi" w:hAnsiTheme="majorHAnsi" w:cs="Times New Roman"/>
          <w:sz w:val="20"/>
          <w:szCs w:val="20"/>
        </w:rPr>
      </w:pPr>
    </w:p>
    <w:p w14:paraId="08C33F2D" w14:textId="737FE4C6"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Au cours de la discussion, des doutes ont été émis quant aux détails de la mise en œuvre du système dans la pratique, notamment en ce qui concerne les exigences techniques minimales, la complémentarité avec les tâches actuelles des observateurs régionaux de l’ICCAT, les responsabilités en matière d'analyse des enregistrements vidéo ou les coûts.</w:t>
      </w:r>
    </w:p>
    <w:p w14:paraId="626F1300" w14:textId="77777777" w:rsidR="00C57519" w:rsidRPr="006230CC" w:rsidRDefault="00C57519" w:rsidP="00094890">
      <w:pPr>
        <w:spacing w:after="0" w:line="240" w:lineRule="auto"/>
        <w:jc w:val="both"/>
        <w:rPr>
          <w:rFonts w:asciiTheme="majorHAnsi" w:hAnsiTheme="majorHAnsi" w:cs="Times New Roman"/>
          <w:sz w:val="20"/>
          <w:szCs w:val="20"/>
        </w:rPr>
      </w:pPr>
    </w:p>
    <w:p w14:paraId="13B5EECE" w14:textId="409C946C"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 xml:space="preserve">Le présent document vise à répondre à ces questions afin d'examiner les options et la voie à suivre, y compris un amendement éventuel à la </w:t>
      </w:r>
      <w:r w:rsidRPr="006230CC">
        <w:rPr>
          <w:rFonts w:asciiTheme="majorHAnsi" w:hAnsiTheme="majorHAnsi"/>
          <w:i/>
          <w:iCs/>
          <w:sz w:val="20"/>
          <w:szCs w:val="20"/>
        </w:rPr>
        <w:t>Recommandation de l’ICCAT amendant la Recommandation 22-08 établissant un plan pluriannuel de gestion du thon rouge dans l’Atlantique Est et la Méditerranée</w:t>
      </w:r>
      <w:r w:rsidRPr="006230CC">
        <w:rPr>
          <w:rFonts w:asciiTheme="majorHAnsi" w:hAnsiTheme="majorHAnsi"/>
          <w:sz w:val="20"/>
          <w:szCs w:val="20"/>
        </w:rPr>
        <w:t xml:space="preserve"> (Rec. 24-05).</w:t>
      </w:r>
    </w:p>
    <w:p w14:paraId="523BBC62" w14:textId="77777777" w:rsidR="00C57519" w:rsidRPr="006230CC" w:rsidRDefault="00C57519" w:rsidP="00094890">
      <w:pPr>
        <w:spacing w:after="0" w:line="240" w:lineRule="auto"/>
        <w:jc w:val="both"/>
        <w:rPr>
          <w:rFonts w:asciiTheme="majorHAnsi" w:hAnsiTheme="majorHAnsi" w:cs="Times New Roman"/>
          <w:sz w:val="20"/>
          <w:szCs w:val="20"/>
        </w:rPr>
      </w:pPr>
    </w:p>
    <w:p w14:paraId="4596FECC" w14:textId="77777777" w:rsidR="00F61464" w:rsidRPr="006230CC" w:rsidRDefault="00F61464" w:rsidP="00094890">
      <w:pPr>
        <w:spacing w:after="0" w:line="240" w:lineRule="auto"/>
        <w:jc w:val="both"/>
        <w:rPr>
          <w:rFonts w:asciiTheme="majorHAnsi" w:hAnsiTheme="majorHAnsi" w:cs="Times New Roman"/>
          <w:b/>
          <w:bCs/>
          <w:sz w:val="20"/>
          <w:szCs w:val="20"/>
        </w:rPr>
      </w:pPr>
      <w:r w:rsidRPr="006230CC">
        <w:rPr>
          <w:rFonts w:asciiTheme="majorHAnsi" w:hAnsiTheme="majorHAnsi"/>
          <w:b/>
          <w:sz w:val="20"/>
          <w:szCs w:val="20"/>
        </w:rPr>
        <w:t>Contexte général</w:t>
      </w:r>
    </w:p>
    <w:p w14:paraId="7AC7EEF8" w14:textId="77777777" w:rsidR="00C57519" w:rsidRPr="006230CC" w:rsidRDefault="00C57519" w:rsidP="00094890">
      <w:pPr>
        <w:spacing w:after="0" w:line="240" w:lineRule="auto"/>
        <w:jc w:val="both"/>
        <w:rPr>
          <w:rFonts w:asciiTheme="majorHAnsi" w:hAnsiTheme="majorHAnsi" w:cs="Times New Roman"/>
          <w:b/>
          <w:bCs/>
          <w:sz w:val="20"/>
          <w:szCs w:val="20"/>
        </w:rPr>
      </w:pPr>
    </w:p>
    <w:p w14:paraId="30988471" w14:textId="6D9C18D8"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Les navires de transformation sont un point essentiel de la chaîne du point de vue du contrôle, étant donné que la grande majorité du thon rouge capturé transite par ces navires. Actuellement, le contrôle des navires de transformation fait double emploi, étant donné que les observateurs de l’ICCAT et les autorités de la CPC sont présents pendant toutes les opérations de transformation. Toutefois, cette approche n'est pas efficace étant donné que les observateurs et les inspecteurs ne sont déployés que pendant les opérations programmées (c'est-à-dire à la demande de l'opérateur), alors que les navires de transformation restent à proximité des fermes/madragues pendant des semaines.</w:t>
      </w:r>
    </w:p>
    <w:p w14:paraId="7EDC1C5B" w14:textId="77777777" w:rsidR="00C57519" w:rsidRPr="006230CC" w:rsidRDefault="00C57519" w:rsidP="00094890">
      <w:pPr>
        <w:spacing w:after="0" w:line="240" w:lineRule="auto"/>
        <w:jc w:val="both"/>
        <w:rPr>
          <w:rFonts w:asciiTheme="majorHAnsi" w:hAnsiTheme="majorHAnsi" w:cs="Times New Roman"/>
          <w:sz w:val="20"/>
          <w:szCs w:val="20"/>
        </w:rPr>
      </w:pPr>
    </w:p>
    <w:p w14:paraId="691CDFC5" w14:textId="191F37A5"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 xml:space="preserve">La </w:t>
      </w:r>
      <w:r w:rsidRPr="006230CC">
        <w:rPr>
          <w:rFonts w:asciiTheme="majorHAnsi" w:hAnsiTheme="majorHAnsi"/>
          <w:i/>
          <w:iCs/>
          <w:sz w:val="20"/>
          <w:szCs w:val="20"/>
        </w:rPr>
        <w:t xml:space="preserve">Résolution de l'ICCAT établissant un projet pilote aux fins de la mise en œuvre de la surveillance électronique à distance (REM) à bord des navires de transformation du thon </w:t>
      </w:r>
      <w:r w:rsidR="00DF57CA" w:rsidRPr="006230CC">
        <w:rPr>
          <w:rFonts w:asciiTheme="majorHAnsi" w:hAnsiTheme="majorHAnsi"/>
          <w:i/>
          <w:iCs/>
          <w:sz w:val="20"/>
          <w:szCs w:val="20"/>
        </w:rPr>
        <w:t xml:space="preserve">rouge </w:t>
      </w:r>
      <w:r w:rsidR="00DF57CA" w:rsidRPr="006230CC">
        <w:rPr>
          <w:rFonts w:asciiTheme="majorHAnsi" w:hAnsiTheme="majorHAnsi"/>
          <w:sz w:val="20"/>
          <w:szCs w:val="20"/>
        </w:rPr>
        <w:t>(</w:t>
      </w:r>
      <w:r w:rsidRPr="006230CC">
        <w:rPr>
          <w:rFonts w:asciiTheme="majorHAnsi" w:hAnsiTheme="majorHAnsi"/>
          <w:sz w:val="20"/>
          <w:szCs w:val="20"/>
        </w:rPr>
        <w:t>Rés. 21-</w:t>
      </w:r>
      <w:r w:rsidRPr="00DF57CA">
        <w:rPr>
          <w:rFonts w:asciiTheme="majorHAnsi" w:hAnsiTheme="majorHAnsi"/>
          <w:sz w:val="20"/>
          <w:szCs w:val="20"/>
        </w:rPr>
        <w:t>17) a été adoptée en 2021</w:t>
      </w:r>
      <w:r w:rsidR="00DF57CA" w:rsidRPr="00DF57CA">
        <w:rPr>
          <w:rFonts w:asciiTheme="majorHAnsi" w:hAnsiTheme="majorHAnsi"/>
          <w:sz w:val="20"/>
          <w:szCs w:val="20"/>
        </w:rPr>
        <w:t>.</w:t>
      </w:r>
      <w:r w:rsidRPr="00DF57CA">
        <w:rPr>
          <w:rFonts w:asciiTheme="majorHAnsi" w:hAnsiTheme="majorHAnsi"/>
          <w:sz w:val="20"/>
          <w:szCs w:val="20"/>
        </w:rPr>
        <w:t xml:space="preserve"> Le projet pilote a été mis en œuvre sur deux navires de transformation pendant leurs activités sur une période</w:t>
      </w:r>
      <w:r w:rsidRPr="006230CC">
        <w:rPr>
          <w:rFonts w:asciiTheme="majorHAnsi" w:hAnsiTheme="majorHAnsi"/>
          <w:sz w:val="20"/>
          <w:szCs w:val="20"/>
        </w:rPr>
        <w:t xml:space="preserve"> de deux ans. Les résultats du projet pilote ont été présentés lors de la réunion du Groupe de travail sur les systèmes de surveillance électronique (EMS WG) en juin 2024. Les résultats ont été très positifs, à savoir :</w:t>
      </w:r>
    </w:p>
    <w:p w14:paraId="58AB7C33" w14:textId="77777777" w:rsidR="0045659D" w:rsidRPr="006230CC" w:rsidRDefault="0045659D" w:rsidP="00094890">
      <w:pPr>
        <w:spacing w:after="0" w:line="240" w:lineRule="auto"/>
        <w:jc w:val="both"/>
        <w:rPr>
          <w:rFonts w:asciiTheme="majorHAnsi" w:hAnsiTheme="majorHAnsi" w:cs="Times New Roman"/>
          <w:sz w:val="20"/>
          <w:szCs w:val="20"/>
        </w:rPr>
      </w:pPr>
    </w:p>
    <w:p w14:paraId="13C1669B" w14:textId="297B292B" w:rsidR="00F61464" w:rsidRPr="006230C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6230CC">
        <w:rPr>
          <w:rFonts w:asciiTheme="majorHAnsi" w:hAnsiTheme="majorHAnsi"/>
          <w:sz w:val="20"/>
          <w:szCs w:val="20"/>
        </w:rPr>
        <w:t>L’EMS a permis de surveiller les activités des navires 24 heures sur 24 et 7 jours sur 7 (comblant ainsi la principale lacune identifiée) ;</w:t>
      </w:r>
    </w:p>
    <w:p w14:paraId="7D89FA35" w14:textId="6CFA49EE" w:rsidR="00F61464" w:rsidRPr="006230C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6230CC">
        <w:rPr>
          <w:rFonts w:asciiTheme="majorHAnsi" w:hAnsiTheme="majorHAnsi"/>
          <w:sz w:val="20"/>
          <w:szCs w:val="20"/>
        </w:rPr>
        <w:t xml:space="preserve">L'EMS a bien fonctionné pendant la durée du projet pilote (pendant les mois de fonctionnement, </w:t>
      </w:r>
    </w:p>
    <w:p w14:paraId="3150C269" w14:textId="4D2146D8" w:rsidR="00F61464" w:rsidRPr="006230CC" w:rsidRDefault="00442E46" w:rsidP="00094890">
      <w:pPr>
        <w:pStyle w:val="ListParagraph"/>
        <w:numPr>
          <w:ilvl w:val="0"/>
          <w:numId w:val="5"/>
        </w:numPr>
        <w:spacing w:after="0" w:line="240" w:lineRule="auto"/>
        <w:jc w:val="both"/>
        <w:rPr>
          <w:rFonts w:asciiTheme="majorHAnsi" w:hAnsiTheme="majorHAnsi" w:cs="Times New Roman"/>
          <w:sz w:val="20"/>
          <w:szCs w:val="20"/>
        </w:rPr>
      </w:pPr>
      <w:r w:rsidRPr="006230CC">
        <w:rPr>
          <w:rFonts w:asciiTheme="majorHAnsi" w:hAnsiTheme="majorHAnsi"/>
          <w:sz w:val="20"/>
          <w:szCs w:val="20"/>
        </w:rPr>
        <w:t>Il</w:t>
      </w:r>
      <w:r w:rsidR="00F61464" w:rsidRPr="006230CC">
        <w:rPr>
          <w:rFonts w:asciiTheme="majorHAnsi" w:hAnsiTheme="majorHAnsi"/>
          <w:sz w:val="20"/>
          <w:szCs w:val="20"/>
        </w:rPr>
        <w:t xml:space="preserve"> n'y a eu qu'une seule fois où le système est tombé en panne pendant quelques heures) ;</w:t>
      </w:r>
    </w:p>
    <w:p w14:paraId="023EF311" w14:textId="3ECBE45E" w:rsidR="00F61464" w:rsidRPr="006230C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6230CC">
        <w:rPr>
          <w:rFonts w:asciiTheme="majorHAnsi" w:hAnsiTheme="majorHAnsi"/>
          <w:sz w:val="20"/>
          <w:szCs w:val="20"/>
        </w:rPr>
        <w:t>Estimation précise du nombre de spécimens et de leur poids ;</w:t>
      </w:r>
    </w:p>
    <w:p w14:paraId="3AFD7BF1" w14:textId="68657D28" w:rsidR="00F61464" w:rsidRPr="006230C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6230CC">
        <w:rPr>
          <w:rFonts w:asciiTheme="majorHAnsi" w:hAnsiTheme="majorHAnsi"/>
          <w:sz w:val="20"/>
          <w:szCs w:val="20"/>
        </w:rPr>
        <w:t xml:space="preserve">L’analyse des données (le poids est saisi par des balances attachées à la grue et est enregistré dans le système, le nombre de spécimens est obtenu par comptage visuel) était </w:t>
      </w:r>
      <w:r w:rsidR="00442E46" w:rsidRPr="006230CC">
        <w:rPr>
          <w:rFonts w:asciiTheme="majorHAnsi" w:hAnsiTheme="majorHAnsi"/>
          <w:sz w:val="20"/>
          <w:szCs w:val="20"/>
        </w:rPr>
        <w:t>facile ;</w:t>
      </w:r>
    </w:p>
    <w:p w14:paraId="29889442" w14:textId="50BC7163" w:rsidR="00F61464" w:rsidRPr="006230C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6230CC">
        <w:rPr>
          <w:rFonts w:asciiTheme="majorHAnsi" w:hAnsiTheme="majorHAnsi"/>
          <w:sz w:val="20"/>
          <w:szCs w:val="20"/>
        </w:rPr>
        <w:t>L'EMS pourrait fournir des données pertinentes pour la science (longueur du thon mis à mort) ;</w:t>
      </w:r>
    </w:p>
    <w:p w14:paraId="2F02EBDA" w14:textId="6D433802" w:rsidR="00F61464" w:rsidRPr="006230C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6230CC">
        <w:rPr>
          <w:rFonts w:asciiTheme="majorHAnsi" w:hAnsiTheme="majorHAnsi"/>
          <w:sz w:val="20"/>
          <w:szCs w:val="20"/>
        </w:rPr>
        <w:t>Il pourrait être possible de réduire le temps consacré au contrôle, de diminuer la charge de travail et les coûts (des données comparatives doivent être compilées et analysées).</w:t>
      </w:r>
    </w:p>
    <w:p w14:paraId="1E4DAAEA" w14:textId="152FFE80" w:rsidR="00F61464" w:rsidRPr="006230C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6230CC">
        <w:rPr>
          <w:rFonts w:asciiTheme="majorHAnsi" w:hAnsiTheme="majorHAnsi"/>
          <w:sz w:val="20"/>
          <w:szCs w:val="20"/>
        </w:rPr>
        <w:t>Il pourrait être possible d’appliquer l'IA pour l'identification et le comptage des thons rouges, ce qui permettrait de réduire le temps consacré à l'analyse.</w:t>
      </w:r>
    </w:p>
    <w:p w14:paraId="00730671" w14:textId="77777777" w:rsidR="00B00CE0" w:rsidRPr="006230CC" w:rsidRDefault="00B00CE0" w:rsidP="00094890">
      <w:pPr>
        <w:spacing w:after="0" w:line="240" w:lineRule="auto"/>
        <w:jc w:val="both"/>
        <w:rPr>
          <w:rFonts w:asciiTheme="majorHAnsi" w:hAnsiTheme="majorHAnsi" w:cs="Times New Roman"/>
          <w:b/>
          <w:bCs/>
          <w:sz w:val="20"/>
          <w:szCs w:val="20"/>
        </w:rPr>
      </w:pPr>
    </w:p>
    <w:p w14:paraId="2F34C18E" w14:textId="77777777" w:rsidR="00405F51" w:rsidRPr="006230CC" w:rsidRDefault="00405F51">
      <w:pPr>
        <w:rPr>
          <w:rFonts w:asciiTheme="majorHAnsi" w:hAnsiTheme="majorHAnsi" w:cs="Times New Roman"/>
          <w:b/>
          <w:bCs/>
          <w:sz w:val="20"/>
          <w:szCs w:val="20"/>
        </w:rPr>
      </w:pPr>
      <w:r w:rsidRPr="006230CC">
        <w:rPr>
          <w:rFonts w:asciiTheme="majorHAnsi" w:hAnsiTheme="majorHAnsi"/>
          <w:sz w:val="20"/>
          <w:szCs w:val="20"/>
        </w:rPr>
        <w:br w:type="page"/>
      </w:r>
    </w:p>
    <w:p w14:paraId="2E337187" w14:textId="77777777" w:rsidR="00CB6E6F" w:rsidRDefault="00F61464" w:rsidP="00405F51">
      <w:pPr>
        <w:spacing w:after="0" w:line="240" w:lineRule="auto"/>
        <w:jc w:val="center"/>
        <w:rPr>
          <w:rFonts w:asciiTheme="majorHAnsi" w:hAnsiTheme="majorHAnsi"/>
          <w:b/>
          <w:sz w:val="20"/>
          <w:szCs w:val="20"/>
        </w:rPr>
      </w:pPr>
      <w:r w:rsidRPr="006230CC">
        <w:rPr>
          <w:rFonts w:asciiTheme="majorHAnsi" w:hAnsiTheme="majorHAnsi"/>
          <w:b/>
          <w:sz w:val="20"/>
          <w:szCs w:val="20"/>
        </w:rPr>
        <w:lastRenderedPageBreak/>
        <w:t xml:space="preserve">Réponses aux questions soulevées lors des discussions tenues à la réunion 2024 du </w:t>
      </w:r>
    </w:p>
    <w:p w14:paraId="6BA3134F" w14:textId="77777777" w:rsidR="00CB6E6F" w:rsidRDefault="00F61464" w:rsidP="00405F51">
      <w:pPr>
        <w:spacing w:after="0" w:line="240" w:lineRule="auto"/>
        <w:jc w:val="center"/>
        <w:rPr>
          <w:rFonts w:asciiTheme="majorHAnsi" w:hAnsiTheme="majorHAnsi"/>
          <w:b/>
          <w:sz w:val="20"/>
          <w:szCs w:val="20"/>
        </w:rPr>
      </w:pPr>
      <w:r w:rsidRPr="006230CC">
        <w:rPr>
          <w:rFonts w:asciiTheme="majorHAnsi" w:hAnsiTheme="majorHAnsi"/>
          <w:b/>
          <w:sz w:val="20"/>
          <w:szCs w:val="20"/>
        </w:rPr>
        <w:t xml:space="preserve">Groupe de travail permanent sur l’amélioration des statistiques </w:t>
      </w:r>
    </w:p>
    <w:p w14:paraId="24A29A1E" w14:textId="06970B8F" w:rsidR="00F61464" w:rsidRPr="006230CC" w:rsidRDefault="00F61464" w:rsidP="00405F51">
      <w:pPr>
        <w:spacing w:after="0" w:line="240" w:lineRule="auto"/>
        <w:jc w:val="center"/>
        <w:rPr>
          <w:rFonts w:asciiTheme="majorHAnsi" w:hAnsiTheme="majorHAnsi" w:cs="Times New Roman"/>
          <w:b/>
          <w:bCs/>
          <w:sz w:val="20"/>
          <w:szCs w:val="20"/>
        </w:rPr>
      </w:pPr>
      <w:r w:rsidRPr="006230CC">
        <w:rPr>
          <w:rFonts w:asciiTheme="majorHAnsi" w:hAnsiTheme="majorHAnsi"/>
          <w:b/>
          <w:sz w:val="20"/>
          <w:szCs w:val="20"/>
        </w:rPr>
        <w:t xml:space="preserve">et des mesures de conservation de l’ICCAT (PWG) </w:t>
      </w:r>
    </w:p>
    <w:p w14:paraId="05C378B5" w14:textId="77777777" w:rsidR="00405F51" w:rsidRPr="006230CC" w:rsidRDefault="00405F51" w:rsidP="00405F51">
      <w:pPr>
        <w:spacing w:after="0" w:line="240" w:lineRule="auto"/>
        <w:jc w:val="center"/>
        <w:rPr>
          <w:rFonts w:asciiTheme="majorHAnsi" w:hAnsiTheme="majorHAnsi" w:cs="Times New Roman"/>
          <w:b/>
          <w:bCs/>
          <w:sz w:val="20"/>
          <w:szCs w:val="20"/>
        </w:rPr>
      </w:pPr>
    </w:p>
    <w:p w14:paraId="0CFF32D7" w14:textId="390A0434" w:rsidR="00F61464" w:rsidRPr="006230C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6230CC">
        <w:rPr>
          <w:rFonts w:asciiTheme="majorHAnsi" w:hAnsiTheme="majorHAnsi"/>
          <w:b/>
          <w:sz w:val="20"/>
          <w:szCs w:val="20"/>
        </w:rPr>
        <w:t>Quelles sont les normes techniques minimales applicables ?</w:t>
      </w:r>
    </w:p>
    <w:p w14:paraId="2A072219" w14:textId="77777777" w:rsidR="00405F51" w:rsidRPr="006230CC" w:rsidRDefault="00405F51" w:rsidP="00094890">
      <w:pPr>
        <w:spacing w:after="0" w:line="240" w:lineRule="auto"/>
        <w:jc w:val="both"/>
        <w:rPr>
          <w:rFonts w:asciiTheme="majorHAnsi" w:hAnsiTheme="majorHAnsi" w:cs="Times New Roman"/>
          <w:sz w:val="20"/>
          <w:szCs w:val="20"/>
        </w:rPr>
      </w:pPr>
    </w:p>
    <w:p w14:paraId="1F85FF4B" w14:textId="57DB1C2D" w:rsidR="00F61464" w:rsidRPr="00442E46" w:rsidRDefault="00F61464" w:rsidP="00094890">
      <w:pPr>
        <w:spacing w:after="0" w:line="240" w:lineRule="auto"/>
        <w:jc w:val="both"/>
        <w:rPr>
          <w:rFonts w:asciiTheme="majorHAnsi" w:hAnsiTheme="majorHAnsi" w:cs="Times New Roman"/>
          <w:sz w:val="20"/>
          <w:szCs w:val="20"/>
        </w:rPr>
      </w:pPr>
      <w:r w:rsidRPr="00442E46">
        <w:rPr>
          <w:rFonts w:asciiTheme="majorHAnsi" w:hAnsiTheme="majorHAnsi"/>
          <w:sz w:val="20"/>
          <w:szCs w:val="20"/>
        </w:rPr>
        <w:t xml:space="preserve">La </w:t>
      </w:r>
      <w:hyperlink r:id="rId7" w:history="1">
        <w:r w:rsidRPr="00442E46">
          <w:rPr>
            <w:rStyle w:val="Hyperlink"/>
            <w:rFonts w:asciiTheme="majorHAnsi" w:hAnsiTheme="majorHAnsi"/>
            <w:i/>
            <w:iCs/>
            <w:sz w:val="20"/>
            <w:szCs w:val="20"/>
            <w:u w:val="none"/>
          </w:rPr>
          <w:t>Résolution de l'ICCAT établissant un projet pilote aux fins de la mise en œuvre de la surveillance électronique à distance (REM) à bord des navires de transformation du thon rouge</w:t>
        </w:r>
        <w:r w:rsidRPr="00442E46">
          <w:rPr>
            <w:rStyle w:val="Hyperlink"/>
            <w:rFonts w:asciiTheme="majorHAnsi" w:hAnsiTheme="majorHAnsi"/>
            <w:sz w:val="20"/>
            <w:szCs w:val="20"/>
            <w:u w:val="none"/>
          </w:rPr>
          <w:t xml:space="preserve"> (Rés. 21-17)</w:t>
        </w:r>
      </w:hyperlink>
      <w:r w:rsidRPr="00442E46">
        <w:rPr>
          <w:rFonts w:asciiTheme="majorHAnsi" w:hAnsiTheme="majorHAnsi"/>
          <w:sz w:val="20"/>
          <w:szCs w:val="20"/>
        </w:rPr>
        <w:t>, définit dans son annexe 1 les normes techniques minimales du système. Ces normes sont exhaustives et se sont avérées efficaces lors des tests pour atteindre les objectifs du système.</w:t>
      </w:r>
    </w:p>
    <w:p w14:paraId="3FD98924" w14:textId="77777777" w:rsidR="00405F51" w:rsidRPr="00442E46" w:rsidRDefault="00405F51" w:rsidP="00094890">
      <w:pPr>
        <w:spacing w:after="0" w:line="240" w:lineRule="auto"/>
        <w:jc w:val="both"/>
        <w:rPr>
          <w:rFonts w:asciiTheme="majorHAnsi" w:hAnsiTheme="majorHAnsi" w:cs="Times New Roman"/>
          <w:sz w:val="20"/>
          <w:szCs w:val="20"/>
        </w:rPr>
      </w:pPr>
    </w:p>
    <w:p w14:paraId="21B0F2F6" w14:textId="0000AE60" w:rsidR="00F61464" w:rsidRPr="006230CC" w:rsidRDefault="00724D7F" w:rsidP="00094890">
      <w:pPr>
        <w:spacing w:after="0" w:line="240" w:lineRule="auto"/>
        <w:jc w:val="both"/>
        <w:rPr>
          <w:rFonts w:asciiTheme="majorHAnsi" w:hAnsiTheme="majorHAnsi" w:cs="Times New Roman"/>
          <w:sz w:val="20"/>
          <w:szCs w:val="20"/>
        </w:rPr>
      </w:pPr>
      <w:r w:rsidRPr="00442E46">
        <w:rPr>
          <w:rFonts w:asciiTheme="majorHAnsi" w:hAnsiTheme="majorHAnsi"/>
          <w:sz w:val="20"/>
          <w:szCs w:val="20"/>
        </w:rPr>
        <w:t xml:space="preserve">La </w:t>
      </w:r>
      <w:hyperlink r:id="rId8" w:tgtFrame="_blank" w:history="1">
        <w:r w:rsidRPr="00442E46">
          <w:rPr>
            <w:rStyle w:val="Hyperlink"/>
            <w:rFonts w:asciiTheme="majorHAnsi" w:hAnsiTheme="majorHAnsi"/>
            <w:i/>
            <w:iCs/>
            <w:sz w:val="20"/>
            <w:szCs w:val="20"/>
            <w:u w:val="none"/>
          </w:rPr>
          <w:t>Recommandation de l’ICCAT visant à établir des normes minimales et des exigences du programme aux fins de l'utilisation des systèmes de surveillance électronique (EMS) dans les pêcheries de l’ICCAT</w:t>
        </w:r>
        <w:r w:rsidRPr="00442E46">
          <w:rPr>
            <w:rStyle w:val="Hyperlink"/>
            <w:rFonts w:asciiTheme="majorHAnsi" w:hAnsiTheme="majorHAnsi"/>
            <w:sz w:val="20"/>
            <w:szCs w:val="20"/>
            <w:u w:val="none"/>
          </w:rPr>
          <w:t xml:space="preserve"> (Rec. 23-18)</w:t>
        </w:r>
      </w:hyperlink>
      <w:r w:rsidRPr="00442E46">
        <w:rPr>
          <w:rFonts w:asciiTheme="majorHAnsi" w:hAnsiTheme="majorHAnsi"/>
          <w:sz w:val="20"/>
          <w:szCs w:val="20"/>
        </w:rPr>
        <w:t xml:space="preserve"> établit des normes minimales et des exigences du programme pour l'utilisation des EMS dans les pêcheries de l’ICCAT, mais elle n'a été élaborée jusqu'à présent que pour les senneurs et les palangriers.</w:t>
      </w:r>
      <w:r w:rsidRPr="006230CC">
        <w:rPr>
          <w:rFonts w:asciiTheme="majorHAnsi" w:hAnsiTheme="majorHAnsi"/>
          <w:sz w:val="20"/>
          <w:szCs w:val="20"/>
        </w:rPr>
        <w:t xml:space="preserve"> </w:t>
      </w:r>
    </w:p>
    <w:p w14:paraId="16D69E81" w14:textId="77777777" w:rsidR="00925F73" w:rsidRPr="006230CC" w:rsidRDefault="00925F73" w:rsidP="00094890">
      <w:pPr>
        <w:spacing w:after="0" w:line="240" w:lineRule="auto"/>
        <w:jc w:val="both"/>
        <w:rPr>
          <w:rFonts w:asciiTheme="majorHAnsi" w:hAnsiTheme="majorHAnsi" w:cs="Times New Roman"/>
          <w:sz w:val="20"/>
          <w:szCs w:val="20"/>
        </w:rPr>
      </w:pPr>
    </w:p>
    <w:p w14:paraId="0FCEA4B1" w14:textId="55198DDD"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L'UE a soumis un « Projet de Recommandation de l’ICCAT amendant la Rec. 23-18 visant à établir des normes minimales aux fins de l'utilisation de l’EMS » (IMM_15/i2025)</w:t>
      </w:r>
      <w:r w:rsidR="00F25F63">
        <w:rPr>
          <w:rFonts w:asciiTheme="majorHAnsi" w:hAnsiTheme="majorHAnsi"/>
          <w:sz w:val="20"/>
          <w:szCs w:val="20"/>
        </w:rPr>
        <w:t xml:space="preserve"> à la 18</w:t>
      </w:r>
      <w:r w:rsidR="00F25F63" w:rsidRPr="00F25F63">
        <w:rPr>
          <w:rFonts w:asciiTheme="majorHAnsi" w:hAnsiTheme="majorHAnsi"/>
          <w:sz w:val="20"/>
          <w:szCs w:val="20"/>
          <w:vertAlign w:val="superscript"/>
        </w:rPr>
        <w:t>e</w:t>
      </w:r>
      <w:r w:rsidR="00F25F63">
        <w:rPr>
          <w:rFonts w:asciiTheme="majorHAnsi" w:hAnsiTheme="majorHAnsi"/>
          <w:sz w:val="20"/>
          <w:szCs w:val="20"/>
        </w:rPr>
        <w:t xml:space="preserve"> réunion du IMM WG</w:t>
      </w:r>
      <w:r w:rsidRPr="006230CC">
        <w:rPr>
          <w:rFonts w:asciiTheme="majorHAnsi" w:hAnsiTheme="majorHAnsi"/>
          <w:sz w:val="20"/>
          <w:szCs w:val="20"/>
        </w:rPr>
        <w:t>, qui amend</w:t>
      </w:r>
      <w:r w:rsidR="00265461">
        <w:rPr>
          <w:rFonts w:asciiTheme="majorHAnsi" w:hAnsiTheme="majorHAnsi"/>
          <w:sz w:val="20"/>
          <w:szCs w:val="20"/>
        </w:rPr>
        <w:t>ait</w:t>
      </w:r>
      <w:r w:rsidRPr="006230CC">
        <w:rPr>
          <w:rFonts w:asciiTheme="majorHAnsi" w:hAnsiTheme="majorHAnsi"/>
          <w:sz w:val="20"/>
          <w:szCs w:val="20"/>
        </w:rPr>
        <w:t xml:space="preserve"> la Rec. 23-18 et inclu</w:t>
      </w:r>
      <w:r w:rsidR="000103BD">
        <w:rPr>
          <w:rFonts w:asciiTheme="majorHAnsi" w:hAnsiTheme="majorHAnsi"/>
          <w:sz w:val="20"/>
          <w:szCs w:val="20"/>
        </w:rPr>
        <w:t>ai</w:t>
      </w:r>
      <w:r w:rsidRPr="006230CC">
        <w:rPr>
          <w:rFonts w:asciiTheme="majorHAnsi" w:hAnsiTheme="majorHAnsi"/>
          <w:sz w:val="20"/>
          <w:szCs w:val="20"/>
        </w:rPr>
        <w:t>t une nouvelle annexe pour les navires de transformation.</w:t>
      </w:r>
    </w:p>
    <w:p w14:paraId="1815EA22" w14:textId="77777777" w:rsidR="00405F51" w:rsidRPr="006230CC" w:rsidRDefault="00405F51" w:rsidP="00094890">
      <w:pPr>
        <w:spacing w:after="0" w:line="240" w:lineRule="auto"/>
        <w:jc w:val="both"/>
        <w:rPr>
          <w:rFonts w:asciiTheme="majorHAnsi" w:hAnsiTheme="majorHAnsi" w:cs="Times New Roman"/>
          <w:sz w:val="20"/>
          <w:szCs w:val="20"/>
        </w:rPr>
      </w:pPr>
    </w:p>
    <w:p w14:paraId="43D87760" w14:textId="77777777" w:rsidR="00405F51" w:rsidRPr="006230CC" w:rsidRDefault="00405F51" w:rsidP="00094890">
      <w:pPr>
        <w:spacing w:after="0" w:line="240" w:lineRule="auto"/>
        <w:jc w:val="both"/>
        <w:rPr>
          <w:rFonts w:asciiTheme="majorHAnsi" w:hAnsiTheme="majorHAnsi" w:cs="Times New Roman"/>
          <w:sz w:val="20"/>
          <w:szCs w:val="20"/>
        </w:rPr>
      </w:pPr>
    </w:p>
    <w:p w14:paraId="1D5BB22D" w14:textId="527B4CAE" w:rsidR="00F61464" w:rsidRPr="006230C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6230CC">
        <w:rPr>
          <w:rFonts w:asciiTheme="majorHAnsi" w:hAnsiTheme="majorHAnsi"/>
          <w:b/>
          <w:sz w:val="20"/>
          <w:szCs w:val="20"/>
        </w:rPr>
        <w:t xml:space="preserve">Comment l'obligation de l'EMS serait-elle combinée avec les obligations </w:t>
      </w:r>
      <w:r w:rsidR="00442E46" w:rsidRPr="006230CC">
        <w:rPr>
          <w:rFonts w:asciiTheme="majorHAnsi" w:hAnsiTheme="majorHAnsi"/>
          <w:b/>
          <w:sz w:val="20"/>
          <w:szCs w:val="20"/>
        </w:rPr>
        <w:t>existantes concernant</w:t>
      </w:r>
      <w:r w:rsidRPr="006230CC">
        <w:rPr>
          <w:rFonts w:asciiTheme="majorHAnsi" w:hAnsiTheme="majorHAnsi"/>
          <w:b/>
          <w:sz w:val="20"/>
          <w:szCs w:val="20"/>
        </w:rPr>
        <w:t xml:space="preserve"> les observateurs régionaux pendant les opérations de mise à mort</w:t>
      </w:r>
      <w:r w:rsidR="00442E46">
        <w:rPr>
          <w:rFonts w:asciiTheme="majorHAnsi" w:hAnsiTheme="majorHAnsi"/>
          <w:b/>
          <w:sz w:val="20"/>
          <w:szCs w:val="20"/>
        </w:rPr>
        <w:t xml:space="preserve"> </w:t>
      </w:r>
      <w:r w:rsidRPr="006230CC">
        <w:rPr>
          <w:rFonts w:asciiTheme="majorHAnsi" w:hAnsiTheme="majorHAnsi"/>
          <w:b/>
          <w:sz w:val="20"/>
          <w:szCs w:val="20"/>
        </w:rPr>
        <w:t>?</w:t>
      </w:r>
    </w:p>
    <w:p w14:paraId="6808B033" w14:textId="77777777" w:rsidR="00405F51" w:rsidRPr="006230CC" w:rsidRDefault="00405F51" w:rsidP="00405F51">
      <w:pPr>
        <w:pStyle w:val="ListParagraph"/>
        <w:spacing w:after="0" w:line="240" w:lineRule="auto"/>
        <w:ind w:left="426"/>
        <w:jc w:val="both"/>
        <w:rPr>
          <w:rFonts w:asciiTheme="majorHAnsi" w:hAnsiTheme="majorHAnsi" w:cs="Times New Roman"/>
          <w:b/>
          <w:bCs/>
          <w:sz w:val="20"/>
          <w:szCs w:val="20"/>
        </w:rPr>
      </w:pPr>
    </w:p>
    <w:p w14:paraId="64E6573B" w14:textId="0FB85B0A"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Actuellement, il est obligatoire que les opérations de mise à mort dans les fermes soient surveillées par un observateur régional de l’ICCAT, et par un observateur national dans le cas de la mise à mort dans les madragues.</w:t>
      </w:r>
    </w:p>
    <w:p w14:paraId="6994C92F" w14:textId="77777777" w:rsidR="00405F51" w:rsidRPr="006230CC" w:rsidRDefault="00405F51" w:rsidP="00094890">
      <w:pPr>
        <w:spacing w:after="0" w:line="240" w:lineRule="auto"/>
        <w:jc w:val="both"/>
        <w:rPr>
          <w:rFonts w:asciiTheme="majorHAnsi" w:hAnsiTheme="majorHAnsi" w:cs="Times New Roman"/>
          <w:sz w:val="20"/>
          <w:szCs w:val="20"/>
        </w:rPr>
      </w:pPr>
    </w:p>
    <w:p w14:paraId="73AD66A5" w14:textId="09BEBA0F"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 xml:space="preserve">Il existe deux destinations possibles pour les poissons mis à </w:t>
      </w:r>
      <w:r w:rsidR="00442E46" w:rsidRPr="006230CC">
        <w:rPr>
          <w:rFonts w:asciiTheme="majorHAnsi" w:hAnsiTheme="majorHAnsi"/>
          <w:sz w:val="20"/>
          <w:szCs w:val="20"/>
        </w:rPr>
        <w:t>mort :</w:t>
      </w:r>
    </w:p>
    <w:p w14:paraId="1C0255F7" w14:textId="77777777" w:rsidR="00405F51" w:rsidRPr="006230CC" w:rsidRDefault="00405F51" w:rsidP="00094890">
      <w:pPr>
        <w:spacing w:after="0" w:line="240" w:lineRule="auto"/>
        <w:jc w:val="both"/>
        <w:rPr>
          <w:rFonts w:asciiTheme="majorHAnsi" w:hAnsiTheme="majorHAnsi" w:cs="Times New Roman"/>
          <w:sz w:val="20"/>
          <w:szCs w:val="20"/>
        </w:rPr>
      </w:pPr>
    </w:p>
    <w:p w14:paraId="0140B781" w14:textId="75BBE89E" w:rsidR="00F61464" w:rsidRPr="006230CC" w:rsidRDefault="00F61464" w:rsidP="00094890">
      <w:pPr>
        <w:pStyle w:val="ListParagraph"/>
        <w:numPr>
          <w:ilvl w:val="0"/>
          <w:numId w:val="8"/>
        </w:numPr>
        <w:spacing w:after="0" w:line="240" w:lineRule="auto"/>
        <w:jc w:val="both"/>
        <w:rPr>
          <w:rFonts w:asciiTheme="majorHAnsi" w:hAnsiTheme="majorHAnsi" w:cs="Times New Roman"/>
          <w:sz w:val="20"/>
          <w:szCs w:val="20"/>
        </w:rPr>
      </w:pPr>
      <w:r w:rsidRPr="006230CC">
        <w:rPr>
          <w:rFonts w:asciiTheme="majorHAnsi" w:hAnsiTheme="majorHAnsi"/>
          <w:sz w:val="20"/>
          <w:szCs w:val="20"/>
        </w:rPr>
        <w:t>la mise à mort pour le marché du frais, dans laquelle le poisson est mis à mort et transporté par un navire auxiliaire pour être déchargé au port.</w:t>
      </w:r>
    </w:p>
    <w:p w14:paraId="7FF4B383" w14:textId="45CFED98" w:rsidR="00F61464" w:rsidRPr="006230CC" w:rsidRDefault="00F61464" w:rsidP="00094890">
      <w:pPr>
        <w:pStyle w:val="ListParagraph"/>
        <w:numPr>
          <w:ilvl w:val="0"/>
          <w:numId w:val="8"/>
        </w:numPr>
        <w:spacing w:after="0" w:line="240" w:lineRule="auto"/>
        <w:jc w:val="both"/>
        <w:rPr>
          <w:rFonts w:asciiTheme="majorHAnsi" w:hAnsiTheme="majorHAnsi" w:cs="Times New Roman"/>
          <w:sz w:val="20"/>
          <w:szCs w:val="20"/>
        </w:rPr>
      </w:pPr>
      <w:r w:rsidRPr="006230CC">
        <w:rPr>
          <w:rFonts w:asciiTheme="majorHAnsi" w:hAnsiTheme="majorHAnsi"/>
          <w:sz w:val="20"/>
          <w:szCs w:val="20"/>
        </w:rPr>
        <w:t>Et ce que l'on appelle la « mise à mort massive », ce qui signifie que, sur une période de plusieurs semaines, la ferme/la madrague met à mort le poisson et le transporte jusqu'au navire de transformation.</w:t>
      </w:r>
    </w:p>
    <w:p w14:paraId="007388F4" w14:textId="77777777" w:rsidR="00405F51" w:rsidRPr="006230CC" w:rsidRDefault="00405F51" w:rsidP="00405F51">
      <w:pPr>
        <w:pStyle w:val="ListParagraph"/>
        <w:spacing w:after="0" w:line="240" w:lineRule="auto"/>
        <w:jc w:val="both"/>
        <w:rPr>
          <w:rFonts w:asciiTheme="majorHAnsi" w:hAnsiTheme="majorHAnsi" w:cs="Times New Roman"/>
          <w:sz w:val="20"/>
          <w:szCs w:val="20"/>
        </w:rPr>
      </w:pPr>
    </w:p>
    <w:p w14:paraId="79997C5F" w14:textId="406467F2"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Il est important de mentionner que les opérations de mise à mort visées au point b) sont contrôlées par l'observateur depuis le navire de transformation, de sorte que l'observateur n'assiste pas réellement aux opérations de mise à mort.</w:t>
      </w:r>
    </w:p>
    <w:p w14:paraId="6A8028D2" w14:textId="77777777" w:rsidR="00405F51" w:rsidRPr="006230CC" w:rsidRDefault="00405F51" w:rsidP="00094890">
      <w:pPr>
        <w:spacing w:after="0" w:line="240" w:lineRule="auto"/>
        <w:jc w:val="both"/>
        <w:rPr>
          <w:rFonts w:asciiTheme="majorHAnsi" w:hAnsiTheme="majorHAnsi" w:cs="Times New Roman"/>
          <w:sz w:val="20"/>
          <w:szCs w:val="20"/>
        </w:rPr>
      </w:pPr>
    </w:p>
    <w:p w14:paraId="3FFDAF08" w14:textId="4A8CCEE8"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Les activités de mise à mort pour le marché du frais seront toujours couvertes par un observateur, comme c'est le cas actuellement. En ce qui concerne les activités de mise à mort pour les navires de transformation, la proposition permet de choisir si le contrôle est assuré par un observateur régional déployé 24 heures sur 24 et 7 jours sur 7 à bord du navire de transformation ou par l’EMS.</w:t>
      </w:r>
    </w:p>
    <w:p w14:paraId="2381AA06" w14:textId="77777777" w:rsidR="00405F51" w:rsidRPr="006230CC" w:rsidRDefault="00405F51" w:rsidP="00094890">
      <w:pPr>
        <w:spacing w:after="0" w:line="240" w:lineRule="auto"/>
        <w:jc w:val="both"/>
        <w:rPr>
          <w:rFonts w:asciiTheme="majorHAnsi" w:hAnsiTheme="majorHAnsi" w:cs="Times New Roman"/>
          <w:sz w:val="20"/>
          <w:szCs w:val="20"/>
        </w:rPr>
      </w:pPr>
    </w:p>
    <w:p w14:paraId="0E433BB9" w14:textId="77777777" w:rsidR="00405F51" w:rsidRPr="006230CC" w:rsidRDefault="00405F51" w:rsidP="00094890">
      <w:pPr>
        <w:spacing w:after="0" w:line="240" w:lineRule="auto"/>
        <w:jc w:val="both"/>
        <w:rPr>
          <w:rFonts w:asciiTheme="majorHAnsi" w:hAnsiTheme="majorHAnsi" w:cs="Times New Roman"/>
          <w:sz w:val="20"/>
          <w:szCs w:val="20"/>
        </w:rPr>
      </w:pPr>
    </w:p>
    <w:p w14:paraId="023090EA" w14:textId="44474246" w:rsidR="00F61464" w:rsidRPr="006230C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6230CC">
        <w:rPr>
          <w:rFonts w:asciiTheme="majorHAnsi" w:hAnsiTheme="majorHAnsi"/>
          <w:b/>
          <w:sz w:val="20"/>
          <w:szCs w:val="20"/>
        </w:rPr>
        <w:t>Validation de l'eBCD</w:t>
      </w:r>
    </w:p>
    <w:p w14:paraId="5378B745" w14:textId="77777777" w:rsidR="00405F51" w:rsidRPr="006230CC" w:rsidRDefault="00405F51" w:rsidP="00405F51">
      <w:pPr>
        <w:pStyle w:val="ListParagraph"/>
        <w:spacing w:after="0" w:line="240" w:lineRule="auto"/>
        <w:ind w:left="426"/>
        <w:jc w:val="both"/>
        <w:rPr>
          <w:rFonts w:asciiTheme="majorHAnsi" w:hAnsiTheme="majorHAnsi" w:cs="Times New Roman"/>
          <w:b/>
          <w:bCs/>
          <w:sz w:val="20"/>
          <w:szCs w:val="20"/>
        </w:rPr>
      </w:pPr>
    </w:p>
    <w:p w14:paraId="6F54A12F" w14:textId="19A18C52"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Si l'utilisation de l'EMS est choisie, la validation de la section 7 de l'eBCD (mise à mort) par l'observateur de l’ICCAT ne sera pas nécessaire et seule la validation des autorités chargées du contrôle de l'opération sera requise.</w:t>
      </w:r>
    </w:p>
    <w:p w14:paraId="18324BF1" w14:textId="77777777" w:rsidR="00405F51" w:rsidRPr="006230CC" w:rsidRDefault="00405F51" w:rsidP="00094890">
      <w:pPr>
        <w:spacing w:after="0" w:line="240" w:lineRule="auto"/>
        <w:jc w:val="both"/>
        <w:rPr>
          <w:rFonts w:asciiTheme="majorHAnsi" w:hAnsiTheme="majorHAnsi" w:cs="Times New Roman"/>
          <w:sz w:val="20"/>
          <w:szCs w:val="20"/>
        </w:rPr>
      </w:pPr>
    </w:p>
    <w:p w14:paraId="54A8204E" w14:textId="77777777" w:rsidR="00405F51" w:rsidRPr="006230CC" w:rsidRDefault="00405F51" w:rsidP="00094890">
      <w:pPr>
        <w:spacing w:after="0" w:line="240" w:lineRule="auto"/>
        <w:jc w:val="both"/>
        <w:rPr>
          <w:rFonts w:asciiTheme="majorHAnsi" w:hAnsiTheme="majorHAnsi" w:cs="Times New Roman"/>
          <w:sz w:val="20"/>
          <w:szCs w:val="20"/>
        </w:rPr>
      </w:pPr>
    </w:p>
    <w:p w14:paraId="6BDB59C9" w14:textId="246A5415" w:rsidR="00F61464" w:rsidRPr="006230C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6230CC">
        <w:rPr>
          <w:rFonts w:asciiTheme="majorHAnsi" w:hAnsiTheme="majorHAnsi"/>
          <w:b/>
          <w:sz w:val="20"/>
          <w:szCs w:val="20"/>
        </w:rPr>
        <w:t>Qui sera chargé d'analyser les enregistrements vidéo ?</w:t>
      </w:r>
    </w:p>
    <w:p w14:paraId="189872AF" w14:textId="77777777" w:rsidR="00405F51" w:rsidRPr="006230CC" w:rsidRDefault="00405F51" w:rsidP="00405F51">
      <w:pPr>
        <w:pStyle w:val="ListParagraph"/>
        <w:spacing w:after="0" w:line="240" w:lineRule="auto"/>
        <w:ind w:left="426"/>
        <w:jc w:val="both"/>
        <w:rPr>
          <w:rFonts w:asciiTheme="majorHAnsi" w:hAnsiTheme="majorHAnsi" w:cs="Times New Roman"/>
          <w:b/>
          <w:bCs/>
          <w:sz w:val="20"/>
          <w:szCs w:val="20"/>
        </w:rPr>
      </w:pPr>
    </w:p>
    <w:p w14:paraId="7A9DA397" w14:textId="685D3742"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Selon la même logique qu'aujourd'hui, d’après laquelle les autorités de la CPC de la ferme ou de la madrague ont la responsabilité de contrôler les activités des navires de transformation dans leurs eaux, la CPC de la ferme ou de la madrague dans laquelle le navire de transformation opère serait responsable.</w:t>
      </w:r>
    </w:p>
    <w:p w14:paraId="2C3BDCDE" w14:textId="77777777" w:rsidR="00405F51" w:rsidRPr="006230CC" w:rsidRDefault="00405F51" w:rsidP="00094890">
      <w:pPr>
        <w:spacing w:after="0" w:line="240" w:lineRule="auto"/>
        <w:jc w:val="both"/>
        <w:rPr>
          <w:rFonts w:asciiTheme="majorHAnsi" w:hAnsiTheme="majorHAnsi" w:cs="Times New Roman"/>
          <w:sz w:val="20"/>
          <w:szCs w:val="20"/>
        </w:rPr>
      </w:pPr>
    </w:p>
    <w:p w14:paraId="70DDEBBD" w14:textId="35D1E473" w:rsidR="00F61464" w:rsidRDefault="00F61464" w:rsidP="00094890">
      <w:pPr>
        <w:spacing w:after="0" w:line="240" w:lineRule="auto"/>
        <w:jc w:val="both"/>
        <w:rPr>
          <w:rFonts w:asciiTheme="majorHAnsi" w:hAnsiTheme="majorHAnsi"/>
          <w:sz w:val="20"/>
          <w:szCs w:val="20"/>
        </w:rPr>
      </w:pPr>
      <w:r w:rsidRPr="006230CC">
        <w:rPr>
          <w:rFonts w:asciiTheme="majorHAnsi" w:hAnsiTheme="majorHAnsi"/>
          <w:sz w:val="20"/>
          <w:szCs w:val="20"/>
        </w:rPr>
        <w:lastRenderedPageBreak/>
        <w:t>Actuellement, les autorités sont présentes lors de toutes les opérations de transformation. La différence serait que les autorités seraient désormais chargées d'analyser les informations de l’EMS et de prendre des mesures en cas de non-application. Cela constituerait néanmoins une amélioration de l'efficacité par rapport à la situation actuelle, car le temps consacré au contrôle de la transformation d'une seule journée pourrait permettre d'examiner plus d'une semaine d'activité.</w:t>
      </w:r>
    </w:p>
    <w:p w14:paraId="65E3CF84" w14:textId="77777777" w:rsidR="00442E46" w:rsidRDefault="00442E46" w:rsidP="00094890">
      <w:pPr>
        <w:spacing w:after="0" w:line="240" w:lineRule="auto"/>
        <w:jc w:val="both"/>
        <w:rPr>
          <w:rFonts w:asciiTheme="majorHAnsi" w:hAnsiTheme="majorHAnsi"/>
          <w:sz w:val="20"/>
          <w:szCs w:val="20"/>
        </w:rPr>
      </w:pPr>
    </w:p>
    <w:p w14:paraId="6FAA7542" w14:textId="77777777" w:rsidR="00442E46" w:rsidRPr="006230CC" w:rsidRDefault="00442E46" w:rsidP="00094890">
      <w:pPr>
        <w:spacing w:after="0" w:line="240" w:lineRule="auto"/>
        <w:jc w:val="both"/>
        <w:rPr>
          <w:rFonts w:asciiTheme="majorHAnsi" w:hAnsiTheme="majorHAnsi" w:cs="Times New Roman"/>
          <w:sz w:val="20"/>
          <w:szCs w:val="20"/>
        </w:rPr>
      </w:pPr>
    </w:p>
    <w:p w14:paraId="0CA9AD4C" w14:textId="1EB867E4" w:rsidR="00F61464" w:rsidRPr="006230C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6230CC">
        <w:rPr>
          <w:rFonts w:asciiTheme="majorHAnsi" w:hAnsiTheme="majorHAnsi"/>
          <w:b/>
          <w:sz w:val="20"/>
          <w:szCs w:val="20"/>
        </w:rPr>
        <w:t>Coûts</w:t>
      </w:r>
    </w:p>
    <w:p w14:paraId="1300AB01" w14:textId="77777777" w:rsidR="00405F51" w:rsidRPr="006230CC" w:rsidRDefault="00405F51" w:rsidP="00094890">
      <w:pPr>
        <w:spacing w:after="0" w:line="240" w:lineRule="auto"/>
        <w:jc w:val="both"/>
        <w:rPr>
          <w:rFonts w:asciiTheme="majorHAnsi" w:hAnsiTheme="majorHAnsi" w:cs="Times New Roman"/>
          <w:sz w:val="20"/>
          <w:szCs w:val="20"/>
        </w:rPr>
      </w:pPr>
    </w:p>
    <w:p w14:paraId="4D82E0CE" w14:textId="67F0913C"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Cette proposition vise à disposer de moyens permettant de contrôler les activités des navires de transformation et à remédier à une faiblesse du système due à la présence de navires de transformation à proximité de fermes ou de madragues.</w:t>
      </w:r>
    </w:p>
    <w:p w14:paraId="64BE4F6C" w14:textId="77777777" w:rsidR="00405F51" w:rsidRPr="006230CC" w:rsidRDefault="00405F51" w:rsidP="00094890">
      <w:pPr>
        <w:spacing w:after="0" w:line="240" w:lineRule="auto"/>
        <w:jc w:val="both"/>
        <w:rPr>
          <w:rFonts w:asciiTheme="majorHAnsi" w:hAnsiTheme="majorHAnsi" w:cs="Times New Roman"/>
          <w:sz w:val="20"/>
          <w:szCs w:val="20"/>
        </w:rPr>
      </w:pPr>
    </w:p>
    <w:p w14:paraId="0994B339" w14:textId="34D1F471"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sz w:val="20"/>
          <w:szCs w:val="20"/>
        </w:rPr>
        <w:t>Nous pensons que les coûts du contrôle des activités du navire de transformation devraient être pris en charge par l'opérateur du navire de transformation. Il en va de même pour le reste des cas, madragues, fermes, navires de pêche, navires remorqueurs ou navires transporteurs. Dans tous les cas, c'est l'opérateur du navire, de la ferme ou de la madrague qui prend en charge les frais d'observation.</w:t>
      </w:r>
    </w:p>
    <w:p w14:paraId="1983AA2B" w14:textId="77777777" w:rsidR="00B00CE0" w:rsidRPr="006230CC" w:rsidRDefault="00B00CE0" w:rsidP="00094890">
      <w:pPr>
        <w:spacing w:after="0" w:line="240" w:lineRule="auto"/>
        <w:jc w:val="both"/>
        <w:rPr>
          <w:rFonts w:asciiTheme="majorHAnsi" w:hAnsiTheme="majorHAnsi" w:cs="Times New Roman"/>
          <w:b/>
          <w:bCs/>
          <w:sz w:val="20"/>
          <w:szCs w:val="20"/>
        </w:rPr>
      </w:pPr>
    </w:p>
    <w:p w14:paraId="2B8F4FB7" w14:textId="77777777" w:rsidR="00405F51" w:rsidRPr="006230CC" w:rsidRDefault="00405F51">
      <w:pPr>
        <w:rPr>
          <w:rFonts w:asciiTheme="majorHAnsi" w:hAnsiTheme="majorHAnsi" w:cs="Times New Roman"/>
          <w:b/>
          <w:bCs/>
          <w:sz w:val="20"/>
          <w:szCs w:val="20"/>
        </w:rPr>
      </w:pPr>
      <w:r w:rsidRPr="006230CC">
        <w:rPr>
          <w:rFonts w:asciiTheme="majorHAnsi" w:hAnsiTheme="majorHAnsi"/>
          <w:sz w:val="20"/>
          <w:szCs w:val="20"/>
        </w:rPr>
        <w:br w:type="page"/>
      </w:r>
    </w:p>
    <w:p w14:paraId="4BB019CC" w14:textId="6D2E1FE4" w:rsidR="00F61464" w:rsidRPr="006230CC" w:rsidRDefault="00F61464" w:rsidP="00094890">
      <w:pPr>
        <w:spacing w:after="0" w:line="240" w:lineRule="auto"/>
        <w:jc w:val="both"/>
        <w:rPr>
          <w:rFonts w:asciiTheme="majorHAnsi" w:hAnsiTheme="majorHAnsi" w:cs="Times New Roman"/>
          <w:b/>
          <w:bCs/>
          <w:sz w:val="20"/>
          <w:szCs w:val="20"/>
        </w:rPr>
      </w:pPr>
      <w:r w:rsidRPr="006230CC">
        <w:rPr>
          <w:rFonts w:asciiTheme="majorHAnsi" w:hAnsiTheme="majorHAnsi"/>
          <w:b/>
          <w:sz w:val="20"/>
          <w:szCs w:val="20"/>
        </w:rPr>
        <w:lastRenderedPageBreak/>
        <w:t xml:space="preserve">Amendement proposé à la </w:t>
      </w:r>
      <w:r w:rsidRPr="006230CC">
        <w:rPr>
          <w:rFonts w:asciiTheme="majorHAnsi" w:hAnsiTheme="majorHAnsi"/>
          <w:b/>
          <w:i/>
          <w:iCs/>
          <w:sz w:val="20"/>
          <w:szCs w:val="20"/>
        </w:rPr>
        <w:t>Recommandation de l’ICCAT amendant la Recommandation 22-08 établissant un plan pluriannuel de gestion du thon rouge dans l’Atlantique Est et la Méditerranée</w:t>
      </w:r>
      <w:r w:rsidRPr="006230CC">
        <w:rPr>
          <w:rFonts w:asciiTheme="majorHAnsi" w:hAnsiTheme="majorHAnsi"/>
          <w:b/>
          <w:sz w:val="20"/>
          <w:szCs w:val="20"/>
        </w:rPr>
        <w:t xml:space="preserve"> (Rec.</w:t>
      </w:r>
      <w:r w:rsidR="00C438B5">
        <w:rPr>
          <w:rFonts w:asciiTheme="majorHAnsi" w:hAnsiTheme="majorHAnsi"/>
          <w:b/>
          <w:sz w:val="20"/>
          <w:szCs w:val="20"/>
        </w:rPr>
        <w:t> </w:t>
      </w:r>
      <w:r w:rsidRPr="006230CC">
        <w:rPr>
          <w:rFonts w:asciiTheme="majorHAnsi" w:hAnsiTheme="majorHAnsi"/>
          <w:b/>
          <w:sz w:val="20"/>
          <w:szCs w:val="20"/>
        </w:rPr>
        <w:t>24-05)</w:t>
      </w:r>
    </w:p>
    <w:p w14:paraId="523A6DD6" w14:textId="77777777" w:rsidR="00405F51" w:rsidRPr="006230CC" w:rsidRDefault="00405F51" w:rsidP="00094890">
      <w:pPr>
        <w:spacing w:after="0" w:line="240" w:lineRule="auto"/>
        <w:jc w:val="both"/>
        <w:rPr>
          <w:rFonts w:asciiTheme="majorHAnsi" w:hAnsiTheme="majorHAnsi" w:cs="Times New Roman"/>
          <w:b/>
          <w:bCs/>
          <w:sz w:val="20"/>
          <w:szCs w:val="20"/>
        </w:rPr>
      </w:pPr>
    </w:p>
    <w:p w14:paraId="580E7F39" w14:textId="42D64800" w:rsidR="00F61464"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b/>
          <w:bCs/>
          <w:sz w:val="20"/>
          <w:szCs w:val="20"/>
        </w:rPr>
        <w:t>Paragraphe 192.</w:t>
      </w:r>
      <w:r w:rsidRPr="006230CC">
        <w:rPr>
          <w:rFonts w:asciiTheme="majorHAnsi" w:hAnsiTheme="majorHAnsi"/>
          <w:sz w:val="20"/>
          <w:szCs w:val="20"/>
        </w:rPr>
        <w:t xml:space="preserve"> 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régional de l’ICCAT pourrait effectuer ses tâches pertinentes à partir du navire de transformation.</w:t>
      </w:r>
    </w:p>
    <w:p w14:paraId="299C02B6" w14:textId="77777777" w:rsidR="006A6F79" w:rsidRPr="006230CC" w:rsidRDefault="006A6F79" w:rsidP="00094890">
      <w:pPr>
        <w:spacing w:after="0" w:line="240" w:lineRule="auto"/>
        <w:jc w:val="both"/>
        <w:rPr>
          <w:rFonts w:asciiTheme="majorHAnsi" w:hAnsiTheme="majorHAnsi" w:cs="Times New Roman"/>
          <w:sz w:val="20"/>
          <w:szCs w:val="20"/>
        </w:rPr>
      </w:pPr>
    </w:p>
    <w:p w14:paraId="01EA870E" w14:textId="22054EAF" w:rsidR="00F61464" w:rsidRPr="00184336" w:rsidRDefault="00F61464" w:rsidP="00094890">
      <w:pPr>
        <w:spacing w:after="0" w:line="240" w:lineRule="auto"/>
        <w:jc w:val="both"/>
        <w:rPr>
          <w:rFonts w:asciiTheme="majorHAnsi" w:hAnsiTheme="majorHAnsi" w:cs="Times New Roman"/>
          <w:sz w:val="20"/>
          <w:szCs w:val="20"/>
          <w:u w:val="single"/>
        </w:rPr>
      </w:pPr>
      <w:r w:rsidRPr="00184336">
        <w:rPr>
          <w:rFonts w:asciiTheme="majorHAnsi" w:hAnsiTheme="majorHAnsi"/>
          <w:sz w:val="20"/>
          <w:szCs w:val="20"/>
          <w:u w:val="single"/>
        </w:rPr>
        <w:t>Lorsqu'ils sont actifs dans la pêcherie de thon rouge, les navires de transformation devront soit avoir un observateur régional de l’ICCAT présent à leur bord 24 heures sur 24 et 7 jours sur 7, soit être équipés d'un système de surveillance électronique (EMS) qui remplit les normes minimales et les exigences du programme pour l'utilisation de l'EMS dans les pêcheries de l’ICCAT, spécifiées dans la Recommandation 23-18 de l’ICCAT.</w:t>
      </w:r>
    </w:p>
    <w:p w14:paraId="1DCB799D" w14:textId="77777777" w:rsidR="005D3B17" w:rsidRPr="00184336" w:rsidRDefault="005D3B17" w:rsidP="00094890">
      <w:pPr>
        <w:spacing w:after="0" w:line="240" w:lineRule="auto"/>
        <w:jc w:val="both"/>
        <w:rPr>
          <w:rFonts w:asciiTheme="majorHAnsi" w:hAnsiTheme="majorHAnsi" w:cs="Times New Roman"/>
          <w:sz w:val="20"/>
          <w:szCs w:val="20"/>
          <w:u w:val="single"/>
        </w:rPr>
      </w:pPr>
    </w:p>
    <w:p w14:paraId="19FFCBBD" w14:textId="76077405" w:rsidR="00247A28" w:rsidRPr="00184336" w:rsidRDefault="00247A28" w:rsidP="00094890">
      <w:pPr>
        <w:spacing w:after="0" w:line="240" w:lineRule="auto"/>
        <w:jc w:val="both"/>
        <w:rPr>
          <w:rFonts w:asciiTheme="majorHAnsi" w:hAnsiTheme="majorHAnsi" w:cs="Times New Roman"/>
          <w:sz w:val="20"/>
          <w:szCs w:val="20"/>
          <w:u w:val="single"/>
        </w:rPr>
      </w:pPr>
      <w:r w:rsidRPr="00184336">
        <w:rPr>
          <w:rFonts w:asciiTheme="majorHAnsi" w:hAnsiTheme="majorHAnsi"/>
          <w:sz w:val="20"/>
          <w:szCs w:val="20"/>
          <w:u w:val="single"/>
        </w:rPr>
        <w:t>Lorsqu'un EMS est utilisé, en cas de dysfonctionnement de l'EMS, l'opérateur de la ferme devra veiller à ce qu'un observateur de l’ICCAT soit déployé sur le navire de transformation afin de contrôler les opérations de transformation. La présence de l'observateur ne devra pas être nécessaire dans ces cas si les autorités sont présentes à bord du navire de transformation pendant toute la durée des opérations de transformation.</w:t>
      </w:r>
    </w:p>
    <w:p w14:paraId="1423A440" w14:textId="77777777" w:rsidR="005D3B17" w:rsidRPr="00184336" w:rsidRDefault="005D3B17" w:rsidP="00094890">
      <w:pPr>
        <w:spacing w:after="0" w:line="240" w:lineRule="auto"/>
        <w:jc w:val="both"/>
        <w:rPr>
          <w:rFonts w:asciiTheme="majorHAnsi" w:hAnsiTheme="majorHAnsi" w:cs="Times New Roman"/>
          <w:sz w:val="20"/>
          <w:szCs w:val="20"/>
          <w:u w:val="single"/>
        </w:rPr>
      </w:pPr>
    </w:p>
    <w:p w14:paraId="5AB4143D" w14:textId="0537C464" w:rsidR="00247A28" w:rsidRPr="00442E46" w:rsidRDefault="00247A28" w:rsidP="00094890">
      <w:pPr>
        <w:spacing w:after="0" w:line="240" w:lineRule="auto"/>
        <w:jc w:val="both"/>
        <w:rPr>
          <w:rFonts w:asciiTheme="majorHAnsi" w:hAnsiTheme="majorHAnsi" w:cs="Times New Roman"/>
          <w:sz w:val="20"/>
          <w:szCs w:val="20"/>
          <w:u w:val="single"/>
        </w:rPr>
      </w:pPr>
      <w:r w:rsidRPr="00184336">
        <w:rPr>
          <w:rFonts w:asciiTheme="majorHAnsi" w:hAnsiTheme="majorHAnsi"/>
          <w:sz w:val="20"/>
          <w:szCs w:val="20"/>
          <w:u w:val="single"/>
        </w:rPr>
        <w:t>En cas de dysfonctionnement du système EMS, celui-ci devra être réparé lors de la première entrée au port du navire.</w:t>
      </w:r>
    </w:p>
    <w:p w14:paraId="3BEBC726" w14:textId="77777777" w:rsidR="005D3B17" w:rsidRPr="00442E46" w:rsidRDefault="005D3B17" w:rsidP="00094890">
      <w:pPr>
        <w:spacing w:after="0" w:line="240" w:lineRule="auto"/>
        <w:jc w:val="both"/>
        <w:rPr>
          <w:rFonts w:asciiTheme="majorHAnsi" w:hAnsiTheme="majorHAnsi" w:cs="Times New Roman"/>
          <w:sz w:val="20"/>
          <w:szCs w:val="20"/>
        </w:rPr>
      </w:pPr>
    </w:p>
    <w:p w14:paraId="5D22184E" w14:textId="616D639D" w:rsidR="000F37A3" w:rsidRPr="006230CC" w:rsidRDefault="00F61464" w:rsidP="00094890">
      <w:pPr>
        <w:spacing w:after="0" w:line="240" w:lineRule="auto"/>
        <w:jc w:val="both"/>
        <w:rPr>
          <w:rFonts w:asciiTheme="majorHAnsi" w:hAnsiTheme="majorHAnsi" w:cs="Times New Roman"/>
          <w:sz w:val="20"/>
          <w:szCs w:val="20"/>
        </w:rPr>
      </w:pPr>
      <w:r w:rsidRPr="006230CC">
        <w:rPr>
          <w:rFonts w:asciiTheme="majorHAnsi" w:hAnsiTheme="majorHAnsi"/>
          <w:b/>
          <w:bCs/>
          <w:sz w:val="20"/>
          <w:szCs w:val="20"/>
        </w:rPr>
        <w:t>Paragraphe 193.</w:t>
      </w:r>
      <w:r w:rsidRPr="006230CC">
        <w:rPr>
          <w:rFonts w:asciiTheme="majorHAnsi" w:hAnsiTheme="majorHAnsi"/>
          <w:sz w:val="20"/>
          <w:szCs w:val="20"/>
        </w:rPr>
        <w:t xml:space="preserve"> 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w:t>
      </w:r>
      <w:r w:rsidRPr="00E15244">
        <w:rPr>
          <w:rFonts w:asciiTheme="majorHAnsi" w:hAnsiTheme="majorHAnsi"/>
          <w:sz w:val="20"/>
          <w:szCs w:val="20"/>
          <w:u w:val="single"/>
        </w:rPr>
        <w:t>, y compris en utilisant l'EMS,</w:t>
      </w:r>
      <w:r w:rsidRPr="006230CC">
        <w:rPr>
          <w:rFonts w:asciiTheme="majorHAnsi" w:hAnsiTheme="majorHAnsi"/>
          <w:sz w:val="20"/>
          <w:szCs w:val="20"/>
        </w:rPr>
        <w:t xml:space="preserve"> et un pourcentage du reste des opérations de mise à mort sur la base d'une analyse des risques. </w:t>
      </w:r>
      <w:r w:rsidRPr="00184336">
        <w:rPr>
          <w:rFonts w:asciiTheme="majorHAnsi" w:hAnsiTheme="majorHAnsi"/>
          <w:sz w:val="20"/>
          <w:szCs w:val="20"/>
          <w:u w:val="single"/>
        </w:rPr>
        <w:t>Si l’EMS est utilisé, une période de transition d'un an est prévue au cours de laquelle la présence des autorités à bord du navire de transformation est requise pendant toutes les opérations de transformation.</w:t>
      </w:r>
    </w:p>
    <w:sectPr w:rsidR="000F37A3" w:rsidRPr="006230CC" w:rsidSect="00CE65F1">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4F29" w14:textId="77777777" w:rsidR="006D076A" w:rsidRDefault="006D076A" w:rsidP="006D076A">
      <w:pPr>
        <w:spacing w:after="0" w:line="240" w:lineRule="auto"/>
      </w:pPr>
      <w:r>
        <w:separator/>
      </w:r>
    </w:p>
  </w:endnote>
  <w:endnote w:type="continuationSeparator" w:id="0">
    <w:p w14:paraId="5065605D" w14:textId="77777777" w:rsidR="006D076A" w:rsidRDefault="006D076A" w:rsidP="006D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F565" w14:textId="53B890A4" w:rsidR="00B84401" w:rsidRPr="00B84401" w:rsidRDefault="00F25F63" w:rsidP="00B84401">
    <w:pPr>
      <w:tabs>
        <w:tab w:val="center" w:pos="4535"/>
        <w:tab w:val="center" w:pos="4680"/>
        <w:tab w:val="left" w:pos="6150"/>
        <w:tab w:val="right" w:pos="9360"/>
      </w:tabs>
      <w:spacing w:after="0" w:line="240" w:lineRule="auto"/>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B84401" w:rsidRPr="00713AD4">
          <w:rPr>
            <w:rFonts w:ascii="Cambria" w:eastAsia="Calibri" w:hAnsi="Cambria" w:cs="Calibri"/>
            <w:sz w:val="20"/>
          </w:rPr>
          <w:fldChar w:fldCharType="begin"/>
        </w:r>
        <w:r w:rsidR="00B84401" w:rsidRPr="00713AD4">
          <w:rPr>
            <w:rFonts w:ascii="Cambria" w:eastAsia="Calibri" w:hAnsi="Cambria" w:cs="Calibri"/>
            <w:sz w:val="20"/>
          </w:rPr>
          <w:instrText xml:space="preserve"> PAGE </w:instrText>
        </w:r>
        <w:r w:rsidR="00B84401" w:rsidRPr="00713AD4">
          <w:rPr>
            <w:rFonts w:ascii="Cambria" w:eastAsia="Calibri" w:hAnsi="Cambria" w:cs="Calibri"/>
            <w:sz w:val="20"/>
          </w:rPr>
          <w:fldChar w:fldCharType="separate"/>
        </w:r>
        <w:r w:rsidR="00B84401">
          <w:rPr>
            <w:rFonts w:ascii="Cambria" w:eastAsia="Calibri" w:hAnsi="Cambria" w:cs="Calibri"/>
            <w:sz w:val="20"/>
          </w:rPr>
          <w:t>1</w:t>
        </w:r>
        <w:r w:rsidR="00B84401" w:rsidRPr="00713AD4">
          <w:rPr>
            <w:rFonts w:ascii="Cambria" w:eastAsia="Calibri" w:hAnsi="Cambria" w:cs="Calibri"/>
            <w:sz w:val="20"/>
          </w:rPr>
          <w:fldChar w:fldCharType="end"/>
        </w:r>
        <w:r w:rsidR="00200745">
          <w:rPr>
            <w:rFonts w:ascii="Cambria" w:hAnsi="Cambria"/>
            <w:sz w:val="20"/>
          </w:rPr>
          <w:t xml:space="preserve"> / </w:t>
        </w:r>
        <w:r w:rsidR="00B84401" w:rsidRPr="00713AD4">
          <w:rPr>
            <w:rFonts w:ascii="Cambria" w:eastAsia="Calibri" w:hAnsi="Cambria" w:cs="Calibri"/>
            <w:sz w:val="20"/>
          </w:rPr>
          <w:fldChar w:fldCharType="begin"/>
        </w:r>
        <w:r w:rsidR="00B84401" w:rsidRPr="00713AD4">
          <w:rPr>
            <w:rFonts w:ascii="Cambria" w:eastAsia="Calibri" w:hAnsi="Cambria" w:cs="Calibri"/>
            <w:sz w:val="20"/>
          </w:rPr>
          <w:instrText xml:space="preserve"> NUMPAGES  </w:instrText>
        </w:r>
        <w:r w:rsidR="00B84401" w:rsidRPr="00713AD4">
          <w:rPr>
            <w:rFonts w:ascii="Cambria" w:eastAsia="Calibri" w:hAnsi="Cambria" w:cs="Calibri"/>
            <w:sz w:val="20"/>
          </w:rPr>
          <w:fldChar w:fldCharType="separate"/>
        </w:r>
        <w:r w:rsidR="00B84401">
          <w:rPr>
            <w:rFonts w:ascii="Cambria" w:eastAsia="Calibri" w:hAnsi="Cambria" w:cs="Calibri"/>
            <w:sz w:val="20"/>
          </w:rPr>
          <w:t>2</w:t>
        </w:r>
        <w:r w:rsidR="00B84401"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E239" w14:textId="77777777" w:rsidR="006D076A" w:rsidRDefault="006D076A" w:rsidP="006D076A">
      <w:pPr>
        <w:spacing w:after="0" w:line="240" w:lineRule="auto"/>
      </w:pPr>
      <w:r>
        <w:separator/>
      </w:r>
    </w:p>
  </w:footnote>
  <w:footnote w:type="continuationSeparator" w:id="0">
    <w:p w14:paraId="315876D4" w14:textId="77777777" w:rsidR="006D076A" w:rsidRDefault="006D076A" w:rsidP="006D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4DCD" w14:textId="5BE969D0" w:rsidR="006D076A" w:rsidRPr="006D076A" w:rsidRDefault="006D076A" w:rsidP="006D076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PWG_422/2025</w:t>
    </w:r>
  </w:p>
  <w:p w14:paraId="46C0D983" w14:textId="1AA41A14" w:rsidR="006D076A" w:rsidRDefault="006D076A" w:rsidP="00EE1557">
    <w:pPr>
      <w:widowControl w:val="0"/>
      <w:tabs>
        <w:tab w:val="left" w:pos="7320"/>
      </w:tabs>
      <w:autoSpaceDE w:val="0"/>
      <w:autoSpaceDN w:val="0"/>
      <w:spacing w:after="0" w:line="240" w:lineRule="exact"/>
      <w:jc w:val="right"/>
    </w:pPr>
    <w:r w:rsidRPr="006D076A">
      <w:rPr>
        <w:rFonts w:ascii="Cambria" w:eastAsia="Cambria" w:hAnsi="Cambria" w:cs="Cambria"/>
        <w:b/>
        <w:sz w:val="16"/>
      </w:rPr>
      <w:fldChar w:fldCharType="begin"/>
    </w:r>
    <w:r w:rsidRPr="006D076A">
      <w:rPr>
        <w:rFonts w:ascii="Cambria" w:eastAsia="Cambria" w:hAnsi="Cambria" w:cs="Cambria"/>
        <w:b/>
        <w:sz w:val="16"/>
      </w:rPr>
      <w:instrText xml:space="preserve"> TIME \@ "dd/MM/yyyy H:mm" </w:instrText>
    </w:r>
    <w:r w:rsidRPr="006D076A">
      <w:rPr>
        <w:rFonts w:ascii="Cambria" w:eastAsia="Cambria" w:hAnsi="Cambria" w:cs="Cambria"/>
        <w:b/>
        <w:sz w:val="16"/>
      </w:rPr>
      <w:fldChar w:fldCharType="separate"/>
    </w:r>
    <w:r w:rsidR="006230CC">
      <w:rPr>
        <w:rFonts w:ascii="Cambria" w:eastAsia="Cambria" w:hAnsi="Cambria" w:cs="Cambria"/>
        <w:b/>
        <w:noProof/>
        <w:sz w:val="16"/>
      </w:rPr>
      <w:t>22/10/2025 9:29</w:t>
    </w:r>
    <w:r w:rsidRPr="006D076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09"/>
    <w:multiLevelType w:val="hybridMultilevel"/>
    <w:tmpl w:val="7618F256"/>
    <w:lvl w:ilvl="0" w:tplc="2F94BCF8">
      <w:start w:val="1"/>
      <w:numFmt w:val="bullet"/>
      <w:lvlText w:val=""/>
      <w:lvlJc w:val="left"/>
      <w:pPr>
        <w:ind w:left="720" w:hanging="360"/>
      </w:pPr>
      <w:rPr>
        <w:rFonts w:ascii="Symbol" w:hAnsi="Symbol" w:hint="default"/>
      </w:rPr>
    </w:lvl>
    <w:lvl w:ilvl="1" w:tplc="8934354A" w:tentative="1">
      <w:start w:val="1"/>
      <w:numFmt w:val="bullet"/>
      <w:lvlText w:val="o"/>
      <w:lvlJc w:val="left"/>
      <w:pPr>
        <w:ind w:left="1440" w:hanging="360"/>
      </w:pPr>
      <w:rPr>
        <w:rFonts w:ascii="Courier New" w:hAnsi="Courier New" w:hint="default"/>
      </w:rPr>
    </w:lvl>
    <w:lvl w:ilvl="2" w:tplc="A9F0E51C" w:tentative="1">
      <w:start w:val="1"/>
      <w:numFmt w:val="bullet"/>
      <w:lvlText w:val=""/>
      <w:lvlJc w:val="left"/>
      <w:pPr>
        <w:ind w:left="2160" w:hanging="360"/>
      </w:pPr>
      <w:rPr>
        <w:rFonts w:ascii="Wingdings" w:hAnsi="Wingdings" w:hint="default"/>
      </w:rPr>
    </w:lvl>
    <w:lvl w:ilvl="3" w:tplc="2A264C9E" w:tentative="1">
      <w:start w:val="1"/>
      <w:numFmt w:val="bullet"/>
      <w:lvlText w:val=""/>
      <w:lvlJc w:val="left"/>
      <w:pPr>
        <w:ind w:left="2880" w:hanging="360"/>
      </w:pPr>
      <w:rPr>
        <w:rFonts w:ascii="Symbol" w:hAnsi="Symbol" w:hint="default"/>
      </w:rPr>
    </w:lvl>
    <w:lvl w:ilvl="4" w:tplc="A3F20CC0" w:tentative="1">
      <w:start w:val="1"/>
      <w:numFmt w:val="bullet"/>
      <w:lvlText w:val="o"/>
      <w:lvlJc w:val="left"/>
      <w:pPr>
        <w:ind w:left="3600" w:hanging="360"/>
      </w:pPr>
      <w:rPr>
        <w:rFonts w:ascii="Courier New" w:hAnsi="Courier New" w:hint="default"/>
      </w:rPr>
    </w:lvl>
    <w:lvl w:ilvl="5" w:tplc="7700BFBC" w:tentative="1">
      <w:start w:val="1"/>
      <w:numFmt w:val="bullet"/>
      <w:lvlText w:val=""/>
      <w:lvlJc w:val="left"/>
      <w:pPr>
        <w:ind w:left="4320" w:hanging="360"/>
      </w:pPr>
      <w:rPr>
        <w:rFonts w:ascii="Wingdings" w:hAnsi="Wingdings" w:hint="default"/>
      </w:rPr>
    </w:lvl>
    <w:lvl w:ilvl="6" w:tplc="45F09104" w:tentative="1">
      <w:start w:val="1"/>
      <w:numFmt w:val="bullet"/>
      <w:lvlText w:val=""/>
      <w:lvlJc w:val="left"/>
      <w:pPr>
        <w:ind w:left="5040" w:hanging="360"/>
      </w:pPr>
      <w:rPr>
        <w:rFonts w:ascii="Symbol" w:hAnsi="Symbol" w:hint="default"/>
      </w:rPr>
    </w:lvl>
    <w:lvl w:ilvl="7" w:tplc="CF1623B4" w:tentative="1">
      <w:start w:val="1"/>
      <w:numFmt w:val="bullet"/>
      <w:lvlText w:val="o"/>
      <w:lvlJc w:val="left"/>
      <w:pPr>
        <w:ind w:left="5760" w:hanging="360"/>
      </w:pPr>
      <w:rPr>
        <w:rFonts w:ascii="Courier New" w:hAnsi="Courier New" w:hint="default"/>
      </w:rPr>
    </w:lvl>
    <w:lvl w:ilvl="8" w:tplc="1360C9BA" w:tentative="1">
      <w:start w:val="1"/>
      <w:numFmt w:val="bullet"/>
      <w:lvlText w:val=""/>
      <w:lvlJc w:val="left"/>
      <w:pPr>
        <w:ind w:left="6480" w:hanging="360"/>
      </w:pPr>
      <w:rPr>
        <w:rFonts w:ascii="Wingdings" w:hAnsi="Wingdings" w:hint="default"/>
      </w:rPr>
    </w:lvl>
  </w:abstractNum>
  <w:abstractNum w:abstractNumId="1" w15:restartNumberingAfterBreak="0">
    <w:nsid w:val="090C4045"/>
    <w:multiLevelType w:val="hybridMultilevel"/>
    <w:tmpl w:val="4D262144"/>
    <w:lvl w:ilvl="0" w:tplc="A01E18A2">
      <w:start w:val="1"/>
      <w:numFmt w:val="bullet"/>
      <w:lvlText w:val="-"/>
      <w:lvlJc w:val="left"/>
      <w:pPr>
        <w:ind w:left="720" w:hanging="360"/>
      </w:pPr>
      <w:rPr>
        <w:rFonts w:ascii="Aptos" w:hAnsi="Aptos" w:hint="default"/>
      </w:rPr>
    </w:lvl>
    <w:lvl w:ilvl="1" w:tplc="7A92C784">
      <w:start w:val="1"/>
      <w:numFmt w:val="bullet"/>
      <w:lvlText w:val="o"/>
      <w:lvlJc w:val="left"/>
      <w:pPr>
        <w:ind w:left="1440" w:hanging="360"/>
      </w:pPr>
      <w:rPr>
        <w:rFonts w:ascii="Courier New" w:hAnsi="Courier New" w:hint="default"/>
      </w:rPr>
    </w:lvl>
    <w:lvl w:ilvl="2" w:tplc="B41C1D4C">
      <w:start w:val="1"/>
      <w:numFmt w:val="bullet"/>
      <w:lvlText w:val=""/>
      <w:lvlJc w:val="left"/>
      <w:pPr>
        <w:ind w:left="2160" w:hanging="360"/>
      </w:pPr>
      <w:rPr>
        <w:rFonts w:ascii="Wingdings" w:hAnsi="Wingdings" w:hint="default"/>
      </w:rPr>
    </w:lvl>
    <w:lvl w:ilvl="3" w:tplc="4740EE26">
      <w:start w:val="1"/>
      <w:numFmt w:val="bullet"/>
      <w:lvlText w:val=""/>
      <w:lvlJc w:val="left"/>
      <w:pPr>
        <w:ind w:left="2880" w:hanging="360"/>
      </w:pPr>
      <w:rPr>
        <w:rFonts w:ascii="Symbol" w:hAnsi="Symbol" w:hint="default"/>
      </w:rPr>
    </w:lvl>
    <w:lvl w:ilvl="4" w:tplc="A6FCB7E6">
      <w:start w:val="1"/>
      <w:numFmt w:val="bullet"/>
      <w:lvlText w:val="o"/>
      <w:lvlJc w:val="left"/>
      <w:pPr>
        <w:ind w:left="3600" w:hanging="360"/>
      </w:pPr>
      <w:rPr>
        <w:rFonts w:ascii="Courier New" w:hAnsi="Courier New" w:hint="default"/>
      </w:rPr>
    </w:lvl>
    <w:lvl w:ilvl="5" w:tplc="A588BE6E">
      <w:start w:val="1"/>
      <w:numFmt w:val="bullet"/>
      <w:lvlText w:val=""/>
      <w:lvlJc w:val="left"/>
      <w:pPr>
        <w:ind w:left="4320" w:hanging="360"/>
      </w:pPr>
      <w:rPr>
        <w:rFonts w:ascii="Wingdings" w:hAnsi="Wingdings" w:hint="default"/>
      </w:rPr>
    </w:lvl>
    <w:lvl w:ilvl="6" w:tplc="3BAEE4FC">
      <w:start w:val="1"/>
      <w:numFmt w:val="bullet"/>
      <w:lvlText w:val=""/>
      <w:lvlJc w:val="left"/>
      <w:pPr>
        <w:ind w:left="5040" w:hanging="360"/>
      </w:pPr>
      <w:rPr>
        <w:rFonts w:ascii="Symbol" w:hAnsi="Symbol" w:hint="default"/>
      </w:rPr>
    </w:lvl>
    <w:lvl w:ilvl="7" w:tplc="2516387E">
      <w:start w:val="1"/>
      <w:numFmt w:val="bullet"/>
      <w:lvlText w:val="o"/>
      <w:lvlJc w:val="left"/>
      <w:pPr>
        <w:ind w:left="5760" w:hanging="360"/>
      </w:pPr>
      <w:rPr>
        <w:rFonts w:ascii="Courier New" w:hAnsi="Courier New" w:hint="default"/>
      </w:rPr>
    </w:lvl>
    <w:lvl w:ilvl="8" w:tplc="B02296BE">
      <w:start w:val="1"/>
      <w:numFmt w:val="bullet"/>
      <w:lvlText w:val=""/>
      <w:lvlJc w:val="left"/>
      <w:pPr>
        <w:ind w:left="6480" w:hanging="360"/>
      </w:pPr>
      <w:rPr>
        <w:rFonts w:ascii="Wingdings" w:hAnsi="Wingdings" w:hint="default"/>
      </w:rPr>
    </w:lvl>
  </w:abstractNum>
  <w:abstractNum w:abstractNumId="2" w15:restartNumberingAfterBreak="0">
    <w:nsid w:val="0E8D697E"/>
    <w:multiLevelType w:val="hybridMultilevel"/>
    <w:tmpl w:val="2B548786"/>
    <w:lvl w:ilvl="0" w:tplc="D9843478">
      <w:start w:val="1"/>
      <w:numFmt w:val="decimal"/>
      <w:lvlText w:val="%1."/>
      <w:lvlJc w:val="left"/>
      <w:pPr>
        <w:ind w:left="720" w:hanging="360"/>
      </w:pPr>
    </w:lvl>
    <w:lvl w:ilvl="1" w:tplc="61427BB8" w:tentative="1">
      <w:start w:val="1"/>
      <w:numFmt w:val="lowerLetter"/>
      <w:lvlText w:val="%2."/>
      <w:lvlJc w:val="left"/>
      <w:pPr>
        <w:ind w:left="1440" w:hanging="360"/>
      </w:pPr>
    </w:lvl>
    <w:lvl w:ilvl="2" w:tplc="E8162D9A" w:tentative="1">
      <w:start w:val="1"/>
      <w:numFmt w:val="lowerRoman"/>
      <w:lvlText w:val="%3."/>
      <w:lvlJc w:val="right"/>
      <w:pPr>
        <w:ind w:left="2160" w:hanging="180"/>
      </w:pPr>
    </w:lvl>
    <w:lvl w:ilvl="3" w:tplc="D7CAFA22" w:tentative="1">
      <w:start w:val="1"/>
      <w:numFmt w:val="decimal"/>
      <w:lvlText w:val="%4."/>
      <w:lvlJc w:val="left"/>
      <w:pPr>
        <w:ind w:left="2880" w:hanging="360"/>
      </w:pPr>
    </w:lvl>
    <w:lvl w:ilvl="4" w:tplc="7ABABEEC" w:tentative="1">
      <w:start w:val="1"/>
      <w:numFmt w:val="lowerLetter"/>
      <w:lvlText w:val="%5."/>
      <w:lvlJc w:val="left"/>
      <w:pPr>
        <w:ind w:left="3600" w:hanging="360"/>
      </w:pPr>
    </w:lvl>
    <w:lvl w:ilvl="5" w:tplc="FB9AEBF2" w:tentative="1">
      <w:start w:val="1"/>
      <w:numFmt w:val="lowerRoman"/>
      <w:lvlText w:val="%6."/>
      <w:lvlJc w:val="right"/>
      <w:pPr>
        <w:ind w:left="4320" w:hanging="180"/>
      </w:pPr>
    </w:lvl>
    <w:lvl w:ilvl="6" w:tplc="4FC0D398" w:tentative="1">
      <w:start w:val="1"/>
      <w:numFmt w:val="decimal"/>
      <w:lvlText w:val="%7."/>
      <w:lvlJc w:val="left"/>
      <w:pPr>
        <w:ind w:left="5040" w:hanging="360"/>
      </w:pPr>
    </w:lvl>
    <w:lvl w:ilvl="7" w:tplc="0CA20B9C" w:tentative="1">
      <w:start w:val="1"/>
      <w:numFmt w:val="lowerLetter"/>
      <w:lvlText w:val="%8."/>
      <w:lvlJc w:val="left"/>
      <w:pPr>
        <w:ind w:left="5760" w:hanging="360"/>
      </w:pPr>
    </w:lvl>
    <w:lvl w:ilvl="8" w:tplc="B14C3E2A" w:tentative="1">
      <w:start w:val="1"/>
      <w:numFmt w:val="lowerRoman"/>
      <w:lvlText w:val="%9."/>
      <w:lvlJc w:val="right"/>
      <w:pPr>
        <w:ind w:left="6480" w:hanging="180"/>
      </w:pPr>
    </w:lvl>
  </w:abstractNum>
  <w:abstractNum w:abstractNumId="3" w15:restartNumberingAfterBreak="0">
    <w:nsid w:val="20F50FAC"/>
    <w:multiLevelType w:val="hybridMultilevel"/>
    <w:tmpl w:val="F32A2F74"/>
    <w:lvl w:ilvl="0" w:tplc="C32E4E94">
      <w:numFmt w:val="bullet"/>
      <w:lvlText w:val="-"/>
      <w:lvlJc w:val="left"/>
      <w:pPr>
        <w:ind w:left="720" w:hanging="360"/>
      </w:pPr>
      <w:rPr>
        <w:rFonts w:ascii="Times New Roman" w:hAnsi="Times New Roman" w:hint="default"/>
      </w:rPr>
    </w:lvl>
    <w:lvl w:ilvl="1" w:tplc="D468203C" w:tentative="1">
      <w:start w:val="1"/>
      <w:numFmt w:val="bullet"/>
      <w:lvlText w:val="o"/>
      <w:lvlJc w:val="left"/>
      <w:pPr>
        <w:ind w:left="1440" w:hanging="360"/>
      </w:pPr>
      <w:rPr>
        <w:rFonts w:ascii="Courier New" w:hAnsi="Courier New" w:hint="default"/>
      </w:rPr>
    </w:lvl>
    <w:lvl w:ilvl="2" w:tplc="0B74D0DE" w:tentative="1">
      <w:start w:val="1"/>
      <w:numFmt w:val="bullet"/>
      <w:lvlText w:val=""/>
      <w:lvlJc w:val="left"/>
      <w:pPr>
        <w:ind w:left="2160" w:hanging="360"/>
      </w:pPr>
      <w:rPr>
        <w:rFonts w:ascii="Wingdings" w:hAnsi="Wingdings" w:hint="default"/>
      </w:rPr>
    </w:lvl>
    <w:lvl w:ilvl="3" w:tplc="8878DA62" w:tentative="1">
      <w:start w:val="1"/>
      <w:numFmt w:val="bullet"/>
      <w:lvlText w:val=""/>
      <w:lvlJc w:val="left"/>
      <w:pPr>
        <w:ind w:left="2880" w:hanging="360"/>
      </w:pPr>
      <w:rPr>
        <w:rFonts w:ascii="Symbol" w:hAnsi="Symbol" w:hint="default"/>
      </w:rPr>
    </w:lvl>
    <w:lvl w:ilvl="4" w:tplc="697A05C6" w:tentative="1">
      <w:start w:val="1"/>
      <w:numFmt w:val="bullet"/>
      <w:lvlText w:val="o"/>
      <w:lvlJc w:val="left"/>
      <w:pPr>
        <w:ind w:left="3600" w:hanging="360"/>
      </w:pPr>
      <w:rPr>
        <w:rFonts w:ascii="Courier New" w:hAnsi="Courier New" w:hint="default"/>
      </w:rPr>
    </w:lvl>
    <w:lvl w:ilvl="5" w:tplc="EF0C321C" w:tentative="1">
      <w:start w:val="1"/>
      <w:numFmt w:val="bullet"/>
      <w:lvlText w:val=""/>
      <w:lvlJc w:val="left"/>
      <w:pPr>
        <w:ind w:left="4320" w:hanging="360"/>
      </w:pPr>
      <w:rPr>
        <w:rFonts w:ascii="Wingdings" w:hAnsi="Wingdings" w:hint="default"/>
      </w:rPr>
    </w:lvl>
    <w:lvl w:ilvl="6" w:tplc="BD0C17C8" w:tentative="1">
      <w:start w:val="1"/>
      <w:numFmt w:val="bullet"/>
      <w:lvlText w:val=""/>
      <w:lvlJc w:val="left"/>
      <w:pPr>
        <w:ind w:left="5040" w:hanging="360"/>
      </w:pPr>
      <w:rPr>
        <w:rFonts w:ascii="Symbol" w:hAnsi="Symbol" w:hint="default"/>
      </w:rPr>
    </w:lvl>
    <w:lvl w:ilvl="7" w:tplc="CB18F4D8" w:tentative="1">
      <w:start w:val="1"/>
      <w:numFmt w:val="bullet"/>
      <w:lvlText w:val="o"/>
      <w:lvlJc w:val="left"/>
      <w:pPr>
        <w:ind w:left="5760" w:hanging="360"/>
      </w:pPr>
      <w:rPr>
        <w:rFonts w:ascii="Courier New" w:hAnsi="Courier New" w:hint="default"/>
      </w:rPr>
    </w:lvl>
    <w:lvl w:ilvl="8" w:tplc="88D847E4" w:tentative="1">
      <w:start w:val="1"/>
      <w:numFmt w:val="bullet"/>
      <w:lvlText w:val=""/>
      <w:lvlJc w:val="left"/>
      <w:pPr>
        <w:ind w:left="6480" w:hanging="360"/>
      </w:pPr>
      <w:rPr>
        <w:rFonts w:ascii="Wingdings" w:hAnsi="Wingdings" w:hint="default"/>
      </w:rPr>
    </w:lvl>
  </w:abstractNum>
  <w:abstractNum w:abstractNumId="4" w15:restartNumberingAfterBreak="0">
    <w:nsid w:val="237404F8"/>
    <w:multiLevelType w:val="hybridMultilevel"/>
    <w:tmpl w:val="C290994A"/>
    <w:lvl w:ilvl="0" w:tplc="544090F6">
      <w:start w:val="1"/>
      <w:numFmt w:val="bullet"/>
      <w:lvlText w:val="-"/>
      <w:lvlJc w:val="left"/>
      <w:pPr>
        <w:ind w:left="720" w:hanging="360"/>
      </w:pPr>
      <w:rPr>
        <w:rFonts w:ascii="Aptos" w:hAnsi="Aptos" w:hint="default"/>
      </w:rPr>
    </w:lvl>
    <w:lvl w:ilvl="1" w:tplc="CED2C8F8">
      <w:start w:val="1"/>
      <w:numFmt w:val="bullet"/>
      <w:lvlText w:val="o"/>
      <w:lvlJc w:val="left"/>
      <w:pPr>
        <w:ind w:left="1440" w:hanging="360"/>
      </w:pPr>
      <w:rPr>
        <w:rFonts w:ascii="Courier New" w:hAnsi="Courier New" w:hint="default"/>
      </w:rPr>
    </w:lvl>
    <w:lvl w:ilvl="2" w:tplc="7E9A42DC">
      <w:start w:val="1"/>
      <w:numFmt w:val="bullet"/>
      <w:lvlText w:val=""/>
      <w:lvlJc w:val="left"/>
      <w:pPr>
        <w:ind w:left="2160" w:hanging="360"/>
      </w:pPr>
      <w:rPr>
        <w:rFonts w:ascii="Wingdings" w:hAnsi="Wingdings" w:hint="default"/>
      </w:rPr>
    </w:lvl>
    <w:lvl w:ilvl="3" w:tplc="4776C59A">
      <w:start w:val="1"/>
      <w:numFmt w:val="bullet"/>
      <w:lvlText w:val=""/>
      <w:lvlJc w:val="left"/>
      <w:pPr>
        <w:ind w:left="2880" w:hanging="360"/>
      </w:pPr>
      <w:rPr>
        <w:rFonts w:ascii="Symbol" w:hAnsi="Symbol" w:hint="default"/>
      </w:rPr>
    </w:lvl>
    <w:lvl w:ilvl="4" w:tplc="557CD872">
      <w:start w:val="1"/>
      <w:numFmt w:val="bullet"/>
      <w:lvlText w:val="o"/>
      <w:lvlJc w:val="left"/>
      <w:pPr>
        <w:ind w:left="3600" w:hanging="360"/>
      </w:pPr>
      <w:rPr>
        <w:rFonts w:ascii="Courier New" w:hAnsi="Courier New" w:hint="default"/>
      </w:rPr>
    </w:lvl>
    <w:lvl w:ilvl="5" w:tplc="3232030E">
      <w:start w:val="1"/>
      <w:numFmt w:val="bullet"/>
      <w:lvlText w:val=""/>
      <w:lvlJc w:val="left"/>
      <w:pPr>
        <w:ind w:left="4320" w:hanging="360"/>
      </w:pPr>
      <w:rPr>
        <w:rFonts w:ascii="Wingdings" w:hAnsi="Wingdings" w:hint="default"/>
      </w:rPr>
    </w:lvl>
    <w:lvl w:ilvl="6" w:tplc="B1B84BC8">
      <w:start w:val="1"/>
      <w:numFmt w:val="bullet"/>
      <w:lvlText w:val=""/>
      <w:lvlJc w:val="left"/>
      <w:pPr>
        <w:ind w:left="5040" w:hanging="360"/>
      </w:pPr>
      <w:rPr>
        <w:rFonts w:ascii="Symbol" w:hAnsi="Symbol" w:hint="default"/>
      </w:rPr>
    </w:lvl>
    <w:lvl w:ilvl="7" w:tplc="9C18C9F2">
      <w:start w:val="1"/>
      <w:numFmt w:val="bullet"/>
      <w:lvlText w:val="o"/>
      <w:lvlJc w:val="left"/>
      <w:pPr>
        <w:ind w:left="5760" w:hanging="360"/>
      </w:pPr>
      <w:rPr>
        <w:rFonts w:ascii="Courier New" w:hAnsi="Courier New" w:hint="default"/>
      </w:rPr>
    </w:lvl>
    <w:lvl w:ilvl="8" w:tplc="01CAE52C">
      <w:start w:val="1"/>
      <w:numFmt w:val="bullet"/>
      <w:lvlText w:val=""/>
      <w:lvlJc w:val="left"/>
      <w:pPr>
        <w:ind w:left="6480" w:hanging="360"/>
      </w:pPr>
      <w:rPr>
        <w:rFonts w:ascii="Wingdings" w:hAnsi="Wingdings" w:hint="default"/>
      </w:rPr>
    </w:lvl>
  </w:abstractNum>
  <w:abstractNum w:abstractNumId="5" w15:restartNumberingAfterBreak="0">
    <w:nsid w:val="25C806A5"/>
    <w:multiLevelType w:val="hybridMultilevel"/>
    <w:tmpl w:val="D0F03A6E"/>
    <w:lvl w:ilvl="0" w:tplc="EC7CD0D4">
      <w:start w:val="1"/>
      <w:numFmt w:val="bullet"/>
      <w:lvlText w:val="-"/>
      <w:lvlJc w:val="left"/>
      <w:pPr>
        <w:ind w:left="720" w:hanging="360"/>
      </w:pPr>
      <w:rPr>
        <w:rFonts w:ascii="Aptos" w:hAnsi="Aptos" w:hint="default"/>
      </w:rPr>
    </w:lvl>
    <w:lvl w:ilvl="1" w:tplc="008AECA8">
      <w:start w:val="1"/>
      <w:numFmt w:val="bullet"/>
      <w:lvlText w:val="o"/>
      <w:lvlJc w:val="left"/>
      <w:pPr>
        <w:ind w:left="1440" w:hanging="360"/>
      </w:pPr>
      <w:rPr>
        <w:rFonts w:ascii="Courier New" w:hAnsi="Courier New" w:hint="default"/>
      </w:rPr>
    </w:lvl>
    <w:lvl w:ilvl="2" w:tplc="7C3EDAE4">
      <w:start w:val="1"/>
      <w:numFmt w:val="bullet"/>
      <w:lvlText w:val=""/>
      <w:lvlJc w:val="left"/>
      <w:pPr>
        <w:ind w:left="2160" w:hanging="360"/>
      </w:pPr>
      <w:rPr>
        <w:rFonts w:ascii="Wingdings" w:hAnsi="Wingdings" w:hint="default"/>
      </w:rPr>
    </w:lvl>
    <w:lvl w:ilvl="3" w:tplc="18EA1840">
      <w:start w:val="1"/>
      <w:numFmt w:val="bullet"/>
      <w:lvlText w:val=""/>
      <w:lvlJc w:val="left"/>
      <w:pPr>
        <w:ind w:left="2880" w:hanging="360"/>
      </w:pPr>
      <w:rPr>
        <w:rFonts w:ascii="Symbol" w:hAnsi="Symbol" w:hint="default"/>
      </w:rPr>
    </w:lvl>
    <w:lvl w:ilvl="4" w:tplc="B394A9C4">
      <w:start w:val="1"/>
      <w:numFmt w:val="bullet"/>
      <w:lvlText w:val="o"/>
      <w:lvlJc w:val="left"/>
      <w:pPr>
        <w:ind w:left="3600" w:hanging="360"/>
      </w:pPr>
      <w:rPr>
        <w:rFonts w:ascii="Courier New" w:hAnsi="Courier New" w:hint="default"/>
      </w:rPr>
    </w:lvl>
    <w:lvl w:ilvl="5" w:tplc="75B404C6">
      <w:start w:val="1"/>
      <w:numFmt w:val="bullet"/>
      <w:lvlText w:val=""/>
      <w:lvlJc w:val="left"/>
      <w:pPr>
        <w:ind w:left="4320" w:hanging="360"/>
      </w:pPr>
      <w:rPr>
        <w:rFonts w:ascii="Wingdings" w:hAnsi="Wingdings" w:hint="default"/>
      </w:rPr>
    </w:lvl>
    <w:lvl w:ilvl="6" w:tplc="7C122BD8">
      <w:start w:val="1"/>
      <w:numFmt w:val="bullet"/>
      <w:lvlText w:val=""/>
      <w:lvlJc w:val="left"/>
      <w:pPr>
        <w:ind w:left="5040" w:hanging="360"/>
      </w:pPr>
      <w:rPr>
        <w:rFonts w:ascii="Symbol" w:hAnsi="Symbol" w:hint="default"/>
      </w:rPr>
    </w:lvl>
    <w:lvl w:ilvl="7" w:tplc="89DC2340">
      <w:start w:val="1"/>
      <w:numFmt w:val="bullet"/>
      <w:lvlText w:val="o"/>
      <w:lvlJc w:val="left"/>
      <w:pPr>
        <w:ind w:left="5760" w:hanging="360"/>
      </w:pPr>
      <w:rPr>
        <w:rFonts w:ascii="Courier New" w:hAnsi="Courier New" w:hint="default"/>
      </w:rPr>
    </w:lvl>
    <w:lvl w:ilvl="8" w:tplc="CA2204C2">
      <w:start w:val="1"/>
      <w:numFmt w:val="bullet"/>
      <w:lvlText w:val=""/>
      <w:lvlJc w:val="left"/>
      <w:pPr>
        <w:ind w:left="6480" w:hanging="360"/>
      </w:pPr>
      <w:rPr>
        <w:rFonts w:ascii="Wingdings" w:hAnsi="Wingdings" w:hint="default"/>
      </w:rPr>
    </w:lvl>
  </w:abstractNum>
  <w:abstractNum w:abstractNumId="6" w15:restartNumberingAfterBreak="0">
    <w:nsid w:val="4656927E"/>
    <w:multiLevelType w:val="hybridMultilevel"/>
    <w:tmpl w:val="169EFDE6"/>
    <w:lvl w:ilvl="0" w:tplc="FDF42BC0">
      <w:start w:val="1"/>
      <w:numFmt w:val="decimal"/>
      <w:lvlText w:val="%1."/>
      <w:lvlJc w:val="left"/>
      <w:pPr>
        <w:ind w:left="678" w:hanging="360"/>
      </w:pPr>
      <w:rPr>
        <w:rFonts w:ascii="Cambria" w:hAnsi="Cambria" w:hint="default"/>
        <w:color w:val="auto"/>
      </w:rPr>
    </w:lvl>
    <w:lvl w:ilvl="1" w:tplc="54F0D786">
      <w:start w:val="1"/>
      <w:numFmt w:val="lowerLetter"/>
      <w:lvlText w:val="%2."/>
      <w:lvlJc w:val="left"/>
      <w:pPr>
        <w:ind w:left="1440" w:hanging="360"/>
      </w:pPr>
    </w:lvl>
    <w:lvl w:ilvl="2" w:tplc="C1DC994C">
      <w:start w:val="1"/>
      <w:numFmt w:val="lowerRoman"/>
      <w:lvlText w:val="%3."/>
      <w:lvlJc w:val="right"/>
      <w:pPr>
        <w:ind w:left="2160" w:hanging="180"/>
      </w:pPr>
    </w:lvl>
    <w:lvl w:ilvl="3" w:tplc="99DC32AC">
      <w:start w:val="1"/>
      <w:numFmt w:val="decimal"/>
      <w:lvlText w:val="%4."/>
      <w:lvlJc w:val="left"/>
      <w:pPr>
        <w:ind w:left="2880" w:hanging="360"/>
      </w:pPr>
    </w:lvl>
    <w:lvl w:ilvl="4" w:tplc="5C523526">
      <w:start w:val="1"/>
      <w:numFmt w:val="lowerLetter"/>
      <w:lvlText w:val="%5."/>
      <w:lvlJc w:val="left"/>
      <w:pPr>
        <w:ind w:left="3600" w:hanging="360"/>
      </w:pPr>
    </w:lvl>
    <w:lvl w:ilvl="5" w:tplc="715418F4">
      <w:start w:val="1"/>
      <w:numFmt w:val="lowerRoman"/>
      <w:lvlText w:val="%6."/>
      <w:lvlJc w:val="right"/>
      <w:pPr>
        <w:ind w:left="4320" w:hanging="180"/>
      </w:pPr>
    </w:lvl>
    <w:lvl w:ilvl="6" w:tplc="988EE6A2">
      <w:start w:val="1"/>
      <w:numFmt w:val="decimal"/>
      <w:lvlText w:val="%7."/>
      <w:lvlJc w:val="left"/>
      <w:pPr>
        <w:ind w:left="5040" w:hanging="360"/>
      </w:pPr>
    </w:lvl>
    <w:lvl w:ilvl="7" w:tplc="8D3A858E">
      <w:start w:val="1"/>
      <w:numFmt w:val="lowerLetter"/>
      <w:lvlText w:val="%8."/>
      <w:lvlJc w:val="left"/>
      <w:pPr>
        <w:ind w:left="5760" w:hanging="360"/>
      </w:pPr>
    </w:lvl>
    <w:lvl w:ilvl="8" w:tplc="1A52FEF2">
      <w:start w:val="1"/>
      <w:numFmt w:val="lowerRoman"/>
      <w:lvlText w:val="%9."/>
      <w:lvlJc w:val="right"/>
      <w:pPr>
        <w:ind w:left="6480" w:hanging="180"/>
      </w:pPr>
    </w:lvl>
  </w:abstractNum>
  <w:abstractNum w:abstractNumId="7" w15:restartNumberingAfterBreak="0">
    <w:nsid w:val="534B20D9"/>
    <w:multiLevelType w:val="hybridMultilevel"/>
    <w:tmpl w:val="9EDE4A1A"/>
    <w:lvl w:ilvl="0" w:tplc="F7A05B4A">
      <w:start w:val="1"/>
      <w:numFmt w:val="lowerLetter"/>
      <w:lvlText w:val="%1)"/>
      <w:lvlJc w:val="left"/>
      <w:pPr>
        <w:ind w:left="720" w:hanging="360"/>
      </w:pPr>
    </w:lvl>
    <w:lvl w:ilvl="1" w:tplc="A12CA1C2" w:tentative="1">
      <w:start w:val="1"/>
      <w:numFmt w:val="lowerLetter"/>
      <w:lvlText w:val="%2."/>
      <w:lvlJc w:val="left"/>
      <w:pPr>
        <w:ind w:left="1440" w:hanging="360"/>
      </w:pPr>
    </w:lvl>
    <w:lvl w:ilvl="2" w:tplc="388A72AC" w:tentative="1">
      <w:start w:val="1"/>
      <w:numFmt w:val="lowerRoman"/>
      <w:lvlText w:val="%3."/>
      <w:lvlJc w:val="right"/>
      <w:pPr>
        <w:ind w:left="2160" w:hanging="180"/>
      </w:pPr>
    </w:lvl>
    <w:lvl w:ilvl="3" w:tplc="CF766FAC" w:tentative="1">
      <w:start w:val="1"/>
      <w:numFmt w:val="decimal"/>
      <w:lvlText w:val="%4."/>
      <w:lvlJc w:val="left"/>
      <w:pPr>
        <w:ind w:left="2880" w:hanging="360"/>
      </w:pPr>
    </w:lvl>
    <w:lvl w:ilvl="4" w:tplc="7FD214DA" w:tentative="1">
      <w:start w:val="1"/>
      <w:numFmt w:val="lowerLetter"/>
      <w:lvlText w:val="%5."/>
      <w:lvlJc w:val="left"/>
      <w:pPr>
        <w:ind w:left="3600" w:hanging="360"/>
      </w:pPr>
    </w:lvl>
    <w:lvl w:ilvl="5" w:tplc="3C54ABCE" w:tentative="1">
      <w:start w:val="1"/>
      <w:numFmt w:val="lowerRoman"/>
      <w:lvlText w:val="%6."/>
      <w:lvlJc w:val="right"/>
      <w:pPr>
        <w:ind w:left="4320" w:hanging="180"/>
      </w:pPr>
    </w:lvl>
    <w:lvl w:ilvl="6" w:tplc="8FC2A544" w:tentative="1">
      <w:start w:val="1"/>
      <w:numFmt w:val="decimal"/>
      <w:lvlText w:val="%7."/>
      <w:lvlJc w:val="left"/>
      <w:pPr>
        <w:ind w:left="5040" w:hanging="360"/>
      </w:pPr>
    </w:lvl>
    <w:lvl w:ilvl="7" w:tplc="D37E1A3A" w:tentative="1">
      <w:start w:val="1"/>
      <w:numFmt w:val="lowerLetter"/>
      <w:lvlText w:val="%8."/>
      <w:lvlJc w:val="left"/>
      <w:pPr>
        <w:ind w:left="5760" w:hanging="360"/>
      </w:pPr>
    </w:lvl>
    <w:lvl w:ilvl="8" w:tplc="740458DE" w:tentative="1">
      <w:start w:val="1"/>
      <w:numFmt w:val="lowerRoman"/>
      <w:lvlText w:val="%9."/>
      <w:lvlJc w:val="right"/>
      <w:pPr>
        <w:ind w:left="6480" w:hanging="180"/>
      </w:pPr>
    </w:lvl>
  </w:abstractNum>
  <w:abstractNum w:abstractNumId="8" w15:restartNumberingAfterBreak="0">
    <w:nsid w:val="5D380990"/>
    <w:multiLevelType w:val="hybridMultilevel"/>
    <w:tmpl w:val="1FE054B0"/>
    <w:lvl w:ilvl="0" w:tplc="DEBA079C">
      <w:start w:val="1"/>
      <w:numFmt w:val="lowerLetter"/>
      <w:lvlText w:val="%1)"/>
      <w:lvlJc w:val="left"/>
      <w:pPr>
        <w:ind w:left="720" w:hanging="360"/>
      </w:pPr>
    </w:lvl>
    <w:lvl w:ilvl="1" w:tplc="46B275CC" w:tentative="1">
      <w:start w:val="1"/>
      <w:numFmt w:val="lowerLetter"/>
      <w:lvlText w:val="%2."/>
      <w:lvlJc w:val="left"/>
      <w:pPr>
        <w:ind w:left="1440" w:hanging="360"/>
      </w:pPr>
    </w:lvl>
    <w:lvl w:ilvl="2" w:tplc="A740E418" w:tentative="1">
      <w:start w:val="1"/>
      <w:numFmt w:val="lowerRoman"/>
      <w:lvlText w:val="%3."/>
      <w:lvlJc w:val="right"/>
      <w:pPr>
        <w:ind w:left="2160" w:hanging="180"/>
      </w:pPr>
    </w:lvl>
    <w:lvl w:ilvl="3" w:tplc="20221250" w:tentative="1">
      <w:start w:val="1"/>
      <w:numFmt w:val="decimal"/>
      <w:lvlText w:val="%4."/>
      <w:lvlJc w:val="left"/>
      <w:pPr>
        <w:ind w:left="2880" w:hanging="360"/>
      </w:pPr>
    </w:lvl>
    <w:lvl w:ilvl="4" w:tplc="FDB818E8" w:tentative="1">
      <w:start w:val="1"/>
      <w:numFmt w:val="lowerLetter"/>
      <w:lvlText w:val="%5."/>
      <w:lvlJc w:val="left"/>
      <w:pPr>
        <w:ind w:left="3600" w:hanging="360"/>
      </w:pPr>
    </w:lvl>
    <w:lvl w:ilvl="5" w:tplc="DA741C48" w:tentative="1">
      <w:start w:val="1"/>
      <w:numFmt w:val="lowerRoman"/>
      <w:lvlText w:val="%6."/>
      <w:lvlJc w:val="right"/>
      <w:pPr>
        <w:ind w:left="4320" w:hanging="180"/>
      </w:pPr>
    </w:lvl>
    <w:lvl w:ilvl="6" w:tplc="7054B86E" w:tentative="1">
      <w:start w:val="1"/>
      <w:numFmt w:val="decimal"/>
      <w:lvlText w:val="%7."/>
      <w:lvlJc w:val="left"/>
      <w:pPr>
        <w:ind w:left="5040" w:hanging="360"/>
      </w:pPr>
    </w:lvl>
    <w:lvl w:ilvl="7" w:tplc="E3D29858" w:tentative="1">
      <w:start w:val="1"/>
      <w:numFmt w:val="lowerLetter"/>
      <w:lvlText w:val="%8."/>
      <w:lvlJc w:val="left"/>
      <w:pPr>
        <w:ind w:left="5760" w:hanging="360"/>
      </w:pPr>
    </w:lvl>
    <w:lvl w:ilvl="8" w:tplc="031492FC" w:tentative="1">
      <w:start w:val="1"/>
      <w:numFmt w:val="lowerRoman"/>
      <w:lvlText w:val="%9."/>
      <w:lvlJc w:val="right"/>
      <w:pPr>
        <w:ind w:left="6480" w:hanging="180"/>
      </w:pPr>
    </w:lvl>
  </w:abstractNum>
  <w:num w:numId="1" w16cid:durableId="1970471435">
    <w:abstractNumId w:val="4"/>
  </w:num>
  <w:num w:numId="2" w16cid:durableId="205141933">
    <w:abstractNumId w:val="5"/>
  </w:num>
  <w:num w:numId="3" w16cid:durableId="233709557">
    <w:abstractNumId w:val="1"/>
  </w:num>
  <w:num w:numId="4" w16cid:durableId="1757240530">
    <w:abstractNumId w:val="6"/>
  </w:num>
  <w:num w:numId="5" w16cid:durableId="1668363373">
    <w:abstractNumId w:val="0"/>
  </w:num>
  <w:num w:numId="6" w16cid:durableId="636842704">
    <w:abstractNumId w:val="3"/>
  </w:num>
  <w:num w:numId="7" w16cid:durableId="1095174951">
    <w:abstractNumId w:val="2"/>
  </w:num>
  <w:num w:numId="8" w16cid:durableId="1663314958">
    <w:abstractNumId w:val="8"/>
  </w:num>
  <w:num w:numId="9" w16cid:durableId="1382048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61464"/>
    <w:rsid w:val="000103BD"/>
    <w:rsid w:val="00050B24"/>
    <w:rsid w:val="00074EC3"/>
    <w:rsid w:val="00094890"/>
    <w:rsid w:val="000A6018"/>
    <w:rsid w:val="000B1D97"/>
    <w:rsid w:val="000B41F9"/>
    <w:rsid w:val="000F2030"/>
    <w:rsid w:val="000F37A3"/>
    <w:rsid w:val="00115C40"/>
    <w:rsid w:val="00131D3C"/>
    <w:rsid w:val="00184336"/>
    <w:rsid w:val="00200745"/>
    <w:rsid w:val="00247A28"/>
    <w:rsid w:val="00265461"/>
    <w:rsid w:val="002A2D3C"/>
    <w:rsid w:val="002C77AF"/>
    <w:rsid w:val="002F327B"/>
    <w:rsid w:val="00315DB1"/>
    <w:rsid w:val="00323F8E"/>
    <w:rsid w:val="00336F69"/>
    <w:rsid w:val="00405F51"/>
    <w:rsid w:val="00442E46"/>
    <w:rsid w:val="0045659D"/>
    <w:rsid w:val="00565099"/>
    <w:rsid w:val="00577D4F"/>
    <w:rsid w:val="005C64AF"/>
    <w:rsid w:val="005D3B17"/>
    <w:rsid w:val="006230CC"/>
    <w:rsid w:val="00642D91"/>
    <w:rsid w:val="006A6F79"/>
    <w:rsid w:val="006D076A"/>
    <w:rsid w:val="00710B5D"/>
    <w:rsid w:val="00724D7F"/>
    <w:rsid w:val="007865B9"/>
    <w:rsid w:val="00840B99"/>
    <w:rsid w:val="00925F73"/>
    <w:rsid w:val="00A17757"/>
    <w:rsid w:val="00A579E5"/>
    <w:rsid w:val="00B00CE0"/>
    <w:rsid w:val="00B36C44"/>
    <w:rsid w:val="00B56BD9"/>
    <w:rsid w:val="00B84401"/>
    <w:rsid w:val="00B8742E"/>
    <w:rsid w:val="00BC0212"/>
    <w:rsid w:val="00C35971"/>
    <w:rsid w:val="00C438B5"/>
    <w:rsid w:val="00C57519"/>
    <w:rsid w:val="00CA6026"/>
    <w:rsid w:val="00CB6E6F"/>
    <w:rsid w:val="00CD69E1"/>
    <w:rsid w:val="00CE65F1"/>
    <w:rsid w:val="00D30353"/>
    <w:rsid w:val="00DF57CA"/>
    <w:rsid w:val="00E15244"/>
    <w:rsid w:val="00E1A2FA"/>
    <w:rsid w:val="00E41795"/>
    <w:rsid w:val="00E56765"/>
    <w:rsid w:val="00ED5CC1"/>
    <w:rsid w:val="00EE1557"/>
    <w:rsid w:val="00F25F63"/>
    <w:rsid w:val="00F61464"/>
    <w:rsid w:val="06F7A77E"/>
    <w:rsid w:val="0DC0A67C"/>
    <w:rsid w:val="1CCA3B5F"/>
    <w:rsid w:val="1CE91DA2"/>
    <w:rsid w:val="2C2DE88F"/>
    <w:rsid w:val="2E2A2C0C"/>
    <w:rsid w:val="32925AFD"/>
    <w:rsid w:val="3351F9F3"/>
    <w:rsid w:val="369CA84E"/>
    <w:rsid w:val="56F95B0F"/>
    <w:rsid w:val="57E06AEB"/>
    <w:rsid w:val="5B7774DA"/>
    <w:rsid w:val="5D8DB13E"/>
    <w:rsid w:val="60B20943"/>
    <w:rsid w:val="62B2492A"/>
    <w:rsid w:val="69DFD198"/>
    <w:rsid w:val="6EF6B0D8"/>
    <w:rsid w:val="724FE288"/>
    <w:rsid w:val="7A041C7F"/>
    <w:rsid w:val="7A6F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F7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4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14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14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14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14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1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14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14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14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14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464"/>
    <w:rPr>
      <w:rFonts w:eastAsiaTheme="majorEastAsia" w:cstheme="majorBidi"/>
      <w:color w:val="272727" w:themeColor="text1" w:themeTint="D8"/>
    </w:rPr>
  </w:style>
  <w:style w:type="paragraph" w:styleId="Title">
    <w:name w:val="Title"/>
    <w:basedOn w:val="Normal"/>
    <w:next w:val="Normal"/>
    <w:link w:val="TitleChar"/>
    <w:uiPriority w:val="10"/>
    <w:qFormat/>
    <w:rsid w:val="00F61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4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464"/>
    <w:rPr>
      <w:i/>
      <w:iCs/>
      <w:color w:val="404040" w:themeColor="text1" w:themeTint="BF"/>
    </w:rPr>
  </w:style>
  <w:style w:type="paragraph" w:styleId="ListParagraph">
    <w:name w:val="List Paragraph"/>
    <w:basedOn w:val="Normal"/>
    <w:uiPriority w:val="34"/>
    <w:qFormat/>
    <w:rsid w:val="00F61464"/>
    <w:pPr>
      <w:ind w:left="720"/>
      <w:contextualSpacing/>
    </w:pPr>
  </w:style>
  <w:style w:type="character" w:styleId="IntenseEmphasis">
    <w:name w:val="Intense Emphasis"/>
    <w:basedOn w:val="DefaultParagraphFont"/>
    <w:uiPriority w:val="21"/>
    <w:qFormat/>
    <w:rsid w:val="00F61464"/>
    <w:rPr>
      <w:i/>
      <w:iCs/>
      <w:color w:val="365F91" w:themeColor="accent1" w:themeShade="BF"/>
    </w:rPr>
  </w:style>
  <w:style w:type="paragraph" w:styleId="IntenseQuote">
    <w:name w:val="Intense Quote"/>
    <w:basedOn w:val="Normal"/>
    <w:next w:val="Normal"/>
    <w:link w:val="IntenseQuoteChar"/>
    <w:uiPriority w:val="30"/>
    <w:qFormat/>
    <w:rsid w:val="00F614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1464"/>
    <w:rPr>
      <w:i/>
      <w:iCs/>
      <w:color w:val="365F91" w:themeColor="accent1" w:themeShade="BF"/>
    </w:rPr>
  </w:style>
  <w:style w:type="character" w:styleId="IntenseReference">
    <w:name w:val="Intense Reference"/>
    <w:basedOn w:val="DefaultParagraphFont"/>
    <w:uiPriority w:val="32"/>
    <w:qFormat/>
    <w:rsid w:val="00F61464"/>
    <w:rPr>
      <w:b/>
      <w:bCs/>
      <w:smallCaps/>
      <w:color w:val="365F91" w:themeColor="accent1" w:themeShade="BF"/>
      <w:spacing w:val="5"/>
    </w:rPr>
  </w:style>
  <w:style w:type="paragraph" w:styleId="NormalWeb">
    <w:name w:val="Normal (Web)"/>
    <w:basedOn w:val="Normal"/>
    <w:uiPriority w:val="99"/>
    <w:semiHidden/>
    <w:unhideWhenUsed/>
    <w:rsid w:val="00F61464"/>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paragraph" w:styleId="Header">
    <w:name w:val="header"/>
    <w:basedOn w:val="Normal"/>
    <w:link w:val="HeaderChar"/>
    <w:uiPriority w:val="99"/>
    <w:unhideWhenUsed/>
    <w:rsid w:val="006D0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76A"/>
  </w:style>
  <w:style w:type="paragraph" w:styleId="Footer">
    <w:name w:val="footer"/>
    <w:basedOn w:val="Normal"/>
    <w:link w:val="FooterChar"/>
    <w:uiPriority w:val="99"/>
    <w:unhideWhenUsed/>
    <w:rsid w:val="006D0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76A"/>
  </w:style>
  <w:style w:type="character" w:styleId="Hyperlink">
    <w:name w:val="Hyperlink"/>
    <w:basedOn w:val="DefaultParagraphFont"/>
    <w:uiPriority w:val="99"/>
    <w:unhideWhenUsed/>
    <w:rsid w:val="00724D7F"/>
    <w:rPr>
      <w:color w:val="0000FF" w:themeColor="hyperlink"/>
      <w:u w:val="single"/>
    </w:rPr>
  </w:style>
  <w:style w:type="character" w:styleId="UnresolvedMention">
    <w:name w:val="Unresolved Mention"/>
    <w:basedOn w:val="DefaultParagraphFont"/>
    <w:uiPriority w:val="99"/>
    <w:semiHidden/>
    <w:unhideWhenUsed/>
    <w:rsid w:val="00724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3-18-f.pdf" TargetMode="External"/><Relationship Id="rId3" Type="http://schemas.openxmlformats.org/officeDocument/2006/relationships/settings" Target="settings.xml"/><Relationship Id="rId7" Type="http://schemas.openxmlformats.org/officeDocument/2006/relationships/hyperlink" Target="https://www.iccat.int/Documents/Recs/compendiopdf-f/2021-17-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2025-10-21T08:36:00Z</dcterms:created>
  <dcterms:modified xsi:type="dcterms:W3CDTF">2025-10-22T07:57:00Z</dcterms:modified>
</cp:coreProperties>
</file>