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0114" w14:textId="77777777" w:rsidR="00AB778A" w:rsidRPr="002B698D" w:rsidRDefault="00AB778A" w:rsidP="00AB778A">
      <w:pPr>
        <w:widowControl/>
        <w:autoSpaceDE/>
        <w:autoSpaceDN/>
        <w:jc w:val="center"/>
        <w:rPr>
          <w:rFonts w:asciiTheme="majorHAnsi" w:hAnsiTheme="majorHAnsi"/>
          <w:b/>
          <w:sz w:val="20"/>
          <w:szCs w:val="20"/>
        </w:rPr>
      </w:pPr>
      <w:r w:rsidRPr="002B698D">
        <w:rPr>
          <w:rFonts w:asciiTheme="majorHAnsi" w:hAnsiTheme="majorHAnsi"/>
          <w:b/>
          <w:sz w:val="20"/>
        </w:rPr>
        <w:t>Portada para acompañar nuevas propuestas</w:t>
      </w:r>
    </w:p>
    <w:p w14:paraId="63642CBD" w14:textId="77777777" w:rsidR="00AB778A" w:rsidRPr="002B698D" w:rsidRDefault="00AB778A" w:rsidP="00AB778A">
      <w:pPr>
        <w:widowControl/>
        <w:pBdr>
          <w:top w:val="nil"/>
          <w:left w:val="nil"/>
          <w:bottom w:val="nil"/>
          <w:right w:val="nil"/>
          <w:between w:val="nil"/>
        </w:pBdr>
        <w:autoSpaceDE/>
        <w:autoSpaceDN/>
        <w:jc w:val="center"/>
        <w:rPr>
          <w:rFonts w:asciiTheme="majorHAnsi" w:hAnsiTheme="majorHAnsi"/>
          <w:b/>
          <w:sz w:val="20"/>
          <w:szCs w:val="20"/>
        </w:rPr>
      </w:pPr>
    </w:p>
    <w:p w14:paraId="15152BA6" w14:textId="31B7FCAE" w:rsidR="00AB778A" w:rsidRPr="002B698D" w:rsidRDefault="00AB778A" w:rsidP="00AB778A">
      <w:pPr>
        <w:widowControl/>
        <w:autoSpaceDE/>
        <w:autoSpaceDN/>
        <w:spacing w:line="234" w:lineRule="exact"/>
        <w:ind w:left="281" w:right="201"/>
        <w:jc w:val="center"/>
        <w:rPr>
          <w:rFonts w:asciiTheme="majorHAnsi" w:eastAsia="Cambria" w:hAnsiTheme="majorHAnsi" w:cs="Cambria"/>
          <w:i/>
          <w:sz w:val="20"/>
        </w:rPr>
      </w:pPr>
      <w:bookmarkStart w:id="0" w:name="_30j0zll"/>
      <w:bookmarkStart w:id="1" w:name="_Hlk211851716"/>
      <w:bookmarkEnd w:id="0"/>
      <w:r w:rsidRPr="002B698D">
        <w:rPr>
          <w:rFonts w:asciiTheme="majorHAnsi" w:hAnsiTheme="majorHAnsi"/>
          <w:i/>
          <w:sz w:val="20"/>
        </w:rPr>
        <w:t>(presentado por la Unión Europea</w:t>
      </w:r>
      <w:r w:rsidR="00013CBC" w:rsidRPr="002B698D">
        <w:rPr>
          <w:rFonts w:asciiTheme="majorHAnsi" w:hAnsiTheme="majorHAnsi"/>
          <w:i/>
          <w:sz w:val="20"/>
        </w:rPr>
        <w:t xml:space="preserve">, </w:t>
      </w:r>
      <w:r w:rsidR="00013CBC" w:rsidRPr="002B698D">
        <w:rPr>
          <w:rFonts w:asciiTheme="majorHAnsi" w:hAnsiTheme="majorHAnsi"/>
          <w:i/>
          <w:sz w:val="20"/>
          <w:u w:val="single"/>
        </w:rPr>
        <w:t>Marruecos y República de Corea</w:t>
      </w:r>
      <w:r w:rsidRPr="002B698D">
        <w:rPr>
          <w:rFonts w:asciiTheme="majorHAnsi" w:hAnsiTheme="majorHAnsi"/>
          <w:i/>
          <w:sz w:val="20"/>
        </w:rPr>
        <w:t>)</w:t>
      </w:r>
    </w:p>
    <w:bookmarkEnd w:id="1"/>
    <w:p w14:paraId="3DFD5012" w14:textId="76A17D9E" w:rsidR="00127FE5" w:rsidRPr="002B698D" w:rsidRDefault="00127FE5" w:rsidP="594A338A">
      <w:pPr>
        <w:pStyle w:val="BodyText"/>
        <w:spacing w:before="1"/>
        <w:rPr>
          <w:rFonts w:asciiTheme="majorHAnsi" w:hAnsiTheme="majorHAnsi"/>
          <w:b/>
          <w:bCs/>
          <w:sz w:val="22"/>
          <w:szCs w:val="22"/>
        </w:rPr>
      </w:pPr>
    </w:p>
    <w:p w14:paraId="4A11D49F" w14:textId="14870FFE" w:rsidR="60A4D66D" w:rsidRPr="002B698D" w:rsidRDefault="60A4D66D" w:rsidP="772F7C49">
      <w:pPr>
        <w:ind w:hanging="10"/>
        <w:jc w:val="both"/>
        <w:rPr>
          <w:rFonts w:asciiTheme="majorHAnsi" w:eastAsia="Cambria" w:hAnsiTheme="majorHAnsi" w:cs="Cambria"/>
          <w:color w:val="EE0000"/>
          <w:sz w:val="20"/>
          <w:szCs w:val="20"/>
        </w:rPr>
      </w:pPr>
      <w:r w:rsidRPr="002B698D">
        <w:rPr>
          <w:rFonts w:asciiTheme="majorHAnsi" w:hAnsiTheme="majorHAnsi"/>
          <w:b/>
          <w:color w:val="000000" w:themeColor="text1"/>
          <w:sz w:val="20"/>
        </w:rPr>
        <w:t xml:space="preserve">Título de la propuesta de Proyecto de Recomendación/Resolución: </w:t>
      </w:r>
      <w:r w:rsidRPr="002B698D">
        <w:rPr>
          <w:rFonts w:asciiTheme="majorHAnsi" w:hAnsiTheme="majorHAnsi"/>
          <w:color w:val="EE0000"/>
          <w:sz w:val="20"/>
        </w:rPr>
        <w:t>Proyecto de Recomendación de ICCAT que establece una prohibición de las redes de deriva para la captura de determinadas especies de ICCAT</w:t>
      </w:r>
    </w:p>
    <w:p w14:paraId="70329A2B" w14:textId="04521C72" w:rsidR="772F7C49" w:rsidRPr="002B698D" w:rsidRDefault="772F7C49" w:rsidP="772F7C49">
      <w:pPr>
        <w:ind w:hanging="10"/>
        <w:jc w:val="both"/>
        <w:rPr>
          <w:rFonts w:asciiTheme="majorHAnsi" w:eastAsia="Cambria" w:hAnsiTheme="majorHAnsi" w:cs="Cambria"/>
          <w:color w:val="000000" w:themeColor="text1"/>
          <w:sz w:val="20"/>
          <w:szCs w:val="20"/>
        </w:rPr>
      </w:pPr>
    </w:p>
    <w:p w14:paraId="1A99076B" w14:textId="36794161" w:rsidR="0E29B18A" w:rsidRPr="002B698D" w:rsidRDefault="60A4D66D" w:rsidP="772F7C49">
      <w:pPr>
        <w:ind w:hanging="10"/>
        <w:jc w:val="both"/>
        <w:rPr>
          <w:rFonts w:asciiTheme="majorHAnsi" w:eastAsia="Cambria" w:hAnsiTheme="majorHAnsi" w:cs="Cambria"/>
          <w:color w:val="EE0000"/>
          <w:sz w:val="20"/>
          <w:szCs w:val="20"/>
        </w:rPr>
      </w:pPr>
      <w:r w:rsidRPr="002B698D">
        <w:rPr>
          <w:rFonts w:asciiTheme="majorHAnsi" w:hAnsiTheme="majorHAnsi"/>
          <w:b/>
          <w:color w:val="000000" w:themeColor="text1"/>
          <w:sz w:val="20"/>
        </w:rPr>
        <w:t xml:space="preserve">Título de la(s) recomendación(es) o resolución(es) actualmente vigente(s) que aborda(n) la misma cuestión o cuestiones relacionadas: </w:t>
      </w:r>
      <w:r w:rsidRPr="002B698D">
        <w:rPr>
          <w:rFonts w:asciiTheme="majorHAnsi" w:hAnsiTheme="majorHAnsi"/>
          <w:i/>
          <w:iCs/>
          <w:color w:val="EE0000"/>
          <w:sz w:val="20"/>
        </w:rPr>
        <w:t>Resolución de ICCAT sobre la pesca a gran escala con redes pelágicas de enmalle a la deriva</w:t>
      </w:r>
      <w:r w:rsidRPr="002B698D">
        <w:rPr>
          <w:rFonts w:asciiTheme="majorHAnsi" w:hAnsiTheme="majorHAnsi"/>
          <w:color w:val="EE0000"/>
          <w:sz w:val="20"/>
        </w:rPr>
        <w:t xml:space="preserve"> (Res. 96-15)</w:t>
      </w:r>
    </w:p>
    <w:p w14:paraId="18A25403" w14:textId="3E4A3180" w:rsidR="55130F45" w:rsidRPr="002B698D" w:rsidRDefault="55130F45" w:rsidP="772F7C49">
      <w:pPr>
        <w:ind w:hanging="10"/>
        <w:jc w:val="both"/>
        <w:rPr>
          <w:rFonts w:asciiTheme="majorHAnsi" w:eastAsia="Cambria" w:hAnsiTheme="majorHAnsi" w:cs="Cambria"/>
          <w:color w:val="EE0000"/>
          <w:sz w:val="20"/>
          <w:szCs w:val="20"/>
        </w:rPr>
      </w:pPr>
      <w:r w:rsidRPr="002B698D">
        <w:rPr>
          <w:rFonts w:asciiTheme="majorHAnsi" w:hAnsiTheme="majorHAnsi"/>
          <w:i/>
          <w:iCs/>
          <w:color w:val="EE0000"/>
          <w:sz w:val="20"/>
        </w:rPr>
        <w:t xml:space="preserve">Recomendación de ICCAT sobre el pez espada del Mediterráneo </w:t>
      </w:r>
      <w:r w:rsidRPr="002B698D">
        <w:rPr>
          <w:rFonts w:asciiTheme="majorHAnsi" w:hAnsiTheme="majorHAnsi"/>
          <w:color w:val="EE0000"/>
          <w:sz w:val="20"/>
        </w:rPr>
        <w:t>(Rec. 03-04); párrafo 3</w:t>
      </w:r>
    </w:p>
    <w:p w14:paraId="78082FFE" w14:textId="7DC15832" w:rsidR="772F7C49" w:rsidRPr="002B698D" w:rsidRDefault="772F7C49" w:rsidP="772F7C49">
      <w:pPr>
        <w:ind w:hanging="10"/>
        <w:jc w:val="both"/>
        <w:rPr>
          <w:rFonts w:asciiTheme="majorHAnsi" w:eastAsia="Cambria" w:hAnsiTheme="majorHAnsi" w:cs="Cambria"/>
          <w:color w:val="0070C0"/>
          <w:sz w:val="20"/>
          <w:szCs w:val="20"/>
        </w:rPr>
      </w:pPr>
    </w:p>
    <w:p w14:paraId="169CBDEC" w14:textId="17290292" w:rsidR="772F7C49" w:rsidRPr="002B698D" w:rsidRDefault="772F7C49" w:rsidP="772F7C49">
      <w:pPr>
        <w:ind w:hanging="10"/>
        <w:jc w:val="both"/>
        <w:rPr>
          <w:rFonts w:asciiTheme="majorHAnsi" w:eastAsia="Cambria" w:hAnsiTheme="majorHAnsi" w:cs="Cambria"/>
          <w:color w:val="000000" w:themeColor="text1"/>
          <w:sz w:val="20"/>
          <w:szCs w:val="20"/>
        </w:rPr>
      </w:pPr>
    </w:p>
    <w:p w14:paraId="730DE738" w14:textId="77777777" w:rsidR="00C45519" w:rsidRPr="002B698D" w:rsidRDefault="000A601F" w:rsidP="000A601F">
      <w:pPr>
        <w:widowControl/>
        <w:numPr>
          <w:ilvl w:val="0"/>
          <w:numId w:val="6"/>
        </w:numPr>
        <w:autoSpaceDE/>
        <w:autoSpaceDN/>
        <w:spacing w:after="160" w:line="259" w:lineRule="auto"/>
        <w:ind w:left="426" w:hanging="426"/>
        <w:jc w:val="both"/>
        <w:rPr>
          <w:rFonts w:asciiTheme="majorHAnsi" w:eastAsia="Cambria" w:hAnsiTheme="majorHAnsi" w:cs="Cambria"/>
          <w:color w:val="FF0000"/>
          <w:sz w:val="20"/>
          <w:szCs w:val="20"/>
        </w:rPr>
      </w:pPr>
      <w:r w:rsidRPr="002B698D">
        <w:rPr>
          <w:rFonts w:asciiTheme="majorHAnsi" w:eastAsia="Cambria" w:hAnsiTheme="majorHAnsi" w:cs="Cambria"/>
          <w:sz w:val="20"/>
        </w:rPr>
        <w:t xml:space="preserve">¿Crea nuevas </w:t>
      </w:r>
      <w:r w:rsidRPr="002B698D">
        <w:rPr>
          <w:rFonts w:asciiTheme="majorHAnsi" w:eastAsia="Cambria" w:hAnsiTheme="majorHAnsi" w:cs="Cambria"/>
          <w:b/>
          <w:sz w:val="20"/>
        </w:rPr>
        <w:t xml:space="preserve">obligaciones de comunicación </w:t>
      </w:r>
      <w:r w:rsidRPr="002B698D">
        <w:rPr>
          <w:rFonts w:asciiTheme="majorHAnsi" w:eastAsia="Cambria" w:hAnsiTheme="majorHAnsi" w:cs="Cambria"/>
          <w:sz w:val="20"/>
        </w:rPr>
        <w:t>para las</w:t>
      </w:r>
    </w:p>
    <w:p w14:paraId="6E462099" w14:textId="69F83B75" w:rsidR="772F7C49" w:rsidRPr="002B698D" w:rsidRDefault="000A601F" w:rsidP="000A601F">
      <w:pPr>
        <w:widowControl/>
        <w:numPr>
          <w:ilvl w:val="0"/>
          <w:numId w:val="6"/>
        </w:numPr>
        <w:autoSpaceDE/>
        <w:autoSpaceDN/>
        <w:spacing w:after="160" w:line="259" w:lineRule="auto"/>
        <w:ind w:left="426" w:hanging="426"/>
        <w:jc w:val="both"/>
        <w:rPr>
          <w:rFonts w:asciiTheme="majorHAnsi" w:eastAsia="Cambria" w:hAnsiTheme="majorHAnsi" w:cs="Cambria"/>
          <w:color w:val="FF0000"/>
          <w:sz w:val="20"/>
          <w:szCs w:val="20"/>
        </w:rPr>
      </w:pPr>
      <w:r w:rsidRPr="002B698D">
        <w:rPr>
          <w:rFonts w:asciiTheme="majorHAnsi" w:eastAsia="Cambria" w:hAnsiTheme="majorHAnsi" w:cs="Cambria"/>
          <w:sz w:val="20"/>
        </w:rPr>
        <w:t xml:space="preserve"> CPC?     Sí </w:t>
      </w:r>
      <w:sdt>
        <w:sdtPr>
          <w:rPr>
            <w:rFonts w:asciiTheme="majorHAnsi" w:eastAsia="Cambria" w:hAnsiTheme="majorHAnsi" w:cs="Cambria"/>
            <w:sz w:val="20"/>
          </w:rPr>
          <w:id w:val="279852826"/>
          <w14:checkbox>
            <w14:checked w14:val="0"/>
            <w14:checkedState w14:val="2612" w14:font="MS Gothic"/>
            <w14:uncheckedState w14:val="2610" w14:font="MS Gothic"/>
          </w14:checkbox>
        </w:sdtPr>
        <w:sdtEndPr/>
        <w:sdtContent>
          <w:r w:rsidRPr="002B698D">
            <w:rPr>
              <w:rFonts w:ascii="Segoe UI Symbol" w:eastAsia="Cambria" w:hAnsi="Segoe UI Symbol" w:cs="Segoe UI Symbol"/>
              <w:sz w:val="20"/>
            </w:rPr>
            <w:t>☐</w:t>
          </w:r>
        </w:sdtContent>
      </w:sdt>
      <w:r w:rsidRPr="002B698D">
        <w:rPr>
          <w:rFonts w:asciiTheme="majorHAnsi" w:eastAsia="Cambria" w:hAnsiTheme="majorHAnsi" w:cs="Cambria"/>
          <w:sz w:val="20"/>
        </w:rPr>
        <w:tab/>
      </w:r>
      <w:r w:rsidRPr="002B698D">
        <w:rPr>
          <w:rFonts w:asciiTheme="majorHAnsi" w:eastAsia="Cambria" w:hAnsiTheme="majorHAnsi" w:cs="Cambria"/>
          <w:color w:val="FF0000"/>
          <w:sz w:val="20"/>
        </w:rPr>
        <w:t xml:space="preserve">No </w:t>
      </w:r>
      <w:sdt>
        <w:sdtPr>
          <w:rPr>
            <w:rFonts w:asciiTheme="majorHAnsi" w:eastAsia="Cambria" w:hAnsiTheme="majorHAnsi" w:cs="Cambria"/>
            <w:color w:val="FF0000"/>
            <w:spacing w:val="-2"/>
            <w:sz w:val="20"/>
            <w:szCs w:val="20"/>
          </w:rPr>
          <w:id w:val="-1068185848"/>
          <w14:checkbox>
            <w14:checked w14:val="1"/>
            <w14:checkedState w14:val="2612" w14:font="MS Gothic"/>
            <w14:uncheckedState w14:val="2610" w14:font="MS Gothic"/>
          </w14:checkbox>
        </w:sdtPr>
        <w:sdtEndPr/>
        <w:sdtContent>
          <w:r w:rsidRPr="002B698D">
            <w:rPr>
              <w:rFonts w:ascii="Segoe UI Symbol" w:eastAsia="Cambria" w:hAnsi="Segoe UI Symbol" w:cs="Segoe UI Symbol"/>
              <w:color w:val="FF0000"/>
              <w:spacing w:val="-2"/>
              <w:sz w:val="20"/>
              <w:szCs w:val="20"/>
            </w:rPr>
            <w:t>☒</w:t>
          </w:r>
        </w:sdtContent>
      </w:sdt>
    </w:p>
    <w:p w14:paraId="2E450754" w14:textId="08E1AF8D" w:rsidR="60A4D66D" w:rsidRPr="002B698D" w:rsidRDefault="60A4D66D" w:rsidP="772F7C49">
      <w:pPr>
        <w:ind w:left="426" w:hanging="10"/>
        <w:jc w:val="both"/>
        <w:rPr>
          <w:rFonts w:asciiTheme="majorHAnsi" w:eastAsia="Cambria" w:hAnsiTheme="majorHAnsi" w:cs="Cambria"/>
          <w:color w:val="000000" w:themeColor="text1"/>
          <w:sz w:val="20"/>
          <w:szCs w:val="20"/>
        </w:rPr>
      </w:pPr>
      <w:r w:rsidRPr="002B698D">
        <w:rPr>
          <w:rFonts w:asciiTheme="majorHAnsi" w:hAnsiTheme="majorHAnsi"/>
          <w:color w:val="000000" w:themeColor="text1"/>
          <w:sz w:val="20"/>
        </w:rPr>
        <w:t xml:space="preserve">Breve descripción de la(s) nueva(s) obligación(es) de comunicación: </w:t>
      </w:r>
    </w:p>
    <w:p w14:paraId="4E45CAD9" w14:textId="6E8F5FC6" w:rsidR="772F7C49" w:rsidRPr="002B698D" w:rsidRDefault="772F7C49" w:rsidP="00186760">
      <w:pPr>
        <w:ind w:left="426" w:hanging="10"/>
        <w:jc w:val="center"/>
        <w:rPr>
          <w:rFonts w:asciiTheme="majorHAnsi" w:hAnsiTheme="majorHAnsi"/>
          <w:color w:val="000000" w:themeColor="text1"/>
          <w:sz w:val="20"/>
          <w:szCs w:val="20"/>
        </w:rPr>
      </w:pPr>
    </w:p>
    <w:p w14:paraId="7637592A" w14:textId="427941D4" w:rsidR="772F7C49" w:rsidRPr="002B698D" w:rsidRDefault="000A601F" w:rsidP="000A601F">
      <w:pPr>
        <w:widowControl/>
        <w:numPr>
          <w:ilvl w:val="0"/>
          <w:numId w:val="6"/>
        </w:numPr>
        <w:tabs>
          <w:tab w:val="left" w:pos="6804"/>
        </w:tabs>
        <w:autoSpaceDE/>
        <w:autoSpaceDN/>
        <w:spacing w:after="160" w:line="259" w:lineRule="auto"/>
        <w:ind w:left="426" w:hanging="426"/>
        <w:jc w:val="both"/>
        <w:rPr>
          <w:rFonts w:asciiTheme="majorHAnsi" w:eastAsia="Cambria" w:hAnsiTheme="majorHAnsi" w:cs="Cambria"/>
          <w:sz w:val="20"/>
          <w:szCs w:val="20"/>
        </w:rPr>
      </w:pPr>
      <w:r w:rsidRPr="002B698D">
        <w:rPr>
          <w:rFonts w:asciiTheme="majorHAnsi" w:eastAsia="Cambria" w:hAnsiTheme="majorHAnsi" w:cs="Cambria"/>
          <w:sz w:val="20"/>
        </w:rPr>
        <w:t xml:space="preserve">¿Requiere aportaciones o </w:t>
      </w:r>
      <w:r w:rsidRPr="002B698D">
        <w:rPr>
          <w:rFonts w:asciiTheme="majorHAnsi" w:eastAsia="Cambria" w:hAnsiTheme="majorHAnsi" w:cs="Cambria"/>
          <w:b/>
          <w:sz w:val="20"/>
        </w:rPr>
        <w:t xml:space="preserve">trabajo </w:t>
      </w:r>
      <w:r w:rsidRPr="002B698D">
        <w:rPr>
          <w:rFonts w:asciiTheme="majorHAnsi" w:eastAsia="Cambria" w:hAnsiTheme="majorHAnsi" w:cs="Cambria"/>
          <w:bCs/>
          <w:sz w:val="20"/>
        </w:rPr>
        <w:t>adicional</w:t>
      </w:r>
      <w:r w:rsidRPr="002B698D">
        <w:rPr>
          <w:rFonts w:asciiTheme="majorHAnsi" w:eastAsia="Cambria" w:hAnsiTheme="majorHAnsi" w:cs="Cambria"/>
          <w:b/>
          <w:sz w:val="20"/>
        </w:rPr>
        <w:t xml:space="preserve"> por parte del SCRS</w:t>
      </w:r>
      <w:r w:rsidRPr="002B698D">
        <w:rPr>
          <w:rFonts w:asciiTheme="majorHAnsi" w:eastAsia="Cambria" w:hAnsiTheme="majorHAnsi" w:cs="Cambria"/>
          <w:sz w:val="20"/>
        </w:rPr>
        <w:t xml:space="preserve">?  Sí </w:t>
      </w:r>
      <w:sdt>
        <w:sdtPr>
          <w:rPr>
            <w:rFonts w:asciiTheme="majorHAnsi" w:eastAsia="Cambria" w:hAnsiTheme="majorHAnsi" w:cs="Cambria"/>
            <w:sz w:val="20"/>
          </w:rPr>
          <w:id w:val="89124157"/>
          <w14:checkbox>
            <w14:checked w14:val="0"/>
            <w14:checkedState w14:val="2612" w14:font="MS Gothic"/>
            <w14:uncheckedState w14:val="2610" w14:font="MS Gothic"/>
          </w14:checkbox>
        </w:sdtPr>
        <w:sdtEndPr/>
        <w:sdtContent>
          <w:r w:rsidRPr="002B698D">
            <w:rPr>
              <w:rFonts w:ascii="Segoe UI Symbol" w:eastAsia="Cambria" w:hAnsi="Segoe UI Symbol" w:cs="Segoe UI Symbol"/>
              <w:sz w:val="20"/>
            </w:rPr>
            <w:t>☐</w:t>
          </w:r>
        </w:sdtContent>
      </w:sdt>
      <w:r w:rsidRPr="002B698D">
        <w:rPr>
          <w:rFonts w:asciiTheme="majorHAnsi" w:eastAsia="Cambria" w:hAnsiTheme="majorHAnsi" w:cs="Cambria"/>
          <w:sz w:val="20"/>
        </w:rPr>
        <w:tab/>
      </w:r>
      <w:r w:rsidRPr="002B698D">
        <w:rPr>
          <w:rFonts w:asciiTheme="majorHAnsi" w:eastAsia="Cambria" w:hAnsiTheme="majorHAnsi" w:cs="Cambria"/>
          <w:color w:val="FF0000"/>
          <w:sz w:val="20"/>
        </w:rPr>
        <w:t xml:space="preserve">No </w:t>
      </w:r>
      <w:sdt>
        <w:sdtPr>
          <w:rPr>
            <w:rFonts w:asciiTheme="majorHAnsi" w:eastAsia="Cambria" w:hAnsiTheme="majorHAnsi" w:cs="Cambria"/>
            <w:color w:val="FF0000"/>
            <w:spacing w:val="-2"/>
            <w:sz w:val="20"/>
            <w:szCs w:val="20"/>
          </w:rPr>
          <w:id w:val="-1209718574"/>
          <w14:checkbox>
            <w14:checked w14:val="1"/>
            <w14:checkedState w14:val="2612" w14:font="MS Gothic"/>
            <w14:uncheckedState w14:val="2610" w14:font="MS Gothic"/>
          </w14:checkbox>
        </w:sdtPr>
        <w:sdtEndPr/>
        <w:sdtContent>
          <w:r w:rsidRPr="002B698D">
            <w:rPr>
              <w:rFonts w:ascii="Segoe UI Symbol" w:eastAsia="Cambria" w:hAnsi="Segoe UI Symbol" w:cs="Segoe UI Symbol"/>
              <w:color w:val="FF0000"/>
              <w:spacing w:val="-2"/>
              <w:sz w:val="20"/>
              <w:szCs w:val="20"/>
            </w:rPr>
            <w:t>☒</w:t>
          </w:r>
        </w:sdtContent>
      </w:sdt>
    </w:p>
    <w:p w14:paraId="49EE9956" w14:textId="77777777" w:rsidR="000A601F" w:rsidRPr="002B698D" w:rsidRDefault="000A601F" w:rsidP="000A601F">
      <w:pPr>
        <w:tabs>
          <w:tab w:val="left" w:pos="6804"/>
          <w:tab w:val="left" w:pos="7371"/>
        </w:tabs>
        <w:ind w:left="360" w:firstLine="66"/>
        <w:jc w:val="both"/>
        <w:rPr>
          <w:rFonts w:asciiTheme="majorHAnsi" w:eastAsia="Cambria" w:hAnsiTheme="majorHAnsi" w:cs="Cambria"/>
          <w:sz w:val="20"/>
          <w:szCs w:val="20"/>
        </w:rPr>
      </w:pPr>
      <w:r w:rsidRPr="002B698D">
        <w:rPr>
          <w:rFonts w:asciiTheme="majorHAnsi" w:eastAsia="Cambria" w:hAnsiTheme="majorHAnsi" w:cs="Cambria"/>
          <w:sz w:val="20"/>
        </w:rPr>
        <w:t>¿Está este trabajo ya incluido en el Plan de trabajo actual del SCRS?</w:t>
      </w:r>
      <w:r w:rsidRPr="002B698D">
        <w:rPr>
          <w:rFonts w:asciiTheme="majorHAnsi" w:eastAsia="Cambria" w:hAnsiTheme="majorHAnsi" w:cs="Cambria"/>
          <w:sz w:val="20"/>
        </w:rPr>
        <w:tab/>
        <w:t xml:space="preserve">Sí </w:t>
      </w:r>
      <w:sdt>
        <w:sdtPr>
          <w:rPr>
            <w:rFonts w:asciiTheme="majorHAnsi" w:eastAsia="Cambria" w:hAnsiTheme="majorHAnsi" w:cs="Cambria"/>
            <w:sz w:val="20"/>
          </w:rPr>
          <w:id w:val="-1260672485"/>
          <w14:checkbox>
            <w14:checked w14:val="0"/>
            <w14:checkedState w14:val="2612" w14:font="MS Gothic"/>
            <w14:uncheckedState w14:val="2610" w14:font="MS Gothic"/>
          </w14:checkbox>
        </w:sdtPr>
        <w:sdtEndPr/>
        <w:sdtContent>
          <w:r w:rsidRPr="002B698D">
            <w:rPr>
              <w:rFonts w:ascii="Segoe UI Symbol" w:eastAsia="Cambria" w:hAnsi="Segoe UI Symbol" w:cs="Segoe UI Symbol"/>
              <w:sz w:val="20"/>
            </w:rPr>
            <w:t>☐</w:t>
          </w:r>
        </w:sdtContent>
      </w:sdt>
      <w:r w:rsidRPr="002B698D">
        <w:rPr>
          <w:rFonts w:asciiTheme="majorHAnsi" w:eastAsia="Cambria" w:hAnsiTheme="majorHAnsi" w:cs="Cambria"/>
          <w:sz w:val="20"/>
        </w:rPr>
        <w:tab/>
      </w:r>
      <w:r w:rsidRPr="002B698D">
        <w:rPr>
          <w:rFonts w:asciiTheme="majorHAnsi" w:eastAsia="Cambria" w:hAnsiTheme="majorHAnsi" w:cs="Cambria"/>
          <w:color w:val="000000"/>
          <w:sz w:val="20"/>
        </w:rPr>
        <w:t xml:space="preserve">No </w:t>
      </w:r>
      <w:sdt>
        <w:sdtPr>
          <w:rPr>
            <w:rFonts w:asciiTheme="majorHAnsi" w:eastAsia="Cambria" w:hAnsiTheme="majorHAnsi" w:cs="Cambria"/>
            <w:color w:val="000000"/>
            <w:spacing w:val="-2"/>
            <w:sz w:val="20"/>
            <w:szCs w:val="20"/>
          </w:rPr>
          <w:id w:val="818388141"/>
          <w14:checkbox>
            <w14:checked w14:val="0"/>
            <w14:checkedState w14:val="2612" w14:font="MS Gothic"/>
            <w14:uncheckedState w14:val="2610" w14:font="MS Gothic"/>
          </w14:checkbox>
        </w:sdtPr>
        <w:sdtEndPr/>
        <w:sdtContent>
          <w:r w:rsidRPr="002B698D">
            <w:rPr>
              <w:rFonts w:ascii="Segoe UI Symbol" w:eastAsia="MS Gothic" w:hAnsi="Segoe UI Symbol" w:cs="Segoe UI Symbol"/>
              <w:color w:val="000000"/>
              <w:spacing w:val="-2"/>
              <w:sz w:val="20"/>
              <w:szCs w:val="20"/>
            </w:rPr>
            <w:t>☐</w:t>
          </w:r>
        </w:sdtContent>
      </w:sdt>
    </w:p>
    <w:p w14:paraId="4564F439" w14:textId="43F3FC76" w:rsidR="772F7C49" w:rsidRPr="002B698D" w:rsidRDefault="772F7C49" w:rsidP="772F7C49">
      <w:pPr>
        <w:ind w:left="360" w:hanging="10"/>
        <w:rPr>
          <w:rFonts w:asciiTheme="majorHAnsi" w:eastAsia="Cambria" w:hAnsiTheme="majorHAnsi" w:cs="Cambria"/>
          <w:color w:val="000000" w:themeColor="text1"/>
          <w:sz w:val="20"/>
          <w:szCs w:val="20"/>
        </w:rPr>
      </w:pPr>
    </w:p>
    <w:p w14:paraId="30BAD497" w14:textId="63871DB5" w:rsidR="60A4D66D" w:rsidRPr="002B698D" w:rsidRDefault="60A4D66D" w:rsidP="00C67CE8">
      <w:pPr>
        <w:ind w:left="426"/>
        <w:jc w:val="both"/>
        <w:rPr>
          <w:rFonts w:asciiTheme="majorHAnsi" w:eastAsia="Cambria" w:hAnsiTheme="majorHAnsi" w:cs="Cambria"/>
          <w:color w:val="000000" w:themeColor="text1"/>
          <w:sz w:val="20"/>
          <w:szCs w:val="20"/>
        </w:rPr>
      </w:pPr>
      <w:r w:rsidRPr="002B698D">
        <w:rPr>
          <w:rFonts w:asciiTheme="majorHAnsi" w:hAnsiTheme="majorHAnsi"/>
          <w:color w:val="000000" w:themeColor="text1"/>
          <w:sz w:val="20"/>
        </w:rPr>
        <w:t>Breve descripción del nuevo trabajo científico necesario (es decir, evaluación del stock, análisis, consultor externo):</w:t>
      </w:r>
    </w:p>
    <w:p w14:paraId="4C73AE58" w14:textId="37B90463" w:rsidR="772F7C49" w:rsidRPr="002B698D" w:rsidRDefault="772F7C49" w:rsidP="772F7C49">
      <w:pPr>
        <w:ind w:left="426" w:hanging="10"/>
        <w:jc w:val="both"/>
        <w:rPr>
          <w:rFonts w:asciiTheme="majorHAnsi" w:eastAsia="Cambria" w:hAnsiTheme="majorHAnsi" w:cs="Cambria"/>
          <w:color w:val="0070C0"/>
          <w:sz w:val="20"/>
          <w:szCs w:val="20"/>
        </w:rPr>
      </w:pPr>
    </w:p>
    <w:p w14:paraId="12A73586" w14:textId="77777777" w:rsidR="000A601F" w:rsidRPr="002B698D" w:rsidRDefault="000A601F" w:rsidP="000A601F">
      <w:pPr>
        <w:widowControl/>
        <w:numPr>
          <w:ilvl w:val="0"/>
          <w:numId w:val="6"/>
        </w:numPr>
        <w:autoSpaceDE/>
        <w:autoSpaceDN/>
        <w:spacing w:after="160" w:line="259" w:lineRule="auto"/>
        <w:ind w:left="426" w:hanging="426"/>
        <w:jc w:val="both"/>
        <w:rPr>
          <w:rFonts w:asciiTheme="majorHAnsi" w:eastAsia="Cambria" w:hAnsiTheme="majorHAnsi" w:cs="Cambria"/>
          <w:sz w:val="20"/>
          <w:szCs w:val="20"/>
        </w:rPr>
      </w:pPr>
      <w:r w:rsidRPr="002B698D">
        <w:rPr>
          <w:rFonts w:asciiTheme="majorHAnsi" w:eastAsia="Cambria" w:hAnsiTheme="majorHAnsi" w:cs="Cambria"/>
          <w:sz w:val="20"/>
        </w:rPr>
        <w:t xml:space="preserve">¿Implica la creación de un </w:t>
      </w:r>
      <w:r w:rsidRPr="002B698D">
        <w:rPr>
          <w:rFonts w:asciiTheme="majorHAnsi" w:eastAsia="Cambria" w:hAnsiTheme="majorHAnsi" w:cs="Cambria"/>
          <w:b/>
          <w:sz w:val="20"/>
        </w:rPr>
        <w:t>nuevo grupo de trabajo o proceso intersesiones</w:t>
      </w:r>
      <w:r w:rsidRPr="002B698D">
        <w:rPr>
          <w:rFonts w:asciiTheme="majorHAnsi" w:eastAsia="Cambria" w:hAnsiTheme="majorHAnsi" w:cs="Cambria"/>
          <w:sz w:val="20"/>
        </w:rPr>
        <w:t xml:space="preserve">?    Sí </w:t>
      </w:r>
      <w:sdt>
        <w:sdtPr>
          <w:rPr>
            <w:rFonts w:asciiTheme="majorHAnsi" w:eastAsia="Cambria" w:hAnsiTheme="majorHAnsi" w:cs="Cambria"/>
            <w:sz w:val="20"/>
          </w:rPr>
          <w:id w:val="1144702017"/>
          <w14:checkbox>
            <w14:checked w14:val="0"/>
            <w14:checkedState w14:val="2612" w14:font="MS Gothic"/>
            <w14:uncheckedState w14:val="2610" w14:font="MS Gothic"/>
          </w14:checkbox>
        </w:sdtPr>
        <w:sdtEndPr/>
        <w:sdtContent>
          <w:r w:rsidRPr="002B698D">
            <w:rPr>
              <w:rFonts w:ascii="Segoe UI Symbol" w:eastAsia="Cambria" w:hAnsi="Segoe UI Symbol" w:cs="Segoe UI Symbol"/>
              <w:sz w:val="20"/>
            </w:rPr>
            <w:t>☐</w:t>
          </w:r>
        </w:sdtContent>
      </w:sdt>
      <w:r w:rsidRPr="002B698D">
        <w:rPr>
          <w:rFonts w:asciiTheme="majorHAnsi" w:eastAsia="Cambria" w:hAnsiTheme="majorHAnsi" w:cs="Cambria"/>
          <w:sz w:val="20"/>
        </w:rPr>
        <w:tab/>
      </w:r>
      <w:r w:rsidRPr="002B698D">
        <w:rPr>
          <w:rFonts w:asciiTheme="majorHAnsi" w:eastAsia="Cambria" w:hAnsiTheme="majorHAnsi" w:cs="Cambria"/>
          <w:color w:val="FF0000"/>
          <w:sz w:val="20"/>
        </w:rPr>
        <w:t xml:space="preserve">No </w:t>
      </w:r>
      <w:sdt>
        <w:sdtPr>
          <w:rPr>
            <w:rFonts w:asciiTheme="majorHAnsi" w:eastAsia="Cambria" w:hAnsiTheme="majorHAnsi" w:cs="Cambria"/>
            <w:color w:val="FF0000"/>
            <w:spacing w:val="-2"/>
            <w:sz w:val="20"/>
            <w:szCs w:val="20"/>
          </w:rPr>
          <w:id w:val="1655565838"/>
          <w14:checkbox>
            <w14:checked w14:val="1"/>
            <w14:checkedState w14:val="2612" w14:font="MS Gothic"/>
            <w14:uncheckedState w14:val="2610" w14:font="MS Gothic"/>
          </w14:checkbox>
        </w:sdtPr>
        <w:sdtEndPr/>
        <w:sdtContent>
          <w:r w:rsidRPr="002B698D">
            <w:rPr>
              <w:rFonts w:ascii="Segoe UI Symbol" w:eastAsia="Cambria" w:hAnsi="Segoe UI Symbol" w:cs="Segoe UI Symbol"/>
              <w:color w:val="FF0000"/>
              <w:spacing w:val="-2"/>
              <w:sz w:val="20"/>
              <w:szCs w:val="20"/>
            </w:rPr>
            <w:t>☒</w:t>
          </w:r>
        </w:sdtContent>
      </w:sdt>
    </w:p>
    <w:p w14:paraId="27B30CA5" w14:textId="6FDA1FEA" w:rsidR="772F7C49" w:rsidRPr="002B698D" w:rsidRDefault="772F7C49" w:rsidP="000A601F">
      <w:pPr>
        <w:rPr>
          <w:rFonts w:asciiTheme="majorHAnsi" w:eastAsia="Cambria" w:hAnsiTheme="majorHAnsi" w:cs="Cambria"/>
          <w:color w:val="000000" w:themeColor="text1"/>
          <w:sz w:val="20"/>
          <w:szCs w:val="20"/>
        </w:rPr>
      </w:pPr>
    </w:p>
    <w:p w14:paraId="1FB22B06" w14:textId="7CD2546B" w:rsidR="000A601F" w:rsidRPr="002B698D" w:rsidRDefault="000A601F" w:rsidP="000A601F">
      <w:pPr>
        <w:widowControl/>
        <w:numPr>
          <w:ilvl w:val="0"/>
          <w:numId w:val="6"/>
        </w:numPr>
        <w:autoSpaceDE/>
        <w:autoSpaceDN/>
        <w:spacing w:after="160" w:line="259" w:lineRule="auto"/>
        <w:ind w:left="426" w:hanging="426"/>
        <w:jc w:val="both"/>
        <w:rPr>
          <w:rFonts w:asciiTheme="majorHAnsi" w:eastAsia="Cambria" w:hAnsiTheme="majorHAnsi" w:cs="Cambria"/>
          <w:sz w:val="20"/>
          <w:szCs w:val="20"/>
        </w:rPr>
      </w:pPr>
      <w:r w:rsidRPr="002B698D">
        <w:rPr>
          <w:rFonts w:asciiTheme="majorHAnsi" w:eastAsia="Cambria" w:hAnsiTheme="majorHAnsi" w:cs="Cambria"/>
          <w:sz w:val="20"/>
        </w:rPr>
        <w:t xml:space="preserve">¿Requiere un nuevo </w:t>
      </w:r>
      <w:r w:rsidRPr="002B698D">
        <w:rPr>
          <w:rFonts w:asciiTheme="majorHAnsi" w:eastAsia="Cambria" w:hAnsiTheme="majorHAnsi" w:cs="Cambria"/>
          <w:b/>
          <w:sz w:val="20"/>
        </w:rPr>
        <w:t>programa o actividades adicionales que deba gestionar la Secretaría</w:t>
      </w:r>
      <w:r w:rsidRPr="002B698D">
        <w:rPr>
          <w:rFonts w:asciiTheme="majorHAnsi" w:eastAsia="Cambria" w:hAnsiTheme="majorHAnsi" w:cs="Cambria"/>
          <w:sz w:val="20"/>
        </w:rPr>
        <w:t xml:space="preserve">?  </w:t>
      </w:r>
    </w:p>
    <w:p w14:paraId="1129434C" w14:textId="77777777" w:rsidR="000A601F" w:rsidRPr="002B698D" w:rsidRDefault="000A601F" w:rsidP="000A601F">
      <w:pPr>
        <w:ind w:left="318"/>
        <w:rPr>
          <w:rFonts w:asciiTheme="majorHAnsi" w:eastAsia="Cambria" w:hAnsiTheme="majorHAnsi" w:cs="Cambria"/>
          <w:color w:val="FF0000"/>
          <w:spacing w:val="-2"/>
          <w:sz w:val="20"/>
          <w:szCs w:val="20"/>
        </w:rPr>
      </w:pPr>
      <w:r w:rsidRPr="002B698D">
        <w:rPr>
          <w:rFonts w:asciiTheme="majorHAnsi" w:eastAsia="Cambria" w:hAnsiTheme="majorHAnsi" w:cs="Cambria"/>
          <w:sz w:val="20"/>
        </w:rPr>
        <w:t xml:space="preserve">   Sí </w:t>
      </w:r>
      <w:sdt>
        <w:sdtPr>
          <w:rPr>
            <w:rFonts w:asciiTheme="majorHAnsi" w:eastAsia="Cambria" w:hAnsiTheme="majorHAnsi" w:cs="Cambria"/>
            <w:sz w:val="20"/>
          </w:rPr>
          <w:id w:val="1536081079"/>
          <w14:checkbox>
            <w14:checked w14:val="0"/>
            <w14:checkedState w14:val="2612" w14:font="MS Gothic"/>
            <w14:uncheckedState w14:val="2610" w14:font="MS Gothic"/>
          </w14:checkbox>
        </w:sdtPr>
        <w:sdtEndPr/>
        <w:sdtContent>
          <w:r w:rsidRPr="002B698D">
            <w:rPr>
              <w:rFonts w:ascii="Segoe UI Symbol" w:eastAsia="Cambria" w:hAnsi="Segoe UI Symbol" w:cs="Segoe UI Symbol"/>
              <w:sz w:val="20"/>
            </w:rPr>
            <w:t>☐</w:t>
          </w:r>
        </w:sdtContent>
      </w:sdt>
      <w:r w:rsidRPr="002B698D">
        <w:rPr>
          <w:rFonts w:asciiTheme="majorHAnsi" w:eastAsia="Cambria" w:hAnsiTheme="majorHAnsi" w:cs="Cambria"/>
          <w:sz w:val="20"/>
        </w:rPr>
        <w:tab/>
      </w:r>
      <w:r w:rsidRPr="002B698D">
        <w:rPr>
          <w:rFonts w:asciiTheme="majorHAnsi" w:eastAsia="Cambria" w:hAnsiTheme="majorHAnsi" w:cs="Cambria"/>
          <w:color w:val="FF0000"/>
          <w:sz w:val="20"/>
        </w:rPr>
        <w:t xml:space="preserve">No </w:t>
      </w:r>
      <w:sdt>
        <w:sdtPr>
          <w:rPr>
            <w:rFonts w:asciiTheme="majorHAnsi" w:eastAsia="Cambria" w:hAnsiTheme="majorHAnsi" w:cs="Cambria"/>
            <w:color w:val="FF0000"/>
            <w:spacing w:val="-2"/>
            <w:sz w:val="20"/>
            <w:szCs w:val="20"/>
          </w:rPr>
          <w:id w:val="560759300"/>
          <w14:checkbox>
            <w14:checked w14:val="1"/>
            <w14:checkedState w14:val="2612" w14:font="MS Gothic"/>
            <w14:uncheckedState w14:val="2610" w14:font="MS Gothic"/>
          </w14:checkbox>
        </w:sdtPr>
        <w:sdtEndPr/>
        <w:sdtContent>
          <w:r w:rsidRPr="002B698D">
            <w:rPr>
              <w:rFonts w:ascii="Segoe UI Symbol" w:eastAsia="Cambria" w:hAnsi="Segoe UI Symbol" w:cs="Segoe UI Symbol"/>
              <w:color w:val="FF0000"/>
              <w:spacing w:val="-2"/>
              <w:sz w:val="20"/>
              <w:szCs w:val="20"/>
            </w:rPr>
            <w:t>☒</w:t>
          </w:r>
        </w:sdtContent>
      </w:sdt>
    </w:p>
    <w:p w14:paraId="578DEADD" w14:textId="6B4EAE50" w:rsidR="772F7C49" w:rsidRPr="002B698D" w:rsidRDefault="772F7C49" w:rsidP="772F7C49">
      <w:pPr>
        <w:ind w:left="360" w:hanging="10"/>
        <w:jc w:val="both"/>
        <w:rPr>
          <w:rFonts w:asciiTheme="majorHAnsi" w:eastAsia="Cambria" w:hAnsiTheme="majorHAnsi" w:cs="Cambria"/>
          <w:color w:val="000000" w:themeColor="text1"/>
          <w:sz w:val="20"/>
          <w:szCs w:val="20"/>
        </w:rPr>
      </w:pPr>
    </w:p>
    <w:p w14:paraId="0C881283" w14:textId="50736CB5" w:rsidR="60A4D66D" w:rsidRPr="002B698D" w:rsidRDefault="60A4D66D" w:rsidP="772F7C49">
      <w:pPr>
        <w:ind w:left="360" w:hanging="10"/>
        <w:jc w:val="both"/>
        <w:rPr>
          <w:rFonts w:asciiTheme="majorHAnsi" w:eastAsia="Cambria" w:hAnsiTheme="majorHAnsi" w:cs="Cambria"/>
          <w:color w:val="000000" w:themeColor="text1"/>
          <w:sz w:val="20"/>
          <w:szCs w:val="20"/>
        </w:rPr>
      </w:pPr>
      <w:r w:rsidRPr="002B698D">
        <w:rPr>
          <w:rFonts w:asciiTheme="majorHAnsi" w:hAnsiTheme="majorHAnsi"/>
          <w:color w:val="000000" w:themeColor="text1"/>
          <w:sz w:val="20"/>
        </w:rPr>
        <w:t xml:space="preserve">Breve descripción del nuevo trabajo necesario de la Secretaría: </w:t>
      </w:r>
    </w:p>
    <w:p w14:paraId="323476BF" w14:textId="1B97B4AF" w:rsidR="772F7C49" w:rsidRPr="002B698D" w:rsidRDefault="772F7C49" w:rsidP="772F7C49">
      <w:pPr>
        <w:ind w:hanging="10"/>
        <w:rPr>
          <w:rFonts w:asciiTheme="majorHAnsi" w:eastAsia="Cambria" w:hAnsiTheme="majorHAnsi" w:cs="Cambria"/>
          <w:color w:val="000000" w:themeColor="text1"/>
          <w:sz w:val="20"/>
          <w:szCs w:val="20"/>
        </w:rPr>
      </w:pPr>
    </w:p>
    <w:p w14:paraId="0A3234E7" w14:textId="27C3ED82" w:rsidR="00CF7184" w:rsidRPr="002B698D" w:rsidRDefault="000A601F" w:rsidP="000A601F">
      <w:pPr>
        <w:widowControl/>
        <w:numPr>
          <w:ilvl w:val="0"/>
          <w:numId w:val="6"/>
        </w:numPr>
        <w:autoSpaceDE/>
        <w:autoSpaceDN/>
        <w:spacing w:after="160" w:line="259" w:lineRule="auto"/>
        <w:ind w:left="426" w:hanging="426"/>
        <w:jc w:val="both"/>
        <w:rPr>
          <w:rFonts w:asciiTheme="majorHAnsi" w:eastAsia="Cambria" w:hAnsiTheme="majorHAnsi" w:cs="Cambria"/>
          <w:spacing w:val="-2"/>
          <w:sz w:val="20"/>
          <w:szCs w:val="20"/>
        </w:rPr>
      </w:pPr>
      <w:r w:rsidRPr="002B698D">
        <w:rPr>
          <w:rFonts w:asciiTheme="majorHAnsi" w:eastAsia="Cambria" w:hAnsiTheme="majorHAnsi" w:cs="Cambria"/>
          <w:sz w:val="20"/>
        </w:rPr>
        <w:t>¿Cuál es el calendario propuesto para la implementación? ¿Existen distintos calendarios específicos para determinadas CPC, pesquerías, regiones, etc.?</w:t>
      </w:r>
    </w:p>
    <w:p w14:paraId="5498DC41" w14:textId="3A5E93A1" w:rsidR="41602EB1" w:rsidRPr="002B698D" w:rsidRDefault="41602EB1" w:rsidP="772F7C49">
      <w:pPr>
        <w:ind w:left="426"/>
        <w:jc w:val="both"/>
        <w:rPr>
          <w:rFonts w:asciiTheme="majorHAnsi" w:hAnsiTheme="majorHAnsi"/>
          <w:color w:val="EE0000"/>
        </w:rPr>
      </w:pPr>
      <w:r w:rsidRPr="002B698D">
        <w:rPr>
          <w:rFonts w:asciiTheme="majorHAnsi" w:hAnsiTheme="majorHAnsi"/>
          <w:color w:val="EE0000"/>
          <w:sz w:val="20"/>
        </w:rPr>
        <w:t>No se aplica ningún plazo.</w:t>
      </w:r>
    </w:p>
    <w:p w14:paraId="6027883A" w14:textId="3B6DADC9" w:rsidR="772F7C49" w:rsidRPr="002B698D" w:rsidRDefault="772F7C49" w:rsidP="772F7C49">
      <w:pPr>
        <w:ind w:hanging="10"/>
        <w:rPr>
          <w:rFonts w:asciiTheme="majorHAnsi" w:eastAsia="Cambria" w:hAnsiTheme="majorHAnsi" w:cs="Cambria"/>
          <w:color w:val="000000" w:themeColor="text1"/>
          <w:sz w:val="20"/>
          <w:szCs w:val="20"/>
        </w:rPr>
      </w:pPr>
    </w:p>
    <w:p w14:paraId="27DDD75C" w14:textId="77777777" w:rsidR="000A601F" w:rsidRPr="002B698D" w:rsidRDefault="000A601F" w:rsidP="000A601F">
      <w:pPr>
        <w:widowControl/>
        <w:numPr>
          <w:ilvl w:val="0"/>
          <w:numId w:val="6"/>
        </w:numPr>
        <w:autoSpaceDE/>
        <w:autoSpaceDN/>
        <w:spacing w:after="160" w:line="259" w:lineRule="auto"/>
        <w:ind w:left="426" w:hanging="426"/>
        <w:jc w:val="both"/>
        <w:rPr>
          <w:rFonts w:asciiTheme="majorHAnsi" w:eastAsia="Cambria" w:hAnsiTheme="majorHAnsi" w:cs="Cambria"/>
          <w:spacing w:val="-2"/>
          <w:sz w:val="20"/>
          <w:szCs w:val="20"/>
        </w:rPr>
      </w:pPr>
      <w:r w:rsidRPr="002B698D">
        <w:rPr>
          <w:rFonts w:asciiTheme="majorHAnsi" w:eastAsia="Cambria" w:hAnsiTheme="majorHAnsi" w:cs="Cambria"/>
          <w:sz w:val="20"/>
        </w:rPr>
        <w:t>¿Hay alguna otra información pertinente sobre las repercusiones de la propuesta en lo referente a los recursos y a la carga de trabajo?</w:t>
      </w:r>
    </w:p>
    <w:p w14:paraId="53727CA6" w14:textId="595263FC" w:rsidR="60A4D66D" w:rsidRPr="002B698D" w:rsidRDefault="60A4D66D" w:rsidP="772F7C49">
      <w:pPr>
        <w:pStyle w:val="ListParagraph"/>
        <w:ind w:left="426" w:firstLine="0"/>
        <w:jc w:val="left"/>
        <w:rPr>
          <w:rFonts w:asciiTheme="majorHAnsi" w:eastAsia="Cambria" w:hAnsiTheme="majorHAnsi" w:cs="Cambria"/>
          <w:color w:val="EE0000"/>
          <w:sz w:val="20"/>
          <w:szCs w:val="20"/>
        </w:rPr>
      </w:pPr>
      <w:r w:rsidRPr="002B698D">
        <w:rPr>
          <w:rFonts w:asciiTheme="majorHAnsi" w:hAnsiTheme="majorHAnsi"/>
          <w:color w:val="EE0000"/>
          <w:sz w:val="20"/>
        </w:rPr>
        <w:t>No.</w:t>
      </w:r>
    </w:p>
    <w:p w14:paraId="5521827B" w14:textId="1EB4BBF2" w:rsidR="772F7C49" w:rsidRPr="002B698D" w:rsidRDefault="772F7C49" w:rsidP="772F7C49">
      <w:pPr>
        <w:ind w:left="426" w:hanging="10"/>
        <w:rPr>
          <w:rFonts w:asciiTheme="majorHAnsi" w:eastAsia="Cambria" w:hAnsiTheme="majorHAnsi" w:cs="Cambria"/>
          <w:color w:val="000000" w:themeColor="text1"/>
          <w:sz w:val="20"/>
          <w:szCs w:val="20"/>
        </w:rPr>
      </w:pPr>
    </w:p>
    <w:p w14:paraId="0C441C90" w14:textId="732A3E38" w:rsidR="00953DAE" w:rsidRPr="002B698D" w:rsidRDefault="00953DAE">
      <w:pPr>
        <w:rPr>
          <w:rFonts w:asciiTheme="majorHAnsi" w:eastAsia="Cambria" w:hAnsiTheme="majorHAnsi" w:cs="Cambria"/>
          <w:color w:val="000000" w:themeColor="text1"/>
          <w:sz w:val="20"/>
          <w:szCs w:val="20"/>
        </w:rPr>
      </w:pPr>
      <w:r w:rsidRPr="002B698D">
        <w:rPr>
          <w:rFonts w:asciiTheme="majorHAnsi" w:hAnsiTheme="majorHAnsi"/>
        </w:rPr>
        <w:br w:type="page"/>
      </w:r>
    </w:p>
    <w:p w14:paraId="0DA54C21" w14:textId="7C55C9B3" w:rsidR="00EF5651" w:rsidRPr="002B698D" w:rsidRDefault="00EF5651" w:rsidP="00EF5651">
      <w:pPr>
        <w:widowControl/>
        <w:autoSpaceDE/>
        <w:autoSpaceDN/>
        <w:jc w:val="right"/>
        <w:rPr>
          <w:rFonts w:asciiTheme="majorHAnsi" w:hAnsiTheme="majorHAnsi"/>
          <w:b/>
          <w:bCs/>
          <w:sz w:val="20"/>
          <w:szCs w:val="20"/>
        </w:rPr>
      </w:pPr>
      <w:r w:rsidRPr="002B698D">
        <w:rPr>
          <w:rFonts w:asciiTheme="majorHAnsi" w:hAnsiTheme="majorHAnsi"/>
          <w:b/>
          <w:sz w:val="20"/>
        </w:rPr>
        <w:lastRenderedPageBreak/>
        <w:t>Original: inglés</w:t>
      </w:r>
    </w:p>
    <w:p w14:paraId="4F59CD43" w14:textId="77777777" w:rsidR="00EF5651" w:rsidRPr="002B698D" w:rsidRDefault="00EF5651" w:rsidP="00EF5651">
      <w:pPr>
        <w:widowControl/>
        <w:autoSpaceDE/>
        <w:autoSpaceDN/>
        <w:jc w:val="right"/>
        <w:rPr>
          <w:rFonts w:asciiTheme="majorHAnsi" w:hAnsiTheme="majorHAnsi"/>
          <w:b/>
          <w:bCs/>
          <w:sz w:val="20"/>
          <w:szCs w:val="20"/>
        </w:rPr>
      </w:pPr>
    </w:p>
    <w:p w14:paraId="68B24CDF" w14:textId="77777777" w:rsidR="00EF5651" w:rsidRPr="002B698D" w:rsidRDefault="00EF5651" w:rsidP="00EF5651">
      <w:pPr>
        <w:widowControl/>
        <w:autoSpaceDE/>
        <w:autoSpaceDN/>
        <w:jc w:val="right"/>
        <w:rPr>
          <w:rFonts w:asciiTheme="majorHAnsi" w:hAnsiTheme="majorHAnsi"/>
          <w:b/>
          <w:bCs/>
          <w:sz w:val="20"/>
          <w:szCs w:val="20"/>
        </w:rPr>
      </w:pPr>
    </w:p>
    <w:p w14:paraId="08EBDDEC" w14:textId="188580B7" w:rsidR="00EF5651" w:rsidRPr="002B698D" w:rsidRDefault="00EF5651" w:rsidP="00CF7184">
      <w:pPr>
        <w:jc w:val="center"/>
        <w:rPr>
          <w:rFonts w:asciiTheme="majorHAnsi" w:eastAsia="Cambria" w:hAnsiTheme="majorHAnsi" w:cs="Cambria"/>
          <w:b/>
          <w:bCs/>
          <w:color w:val="000000" w:themeColor="text1"/>
          <w:sz w:val="20"/>
          <w:szCs w:val="20"/>
        </w:rPr>
      </w:pPr>
      <w:r w:rsidRPr="002B698D">
        <w:rPr>
          <w:rFonts w:asciiTheme="majorHAnsi" w:hAnsiTheme="majorHAnsi"/>
          <w:b/>
          <w:color w:val="000000" w:themeColor="text1"/>
          <w:sz w:val="20"/>
        </w:rPr>
        <w:t>Nota explicativa al Proyecto de Recomendación de ICCAT que establece una prohibición de las redes de deriva para la captura de determinadas especies de ICCAT</w:t>
      </w:r>
    </w:p>
    <w:p w14:paraId="36A1E8AC" w14:textId="77777777" w:rsidR="772F7C49" w:rsidRPr="002B698D" w:rsidRDefault="772F7C49" w:rsidP="772F7C49">
      <w:pPr>
        <w:ind w:hanging="10"/>
        <w:rPr>
          <w:rFonts w:asciiTheme="majorHAnsi" w:eastAsia="Cambria" w:hAnsiTheme="majorHAnsi" w:cs="Cambria"/>
          <w:color w:val="000000" w:themeColor="text1"/>
          <w:sz w:val="20"/>
          <w:szCs w:val="20"/>
        </w:rPr>
      </w:pPr>
    </w:p>
    <w:p w14:paraId="1A9628BB" w14:textId="77777777" w:rsidR="00EF5651" w:rsidRPr="002B698D" w:rsidRDefault="00EF5651" w:rsidP="772F7C49">
      <w:pPr>
        <w:ind w:hanging="10"/>
        <w:rPr>
          <w:rFonts w:asciiTheme="majorHAnsi" w:eastAsia="Cambria" w:hAnsiTheme="majorHAnsi" w:cs="Cambria"/>
          <w:color w:val="000000" w:themeColor="text1"/>
          <w:sz w:val="20"/>
          <w:szCs w:val="20"/>
        </w:rPr>
      </w:pPr>
    </w:p>
    <w:p w14:paraId="4B26E7CE" w14:textId="532CF044" w:rsidR="0B72C9B0" w:rsidRPr="002B698D" w:rsidRDefault="00F52CAD" w:rsidP="772F7C49">
      <w:pPr>
        <w:jc w:val="both"/>
        <w:rPr>
          <w:rFonts w:asciiTheme="majorHAnsi" w:eastAsia="Cambria" w:hAnsiTheme="majorHAnsi" w:cs="Cambria"/>
          <w:sz w:val="20"/>
          <w:szCs w:val="20"/>
        </w:rPr>
      </w:pPr>
      <w:r w:rsidRPr="002B698D">
        <w:rPr>
          <w:rFonts w:asciiTheme="majorHAnsi" w:hAnsiTheme="majorHAnsi"/>
          <w:sz w:val="20"/>
        </w:rPr>
        <w:t>Esta propuesta de Recomendación introduce elementos de mejora en la disposición actual sobre la prohibición del uso de redes de deriva para la captura de especies de grandes pelágicos, con el fin de hacerla aplicable y eficaz. También amplía el ámbito de aplicación de la prohibición del Mediterráneo a toda la zona del Convenio de ICCAT.</w:t>
      </w:r>
    </w:p>
    <w:p w14:paraId="17B495EE" w14:textId="4D38BA4A" w:rsidR="772F7C49" w:rsidRPr="002B698D" w:rsidRDefault="772F7C49">
      <w:pPr>
        <w:rPr>
          <w:rFonts w:asciiTheme="majorHAnsi" w:hAnsiTheme="majorHAnsi"/>
        </w:rPr>
      </w:pPr>
      <w:r w:rsidRPr="002B698D">
        <w:rPr>
          <w:rFonts w:asciiTheme="majorHAnsi" w:hAnsiTheme="majorHAnsi"/>
        </w:rPr>
        <w:br w:type="page"/>
      </w:r>
    </w:p>
    <w:p w14:paraId="4484E954" w14:textId="37443CDC" w:rsidR="772F7C49" w:rsidRPr="002B698D" w:rsidRDefault="005C3057" w:rsidP="005C3057">
      <w:pPr>
        <w:pStyle w:val="BodyText"/>
        <w:spacing w:before="1" w:line="259" w:lineRule="auto"/>
        <w:jc w:val="right"/>
        <w:rPr>
          <w:rFonts w:asciiTheme="majorHAnsi" w:hAnsiTheme="majorHAnsi"/>
          <w:b/>
          <w:bCs/>
          <w:sz w:val="20"/>
          <w:szCs w:val="20"/>
        </w:rPr>
      </w:pPr>
      <w:r w:rsidRPr="002B698D">
        <w:rPr>
          <w:rFonts w:asciiTheme="majorHAnsi" w:hAnsiTheme="majorHAnsi"/>
          <w:b/>
          <w:sz w:val="20"/>
        </w:rPr>
        <w:lastRenderedPageBreak/>
        <w:t>Original: inglés</w:t>
      </w:r>
    </w:p>
    <w:p w14:paraId="6F335CCB" w14:textId="77777777" w:rsidR="00654894" w:rsidRPr="002B698D" w:rsidRDefault="00654894" w:rsidP="005C3057">
      <w:pPr>
        <w:pStyle w:val="BodyText"/>
        <w:spacing w:before="1" w:line="259" w:lineRule="auto"/>
        <w:jc w:val="right"/>
        <w:rPr>
          <w:rFonts w:asciiTheme="majorHAnsi" w:hAnsiTheme="majorHAnsi"/>
          <w:b/>
          <w:bCs/>
          <w:sz w:val="20"/>
          <w:szCs w:val="20"/>
        </w:rPr>
      </w:pPr>
    </w:p>
    <w:p w14:paraId="4A5D53EC" w14:textId="25E283C8" w:rsidR="00654894" w:rsidRPr="002B698D" w:rsidRDefault="00A25292" w:rsidP="000D7FF2">
      <w:pPr>
        <w:pStyle w:val="BodyText"/>
        <w:spacing w:before="1" w:line="259" w:lineRule="auto"/>
        <w:jc w:val="center"/>
        <w:rPr>
          <w:rFonts w:asciiTheme="majorHAnsi" w:hAnsiTheme="majorHAnsi"/>
          <w:b/>
          <w:bCs/>
          <w:sz w:val="20"/>
          <w:szCs w:val="20"/>
        </w:rPr>
      </w:pPr>
      <w:r w:rsidRPr="002B698D">
        <w:rPr>
          <w:rFonts w:asciiTheme="majorHAnsi" w:hAnsiTheme="majorHAnsi"/>
          <w:b/>
          <w:sz w:val="20"/>
        </w:rPr>
        <w:t xml:space="preserve">Proyecto de Recomendación de ICCAT que establece una prohibición de las redes de deriva </w:t>
      </w:r>
    </w:p>
    <w:p w14:paraId="7BC9B5EC" w14:textId="207BD9C0" w:rsidR="00A25292" w:rsidRPr="002B698D" w:rsidRDefault="000D7FF2" w:rsidP="000D7FF2">
      <w:pPr>
        <w:pStyle w:val="BodyText"/>
        <w:spacing w:before="1" w:line="259" w:lineRule="auto"/>
        <w:jc w:val="center"/>
        <w:rPr>
          <w:rFonts w:asciiTheme="majorHAnsi" w:hAnsiTheme="majorHAnsi"/>
          <w:b/>
          <w:bCs/>
          <w:sz w:val="20"/>
          <w:szCs w:val="20"/>
        </w:rPr>
      </w:pPr>
      <w:r w:rsidRPr="002B698D">
        <w:rPr>
          <w:rFonts w:asciiTheme="majorHAnsi" w:hAnsiTheme="majorHAnsi"/>
          <w:b/>
          <w:sz w:val="20"/>
        </w:rPr>
        <w:t>para la captura de determinadas especies de ICCAT</w:t>
      </w:r>
    </w:p>
    <w:p w14:paraId="52FD41EA" w14:textId="3CC48C3D" w:rsidR="00A25292" w:rsidRPr="002B698D" w:rsidRDefault="000D7FF2" w:rsidP="005C3057">
      <w:pPr>
        <w:pStyle w:val="BodyText"/>
        <w:spacing w:before="1" w:line="259" w:lineRule="auto"/>
        <w:jc w:val="center"/>
        <w:rPr>
          <w:rFonts w:asciiTheme="majorHAnsi" w:hAnsiTheme="majorHAnsi"/>
          <w:i/>
          <w:iCs/>
          <w:sz w:val="20"/>
          <w:szCs w:val="20"/>
        </w:rPr>
      </w:pPr>
      <w:r w:rsidRPr="002B698D">
        <w:rPr>
          <w:rFonts w:asciiTheme="majorHAnsi" w:hAnsiTheme="majorHAnsi"/>
          <w:i/>
          <w:sz w:val="20"/>
        </w:rPr>
        <w:t>(presentado por la Unión Europea</w:t>
      </w:r>
      <w:r w:rsidR="008B5923" w:rsidRPr="002B698D">
        <w:rPr>
          <w:rFonts w:asciiTheme="majorHAnsi" w:hAnsiTheme="majorHAnsi"/>
          <w:i/>
          <w:sz w:val="20"/>
        </w:rPr>
        <w:t>,</w:t>
      </w:r>
      <w:r w:rsidR="00013CBC" w:rsidRPr="002B698D">
        <w:rPr>
          <w:rFonts w:asciiTheme="majorHAnsi" w:hAnsiTheme="majorHAnsi"/>
          <w:i/>
          <w:sz w:val="20"/>
          <w:u w:val="single"/>
        </w:rPr>
        <w:t xml:space="preserve"> Marruecos y República de Corea</w:t>
      </w:r>
      <w:r w:rsidR="00013CBC" w:rsidRPr="002B698D">
        <w:rPr>
          <w:rFonts w:asciiTheme="majorHAnsi" w:hAnsiTheme="majorHAnsi"/>
          <w:i/>
          <w:sz w:val="20"/>
        </w:rPr>
        <w:t>)</w:t>
      </w:r>
    </w:p>
    <w:p w14:paraId="39266181" w14:textId="77777777" w:rsidR="00A25292" w:rsidRPr="002B698D" w:rsidRDefault="00A25292" w:rsidP="005C3057">
      <w:pPr>
        <w:pStyle w:val="BodyText"/>
        <w:spacing w:before="1" w:line="259" w:lineRule="auto"/>
        <w:jc w:val="center"/>
        <w:rPr>
          <w:rFonts w:asciiTheme="majorHAnsi" w:hAnsiTheme="majorHAnsi"/>
          <w:i/>
          <w:iCs/>
          <w:sz w:val="20"/>
          <w:szCs w:val="20"/>
        </w:rPr>
      </w:pPr>
    </w:p>
    <w:p w14:paraId="3885D96F" w14:textId="285E7B06" w:rsidR="00DC4112" w:rsidRPr="002B698D" w:rsidRDefault="00DC4112" w:rsidP="00654894">
      <w:pPr>
        <w:pStyle w:val="BodyText"/>
        <w:ind w:right="153" w:firstLine="426"/>
        <w:jc w:val="both"/>
        <w:rPr>
          <w:rFonts w:asciiTheme="majorHAnsi" w:hAnsiTheme="majorHAnsi"/>
          <w:sz w:val="20"/>
          <w:szCs w:val="20"/>
        </w:rPr>
      </w:pPr>
      <w:r w:rsidRPr="002B698D">
        <w:rPr>
          <w:rFonts w:asciiTheme="majorHAnsi" w:hAnsiTheme="majorHAnsi"/>
          <w:i/>
          <w:iCs/>
          <w:sz w:val="20"/>
        </w:rPr>
        <w:t>CONSIDERANDO</w:t>
      </w:r>
      <w:r w:rsidRPr="002B698D">
        <w:rPr>
          <w:rFonts w:asciiTheme="majorHAnsi" w:hAnsiTheme="majorHAnsi"/>
          <w:sz w:val="20"/>
        </w:rPr>
        <w:t xml:space="preserve"> que en noviembre de 1993 y noviembre de 1994 ICCAT adoptó sendas Resoluciones en apoyo de las Resoluciones de la Asamblea General de Naciones Unidas, 44/225, 45/197 y 46/215, respecto a la pesca a gran escala en alta mar con redes pelágicas de deriva y su impacto sobre los recursos marinos vivos de los océanos y mares del mundo, instando a todas sus Partes contratantes para que diesen su apoyo a estas Resoluciones;</w:t>
      </w:r>
    </w:p>
    <w:p w14:paraId="227A62B4" w14:textId="77777777" w:rsidR="00DC4112" w:rsidRPr="002B698D" w:rsidRDefault="00DC4112" w:rsidP="00654894">
      <w:pPr>
        <w:pStyle w:val="BodyText"/>
        <w:ind w:left="100" w:right="153"/>
        <w:jc w:val="both"/>
        <w:rPr>
          <w:rFonts w:asciiTheme="majorHAnsi" w:hAnsiTheme="majorHAnsi"/>
          <w:sz w:val="20"/>
          <w:szCs w:val="20"/>
        </w:rPr>
      </w:pPr>
    </w:p>
    <w:p w14:paraId="31D592B3" w14:textId="2C1D82F4" w:rsidR="00A71E71" w:rsidRPr="002B698D" w:rsidRDefault="00DC4112" w:rsidP="00654894">
      <w:pPr>
        <w:pStyle w:val="BodyText"/>
        <w:ind w:right="153" w:firstLine="426"/>
        <w:jc w:val="both"/>
        <w:rPr>
          <w:rFonts w:asciiTheme="majorHAnsi" w:hAnsiTheme="majorHAnsi"/>
          <w:sz w:val="20"/>
          <w:szCs w:val="20"/>
        </w:rPr>
      </w:pPr>
      <w:r w:rsidRPr="002B698D">
        <w:rPr>
          <w:rFonts w:asciiTheme="majorHAnsi" w:hAnsiTheme="majorHAnsi"/>
          <w:i/>
          <w:iCs/>
          <w:sz w:val="20"/>
        </w:rPr>
        <w:t>CONSIDERANDO</w:t>
      </w:r>
      <w:r w:rsidRPr="002B698D">
        <w:rPr>
          <w:rFonts w:asciiTheme="majorHAnsi" w:hAnsiTheme="majorHAnsi"/>
          <w:sz w:val="20"/>
        </w:rPr>
        <w:t xml:space="preserve"> que tras dichas Resoluciones, en noviembre de 1996, ICCAT adoptó la </w:t>
      </w:r>
      <w:r w:rsidRPr="002B698D">
        <w:rPr>
          <w:rFonts w:asciiTheme="majorHAnsi" w:hAnsiTheme="majorHAnsi"/>
          <w:i/>
          <w:iCs/>
          <w:sz w:val="20"/>
        </w:rPr>
        <w:t xml:space="preserve">Resolución de ICCAT sobre la pesca a gran escala con redes pelágicas de enmalle a la deriva </w:t>
      </w:r>
      <w:r w:rsidRPr="002B698D">
        <w:rPr>
          <w:rFonts w:asciiTheme="majorHAnsi" w:hAnsiTheme="majorHAnsi"/>
          <w:sz w:val="20"/>
        </w:rPr>
        <w:t>(Res. 96-15), para reforzar aún más la preocupación de ICCAT sobre la posibilidad de que ciertos stocks bajo mandato de ICCAT, así como otros recursos marinos, estén siendo afectados negativamente por dicha pesca;</w:t>
      </w:r>
    </w:p>
    <w:p w14:paraId="7B76C18F" w14:textId="77777777" w:rsidR="00DC4112" w:rsidRPr="002B698D" w:rsidRDefault="00DC4112" w:rsidP="00654894">
      <w:pPr>
        <w:pStyle w:val="BodyText"/>
        <w:ind w:left="100" w:right="153"/>
        <w:jc w:val="both"/>
        <w:rPr>
          <w:rFonts w:asciiTheme="majorHAnsi" w:hAnsiTheme="majorHAnsi"/>
          <w:sz w:val="20"/>
          <w:szCs w:val="20"/>
        </w:rPr>
      </w:pPr>
    </w:p>
    <w:p w14:paraId="2C16A633" w14:textId="3B38FCC3" w:rsidR="00DC4112" w:rsidRPr="002B698D" w:rsidRDefault="001B4DC6" w:rsidP="00654894">
      <w:pPr>
        <w:pStyle w:val="BodyText"/>
        <w:ind w:right="153" w:firstLine="426"/>
        <w:jc w:val="both"/>
        <w:rPr>
          <w:rFonts w:asciiTheme="majorHAnsi" w:hAnsiTheme="majorHAnsi"/>
          <w:sz w:val="20"/>
          <w:szCs w:val="20"/>
        </w:rPr>
      </w:pPr>
      <w:r w:rsidRPr="002B698D">
        <w:rPr>
          <w:rFonts w:asciiTheme="majorHAnsi" w:hAnsiTheme="majorHAnsi"/>
          <w:i/>
          <w:iCs/>
          <w:sz w:val="20"/>
        </w:rPr>
        <w:t xml:space="preserve">CONSIDERANDO ADEMÁS </w:t>
      </w:r>
      <w:r w:rsidRPr="002B698D">
        <w:rPr>
          <w:rFonts w:asciiTheme="majorHAnsi" w:hAnsiTheme="majorHAnsi"/>
          <w:sz w:val="20"/>
        </w:rPr>
        <w:t>que, en su Resolución 96-15, ICCAT encargó al Comité de Cumplimiento y al Grupo de trabajo permanente para la mejora de las estadísticas de ICCAT y sus normas de conservación (GTP) que hicieran un seguimiento del cumplimiento de las Resoluciones de Naciones Unidas dentro de la zona del Convenio de ICCAT, con el objetivo de adoptar las medidas adecuadas;</w:t>
      </w:r>
    </w:p>
    <w:p w14:paraId="1C3DBE29" w14:textId="5ED297B2" w:rsidR="00DC4112" w:rsidRPr="002B698D" w:rsidRDefault="00DC4112" w:rsidP="00654894">
      <w:pPr>
        <w:pStyle w:val="BodyText"/>
        <w:ind w:left="100" w:right="153"/>
        <w:jc w:val="both"/>
        <w:rPr>
          <w:rFonts w:asciiTheme="majorHAnsi" w:hAnsiTheme="majorHAnsi"/>
          <w:sz w:val="20"/>
          <w:szCs w:val="20"/>
        </w:rPr>
      </w:pPr>
    </w:p>
    <w:p w14:paraId="1C88A618" w14:textId="4DBA43D3" w:rsidR="00DC4112" w:rsidRPr="002B698D" w:rsidRDefault="00DC4112" w:rsidP="00654894">
      <w:pPr>
        <w:pStyle w:val="BodyText"/>
        <w:ind w:right="153" w:firstLine="426"/>
        <w:jc w:val="both"/>
        <w:rPr>
          <w:rFonts w:asciiTheme="majorHAnsi" w:hAnsiTheme="majorHAnsi"/>
          <w:sz w:val="20"/>
          <w:szCs w:val="20"/>
        </w:rPr>
      </w:pPr>
      <w:r w:rsidRPr="002B698D">
        <w:rPr>
          <w:rFonts w:asciiTheme="majorHAnsi" w:hAnsiTheme="majorHAnsi"/>
          <w:i/>
          <w:iCs/>
          <w:sz w:val="20"/>
        </w:rPr>
        <w:t>OBSERVANDO</w:t>
      </w:r>
      <w:r w:rsidRPr="002B698D">
        <w:rPr>
          <w:rFonts w:asciiTheme="majorHAnsi" w:hAnsiTheme="majorHAnsi"/>
          <w:sz w:val="20"/>
        </w:rPr>
        <w:t xml:space="preserve"> que en 2003 ICCAT adoptó la </w:t>
      </w:r>
      <w:r w:rsidRPr="002B698D">
        <w:rPr>
          <w:rFonts w:asciiTheme="majorHAnsi" w:hAnsiTheme="majorHAnsi"/>
          <w:i/>
          <w:iCs/>
          <w:sz w:val="20"/>
        </w:rPr>
        <w:t>Recomendación de ICCAT sobre el pez espada del Mediterráneo</w:t>
      </w:r>
      <w:r w:rsidRPr="002B698D">
        <w:rPr>
          <w:rFonts w:asciiTheme="majorHAnsi" w:hAnsiTheme="majorHAnsi"/>
          <w:sz w:val="20"/>
        </w:rPr>
        <w:t xml:space="preserve"> (Rec. 03-04) para proteger al pez espada pequeño en el Mediterráneo y solicitar a las Partes contratantes, Partes, Entidades o Entidades pesqueras no contratantes colaboradoras que prohíban el uso de redes de enmalle de deriva para la pesca de grandes pelágicos en el Mediterráneo;</w:t>
      </w:r>
    </w:p>
    <w:p w14:paraId="4EE2098A" w14:textId="77777777" w:rsidR="005A2856" w:rsidRPr="002B698D" w:rsidRDefault="005A2856" w:rsidP="00654894">
      <w:pPr>
        <w:pStyle w:val="BodyText"/>
        <w:ind w:left="100" w:right="153"/>
        <w:jc w:val="both"/>
        <w:rPr>
          <w:rFonts w:asciiTheme="majorHAnsi" w:hAnsiTheme="majorHAnsi"/>
          <w:sz w:val="20"/>
          <w:szCs w:val="20"/>
        </w:rPr>
      </w:pPr>
    </w:p>
    <w:p w14:paraId="78A4D153" w14:textId="5532C2BA" w:rsidR="005A2856" w:rsidRPr="002B698D" w:rsidRDefault="005A2856" w:rsidP="00654894">
      <w:pPr>
        <w:pStyle w:val="BodyText"/>
        <w:ind w:left="100" w:right="153" w:firstLine="326"/>
        <w:jc w:val="both"/>
        <w:rPr>
          <w:rFonts w:asciiTheme="majorHAnsi" w:hAnsiTheme="majorHAnsi"/>
          <w:sz w:val="20"/>
          <w:szCs w:val="20"/>
        </w:rPr>
      </w:pPr>
      <w:r w:rsidRPr="002B698D">
        <w:rPr>
          <w:rFonts w:asciiTheme="majorHAnsi" w:hAnsiTheme="majorHAnsi"/>
          <w:i/>
          <w:iCs/>
          <w:sz w:val="20"/>
        </w:rPr>
        <w:t>CONSIDERANDO</w:t>
      </w:r>
      <w:r w:rsidRPr="002B698D">
        <w:rPr>
          <w:rFonts w:asciiTheme="majorHAnsi" w:hAnsiTheme="majorHAnsi"/>
          <w:sz w:val="20"/>
        </w:rPr>
        <w:t xml:space="preserve"> que en la Resolución 76-71 de las Naciones Unidas, de 9 de diciembre de 2021, la Asamblea General, al tiempo que reconocía los esfuerzos realizados para aplicar la moratoria, expresó su preocupación por la práctica persistente de la pesca pelágica a gran escala con redes de deriva, por lo que instó a los Estados miembros a que, a través de los acuerdos y las organizaciones regionales de ordenación pesquera, adoptaran medidas eficaces, o reforzar las medidas existentes, para aplicar y hacer cumplir la actual moratoria mundial sobre el uso de redes de deriva pelágicas a gran escala en alta mar, y exhortó a los Estados a garantizar que los buques que enarbolen su pabellón y estén debidamente autorizados a utilizar redes de deriva a gran escala en aguas bajo su jurisdicción nacional no utilicen dichas artes para pescar mientras se encuentren en alta mar;</w:t>
      </w:r>
    </w:p>
    <w:p w14:paraId="30A9153E" w14:textId="77777777" w:rsidR="00A23BCF" w:rsidRPr="002B698D" w:rsidRDefault="00A23BCF" w:rsidP="00654894">
      <w:pPr>
        <w:pStyle w:val="BodyText"/>
        <w:ind w:left="100" w:right="153"/>
        <w:jc w:val="both"/>
        <w:rPr>
          <w:rFonts w:asciiTheme="majorHAnsi" w:hAnsiTheme="majorHAnsi"/>
          <w:sz w:val="20"/>
          <w:szCs w:val="20"/>
        </w:rPr>
      </w:pPr>
    </w:p>
    <w:p w14:paraId="0B63E28A" w14:textId="7481C56B" w:rsidR="005A2856" w:rsidRPr="002B698D" w:rsidRDefault="00A23BCF" w:rsidP="00654894">
      <w:pPr>
        <w:pStyle w:val="BodyText"/>
        <w:ind w:right="153" w:firstLine="426"/>
        <w:jc w:val="both"/>
        <w:rPr>
          <w:rFonts w:asciiTheme="majorHAnsi" w:hAnsiTheme="majorHAnsi"/>
          <w:sz w:val="20"/>
          <w:szCs w:val="20"/>
        </w:rPr>
      </w:pPr>
      <w:r w:rsidRPr="002B698D">
        <w:rPr>
          <w:rFonts w:asciiTheme="majorHAnsi" w:hAnsiTheme="majorHAnsi"/>
          <w:i/>
          <w:iCs/>
          <w:sz w:val="20"/>
        </w:rPr>
        <w:t>RECONOCIENDO</w:t>
      </w:r>
      <w:r w:rsidRPr="002B698D">
        <w:rPr>
          <w:rFonts w:asciiTheme="majorHAnsi" w:hAnsiTheme="majorHAnsi"/>
          <w:sz w:val="20"/>
        </w:rPr>
        <w:t xml:space="preserve"> el impacto negativo demostrado que tienen las </w:t>
      </w:r>
      <w:proofErr w:type="gramStart"/>
      <w:r w:rsidRPr="002B698D">
        <w:rPr>
          <w:rFonts w:asciiTheme="majorHAnsi" w:hAnsiTheme="majorHAnsi"/>
          <w:sz w:val="20"/>
        </w:rPr>
        <w:t>redes  de</w:t>
      </w:r>
      <w:proofErr w:type="gramEnd"/>
      <w:r w:rsidRPr="002B698D">
        <w:rPr>
          <w:rFonts w:asciiTheme="majorHAnsi" w:hAnsiTheme="majorHAnsi"/>
          <w:sz w:val="20"/>
        </w:rPr>
        <w:t xml:space="preserve"> deriva en la captura fortuita de especies marinas sensibles como consecuencia de la pesca, que deberán reducirse al mínimo y, cuando sea posible, eliminarse para que no representen una amenaza para el estado de conservación de dichas especies;</w:t>
      </w:r>
    </w:p>
    <w:p w14:paraId="6C0AB7A8" w14:textId="77777777" w:rsidR="00874921" w:rsidRPr="002B698D" w:rsidRDefault="00874921" w:rsidP="00654894">
      <w:pPr>
        <w:pStyle w:val="BodyText"/>
        <w:ind w:left="100" w:right="153" w:firstLine="620"/>
        <w:jc w:val="both"/>
        <w:rPr>
          <w:rFonts w:asciiTheme="majorHAnsi" w:hAnsiTheme="majorHAnsi"/>
          <w:sz w:val="20"/>
          <w:szCs w:val="20"/>
        </w:rPr>
      </w:pPr>
    </w:p>
    <w:p w14:paraId="249219C2" w14:textId="1F10380A" w:rsidR="00874921" w:rsidRPr="002B698D" w:rsidRDefault="00874921" w:rsidP="00654894">
      <w:pPr>
        <w:pStyle w:val="BodyText"/>
        <w:ind w:left="100" w:right="153" w:firstLine="326"/>
        <w:jc w:val="both"/>
        <w:rPr>
          <w:rFonts w:asciiTheme="majorHAnsi" w:hAnsiTheme="majorHAnsi"/>
          <w:sz w:val="20"/>
          <w:szCs w:val="20"/>
        </w:rPr>
      </w:pPr>
      <w:r w:rsidRPr="002B698D">
        <w:rPr>
          <w:rFonts w:asciiTheme="majorHAnsi" w:hAnsiTheme="majorHAnsi"/>
          <w:i/>
          <w:iCs/>
          <w:sz w:val="20"/>
        </w:rPr>
        <w:t xml:space="preserve">RECORDANDO </w:t>
      </w:r>
      <w:r w:rsidRPr="002B698D">
        <w:rPr>
          <w:rFonts w:asciiTheme="majorHAnsi" w:hAnsiTheme="majorHAnsi"/>
          <w:sz w:val="20"/>
        </w:rPr>
        <w:t>que la Comisión se reafirma en su compromiso con el concepto de pesca responsable, tal como queda establecido en el marco del Código de Conducta de la Organización de las Naciones Unidas para la Alimentación y la Agricultura (FAO);</w:t>
      </w:r>
    </w:p>
    <w:p w14:paraId="19451A5B" w14:textId="77777777" w:rsidR="002601E6" w:rsidRPr="002B698D" w:rsidRDefault="002601E6" w:rsidP="00654894">
      <w:pPr>
        <w:pStyle w:val="BodyText"/>
        <w:ind w:left="100" w:right="153"/>
        <w:jc w:val="both"/>
        <w:rPr>
          <w:rFonts w:asciiTheme="majorHAnsi" w:hAnsiTheme="majorHAnsi"/>
          <w:sz w:val="20"/>
          <w:szCs w:val="20"/>
        </w:rPr>
      </w:pPr>
    </w:p>
    <w:p w14:paraId="492A096D" w14:textId="5566D718" w:rsidR="002601E6" w:rsidRPr="002B698D" w:rsidRDefault="002601E6" w:rsidP="00654894">
      <w:pPr>
        <w:pStyle w:val="BodyText"/>
        <w:ind w:left="100" w:right="153" w:firstLine="326"/>
        <w:jc w:val="both"/>
        <w:rPr>
          <w:rFonts w:asciiTheme="majorHAnsi" w:hAnsiTheme="majorHAnsi"/>
          <w:sz w:val="20"/>
          <w:szCs w:val="20"/>
        </w:rPr>
      </w:pPr>
      <w:bookmarkStart w:id="2" w:name="_Hlk193805956"/>
      <w:r w:rsidRPr="002B698D">
        <w:rPr>
          <w:rFonts w:asciiTheme="majorHAnsi" w:hAnsiTheme="majorHAnsi"/>
          <w:i/>
          <w:iCs/>
          <w:sz w:val="20"/>
        </w:rPr>
        <w:t>CONSIDERANDO</w:t>
      </w:r>
      <w:r w:rsidRPr="002B698D">
        <w:rPr>
          <w:rFonts w:asciiTheme="majorHAnsi" w:hAnsiTheme="majorHAnsi"/>
          <w:sz w:val="20"/>
        </w:rPr>
        <w:t xml:space="preserve"> que en la Recomendación 03-04 se han detectado deficiencias en la aplicabilidad de la actual prohibición del uso de redes de deriva para grandes pelágicos, y que es necesario reforzar la legislación, incluido el establecimiento de una definición de red de deriva para mejorar la aplicabilidad de la prohibición, incluso cuando la red de deriva no esté en uso.</w:t>
      </w:r>
    </w:p>
    <w:p w14:paraId="22021E52" w14:textId="77777777" w:rsidR="00734928" w:rsidRPr="002B698D" w:rsidRDefault="00734928" w:rsidP="00654894">
      <w:pPr>
        <w:pStyle w:val="BodyText"/>
        <w:ind w:left="100" w:right="153"/>
        <w:jc w:val="both"/>
        <w:rPr>
          <w:rFonts w:asciiTheme="majorHAnsi" w:hAnsiTheme="majorHAnsi"/>
          <w:sz w:val="20"/>
          <w:szCs w:val="20"/>
        </w:rPr>
      </w:pPr>
    </w:p>
    <w:p w14:paraId="629F2F2F" w14:textId="4480BE2B" w:rsidR="00734928" w:rsidRPr="002B698D" w:rsidRDefault="00C56ED3" w:rsidP="00654894">
      <w:pPr>
        <w:pStyle w:val="BodyText"/>
        <w:ind w:right="153" w:firstLine="426"/>
        <w:jc w:val="both"/>
        <w:rPr>
          <w:rFonts w:asciiTheme="majorHAnsi" w:hAnsiTheme="majorHAnsi"/>
          <w:sz w:val="20"/>
          <w:szCs w:val="20"/>
        </w:rPr>
      </w:pPr>
      <w:r w:rsidRPr="002B698D">
        <w:rPr>
          <w:rFonts w:asciiTheme="majorHAnsi" w:hAnsiTheme="majorHAnsi"/>
          <w:i/>
          <w:iCs/>
          <w:sz w:val="20"/>
        </w:rPr>
        <w:t>CONSIDERANDO</w:t>
      </w:r>
      <w:r w:rsidRPr="002B698D">
        <w:rPr>
          <w:rFonts w:asciiTheme="majorHAnsi" w:hAnsiTheme="majorHAnsi"/>
          <w:sz w:val="20"/>
        </w:rPr>
        <w:t xml:space="preserve"> la necesidad de disposiciones armonizadas y eficaces en ICCAT y en la Comisión General de Pesca del Mediterráneo (CGPM) para el uso de redes de enmalle de deriva en el mar Mediterráneo;</w:t>
      </w:r>
    </w:p>
    <w:bookmarkEnd w:id="2"/>
    <w:p w14:paraId="79214181" w14:textId="77777777" w:rsidR="00A23BCF" w:rsidRPr="002B698D" w:rsidRDefault="00A23BCF" w:rsidP="00654894">
      <w:pPr>
        <w:pStyle w:val="BodyText"/>
        <w:ind w:left="100" w:right="153"/>
        <w:jc w:val="both"/>
        <w:rPr>
          <w:rFonts w:asciiTheme="majorHAnsi" w:hAnsiTheme="majorHAnsi"/>
          <w:sz w:val="20"/>
          <w:szCs w:val="20"/>
        </w:rPr>
      </w:pPr>
    </w:p>
    <w:p w14:paraId="69996717" w14:textId="418AD57C" w:rsidR="00A23BCF" w:rsidRPr="002B698D" w:rsidRDefault="00A23BCF" w:rsidP="00654894">
      <w:pPr>
        <w:pStyle w:val="BodyText"/>
        <w:ind w:right="153" w:firstLine="426"/>
        <w:jc w:val="both"/>
        <w:rPr>
          <w:rFonts w:asciiTheme="majorHAnsi" w:hAnsiTheme="majorHAnsi"/>
          <w:sz w:val="20"/>
          <w:szCs w:val="20"/>
        </w:rPr>
      </w:pPr>
      <w:r w:rsidRPr="002B698D">
        <w:rPr>
          <w:rFonts w:asciiTheme="majorHAnsi" w:hAnsiTheme="majorHAnsi"/>
          <w:i/>
          <w:iCs/>
          <w:sz w:val="20"/>
        </w:rPr>
        <w:t>RECONOCIENDO</w:t>
      </w:r>
      <w:r w:rsidRPr="002B698D">
        <w:rPr>
          <w:rFonts w:asciiTheme="majorHAnsi" w:hAnsiTheme="majorHAnsi"/>
          <w:sz w:val="20"/>
        </w:rPr>
        <w:t xml:space="preserve"> el mandato de ICCAT para la conservación de los túnidos y especies afines en el océano Atlántico y sus mares adyacentes;</w:t>
      </w:r>
    </w:p>
    <w:p w14:paraId="5F41C7EE" w14:textId="77777777" w:rsidR="005A2856" w:rsidRPr="002B698D" w:rsidRDefault="005A2856" w:rsidP="00654894">
      <w:pPr>
        <w:pStyle w:val="BodyText"/>
        <w:ind w:left="100" w:right="153"/>
        <w:jc w:val="both"/>
        <w:rPr>
          <w:rFonts w:asciiTheme="majorHAnsi" w:hAnsiTheme="majorHAnsi"/>
          <w:sz w:val="20"/>
          <w:szCs w:val="20"/>
        </w:rPr>
      </w:pPr>
    </w:p>
    <w:p w14:paraId="172D2A57" w14:textId="77777777" w:rsidR="001B4DC6" w:rsidRPr="002B698D" w:rsidRDefault="001B4DC6" w:rsidP="00654894">
      <w:pPr>
        <w:pStyle w:val="BodyText"/>
        <w:ind w:right="155"/>
        <w:jc w:val="both"/>
        <w:rPr>
          <w:rFonts w:asciiTheme="majorHAnsi" w:hAnsiTheme="majorHAnsi"/>
          <w:b/>
          <w:bCs/>
          <w:i/>
          <w:w w:val="105"/>
          <w:sz w:val="20"/>
          <w:szCs w:val="20"/>
        </w:rPr>
      </w:pPr>
    </w:p>
    <w:p w14:paraId="091DF603" w14:textId="77777777" w:rsidR="00F97A2F" w:rsidRPr="002B698D" w:rsidRDefault="00F97A2F" w:rsidP="00654894">
      <w:pPr>
        <w:pStyle w:val="BodyText"/>
        <w:ind w:right="155"/>
        <w:jc w:val="both"/>
        <w:rPr>
          <w:rFonts w:asciiTheme="majorHAnsi" w:hAnsiTheme="majorHAnsi"/>
          <w:b/>
          <w:bCs/>
          <w:i/>
          <w:w w:val="105"/>
          <w:sz w:val="20"/>
          <w:szCs w:val="20"/>
        </w:rPr>
      </w:pPr>
    </w:p>
    <w:p w14:paraId="33EDDDA2" w14:textId="77777777" w:rsidR="00F97A2F" w:rsidRPr="002B698D" w:rsidRDefault="00F97A2F" w:rsidP="00654894">
      <w:pPr>
        <w:pStyle w:val="BodyText"/>
        <w:ind w:right="155"/>
        <w:jc w:val="both"/>
        <w:rPr>
          <w:rFonts w:asciiTheme="majorHAnsi" w:hAnsiTheme="majorHAnsi"/>
          <w:b/>
          <w:bCs/>
          <w:i/>
          <w:iCs/>
          <w:w w:val="105"/>
          <w:sz w:val="20"/>
          <w:szCs w:val="20"/>
        </w:rPr>
      </w:pPr>
    </w:p>
    <w:p w14:paraId="21FEE3C8" w14:textId="3B0D1F48" w:rsidR="3414313D" w:rsidRPr="002B698D" w:rsidRDefault="3414313D" w:rsidP="00654894">
      <w:pPr>
        <w:pStyle w:val="BodyText"/>
        <w:ind w:right="155"/>
        <w:jc w:val="both"/>
        <w:rPr>
          <w:rFonts w:asciiTheme="majorHAnsi" w:hAnsiTheme="majorHAnsi"/>
          <w:b/>
          <w:bCs/>
          <w:i/>
          <w:iCs/>
          <w:sz w:val="20"/>
          <w:szCs w:val="20"/>
        </w:rPr>
      </w:pPr>
    </w:p>
    <w:p w14:paraId="516BF505" w14:textId="60BB0BD6" w:rsidR="3414313D" w:rsidRPr="002B698D" w:rsidRDefault="3414313D" w:rsidP="3414313D">
      <w:pPr>
        <w:pStyle w:val="BodyText"/>
        <w:spacing w:line="247" w:lineRule="auto"/>
        <w:ind w:right="155"/>
        <w:jc w:val="both"/>
        <w:rPr>
          <w:rFonts w:asciiTheme="majorHAnsi" w:hAnsiTheme="majorHAnsi"/>
          <w:b/>
          <w:bCs/>
          <w:i/>
          <w:iCs/>
          <w:sz w:val="20"/>
          <w:szCs w:val="20"/>
        </w:rPr>
      </w:pPr>
    </w:p>
    <w:p w14:paraId="4AC136A4" w14:textId="6C289A70" w:rsidR="00127FE5" w:rsidRPr="002B698D" w:rsidRDefault="00C24E17" w:rsidP="00654894">
      <w:pPr>
        <w:jc w:val="center"/>
        <w:rPr>
          <w:rFonts w:asciiTheme="majorHAnsi" w:hAnsiTheme="majorHAnsi"/>
          <w:sz w:val="20"/>
          <w:szCs w:val="20"/>
        </w:rPr>
      </w:pPr>
      <w:r w:rsidRPr="002B698D">
        <w:rPr>
          <w:rFonts w:asciiTheme="majorHAnsi" w:hAnsiTheme="majorHAnsi"/>
          <w:sz w:val="20"/>
        </w:rPr>
        <w:t>LA COMISIÓN INTERNACIONAL PARA LA CONSERVACIÓN DEL ATÚN ATLÁNTICO (ICCAT) RECOMIENDA LO SIGUIENTE:</w:t>
      </w:r>
    </w:p>
    <w:p w14:paraId="5E2116D7" w14:textId="0D7A2B40" w:rsidR="594A338A" w:rsidRPr="002B698D" w:rsidRDefault="594A338A" w:rsidP="00654894">
      <w:pPr>
        <w:pStyle w:val="ListParagraph"/>
        <w:tabs>
          <w:tab w:val="left" w:pos="400"/>
        </w:tabs>
        <w:ind w:right="127" w:firstLine="0"/>
        <w:rPr>
          <w:rFonts w:asciiTheme="majorHAnsi" w:hAnsiTheme="majorHAnsi"/>
          <w:sz w:val="20"/>
          <w:szCs w:val="20"/>
        </w:rPr>
      </w:pPr>
    </w:p>
    <w:p w14:paraId="107CC3F5" w14:textId="52871357" w:rsidR="004C7B7F" w:rsidRPr="002B698D" w:rsidRDefault="76E8C359" w:rsidP="00516263">
      <w:pPr>
        <w:pStyle w:val="ListParagraph"/>
        <w:numPr>
          <w:ilvl w:val="0"/>
          <w:numId w:val="2"/>
        </w:numPr>
        <w:tabs>
          <w:tab w:val="left" w:pos="400"/>
        </w:tabs>
        <w:ind w:right="127" w:hanging="400"/>
        <w:rPr>
          <w:rFonts w:asciiTheme="majorHAnsi" w:hAnsiTheme="majorHAnsi"/>
          <w:sz w:val="20"/>
          <w:szCs w:val="20"/>
        </w:rPr>
      </w:pPr>
      <w:r w:rsidRPr="002B698D">
        <w:rPr>
          <w:rFonts w:asciiTheme="majorHAnsi" w:hAnsiTheme="majorHAnsi"/>
          <w:sz w:val="20"/>
        </w:rPr>
        <w:t>Definiciones A efectos de esta Recomendación:</w:t>
      </w:r>
    </w:p>
    <w:p w14:paraId="014F7C35" w14:textId="77777777" w:rsidR="00235F3C" w:rsidRPr="002B698D" w:rsidRDefault="00235F3C" w:rsidP="00235F3C">
      <w:pPr>
        <w:pStyle w:val="ListParagraph"/>
        <w:tabs>
          <w:tab w:val="left" w:pos="400"/>
        </w:tabs>
        <w:ind w:right="127" w:firstLine="0"/>
        <w:jc w:val="left"/>
        <w:rPr>
          <w:rFonts w:asciiTheme="majorHAnsi" w:hAnsiTheme="majorHAnsi"/>
          <w:sz w:val="20"/>
          <w:szCs w:val="20"/>
        </w:rPr>
      </w:pPr>
    </w:p>
    <w:p w14:paraId="20DAD0EF" w14:textId="229953C9" w:rsidR="004C7B7F" w:rsidRPr="002B698D" w:rsidRDefault="004C7B7F" w:rsidP="00516263">
      <w:pPr>
        <w:pStyle w:val="ListParagraph"/>
        <w:numPr>
          <w:ilvl w:val="0"/>
          <w:numId w:val="3"/>
        </w:numPr>
        <w:tabs>
          <w:tab w:val="left" w:pos="400"/>
        </w:tabs>
        <w:ind w:left="851" w:right="127" w:hanging="451"/>
        <w:rPr>
          <w:rFonts w:asciiTheme="majorHAnsi" w:hAnsiTheme="majorHAnsi"/>
          <w:sz w:val="20"/>
          <w:szCs w:val="20"/>
        </w:rPr>
      </w:pPr>
      <w:r w:rsidRPr="002B698D">
        <w:rPr>
          <w:rFonts w:asciiTheme="majorHAnsi" w:hAnsiTheme="majorHAnsi"/>
          <w:sz w:val="20"/>
        </w:rPr>
        <w:t>Por "red de deriva para especies de grandes pelágicos" se entiende un conjunto de redes de enmalle que se mantiene más o menos vertical mediante flotadores en el cabo superior (relinga superior) y que puede tener pequeños lastres en el cabo inferior (relinga inferior), con una luz de malla en cualquier parte de la red igual o superior a 90 mm, que se utiliza cerca de la superficie o a profundidad intermedia, independientemente o con la embarcación a la que puede estar fijada.</w:t>
      </w:r>
    </w:p>
    <w:p w14:paraId="5FC5A0D1" w14:textId="77777777" w:rsidR="00874921" w:rsidRPr="002B698D" w:rsidRDefault="00874921" w:rsidP="00654894">
      <w:pPr>
        <w:pStyle w:val="ListParagraph"/>
        <w:tabs>
          <w:tab w:val="left" w:pos="400"/>
        </w:tabs>
        <w:ind w:left="760" w:right="127" w:firstLine="0"/>
        <w:rPr>
          <w:rFonts w:asciiTheme="majorHAnsi" w:hAnsiTheme="majorHAnsi"/>
          <w:sz w:val="20"/>
          <w:szCs w:val="20"/>
        </w:rPr>
      </w:pPr>
    </w:p>
    <w:p w14:paraId="0345AFD4" w14:textId="21D3CC35" w:rsidR="00067B7A" w:rsidRPr="002B698D" w:rsidRDefault="00067B7A" w:rsidP="00516263">
      <w:pPr>
        <w:pStyle w:val="ListParagraph"/>
        <w:numPr>
          <w:ilvl w:val="0"/>
          <w:numId w:val="3"/>
        </w:numPr>
        <w:tabs>
          <w:tab w:val="left" w:pos="400"/>
        </w:tabs>
        <w:ind w:left="851" w:right="127" w:hanging="451"/>
        <w:rPr>
          <w:rFonts w:asciiTheme="majorHAnsi" w:hAnsiTheme="majorHAnsi"/>
          <w:sz w:val="20"/>
          <w:szCs w:val="20"/>
        </w:rPr>
      </w:pPr>
      <w:r w:rsidRPr="002B698D">
        <w:rPr>
          <w:rFonts w:asciiTheme="majorHAnsi" w:hAnsiTheme="majorHAnsi"/>
          <w:sz w:val="20"/>
        </w:rPr>
        <w:t>Por "redes de deriva para pequeños túnidos" se entiende un arte de pesca pasivo consistente en uno o más paños de redes de enmalle que deriva con la corriente y se mantiene en posición casi vertical mediante flotadores en el cabo superior (relinga superior) y pequeños pesos en el cabo inferior (relinga de fondo). La luz de malla de estas redes será inferior a 90 mm en cualquier parte de la red.</w:t>
      </w:r>
    </w:p>
    <w:p w14:paraId="042CD57F" w14:textId="77777777" w:rsidR="00874921" w:rsidRPr="002B698D" w:rsidRDefault="00874921" w:rsidP="00654894">
      <w:pPr>
        <w:tabs>
          <w:tab w:val="left" w:pos="400"/>
        </w:tabs>
        <w:ind w:right="127"/>
        <w:rPr>
          <w:rFonts w:asciiTheme="majorHAnsi" w:hAnsiTheme="majorHAnsi"/>
          <w:sz w:val="20"/>
          <w:szCs w:val="20"/>
        </w:rPr>
      </w:pPr>
    </w:p>
    <w:p w14:paraId="6181F43B" w14:textId="042B311E" w:rsidR="002E3E3A" w:rsidRPr="002B698D" w:rsidRDefault="002E3E3A" w:rsidP="00516263">
      <w:pPr>
        <w:pStyle w:val="ListParagraph"/>
        <w:numPr>
          <w:ilvl w:val="0"/>
          <w:numId w:val="3"/>
        </w:numPr>
        <w:tabs>
          <w:tab w:val="left" w:pos="400"/>
        </w:tabs>
        <w:ind w:left="851" w:right="127" w:hanging="451"/>
        <w:rPr>
          <w:rFonts w:asciiTheme="majorHAnsi" w:hAnsiTheme="majorHAnsi"/>
          <w:sz w:val="20"/>
          <w:szCs w:val="20"/>
        </w:rPr>
      </w:pPr>
      <w:r w:rsidRPr="002B698D">
        <w:rPr>
          <w:rFonts w:asciiTheme="majorHAnsi" w:hAnsiTheme="majorHAnsi"/>
          <w:sz w:val="20"/>
        </w:rPr>
        <w:t>Por "luz de malla" de una red de deriva se entiende la distancia máxima interior entre las juntas o nudos opuestos de la misma malla cuando está completamente extendida a lo largo de su eje más largo posible, sin incluir las mallas que se encuentren en la parte superior, inferior o lateral de un costadillo de la red, las mallas situadas a menos de tres mallas de los cordones y relingas, y las mallas que se hayan roto o hayan sido reparadas.</w:t>
      </w:r>
    </w:p>
    <w:p w14:paraId="39628EB4" w14:textId="77777777" w:rsidR="00874921" w:rsidRPr="002B698D" w:rsidRDefault="00874921" w:rsidP="00654894">
      <w:pPr>
        <w:tabs>
          <w:tab w:val="left" w:pos="400"/>
        </w:tabs>
        <w:ind w:right="127"/>
        <w:rPr>
          <w:rFonts w:asciiTheme="majorHAnsi" w:hAnsiTheme="majorHAnsi"/>
          <w:sz w:val="20"/>
          <w:szCs w:val="20"/>
        </w:rPr>
      </w:pPr>
    </w:p>
    <w:p w14:paraId="11753004" w14:textId="3FC09768" w:rsidR="008B44D7" w:rsidRPr="002B698D" w:rsidRDefault="00CA4B51" w:rsidP="00516263">
      <w:pPr>
        <w:pStyle w:val="ListParagraph"/>
        <w:numPr>
          <w:ilvl w:val="0"/>
          <w:numId w:val="3"/>
        </w:numPr>
        <w:tabs>
          <w:tab w:val="left" w:pos="400"/>
        </w:tabs>
        <w:ind w:left="851" w:right="127" w:hanging="451"/>
        <w:rPr>
          <w:rFonts w:asciiTheme="majorHAnsi" w:hAnsiTheme="majorHAnsi"/>
          <w:sz w:val="20"/>
          <w:szCs w:val="20"/>
        </w:rPr>
      </w:pPr>
      <w:r w:rsidRPr="002B698D">
        <w:rPr>
          <w:rFonts w:asciiTheme="majorHAnsi" w:hAnsiTheme="majorHAnsi"/>
          <w:sz w:val="20"/>
        </w:rPr>
        <w:t xml:space="preserve">Por "especies de pequeños túnidos" se entiende las especies que se enumeran en el </w:t>
      </w:r>
      <w:r w:rsidRPr="002B698D">
        <w:rPr>
          <w:rFonts w:asciiTheme="majorHAnsi" w:hAnsiTheme="majorHAnsi"/>
          <w:b/>
          <w:bCs/>
          <w:sz w:val="20"/>
        </w:rPr>
        <w:t>Anexo 1</w:t>
      </w:r>
      <w:r w:rsidRPr="002B698D">
        <w:rPr>
          <w:rFonts w:asciiTheme="majorHAnsi" w:hAnsiTheme="majorHAnsi"/>
          <w:sz w:val="20"/>
        </w:rPr>
        <w:t>.</w:t>
      </w:r>
    </w:p>
    <w:p w14:paraId="262585B2" w14:textId="77777777" w:rsidR="00F06624" w:rsidRPr="002B698D" w:rsidRDefault="00F06624" w:rsidP="00F06624">
      <w:pPr>
        <w:pStyle w:val="ListParagraph"/>
        <w:rPr>
          <w:rFonts w:asciiTheme="majorHAnsi" w:hAnsiTheme="majorHAnsi"/>
          <w:sz w:val="20"/>
          <w:szCs w:val="20"/>
        </w:rPr>
      </w:pPr>
    </w:p>
    <w:p w14:paraId="3637936F" w14:textId="152EE109" w:rsidR="00F06624" w:rsidRPr="002B698D" w:rsidRDefault="00F06624" w:rsidP="00F06624">
      <w:pPr>
        <w:pStyle w:val="ListParagraph"/>
        <w:numPr>
          <w:ilvl w:val="0"/>
          <w:numId w:val="3"/>
        </w:numPr>
        <w:tabs>
          <w:tab w:val="left" w:pos="400"/>
        </w:tabs>
        <w:ind w:left="851" w:right="127" w:hanging="451"/>
        <w:rPr>
          <w:rFonts w:asciiTheme="majorHAnsi" w:hAnsiTheme="majorHAnsi"/>
          <w:sz w:val="20"/>
          <w:szCs w:val="20"/>
          <w:u w:val="single"/>
        </w:rPr>
      </w:pPr>
      <w:r w:rsidRPr="002B698D">
        <w:rPr>
          <w:rFonts w:asciiTheme="majorHAnsi" w:hAnsiTheme="majorHAnsi"/>
          <w:sz w:val="20"/>
          <w:szCs w:val="20"/>
          <w:u w:val="single"/>
        </w:rPr>
        <w:t>Por</w:t>
      </w:r>
      <w:r w:rsidRPr="002B698D">
        <w:rPr>
          <w:rFonts w:asciiTheme="majorHAnsi" w:hAnsiTheme="majorHAnsi"/>
          <w:sz w:val="20"/>
          <w:szCs w:val="20"/>
          <w:u w:val="single"/>
        </w:rPr>
        <w:t xml:space="preserve"> «</w:t>
      </w:r>
      <w:r w:rsidR="00544EEB">
        <w:rPr>
          <w:rFonts w:asciiTheme="majorHAnsi" w:hAnsiTheme="majorHAnsi"/>
          <w:sz w:val="20"/>
          <w:szCs w:val="20"/>
          <w:u w:val="single"/>
        </w:rPr>
        <w:t xml:space="preserve">especies de </w:t>
      </w:r>
      <w:r w:rsidRPr="002B698D">
        <w:rPr>
          <w:rFonts w:asciiTheme="majorHAnsi" w:hAnsiTheme="majorHAnsi"/>
          <w:sz w:val="20"/>
          <w:szCs w:val="20"/>
          <w:u w:val="single"/>
        </w:rPr>
        <w:t>grand</w:t>
      </w:r>
      <w:r w:rsidRPr="002B698D">
        <w:rPr>
          <w:rFonts w:asciiTheme="majorHAnsi" w:hAnsiTheme="majorHAnsi"/>
          <w:sz w:val="20"/>
          <w:szCs w:val="20"/>
          <w:u w:val="single"/>
        </w:rPr>
        <w:t>es</w:t>
      </w:r>
      <w:r w:rsidRPr="002B698D">
        <w:rPr>
          <w:rFonts w:asciiTheme="majorHAnsi" w:hAnsiTheme="majorHAnsi"/>
          <w:sz w:val="20"/>
          <w:szCs w:val="20"/>
          <w:u w:val="single"/>
        </w:rPr>
        <w:t xml:space="preserve"> </w:t>
      </w:r>
      <w:r w:rsidRPr="002B698D">
        <w:rPr>
          <w:rFonts w:asciiTheme="majorHAnsi" w:hAnsiTheme="majorHAnsi"/>
          <w:sz w:val="20"/>
          <w:szCs w:val="20"/>
          <w:u w:val="single"/>
        </w:rPr>
        <w:t>pelágicos</w:t>
      </w:r>
      <w:r w:rsidRPr="002B698D">
        <w:rPr>
          <w:rFonts w:asciiTheme="majorHAnsi" w:hAnsiTheme="majorHAnsi"/>
          <w:sz w:val="20"/>
          <w:szCs w:val="20"/>
          <w:u w:val="single"/>
        </w:rPr>
        <w:t xml:space="preserve"> » </w:t>
      </w:r>
      <w:r w:rsidRPr="002B698D">
        <w:rPr>
          <w:rFonts w:asciiTheme="majorHAnsi" w:hAnsiTheme="majorHAnsi"/>
          <w:sz w:val="20"/>
          <w:szCs w:val="20"/>
          <w:u w:val="single"/>
        </w:rPr>
        <w:t xml:space="preserve">se entiende las especies enumeradas en el </w:t>
      </w:r>
      <w:r w:rsidRPr="002B698D">
        <w:rPr>
          <w:rFonts w:asciiTheme="majorHAnsi" w:hAnsiTheme="majorHAnsi"/>
          <w:b/>
          <w:bCs/>
          <w:sz w:val="20"/>
          <w:szCs w:val="20"/>
          <w:u w:val="single"/>
        </w:rPr>
        <w:t>A</w:t>
      </w:r>
      <w:r w:rsidRPr="002B698D">
        <w:rPr>
          <w:rFonts w:asciiTheme="majorHAnsi" w:hAnsiTheme="majorHAnsi"/>
          <w:b/>
          <w:bCs/>
          <w:sz w:val="20"/>
          <w:szCs w:val="20"/>
          <w:u w:val="single"/>
        </w:rPr>
        <w:t>nex</w:t>
      </w:r>
      <w:r w:rsidRPr="002B698D">
        <w:rPr>
          <w:rFonts w:asciiTheme="majorHAnsi" w:hAnsiTheme="majorHAnsi"/>
          <w:b/>
          <w:bCs/>
          <w:sz w:val="20"/>
          <w:szCs w:val="20"/>
          <w:u w:val="single"/>
        </w:rPr>
        <w:t>o</w:t>
      </w:r>
      <w:r w:rsidRPr="002B698D">
        <w:rPr>
          <w:rFonts w:asciiTheme="majorHAnsi" w:hAnsiTheme="majorHAnsi"/>
          <w:b/>
          <w:bCs/>
          <w:sz w:val="20"/>
          <w:szCs w:val="20"/>
          <w:u w:val="single"/>
        </w:rPr>
        <w:t xml:space="preserve"> 2.</w:t>
      </w:r>
    </w:p>
    <w:p w14:paraId="41EFC356" w14:textId="77777777" w:rsidR="00F06624" w:rsidRPr="002B698D" w:rsidRDefault="00F06624" w:rsidP="00F06624">
      <w:pPr>
        <w:pStyle w:val="ListParagraph"/>
        <w:tabs>
          <w:tab w:val="left" w:pos="400"/>
        </w:tabs>
        <w:ind w:left="851" w:right="127" w:firstLine="0"/>
        <w:rPr>
          <w:rFonts w:asciiTheme="majorHAnsi" w:hAnsiTheme="majorHAnsi"/>
          <w:sz w:val="20"/>
          <w:szCs w:val="20"/>
        </w:rPr>
      </w:pPr>
    </w:p>
    <w:p w14:paraId="722351ED" w14:textId="77777777" w:rsidR="00836233" w:rsidRPr="002B698D" w:rsidRDefault="00836233" w:rsidP="00654894">
      <w:pPr>
        <w:pStyle w:val="ListParagraph"/>
        <w:tabs>
          <w:tab w:val="left" w:pos="400"/>
        </w:tabs>
        <w:ind w:left="760" w:right="127" w:firstLine="0"/>
        <w:rPr>
          <w:rFonts w:asciiTheme="majorHAnsi" w:hAnsiTheme="majorHAnsi"/>
          <w:sz w:val="20"/>
          <w:szCs w:val="20"/>
        </w:rPr>
      </w:pPr>
    </w:p>
    <w:p w14:paraId="436F892B" w14:textId="5958D943" w:rsidR="001C065C" w:rsidRPr="002B698D" w:rsidRDefault="00A23BCF" w:rsidP="00516263">
      <w:pPr>
        <w:pStyle w:val="ListParagraph"/>
        <w:numPr>
          <w:ilvl w:val="0"/>
          <w:numId w:val="2"/>
        </w:numPr>
        <w:tabs>
          <w:tab w:val="left" w:pos="400"/>
        </w:tabs>
        <w:ind w:right="127" w:hanging="400"/>
        <w:rPr>
          <w:rFonts w:asciiTheme="majorHAnsi" w:hAnsiTheme="majorHAnsi"/>
          <w:sz w:val="20"/>
          <w:szCs w:val="20"/>
        </w:rPr>
      </w:pPr>
      <w:r w:rsidRPr="002B698D">
        <w:rPr>
          <w:rFonts w:asciiTheme="majorHAnsi" w:hAnsiTheme="majorHAnsi"/>
          <w:sz w:val="20"/>
        </w:rPr>
        <w:t xml:space="preserve">Las Partes contratantes, Partes, Entidades o Entidades pesqueras no contratantes colaboradoras prohibirán la posesión a bordo de buques, así como su uso, de redes de deriva para especies de grandes pelágicos, tal y como se definen en el párrafo 1(a), para la pesca de especies de ICCAT dentro de la zona del Convenio de ICCAT. Las Partes contratantes y Partes, Entidades o Entidades pesqueras no contratantes colaboradoras costeras de ICCAT prohibirán también la posesión, el transporte o el almacenamiento de dichos artes de pesca dentro de sus respectivos territorios. </w:t>
      </w:r>
    </w:p>
    <w:p w14:paraId="4D59BA44" w14:textId="77777777" w:rsidR="001C065C" w:rsidRPr="002B698D" w:rsidRDefault="001C065C" w:rsidP="00654894">
      <w:pPr>
        <w:pStyle w:val="ListParagraph"/>
        <w:tabs>
          <w:tab w:val="left" w:pos="400"/>
        </w:tabs>
        <w:ind w:right="127" w:firstLine="0"/>
        <w:jc w:val="left"/>
        <w:rPr>
          <w:rFonts w:asciiTheme="majorHAnsi" w:hAnsiTheme="majorHAnsi"/>
          <w:sz w:val="20"/>
          <w:szCs w:val="20"/>
        </w:rPr>
      </w:pPr>
    </w:p>
    <w:p w14:paraId="47244DD0" w14:textId="1354D667" w:rsidR="008A14FB" w:rsidRPr="002B698D" w:rsidRDefault="008A14FB" w:rsidP="00516263">
      <w:pPr>
        <w:pStyle w:val="ListParagraph"/>
        <w:numPr>
          <w:ilvl w:val="0"/>
          <w:numId w:val="2"/>
        </w:numPr>
        <w:tabs>
          <w:tab w:val="left" w:pos="400"/>
        </w:tabs>
        <w:ind w:right="127" w:hanging="400"/>
        <w:rPr>
          <w:rFonts w:asciiTheme="majorHAnsi" w:hAnsiTheme="majorHAnsi"/>
          <w:sz w:val="20"/>
          <w:szCs w:val="20"/>
        </w:rPr>
      </w:pPr>
      <w:r w:rsidRPr="002B698D">
        <w:rPr>
          <w:rFonts w:asciiTheme="majorHAnsi" w:hAnsiTheme="majorHAnsi"/>
          <w:sz w:val="20"/>
        </w:rPr>
        <w:t>El uso de redes de deriva para la pesca de especies de pequeños túnidos, tal y como se especifica en el párrafo 1(b), sólo está permitido dentro de las zonas costeras que se extienden hasta una distancia máxima de tres millas náuticas de la costa y utilizando una o más redes de deriva con una longitud total combinada que no excederá de 2.500 m. Queda prohibida la posesión de red(es) de deriva cuya longitud total supere los 2.500 m.</w:t>
      </w:r>
    </w:p>
    <w:p w14:paraId="39A250C7" w14:textId="77777777" w:rsidR="00511588" w:rsidRPr="002B698D" w:rsidRDefault="00511588" w:rsidP="00654894">
      <w:pPr>
        <w:pStyle w:val="ListParagraph"/>
        <w:tabs>
          <w:tab w:val="left" w:pos="400"/>
        </w:tabs>
        <w:ind w:right="127" w:firstLine="0"/>
        <w:rPr>
          <w:rFonts w:asciiTheme="majorHAnsi" w:hAnsiTheme="majorHAnsi"/>
          <w:sz w:val="20"/>
          <w:szCs w:val="20"/>
        </w:rPr>
      </w:pPr>
    </w:p>
    <w:p w14:paraId="1FEAC347" w14:textId="74E123B3" w:rsidR="008A14FB" w:rsidRPr="002B698D" w:rsidRDefault="00511588" w:rsidP="00654894">
      <w:pPr>
        <w:pStyle w:val="ListParagraph"/>
        <w:tabs>
          <w:tab w:val="left" w:pos="400"/>
        </w:tabs>
        <w:ind w:right="127" w:firstLine="0"/>
        <w:rPr>
          <w:rFonts w:asciiTheme="majorHAnsi" w:hAnsiTheme="majorHAnsi"/>
          <w:sz w:val="20"/>
          <w:szCs w:val="20"/>
        </w:rPr>
      </w:pPr>
      <w:r w:rsidRPr="002B698D">
        <w:rPr>
          <w:rFonts w:asciiTheme="majorHAnsi" w:hAnsiTheme="majorHAnsi"/>
          <w:sz w:val="20"/>
        </w:rPr>
        <w:t>Dichas redes de deriva deberán permanecer sujetas al buque pesquero durante toda la duración de la operación de pesca, y el tiempo de inmersión no excederá de 24 horas.</w:t>
      </w:r>
    </w:p>
    <w:p w14:paraId="7204AF30" w14:textId="77777777" w:rsidR="00931EE3" w:rsidRPr="002B698D" w:rsidRDefault="00931EE3" w:rsidP="00654894">
      <w:pPr>
        <w:pStyle w:val="ListParagraph"/>
        <w:tabs>
          <w:tab w:val="left" w:pos="400"/>
        </w:tabs>
        <w:ind w:right="127" w:firstLine="0"/>
        <w:rPr>
          <w:rFonts w:asciiTheme="majorHAnsi" w:hAnsiTheme="majorHAnsi"/>
          <w:sz w:val="20"/>
          <w:szCs w:val="20"/>
        </w:rPr>
      </w:pPr>
    </w:p>
    <w:p w14:paraId="0AEE7000" w14:textId="34FD3C72" w:rsidR="008A14FB" w:rsidRPr="002B698D" w:rsidRDefault="008A14FB" w:rsidP="00654894">
      <w:pPr>
        <w:pStyle w:val="ListParagraph"/>
        <w:tabs>
          <w:tab w:val="left" w:pos="400"/>
        </w:tabs>
        <w:ind w:right="127" w:firstLine="0"/>
        <w:rPr>
          <w:rFonts w:asciiTheme="majorHAnsi" w:hAnsiTheme="majorHAnsi"/>
          <w:sz w:val="20"/>
          <w:szCs w:val="20"/>
        </w:rPr>
      </w:pPr>
      <w:r w:rsidRPr="002B698D">
        <w:rPr>
          <w:rFonts w:asciiTheme="majorHAnsi" w:hAnsiTheme="majorHAnsi"/>
          <w:sz w:val="20"/>
        </w:rPr>
        <w:t>La autorización para utilizar redes de deriva para la captura de pequeños túnidos se limita exclusivamente a los buques artesanales de menos de diez metros de eslora total.</w:t>
      </w:r>
    </w:p>
    <w:p w14:paraId="4D9E96E4" w14:textId="77777777" w:rsidR="00836233" w:rsidRPr="002B698D" w:rsidRDefault="00836233" w:rsidP="00654894">
      <w:pPr>
        <w:tabs>
          <w:tab w:val="left" w:pos="400"/>
        </w:tabs>
        <w:ind w:right="127"/>
        <w:rPr>
          <w:rFonts w:asciiTheme="majorHAnsi" w:hAnsiTheme="majorHAnsi"/>
          <w:sz w:val="20"/>
          <w:szCs w:val="20"/>
        </w:rPr>
      </w:pPr>
    </w:p>
    <w:p w14:paraId="62812D6F" w14:textId="2D08FF33" w:rsidR="00A23BCF" w:rsidRPr="002B698D" w:rsidRDefault="00B7537E" w:rsidP="00516263">
      <w:pPr>
        <w:pStyle w:val="ListParagraph"/>
        <w:numPr>
          <w:ilvl w:val="0"/>
          <w:numId w:val="2"/>
        </w:numPr>
        <w:tabs>
          <w:tab w:val="left" w:pos="400"/>
        </w:tabs>
        <w:ind w:right="127" w:hanging="400"/>
        <w:rPr>
          <w:rFonts w:asciiTheme="majorHAnsi" w:hAnsiTheme="majorHAnsi"/>
          <w:sz w:val="20"/>
          <w:szCs w:val="20"/>
        </w:rPr>
      </w:pPr>
      <w:r w:rsidRPr="002B698D">
        <w:rPr>
          <w:rFonts w:asciiTheme="majorHAnsi" w:hAnsiTheme="majorHAnsi"/>
          <w:sz w:val="20"/>
        </w:rPr>
        <w:t>Cuando se autorice el uso de redes de deriva, tal y como se establece en el párrafo 3 anterior, cualquier captura fortuita de especies de ICCAT distintas de las especies de pequeños túnidos autorizadas deberá liberarse o descartarse inmediatamente. Todos estos descartes se descontarán de la cuota de la CPC y se comunicarán a la Secretaría de ICCAT mediante la presentación periódica de los informes estadísticos de captura de Tarea 1 y Tarea 2.</w:t>
      </w:r>
    </w:p>
    <w:p w14:paraId="666DC7C8" w14:textId="77777777" w:rsidR="00836233" w:rsidRPr="002B698D" w:rsidRDefault="00836233" w:rsidP="00654894">
      <w:pPr>
        <w:pStyle w:val="ListParagraph"/>
        <w:tabs>
          <w:tab w:val="left" w:pos="400"/>
        </w:tabs>
        <w:ind w:right="127" w:firstLine="0"/>
        <w:jc w:val="left"/>
        <w:rPr>
          <w:rFonts w:asciiTheme="majorHAnsi" w:hAnsiTheme="majorHAnsi"/>
          <w:sz w:val="20"/>
          <w:szCs w:val="20"/>
        </w:rPr>
      </w:pPr>
    </w:p>
    <w:p w14:paraId="1E85D60B" w14:textId="213D2CC5" w:rsidR="00A23BCF" w:rsidRPr="002B698D" w:rsidRDefault="00836233" w:rsidP="00516263">
      <w:pPr>
        <w:pStyle w:val="ListParagraph"/>
        <w:numPr>
          <w:ilvl w:val="0"/>
          <w:numId w:val="2"/>
        </w:numPr>
        <w:tabs>
          <w:tab w:val="left" w:pos="400"/>
        </w:tabs>
        <w:ind w:right="127" w:hanging="400"/>
        <w:rPr>
          <w:rFonts w:asciiTheme="majorHAnsi" w:hAnsiTheme="majorHAnsi"/>
          <w:sz w:val="20"/>
          <w:szCs w:val="20"/>
        </w:rPr>
      </w:pPr>
      <w:r w:rsidRPr="002B698D">
        <w:rPr>
          <w:rFonts w:asciiTheme="majorHAnsi" w:hAnsiTheme="majorHAnsi"/>
          <w:sz w:val="20"/>
        </w:rPr>
        <w:t xml:space="preserve">Para evaluar el impacto del uso de redes de deriva en el Mediterráneo, la Secretaría de ICCAT </w:t>
      </w:r>
      <w:r w:rsidRPr="002B698D">
        <w:rPr>
          <w:rFonts w:asciiTheme="majorHAnsi" w:hAnsiTheme="majorHAnsi"/>
          <w:sz w:val="20"/>
        </w:rPr>
        <w:lastRenderedPageBreak/>
        <w:t>cooperará y se coordinará con la CGPM, de conformidad con las disposiciones de la Resolución CGPM/46/2023/10 relativa a la restricción y prohibición de las redes de deriva en el mar Mediterráneo.</w:t>
      </w:r>
    </w:p>
    <w:p w14:paraId="340E6535" w14:textId="77777777" w:rsidR="00836233" w:rsidRPr="002B698D" w:rsidRDefault="00836233" w:rsidP="00654894">
      <w:pPr>
        <w:pStyle w:val="ListParagraph"/>
        <w:tabs>
          <w:tab w:val="left" w:pos="400"/>
        </w:tabs>
        <w:ind w:right="127" w:firstLine="0"/>
        <w:jc w:val="left"/>
        <w:rPr>
          <w:rFonts w:asciiTheme="majorHAnsi" w:hAnsiTheme="majorHAnsi"/>
          <w:sz w:val="20"/>
          <w:szCs w:val="20"/>
        </w:rPr>
      </w:pPr>
    </w:p>
    <w:p w14:paraId="031F51CB" w14:textId="1A48C428" w:rsidR="00A23BCF" w:rsidRPr="002B698D" w:rsidRDefault="00A57C6E" w:rsidP="00516263">
      <w:pPr>
        <w:pStyle w:val="ListParagraph"/>
        <w:numPr>
          <w:ilvl w:val="0"/>
          <w:numId w:val="2"/>
        </w:numPr>
        <w:tabs>
          <w:tab w:val="left" w:pos="400"/>
        </w:tabs>
        <w:ind w:right="127" w:hanging="400"/>
        <w:rPr>
          <w:rFonts w:asciiTheme="majorHAnsi" w:hAnsiTheme="majorHAnsi"/>
          <w:sz w:val="20"/>
          <w:szCs w:val="20"/>
        </w:rPr>
      </w:pPr>
      <w:r w:rsidRPr="002B698D">
        <w:rPr>
          <w:rFonts w:asciiTheme="majorHAnsi" w:hAnsiTheme="majorHAnsi"/>
          <w:sz w:val="20"/>
        </w:rPr>
        <w:t>Para garantizar la aplicabilidad y verificabilidad de la prohibición del uso de redes de deriva para especies de grandes pelágicos en las pesquerías de ICCAT, las CPC no expedirán ninguna licencia de redes de deriva a los buques que dispongan de licencias para pescar especies de ICCAT que no sean las especies de pequeños túnidos autorizadas en el párrafo</w:t>
      </w:r>
      <w:r w:rsidR="00AD4376" w:rsidRPr="002B698D">
        <w:rPr>
          <w:rFonts w:asciiTheme="majorHAnsi" w:hAnsiTheme="majorHAnsi"/>
          <w:sz w:val="20"/>
        </w:rPr>
        <w:t> 1 d)</w:t>
      </w:r>
      <w:r w:rsidRPr="002B698D">
        <w:rPr>
          <w:rFonts w:asciiTheme="majorHAnsi" w:hAnsiTheme="majorHAnsi"/>
          <w:sz w:val="20"/>
        </w:rPr>
        <w:t>.</w:t>
      </w:r>
    </w:p>
    <w:p w14:paraId="3BFC6CB9" w14:textId="744F71E5" w:rsidR="00E553BB" w:rsidRPr="002B698D" w:rsidRDefault="00E553BB" w:rsidP="00654894">
      <w:pPr>
        <w:tabs>
          <w:tab w:val="left" w:pos="400"/>
        </w:tabs>
        <w:ind w:right="127"/>
        <w:rPr>
          <w:rFonts w:asciiTheme="majorHAnsi" w:hAnsiTheme="majorHAnsi"/>
          <w:sz w:val="20"/>
          <w:szCs w:val="20"/>
        </w:rPr>
      </w:pPr>
    </w:p>
    <w:p w14:paraId="78104C74" w14:textId="2B352B43" w:rsidR="00A23BCF" w:rsidRPr="002B698D" w:rsidRDefault="00A23BCF" w:rsidP="00516263">
      <w:pPr>
        <w:pStyle w:val="ListParagraph"/>
        <w:numPr>
          <w:ilvl w:val="0"/>
          <w:numId w:val="2"/>
        </w:numPr>
        <w:tabs>
          <w:tab w:val="left" w:pos="400"/>
        </w:tabs>
        <w:ind w:right="127" w:hanging="400"/>
        <w:rPr>
          <w:rFonts w:asciiTheme="majorHAnsi" w:hAnsiTheme="majorHAnsi"/>
          <w:sz w:val="20"/>
          <w:szCs w:val="20"/>
        </w:rPr>
      </w:pPr>
      <w:r w:rsidRPr="002B698D">
        <w:rPr>
          <w:rFonts w:asciiTheme="majorHAnsi" w:hAnsiTheme="majorHAnsi"/>
          <w:sz w:val="20"/>
        </w:rPr>
        <w:t>Las disposiciones de esta Recomendación se revisarán y, en caso necesario, se enmendarán siguiendo cualquier asesoramiento científico del SCRS o cualquier resultado derivado de las actividades conjuntas de ICCAT y la CGPM a las que se hace referencia en el párrafo 5.</w:t>
      </w:r>
    </w:p>
    <w:p w14:paraId="0B35322C" w14:textId="1412B7C7" w:rsidR="001B4DC6" w:rsidRPr="002B698D" w:rsidRDefault="001B4DC6" w:rsidP="00654894">
      <w:pPr>
        <w:tabs>
          <w:tab w:val="left" w:pos="400"/>
        </w:tabs>
        <w:ind w:left="100" w:right="127"/>
        <w:rPr>
          <w:rFonts w:asciiTheme="majorHAnsi" w:hAnsiTheme="majorHAnsi"/>
          <w:sz w:val="20"/>
          <w:szCs w:val="20"/>
        </w:rPr>
      </w:pPr>
    </w:p>
    <w:p w14:paraId="188DF38C" w14:textId="77777777" w:rsidR="0014774F" w:rsidRPr="002B698D" w:rsidRDefault="0014774F">
      <w:pPr>
        <w:rPr>
          <w:rFonts w:asciiTheme="majorHAnsi" w:hAnsiTheme="majorHAnsi"/>
          <w:b/>
          <w:sz w:val="20"/>
        </w:rPr>
      </w:pPr>
      <w:r w:rsidRPr="002B698D">
        <w:rPr>
          <w:rFonts w:asciiTheme="majorHAnsi" w:hAnsiTheme="majorHAnsi"/>
          <w:b/>
          <w:sz w:val="20"/>
        </w:rPr>
        <w:br w:type="page"/>
      </w:r>
    </w:p>
    <w:p w14:paraId="5D4D6162" w14:textId="71F3298D" w:rsidR="0014504F" w:rsidRPr="002B698D" w:rsidRDefault="0032712C" w:rsidP="0032712C">
      <w:pPr>
        <w:tabs>
          <w:tab w:val="left" w:pos="400"/>
        </w:tabs>
        <w:spacing w:line="247" w:lineRule="auto"/>
        <w:ind w:left="100" w:right="127"/>
        <w:jc w:val="right"/>
        <w:rPr>
          <w:rFonts w:asciiTheme="majorHAnsi" w:hAnsiTheme="majorHAnsi"/>
          <w:b/>
          <w:bCs/>
          <w:sz w:val="20"/>
          <w:szCs w:val="20"/>
        </w:rPr>
      </w:pPr>
      <w:r w:rsidRPr="002B698D">
        <w:rPr>
          <w:rFonts w:asciiTheme="majorHAnsi" w:hAnsiTheme="majorHAnsi"/>
          <w:b/>
          <w:sz w:val="20"/>
        </w:rPr>
        <w:lastRenderedPageBreak/>
        <w:t>Anexo 1</w:t>
      </w:r>
    </w:p>
    <w:p w14:paraId="37C6FF08" w14:textId="77777777" w:rsidR="0032712C" w:rsidRPr="002B698D" w:rsidRDefault="0032712C" w:rsidP="0032712C">
      <w:pPr>
        <w:tabs>
          <w:tab w:val="left" w:pos="400"/>
        </w:tabs>
        <w:spacing w:line="247" w:lineRule="auto"/>
        <w:ind w:left="100" w:right="127"/>
        <w:jc w:val="right"/>
        <w:rPr>
          <w:rFonts w:asciiTheme="majorHAnsi" w:hAnsiTheme="majorHAnsi"/>
          <w:sz w:val="20"/>
          <w:szCs w:val="20"/>
        </w:rPr>
      </w:pPr>
    </w:p>
    <w:p w14:paraId="52F73CD2" w14:textId="77777777" w:rsidR="0032712C" w:rsidRPr="002B698D" w:rsidRDefault="0032712C" w:rsidP="00236E05">
      <w:pPr>
        <w:tabs>
          <w:tab w:val="left" w:pos="400"/>
        </w:tabs>
        <w:ind w:left="100" w:right="125"/>
        <w:rPr>
          <w:rFonts w:asciiTheme="majorHAnsi" w:hAnsiTheme="majorHAnsi"/>
          <w:sz w:val="20"/>
          <w:szCs w:val="20"/>
        </w:rPr>
      </w:pPr>
    </w:p>
    <w:p w14:paraId="762279A4" w14:textId="31C98654" w:rsidR="0032712C" w:rsidRPr="002B698D" w:rsidRDefault="0032712C" w:rsidP="00236E05">
      <w:pPr>
        <w:tabs>
          <w:tab w:val="left" w:pos="400"/>
        </w:tabs>
        <w:ind w:right="125"/>
        <w:jc w:val="center"/>
        <w:rPr>
          <w:rFonts w:asciiTheme="majorHAnsi" w:hAnsiTheme="majorHAnsi"/>
          <w:b/>
          <w:bCs/>
          <w:w w:val="105"/>
          <w:sz w:val="20"/>
          <w:szCs w:val="20"/>
        </w:rPr>
      </w:pPr>
      <w:r w:rsidRPr="002B698D">
        <w:rPr>
          <w:rFonts w:asciiTheme="majorHAnsi" w:hAnsiTheme="majorHAnsi"/>
          <w:b/>
          <w:sz w:val="20"/>
        </w:rPr>
        <w:t>Lista de especies de pequeños túnidos de ICCAT</w:t>
      </w:r>
    </w:p>
    <w:p w14:paraId="7DC71ECE" w14:textId="77777777" w:rsidR="00336684" w:rsidRPr="002B698D" w:rsidRDefault="00336684" w:rsidP="00236E05">
      <w:pPr>
        <w:tabs>
          <w:tab w:val="left" w:pos="400"/>
        </w:tabs>
        <w:ind w:right="125"/>
        <w:rPr>
          <w:rFonts w:asciiTheme="majorHAnsi" w:hAnsiTheme="majorHAnsi"/>
          <w:w w:val="105"/>
          <w:sz w:val="20"/>
          <w:szCs w:val="20"/>
        </w:rPr>
      </w:pPr>
    </w:p>
    <w:p w14:paraId="6F92280D" w14:textId="4DB491CE" w:rsidR="00336684" w:rsidRPr="002B698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B698D">
        <w:rPr>
          <w:rFonts w:asciiTheme="majorHAnsi" w:hAnsiTheme="majorHAnsi"/>
          <w:sz w:val="20"/>
        </w:rPr>
        <w:t xml:space="preserve">BLF </w:t>
      </w:r>
      <w:r w:rsidRPr="002B698D">
        <w:rPr>
          <w:rFonts w:asciiTheme="majorHAnsi" w:hAnsiTheme="majorHAnsi"/>
          <w:sz w:val="20"/>
        </w:rPr>
        <w:tab/>
        <w:t>Atún aleta negra (</w:t>
      </w:r>
      <w:r w:rsidRPr="002B698D">
        <w:rPr>
          <w:rFonts w:asciiTheme="majorHAnsi" w:hAnsiTheme="majorHAnsi"/>
          <w:i/>
          <w:sz w:val="20"/>
        </w:rPr>
        <w:t xml:space="preserve">Thunnus </w:t>
      </w:r>
      <w:proofErr w:type="spellStart"/>
      <w:r w:rsidRPr="002B698D">
        <w:rPr>
          <w:rFonts w:asciiTheme="majorHAnsi" w:hAnsiTheme="majorHAnsi"/>
          <w:i/>
          <w:sz w:val="20"/>
        </w:rPr>
        <w:t>atlanticus</w:t>
      </w:r>
      <w:proofErr w:type="spellEnd"/>
      <w:r w:rsidRPr="002B698D">
        <w:rPr>
          <w:rFonts w:asciiTheme="majorHAnsi" w:hAnsiTheme="majorHAnsi"/>
          <w:sz w:val="20"/>
        </w:rPr>
        <w:t>)</w:t>
      </w:r>
    </w:p>
    <w:p w14:paraId="55176160" w14:textId="46740D65" w:rsidR="00336684" w:rsidRPr="002B698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B698D">
        <w:rPr>
          <w:rFonts w:asciiTheme="majorHAnsi" w:hAnsiTheme="majorHAnsi"/>
          <w:sz w:val="20"/>
        </w:rPr>
        <w:t>BLT</w:t>
      </w:r>
      <w:r w:rsidRPr="002B698D">
        <w:rPr>
          <w:rFonts w:asciiTheme="majorHAnsi" w:hAnsiTheme="majorHAnsi"/>
          <w:sz w:val="20"/>
        </w:rPr>
        <w:tab/>
        <w:t>Melvera (</w:t>
      </w:r>
      <w:proofErr w:type="spellStart"/>
      <w:r w:rsidRPr="002B698D">
        <w:rPr>
          <w:rFonts w:asciiTheme="majorHAnsi" w:hAnsiTheme="majorHAnsi"/>
          <w:i/>
          <w:sz w:val="20"/>
        </w:rPr>
        <w:t>Auxis</w:t>
      </w:r>
      <w:proofErr w:type="spellEnd"/>
      <w:r w:rsidRPr="002B698D">
        <w:rPr>
          <w:rFonts w:asciiTheme="majorHAnsi" w:hAnsiTheme="majorHAnsi"/>
          <w:i/>
          <w:sz w:val="20"/>
        </w:rPr>
        <w:t xml:space="preserve"> </w:t>
      </w:r>
      <w:proofErr w:type="spellStart"/>
      <w:r w:rsidRPr="002B698D">
        <w:rPr>
          <w:rFonts w:asciiTheme="majorHAnsi" w:hAnsiTheme="majorHAnsi"/>
          <w:i/>
          <w:sz w:val="20"/>
        </w:rPr>
        <w:t>rochei</w:t>
      </w:r>
      <w:proofErr w:type="spellEnd"/>
      <w:r w:rsidRPr="002B698D">
        <w:rPr>
          <w:rFonts w:asciiTheme="majorHAnsi" w:hAnsiTheme="majorHAnsi"/>
          <w:sz w:val="20"/>
        </w:rPr>
        <w:t>)</w:t>
      </w:r>
    </w:p>
    <w:p w14:paraId="7CFF7404" w14:textId="5036B3E0" w:rsidR="00336684" w:rsidRPr="002B698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B698D">
        <w:rPr>
          <w:rFonts w:asciiTheme="majorHAnsi" w:hAnsiTheme="majorHAnsi"/>
          <w:sz w:val="20"/>
        </w:rPr>
        <w:t>BON</w:t>
      </w:r>
      <w:r w:rsidRPr="002B698D">
        <w:rPr>
          <w:rFonts w:asciiTheme="majorHAnsi" w:hAnsiTheme="majorHAnsi"/>
          <w:sz w:val="20"/>
        </w:rPr>
        <w:tab/>
        <w:t>Bonito (</w:t>
      </w:r>
      <w:r w:rsidRPr="002B698D">
        <w:rPr>
          <w:rFonts w:asciiTheme="majorHAnsi" w:hAnsiTheme="majorHAnsi"/>
          <w:i/>
          <w:sz w:val="20"/>
        </w:rPr>
        <w:t>Sarda sarda</w:t>
      </w:r>
      <w:r w:rsidRPr="002B698D">
        <w:rPr>
          <w:rFonts w:asciiTheme="majorHAnsi" w:hAnsiTheme="majorHAnsi"/>
          <w:sz w:val="20"/>
        </w:rPr>
        <w:t>)</w:t>
      </w:r>
    </w:p>
    <w:p w14:paraId="6F12BCFB" w14:textId="4A51E99E" w:rsidR="00336684" w:rsidRPr="002B698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B698D">
        <w:rPr>
          <w:rFonts w:asciiTheme="majorHAnsi" w:hAnsiTheme="majorHAnsi"/>
          <w:sz w:val="20"/>
        </w:rPr>
        <w:t xml:space="preserve">BOP </w:t>
      </w:r>
      <w:r w:rsidRPr="002B698D">
        <w:rPr>
          <w:rFonts w:asciiTheme="majorHAnsi" w:hAnsiTheme="majorHAnsi"/>
          <w:sz w:val="20"/>
        </w:rPr>
        <w:tab/>
        <w:t>Tasarte (</w:t>
      </w:r>
      <w:proofErr w:type="spellStart"/>
      <w:r w:rsidRPr="002B698D">
        <w:rPr>
          <w:rFonts w:asciiTheme="majorHAnsi" w:hAnsiTheme="majorHAnsi"/>
          <w:i/>
          <w:sz w:val="20"/>
        </w:rPr>
        <w:t>Orcynopsis</w:t>
      </w:r>
      <w:proofErr w:type="spellEnd"/>
      <w:r w:rsidRPr="002B698D">
        <w:rPr>
          <w:rFonts w:asciiTheme="majorHAnsi" w:hAnsiTheme="majorHAnsi"/>
          <w:i/>
          <w:sz w:val="20"/>
        </w:rPr>
        <w:t xml:space="preserve"> unicolor</w:t>
      </w:r>
      <w:r w:rsidRPr="002B698D">
        <w:rPr>
          <w:rFonts w:asciiTheme="majorHAnsi" w:hAnsiTheme="majorHAnsi"/>
          <w:sz w:val="20"/>
        </w:rPr>
        <w:t xml:space="preserve">) </w:t>
      </w:r>
    </w:p>
    <w:p w14:paraId="3CE8C904" w14:textId="0BD147D2" w:rsidR="00336684" w:rsidRPr="002B698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B698D">
        <w:rPr>
          <w:rFonts w:asciiTheme="majorHAnsi" w:hAnsiTheme="majorHAnsi"/>
          <w:sz w:val="20"/>
        </w:rPr>
        <w:t xml:space="preserve">BRS </w:t>
      </w:r>
      <w:r w:rsidRPr="002B698D">
        <w:rPr>
          <w:rFonts w:asciiTheme="majorHAnsi" w:hAnsiTheme="majorHAnsi"/>
          <w:sz w:val="20"/>
        </w:rPr>
        <w:tab/>
        <w:t>Serra (</w:t>
      </w:r>
      <w:r w:rsidRPr="002B698D">
        <w:rPr>
          <w:rFonts w:asciiTheme="majorHAnsi" w:hAnsiTheme="majorHAnsi"/>
          <w:i/>
          <w:sz w:val="20"/>
        </w:rPr>
        <w:t xml:space="preserve">Scomberomorus </w:t>
      </w:r>
      <w:proofErr w:type="spellStart"/>
      <w:r w:rsidRPr="002B698D">
        <w:rPr>
          <w:rFonts w:asciiTheme="majorHAnsi" w:hAnsiTheme="majorHAnsi"/>
          <w:i/>
          <w:sz w:val="20"/>
        </w:rPr>
        <w:t>brasiliensis</w:t>
      </w:r>
      <w:proofErr w:type="spellEnd"/>
      <w:r w:rsidRPr="002B698D">
        <w:rPr>
          <w:rFonts w:asciiTheme="majorHAnsi" w:hAnsiTheme="majorHAnsi"/>
          <w:sz w:val="20"/>
        </w:rPr>
        <w:t>)</w:t>
      </w:r>
    </w:p>
    <w:p w14:paraId="49748495" w14:textId="4BC37E52" w:rsidR="00336684" w:rsidRPr="002B698D" w:rsidRDefault="00336684" w:rsidP="009C29F5">
      <w:pPr>
        <w:pStyle w:val="ListParagraph"/>
        <w:numPr>
          <w:ilvl w:val="0"/>
          <w:numId w:val="5"/>
        </w:numPr>
        <w:tabs>
          <w:tab w:val="left" w:pos="400"/>
        </w:tabs>
        <w:ind w:left="851" w:right="125" w:hanging="425"/>
        <w:rPr>
          <w:rFonts w:asciiTheme="majorHAnsi" w:hAnsiTheme="majorHAnsi"/>
          <w:sz w:val="20"/>
          <w:szCs w:val="20"/>
          <w:lang w:val="it-IT"/>
        </w:rPr>
      </w:pPr>
      <w:r w:rsidRPr="002B698D">
        <w:rPr>
          <w:rFonts w:asciiTheme="majorHAnsi" w:hAnsiTheme="majorHAnsi"/>
          <w:sz w:val="20"/>
          <w:lang w:val="it-IT"/>
        </w:rPr>
        <w:t xml:space="preserve">CER </w:t>
      </w:r>
      <w:r w:rsidRPr="002B698D">
        <w:rPr>
          <w:rFonts w:asciiTheme="majorHAnsi" w:hAnsiTheme="majorHAnsi"/>
          <w:sz w:val="20"/>
          <w:lang w:val="it-IT"/>
        </w:rPr>
        <w:tab/>
      </w:r>
      <w:proofErr w:type="spellStart"/>
      <w:r w:rsidRPr="002B698D">
        <w:rPr>
          <w:rFonts w:asciiTheme="majorHAnsi" w:hAnsiTheme="majorHAnsi"/>
          <w:sz w:val="20"/>
          <w:lang w:val="it-IT"/>
        </w:rPr>
        <w:t>Carite</w:t>
      </w:r>
      <w:proofErr w:type="spellEnd"/>
      <w:r w:rsidRPr="002B698D">
        <w:rPr>
          <w:rFonts w:asciiTheme="majorHAnsi" w:hAnsiTheme="majorHAnsi"/>
          <w:sz w:val="20"/>
          <w:lang w:val="it-IT"/>
        </w:rPr>
        <w:t xml:space="preserve"> chinigua (</w:t>
      </w:r>
      <w:r w:rsidRPr="002B698D">
        <w:rPr>
          <w:rFonts w:asciiTheme="majorHAnsi" w:hAnsiTheme="majorHAnsi"/>
          <w:i/>
          <w:sz w:val="20"/>
          <w:lang w:val="it-IT"/>
        </w:rPr>
        <w:t xml:space="preserve">Scomberomorus </w:t>
      </w:r>
      <w:proofErr w:type="spellStart"/>
      <w:r w:rsidRPr="002B698D">
        <w:rPr>
          <w:rFonts w:asciiTheme="majorHAnsi" w:hAnsiTheme="majorHAnsi"/>
          <w:i/>
          <w:sz w:val="20"/>
          <w:lang w:val="it-IT"/>
        </w:rPr>
        <w:t>regalis</w:t>
      </w:r>
      <w:proofErr w:type="spellEnd"/>
      <w:r w:rsidRPr="002B698D">
        <w:rPr>
          <w:rFonts w:asciiTheme="majorHAnsi" w:hAnsiTheme="majorHAnsi"/>
          <w:sz w:val="20"/>
          <w:lang w:val="it-IT"/>
        </w:rPr>
        <w:t>)</w:t>
      </w:r>
    </w:p>
    <w:p w14:paraId="160F11B6" w14:textId="05680A84" w:rsidR="00336684" w:rsidRPr="002B698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B698D">
        <w:rPr>
          <w:rFonts w:asciiTheme="majorHAnsi" w:hAnsiTheme="majorHAnsi"/>
          <w:sz w:val="20"/>
        </w:rPr>
        <w:t>COM</w:t>
      </w:r>
      <w:r w:rsidRPr="002B698D">
        <w:rPr>
          <w:rFonts w:asciiTheme="majorHAnsi" w:hAnsiTheme="majorHAnsi"/>
          <w:sz w:val="20"/>
        </w:rPr>
        <w:tab/>
        <w:t>Carite estriado indopacífico (</w:t>
      </w:r>
      <w:r w:rsidRPr="002B698D">
        <w:rPr>
          <w:rFonts w:asciiTheme="majorHAnsi" w:hAnsiTheme="majorHAnsi"/>
          <w:i/>
          <w:sz w:val="20"/>
        </w:rPr>
        <w:t xml:space="preserve">Scomberomorus </w:t>
      </w:r>
      <w:r w:rsidR="00D4512E" w:rsidRPr="002B698D">
        <w:rPr>
          <w:rFonts w:asciiTheme="majorHAnsi" w:hAnsiTheme="majorHAnsi"/>
          <w:i/>
          <w:iCs/>
          <w:sz w:val="20"/>
          <w:szCs w:val="20"/>
        </w:rPr>
        <w:t>commerson</w:t>
      </w:r>
      <w:r w:rsidRPr="002B698D">
        <w:rPr>
          <w:rFonts w:asciiTheme="majorHAnsi" w:hAnsiTheme="majorHAnsi"/>
          <w:i/>
          <w:sz w:val="20"/>
        </w:rPr>
        <w:t>)</w:t>
      </w:r>
    </w:p>
    <w:p w14:paraId="5B2734D4" w14:textId="46766CE4" w:rsidR="00336684" w:rsidRPr="002B698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B698D">
        <w:rPr>
          <w:rFonts w:asciiTheme="majorHAnsi" w:hAnsiTheme="majorHAnsi"/>
          <w:sz w:val="20"/>
        </w:rPr>
        <w:t xml:space="preserve">FRI </w:t>
      </w:r>
      <w:r w:rsidRPr="002B698D">
        <w:rPr>
          <w:rFonts w:asciiTheme="majorHAnsi" w:hAnsiTheme="majorHAnsi"/>
          <w:sz w:val="20"/>
        </w:rPr>
        <w:tab/>
        <w:t>Melva (</w:t>
      </w:r>
      <w:proofErr w:type="spellStart"/>
      <w:r w:rsidRPr="002B698D">
        <w:rPr>
          <w:rFonts w:asciiTheme="majorHAnsi" w:hAnsiTheme="majorHAnsi"/>
          <w:i/>
          <w:sz w:val="20"/>
        </w:rPr>
        <w:t>Auxis</w:t>
      </w:r>
      <w:proofErr w:type="spellEnd"/>
      <w:r w:rsidRPr="002B698D">
        <w:rPr>
          <w:rFonts w:asciiTheme="majorHAnsi" w:hAnsiTheme="majorHAnsi"/>
          <w:i/>
          <w:sz w:val="20"/>
        </w:rPr>
        <w:t xml:space="preserve"> </w:t>
      </w:r>
      <w:proofErr w:type="spellStart"/>
      <w:r w:rsidRPr="002B698D">
        <w:rPr>
          <w:rFonts w:asciiTheme="majorHAnsi" w:hAnsiTheme="majorHAnsi"/>
          <w:i/>
          <w:sz w:val="20"/>
        </w:rPr>
        <w:t>thazard</w:t>
      </w:r>
      <w:proofErr w:type="spellEnd"/>
      <w:r w:rsidRPr="002B698D">
        <w:rPr>
          <w:rFonts w:asciiTheme="majorHAnsi" w:hAnsiTheme="majorHAnsi"/>
          <w:sz w:val="20"/>
        </w:rPr>
        <w:t>)</w:t>
      </w:r>
    </w:p>
    <w:p w14:paraId="0A228E53" w14:textId="49AC5BC0" w:rsidR="00336684" w:rsidRPr="002B698D" w:rsidRDefault="00336684" w:rsidP="009C29F5">
      <w:pPr>
        <w:pStyle w:val="ListParagraph"/>
        <w:numPr>
          <w:ilvl w:val="0"/>
          <w:numId w:val="5"/>
        </w:numPr>
        <w:tabs>
          <w:tab w:val="left" w:pos="400"/>
        </w:tabs>
        <w:ind w:left="851" w:right="125" w:hanging="425"/>
        <w:rPr>
          <w:rFonts w:asciiTheme="majorHAnsi" w:hAnsiTheme="majorHAnsi"/>
          <w:sz w:val="20"/>
          <w:szCs w:val="20"/>
          <w:lang w:val="it-IT"/>
        </w:rPr>
      </w:pPr>
      <w:r w:rsidRPr="002B698D">
        <w:rPr>
          <w:rFonts w:asciiTheme="majorHAnsi" w:hAnsiTheme="majorHAnsi"/>
          <w:sz w:val="20"/>
          <w:lang w:val="it-IT"/>
        </w:rPr>
        <w:t>KGM</w:t>
      </w:r>
      <w:r w:rsidRPr="002B698D">
        <w:rPr>
          <w:rFonts w:asciiTheme="majorHAnsi" w:hAnsiTheme="majorHAnsi"/>
          <w:sz w:val="20"/>
          <w:lang w:val="it-IT"/>
        </w:rPr>
        <w:tab/>
      </w:r>
      <w:proofErr w:type="spellStart"/>
      <w:r w:rsidRPr="002B698D">
        <w:rPr>
          <w:rFonts w:asciiTheme="majorHAnsi" w:hAnsiTheme="majorHAnsi"/>
          <w:sz w:val="20"/>
          <w:lang w:val="it-IT"/>
        </w:rPr>
        <w:t>Carite</w:t>
      </w:r>
      <w:proofErr w:type="spellEnd"/>
      <w:r w:rsidRPr="002B698D">
        <w:rPr>
          <w:rFonts w:asciiTheme="majorHAnsi" w:hAnsiTheme="majorHAnsi"/>
          <w:sz w:val="20"/>
          <w:lang w:val="it-IT"/>
        </w:rPr>
        <w:t xml:space="preserve"> </w:t>
      </w:r>
      <w:proofErr w:type="spellStart"/>
      <w:r w:rsidRPr="002B698D">
        <w:rPr>
          <w:rFonts w:asciiTheme="majorHAnsi" w:hAnsiTheme="majorHAnsi"/>
          <w:sz w:val="20"/>
          <w:lang w:val="it-IT"/>
        </w:rPr>
        <w:t>lucio</w:t>
      </w:r>
      <w:proofErr w:type="spellEnd"/>
      <w:r w:rsidRPr="002B698D">
        <w:rPr>
          <w:rFonts w:asciiTheme="majorHAnsi" w:hAnsiTheme="majorHAnsi"/>
          <w:sz w:val="20"/>
          <w:lang w:val="it-IT"/>
        </w:rPr>
        <w:t xml:space="preserve"> (</w:t>
      </w:r>
      <w:r w:rsidRPr="002B698D">
        <w:rPr>
          <w:rFonts w:asciiTheme="majorHAnsi" w:hAnsiTheme="majorHAnsi"/>
          <w:i/>
          <w:sz w:val="20"/>
          <w:lang w:val="it-IT"/>
        </w:rPr>
        <w:t>Scomberomorus cavalla</w:t>
      </w:r>
      <w:r w:rsidRPr="002B698D">
        <w:rPr>
          <w:rFonts w:asciiTheme="majorHAnsi" w:hAnsiTheme="majorHAnsi"/>
          <w:sz w:val="20"/>
          <w:lang w:val="it-IT"/>
        </w:rPr>
        <w:t>)</w:t>
      </w:r>
    </w:p>
    <w:p w14:paraId="6ABAA971" w14:textId="24DCF754" w:rsidR="00336684" w:rsidRPr="002B698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B698D">
        <w:rPr>
          <w:rFonts w:asciiTheme="majorHAnsi" w:hAnsiTheme="majorHAnsi"/>
          <w:sz w:val="20"/>
        </w:rPr>
        <w:t>LTA</w:t>
      </w:r>
      <w:r w:rsidRPr="002B698D">
        <w:rPr>
          <w:rFonts w:asciiTheme="majorHAnsi" w:hAnsiTheme="majorHAnsi"/>
          <w:sz w:val="20"/>
        </w:rPr>
        <w:tab/>
        <w:t>Bacoreta (</w:t>
      </w:r>
      <w:r w:rsidRPr="002B698D">
        <w:rPr>
          <w:rFonts w:asciiTheme="majorHAnsi" w:hAnsiTheme="majorHAnsi"/>
          <w:i/>
          <w:sz w:val="20"/>
        </w:rPr>
        <w:t>Euthynnus alletteratus</w:t>
      </w:r>
      <w:r w:rsidRPr="002B698D">
        <w:rPr>
          <w:rFonts w:asciiTheme="majorHAnsi" w:hAnsiTheme="majorHAnsi"/>
          <w:sz w:val="20"/>
        </w:rPr>
        <w:t>)</w:t>
      </w:r>
    </w:p>
    <w:p w14:paraId="16034319" w14:textId="151C2764" w:rsidR="00336684" w:rsidRPr="002B698D" w:rsidRDefault="00336684" w:rsidP="009C29F5">
      <w:pPr>
        <w:pStyle w:val="ListParagraph"/>
        <w:numPr>
          <w:ilvl w:val="0"/>
          <w:numId w:val="5"/>
        </w:numPr>
        <w:tabs>
          <w:tab w:val="left" w:pos="400"/>
        </w:tabs>
        <w:ind w:left="851" w:right="125" w:hanging="425"/>
        <w:rPr>
          <w:rFonts w:asciiTheme="majorHAnsi" w:hAnsiTheme="majorHAnsi"/>
          <w:sz w:val="20"/>
          <w:szCs w:val="20"/>
          <w:lang w:val="it-IT"/>
        </w:rPr>
      </w:pPr>
      <w:r w:rsidRPr="002B698D">
        <w:rPr>
          <w:rFonts w:asciiTheme="majorHAnsi" w:hAnsiTheme="majorHAnsi"/>
          <w:sz w:val="20"/>
          <w:lang w:val="it-IT"/>
        </w:rPr>
        <w:t xml:space="preserve">MAW </w:t>
      </w:r>
      <w:r w:rsidRPr="002B698D">
        <w:rPr>
          <w:rFonts w:asciiTheme="majorHAnsi" w:hAnsiTheme="majorHAnsi"/>
          <w:sz w:val="20"/>
          <w:lang w:val="it-IT"/>
        </w:rPr>
        <w:tab/>
      </w:r>
      <w:proofErr w:type="spellStart"/>
      <w:r w:rsidRPr="002B698D">
        <w:rPr>
          <w:rFonts w:asciiTheme="majorHAnsi" w:hAnsiTheme="majorHAnsi"/>
          <w:sz w:val="20"/>
          <w:lang w:val="it-IT"/>
        </w:rPr>
        <w:t>Carite</w:t>
      </w:r>
      <w:proofErr w:type="spellEnd"/>
      <w:r w:rsidRPr="002B698D">
        <w:rPr>
          <w:rFonts w:asciiTheme="majorHAnsi" w:hAnsiTheme="majorHAnsi"/>
          <w:sz w:val="20"/>
          <w:lang w:val="it-IT"/>
        </w:rPr>
        <w:t xml:space="preserve"> </w:t>
      </w:r>
      <w:proofErr w:type="spellStart"/>
      <w:r w:rsidRPr="002B698D">
        <w:rPr>
          <w:rFonts w:asciiTheme="majorHAnsi" w:hAnsiTheme="majorHAnsi"/>
          <w:sz w:val="20"/>
          <w:lang w:val="it-IT"/>
        </w:rPr>
        <w:t>lusitánico</w:t>
      </w:r>
      <w:proofErr w:type="spellEnd"/>
      <w:r w:rsidRPr="002B698D">
        <w:rPr>
          <w:rFonts w:asciiTheme="majorHAnsi" w:hAnsiTheme="majorHAnsi"/>
          <w:sz w:val="20"/>
          <w:lang w:val="it-IT"/>
        </w:rPr>
        <w:t xml:space="preserve"> (</w:t>
      </w:r>
      <w:r w:rsidRPr="002B698D">
        <w:rPr>
          <w:rFonts w:asciiTheme="majorHAnsi" w:hAnsiTheme="majorHAnsi"/>
          <w:i/>
          <w:sz w:val="20"/>
          <w:lang w:val="it-IT"/>
        </w:rPr>
        <w:t xml:space="preserve">Scomberomorus </w:t>
      </w:r>
      <w:proofErr w:type="spellStart"/>
      <w:r w:rsidRPr="002B698D">
        <w:rPr>
          <w:rFonts w:asciiTheme="majorHAnsi" w:hAnsiTheme="majorHAnsi"/>
          <w:i/>
          <w:sz w:val="20"/>
          <w:lang w:val="it-IT"/>
        </w:rPr>
        <w:t>tritor</w:t>
      </w:r>
      <w:proofErr w:type="spellEnd"/>
      <w:r w:rsidRPr="002B698D">
        <w:rPr>
          <w:rFonts w:asciiTheme="majorHAnsi" w:hAnsiTheme="majorHAnsi"/>
          <w:sz w:val="20"/>
          <w:lang w:val="it-IT"/>
        </w:rPr>
        <w:t>)</w:t>
      </w:r>
    </w:p>
    <w:p w14:paraId="1631D0E7" w14:textId="06EB8D90" w:rsidR="00336684" w:rsidRPr="002B698D" w:rsidRDefault="00336684" w:rsidP="009C29F5">
      <w:pPr>
        <w:pStyle w:val="ListParagraph"/>
        <w:numPr>
          <w:ilvl w:val="0"/>
          <w:numId w:val="5"/>
        </w:numPr>
        <w:tabs>
          <w:tab w:val="left" w:pos="400"/>
        </w:tabs>
        <w:ind w:left="851" w:right="125" w:hanging="425"/>
        <w:rPr>
          <w:rFonts w:asciiTheme="majorHAnsi" w:hAnsiTheme="majorHAnsi"/>
          <w:sz w:val="20"/>
          <w:szCs w:val="20"/>
          <w:lang w:val="en-US"/>
        </w:rPr>
      </w:pPr>
      <w:r w:rsidRPr="002B698D">
        <w:rPr>
          <w:rFonts w:asciiTheme="majorHAnsi" w:hAnsiTheme="majorHAnsi"/>
          <w:sz w:val="20"/>
          <w:lang w:val="en-US"/>
        </w:rPr>
        <w:t xml:space="preserve">SSM </w:t>
      </w:r>
      <w:r w:rsidRPr="002B698D">
        <w:rPr>
          <w:rFonts w:asciiTheme="majorHAnsi" w:hAnsiTheme="majorHAnsi"/>
          <w:sz w:val="20"/>
          <w:lang w:val="en-US"/>
        </w:rPr>
        <w:tab/>
        <w:t xml:space="preserve">Carite </w:t>
      </w:r>
      <w:proofErr w:type="spellStart"/>
      <w:r w:rsidRPr="002B698D">
        <w:rPr>
          <w:rFonts w:asciiTheme="majorHAnsi" w:hAnsiTheme="majorHAnsi"/>
          <w:sz w:val="20"/>
          <w:lang w:val="en-US"/>
        </w:rPr>
        <w:t>atlántico</w:t>
      </w:r>
      <w:proofErr w:type="spellEnd"/>
      <w:r w:rsidRPr="002B698D">
        <w:rPr>
          <w:rFonts w:asciiTheme="majorHAnsi" w:hAnsiTheme="majorHAnsi"/>
          <w:sz w:val="20"/>
          <w:lang w:val="en-US"/>
        </w:rPr>
        <w:t xml:space="preserve"> (</w:t>
      </w:r>
      <w:r w:rsidRPr="002B698D">
        <w:rPr>
          <w:rFonts w:asciiTheme="majorHAnsi" w:hAnsiTheme="majorHAnsi"/>
          <w:i/>
          <w:sz w:val="20"/>
          <w:lang w:val="en-US"/>
        </w:rPr>
        <w:t>Scomberomorus maculatus</w:t>
      </w:r>
      <w:r w:rsidRPr="002B698D">
        <w:rPr>
          <w:rFonts w:asciiTheme="majorHAnsi" w:hAnsiTheme="majorHAnsi"/>
          <w:sz w:val="20"/>
          <w:lang w:val="en-US"/>
        </w:rPr>
        <w:t>)</w:t>
      </w:r>
    </w:p>
    <w:p w14:paraId="22FF1216" w14:textId="3CA022C1" w:rsidR="00F11E28" w:rsidRPr="002B698D" w:rsidRDefault="00336684" w:rsidP="009C29F5">
      <w:pPr>
        <w:pStyle w:val="ListParagraph"/>
        <w:numPr>
          <w:ilvl w:val="0"/>
          <w:numId w:val="5"/>
        </w:numPr>
        <w:tabs>
          <w:tab w:val="left" w:pos="400"/>
        </w:tabs>
        <w:ind w:left="851" w:right="125" w:hanging="425"/>
        <w:rPr>
          <w:rFonts w:asciiTheme="majorHAnsi" w:hAnsiTheme="majorHAnsi"/>
          <w:sz w:val="20"/>
        </w:rPr>
      </w:pPr>
      <w:r w:rsidRPr="002B698D">
        <w:rPr>
          <w:rFonts w:asciiTheme="majorHAnsi" w:hAnsiTheme="majorHAnsi"/>
          <w:sz w:val="20"/>
        </w:rPr>
        <w:t>WAH</w:t>
      </w:r>
      <w:r w:rsidRPr="002B698D">
        <w:rPr>
          <w:rFonts w:asciiTheme="majorHAnsi" w:hAnsiTheme="majorHAnsi"/>
          <w:sz w:val="20"/>
        </w:rPr>
        <w:tab/>
        <w:t>Peto (</w:t>
      </w:r>
      <w:proofErr w:type="spellStart"/>
      <w:r w:rsidRPr="002B698D">
        <w:rPr>
          <w:rFonts w:asciiTheme="majorHAnsi" w:hAnsiTheme="majorHAnsi"/>
          <w:i/>
          <w:sz w:val="20"/>
        </w:rPr>
        <w:t>Acanthocybium</w:t>
      </w:r>
      <w:proofErr w:type="spellEnd"/>
      <w:r w:rsidRPr="002B698D">
        <w:rPr>
          <w:rFonts w:asciiTheme="majorHAnsi" w:hAnsiTheme="majorHAnsi"/>
          <w:i/>
          <w:sz w:val="20"/>
        </w:rPr>
        <w:t xml:space="preserve"> </w:t>
      </w:r>
      <w:proofErr w:type="spellStart"/>
      <w:r w:rsidRPr="002B698D">
        <w:rPr>
          <w:rFonts w:asciiTheme="majorHAnsi" w:hAnsiTheme="majorHAnsi"/>
          <w:i/>
          <w:sz w:val="20"/>
        </w:rPr>
        <w:t>solandri</w:t>
      </w:r>
      <w:proofErr w:type="spellEnd"/>
      <w:r w:rsidRPr="002B698D">
        <w:rPr>
          <w:rFonts w:asciiTheme="majorHAnsi" w:hAnsiTheme="majorHAnsi"/>
          <w:sz w:val="20"/>
        </w:rPr>
        <w:t>)</w:t>
      </w:r>
    </w:p>
    <w:p w14:paraId="6662087F" w14:textId="77777777" w:rsidR="00F11E28" w:rsidRPr="002B698D" w:rsidRDefault="00F11E28">
      <w:pPr>
        <w:rPr>
          <w:rFonts w:asciiTheme="majorHAnsi" w:hAnsiTheme="majorHAnsi"/>
          <w:sz w:val="20"/>
        </w:rPr>
      </w:pPr>
      <w:r w:rsidRPr="002B698D">
        <w:rPr>
          <w:rFonts w:asciiTheme="majorHAnsi" w:hAnsiTheme="majorHAnsi"/>
          <w:sz w:val="20"/>
        </w:rPr>
        <w:br w:type="page"/>
      </w:r>
    </w:p>
    <w:p w14:paraId="3624CB83" w14:textId="716B4FAC" w:rsidR="00336684" w:rsidRPr="002B698D" w:rsidRDefault="00336684" w:rsidP="00F11E28">
      <w:pPr>
        <w:tabs>
          <w:tab w:val="left" w:pos="400"/>
        </w:tabs>
        <w:ind w:right="125"/>
        <w:rPr>
          <w:rFonts w:asciiTheme="majorHAnsi" w:hAnsiTheme="majorHAnsi"/>
          <w:sz w:val="20"/>
          <w:szCs w:val="20"/>
        </w:rPr>
      </w:pPr>
    </w:p>
    <w:p w14:paraId="382C30F5" w14:textId="7CDF1B2C" w:rsidR="00F11E28" w:rsidRPr="00A36451" w:rsidRDefault="00F11E28" w:rsidP="00F11E28">
      <w:pPr>
        <w:tabs>
          <w:tab w:val="left" w:pos="400"/>
        </w:tabs>
        <w:ind w:right="125"/>
        <w:jc w:val="right"/>
        <w:rPr>
          <w:rFonts w:asciiTheme="majorHAnsi" w:hAnsiTheme="majorHAnsi"/>
          <w:b/>
          <w:bCs/>
          <w:sz w:val="20"/>
          <w:szCs w:val="20"/>
          <w:u w:val="single"/>
        </w:rPr>
      </w:pPr>
      <w:r w:rsidRPr="00A36451">
        <w:rPr>
          <w:rFonts w:asciiTheme="majorHAnsi" w:hAnsiTheme="majorHAnsi"/>
          <w:b/>
          <w:bCs/>
          <w:sz w:val="20"/>
          <w:szCs w:val="20"/>
          <w:u w:val="single"/>
        </w:rPr>
        <w:t>Anexo 2</w:t>
      </w:r>
    </w:p>
    <w:p w14:paraId="600B9BA7" w14:textId="77777777" w:rsidR="00A36451" w:rsidRPr="00A36451" w:rsidRDefault="00A36451" w:rsidP="00F11E28">
      <w:pPr>
        <w:tabs>
          <w:tab w:val="left" w:pos="400"/>
        </w:tabs>
        <w:ind w:right="125"/>
        <w:jc w:val="right"/>
        <w:rPr>
          <w:rFonts w:asciiTheme="majorHAnsi" w:hAnsiTheme="majorHAnsi"/>
          <w:b/>
          <w:bCs/>
          <w:sz w:val="20"/>
          <w:szCs w:val="20"/>
          <w:u w:val="single"/>
        </w:rPr>
      </w:pPr>
    </w:p>
    <w:p w14:paraId="368341D7" w14:textId="77777777" w:rsidR="00A36451" w:rsidRPr="00A36451" w:rsidRDefault="00A36451" w:rsidP="00F11E28">
      <w:pPr>
        <w:tabs>
          <w:tab w:val="left" w:pos="400"/>
        </w:tabs>
        <w:ind w:right="125"/>
        <w:jc w:val="right"/>
        <w:rPr>
          <w:rFonts w:asciiTheme="majorHAnsi" w:hAnsiTheme="majorHAnsi"/>
          <w:b/>
          <w:bCs/>
          <w:sz w:val="20"/>
          <w:szCs w:val="20"/>
          <w:u w:val="single"/>
        </w:rPr>
      </w:pPr>
    </w:p>
    <w:p w14:paraId="5BD40619" w14:textId="77777777" w:rsidR="00A36451" w:rsidRPr="00A36451" w:rsidRDefault="00A36451" w:rsidP="00F11E28">
      <w:pPr>
        <w:tabs>
          <w:tab w:val="left" w:pos="400"/>
        </w:tabs>
        <w:ind w:right="125"/>
        <w:jc w:val="right"/>
        <w:rPr>
          <w:rFonts w:asciiTheme="majorHAnsi" w:hAnsiTheme="majorHAnsi"/>
          <w:b/>
          <w:bCs/>
          <w:sz w:val="20"/>
          <w:szCs w:val="20"/>
          <w:u w:val="single"/>
        </w:rPr>
      </w:pPr>
    </w:p>
    <w:p w14:paraId="02BC7CC3" w14:textId="5F2BFC01" w:rsidR="00A36451" w:rsidRPr="00A36451" w:rsidRDefault="00A36451" w:rsidP="00A36451">
      <w:pPr>
        <w:tabs>
          <w:tab w:val="left" w:pos="400"/>
        </w:tabs>
        <w:ind w:right="125"/>
        <w:jc w:val="center"/>
        <w:rPr>
          <w:rFonts w:asciiTheme="majorHAnsi" w:hAnsiTheme="majorHAnsi"/>
          <w:b/>
          <w:bCs/>
          <w:sz w:val="20"/>
          <w:szCs w:val="20"/>
          <w:u w:val="single"/>
          <w:lang w:val="pt-BR"/>
        </w:rPr>
      </w:pPr>
      <w:r w:rsidRPr="00A36451">
        <w:rPr>
          <w:rFonts w:asciiTheme="majorHAnsi" w:hAnsiTheme="majorHAnsi"/>
          <w:b/>
          <w:bCs/>
          <w:sz w:val="20"/>
          <w:szCs w:val="20"/>
          <w:u w:val="single"/>
          <w:lang w:val="pt-BR"/>
        </w:rPr>
        <w:t>Lista de</w:t>
      </w:r>
      <w:r w:rsidR="009C5C7C">
        <w:rPr>
          <w:rFonts w:asciiTheme="majorHAnsi" w:hAnsiTheme="majorHAnsi"/>
          <w:b/>
          <w:bCs/>
          <w:sz w:val="20"/>
          <w:szCs w:val="20"/>
          <w:u w:val="single"/>
          <w:lang w:val="pt-BR"/>
        </w:rPr>
        <w:t xml:space="preserve"> especies</w:t>
      </w:r>
      <w:r w:rsidRPr="00A36451">
        <w:rPr>
          <w:rFonts w:asciiTheme="majorHAnsi" w:hAnsiTheme="majorHAnsi"/>
          <w:b/>
          <w:bCs/>
          <w:sz w:val="20"/>
          <w:szCs w:val="20"/>
          <w:u w:val="single"/>
          <w:lang w:val="pt-BR"/>
        </w:rPr>
        <w:t xml:space="preserve"> </w:t>
      </w:r>
      <w:r w:rsidR="009C5C7C">
        <w:rPr>
          <w:rFonts w:asciiTheme="majorHAnsi" w:hAnsiTheme="majorHAnsi"/>
          <w:b/>
          <w:bCs/>
          <w:sz w:val="20"/>
          <w:szCs w:val="20"/>
          <w:u w:val="single"/>
          <w:lang w:val="pt-BR"/>
        </w:rPr>
        <w:t xml:space="preserve">de </w:t>
      </w:r>
      <w:r w:rsidRPr="00A36451">
        <w:rPr>
          <w:rFonts w:asciiTheme="majorHAnsi" w:hAnsiTheme="majorHAnsi"/>
          <w:b/>
          <w:bCs/>
          <w:sz w:val="20"/>
          <w:szCs w:val="20"/>
          <w:u w:val="single"/>
          <w:lang w:val="pt-BR"/>
        </w:rPr>
        <w:t>grandes pelágicos de ICCAT</w:t>
      </w:r>
    </w:p>
    <w:p w14:paraId="4283FB40" w14:textId="77777777" w:rsidR="00F11E28" w:rsidRPr="00A36451" w:rsidRDefault="00F11E28" w:rsidP="00F11E28">
      <w:pPr>
        <w:tabs>
          <w:tab w:val="left" w:pos="400"/>
        </w:tabs>
        <w:ind w:right="125"/>
        <w:jc w:val="right"/>
        <w:rPr>
          <w:rFonts w:asciiTheme="majorHAnsi" w:hAnsiTheme="majorHAnsi"/>
          <w:sz w:val="20"/>
          <w:szCs w:val="20"/>
          <w:u w:val="single"/>
          <w:lang w:val="pt-BR"/>
        </w:rPr>
      </w:pPr>
    </w:p>
    <w:p w14:paraId="3365A120" w14:textId="77777777" w:rsidR="00F11E28" w:rsidRPr="00A36451" w:rsidRDefault="00F11E28" w:rsidP="00F11E28">
      <w:pPr>
        <w:tabs>
          <w:tab w:val="left" w:pos="400"/>
        </w:tabs>
        <w:ind w:right="125"/>
        <w:jc w:val="right"/>
        <w:rPr>
          <w:rFonts w:asciiTheme="majorHAnsi" w:hAnsiTheme="majorHAnsi"/>
          <w:sz w:val="20"/>
          <w:szCs w:val="20"/>
          <w:u w:val="single"/>
          <w:lang w:val="pt-BR"/>
        </w:rPr>
      </w:pPr>
    </w:p>
    <w:tbl>
      <w:tblPr>
        <w:tblW w:w="9005" w:type="dxa"/>
        <w:tblCellMar>
          <w:left w:w="70" w:type="dxa"/>
          <w:right w:w="70" w:type="dxa"/>
        </w:tblCellMar>
        <w:tblLook w:val="04A0" w:firstRow="1" w:lastRow="0" w:firstColumn="1" w:lastColumn="0" w:noHBand="0" w:noVBand="1"/>
      </w:tblPr>
      <w:tblGrid>
        <w:gridCol w:w="1418"/>
        <w:gridCol w:w="3544"/>
        <w:gridCol w:w="4043"/>
      </w:tblGrid>
      <w:tr w:rsidR="0051223F" w:rsidRPr="00A36451" w14:paraId="76D86F3C" w14:textId="77777777" w:rsidTr="0051223F">
        <w:trPr>
          <w:trHeight w:val="290"/>
        </w:trPr>
        <w:tc>
          <w:tcPr>
            <w:tcW w:w="1418" w:type="dxa"/>
            <w:tcBorders>
              <w:top w:val="nil"/>
              <w:left w:val="nil"/>
              <w:bottom w:val="nil"/>
              <w:right w:val="nil"/>
            </w:tcBorders>
            <w:vAlign w:val="bottom"/>
          </w:tcPr>
          <w:p w14:paraId="2DEFE48E" w14:textId="77777777"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BFT</w:t>
            </w:r>
          </w:p>
        </w:tc>
        <w:tc>
          <w:tcPr>
            <w:tcW w:w="3544" w:type="dxa"/>
            <w:tcBorders>
              <w:top w:val="nil"/>
              <w:left w:val="nil"/>
              <w:bottom w:val="nil"/>
              <w:right w:val="nil"/>
            </w:tcBorders>
            <w:noWrap/>
            <w:vAlign w:val="bottom"/>
            <w:hideMark/>
          </w:tcPr>
          <w:p w14:paraId="671FD97A" w14:textId="33619865"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rPr>
              <w:t>Atún rojo del Atlántico</w:t>
            </w:r>
          </w:p>
        </w:tc>
        <w:tc>
          <w:tcPr>
            <w:tcW w:w="4043" w:type="dxa"/>
            <w:tcBorders>
              <w:top w:val="nil"/>
              <w:left w:val="nil"/>
              <w:bottom w:val="nil"/>
              <w:right w:val="nil"/>
            </w:tcBorders>
            <w:noWrap/>
            <w:vAlign w:val="bottom"/>
            <w:hideMark/>
          </w:tcPr>
          <w:p w14:paraId="4BE6F882" w14:textId="77777777" w:rsidR="0051223F" w:rsidRPr="00A36451" w:rsidRDefault="0051223F" w:rsidP="0051223F">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Thunnus thynnus</w:t>
            </w:r>
          </w:p>
        </w:tc>
      </w:tr>
      <w:tr w:rsidR="0051223F" w:rsidRPr="00A36451" w14:paraId="2C06002B" w14:textId="77777777" w:rsidTr="0051223F">
        <w:trPr>
          <w:trHeight w:val="290"/>
        </w:trPr>
        <w:tc>
          <w:tcPr>
            <w:tcW w:w="1418" w:type="dxa"/>
            <w:tcBorders>
              <w:top w:val="nil"/>
              <w:left w:val="nil"/>
              <w:bottom w:val="nil"/>
              <w:right w:val="nil"/>
            </w:tcBorders>
            <w:vAlign w:val="bottom"/>
          </w:tcPr>
          <w:p w14:paraId="68305318" w14:textId="77777777"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YFT</w:t>
            </w:r>
          </w:p>
        </w:tc>
        <w:tc>
          <w:tcPr>
            <w:tcW w:w="3544" w:type="dxa"/>
            <w:tcBorders>
              <w:top w:val="nil"/>
              <w:left w:val="nil"/>
              <w:bottom w:val="nil"/>
              <w:right w:val="nil"/>
            </w:tcBorders>
            <w:noWrap/>
            <w:vAlign w:val="bottom"/>
            <w:hideMark/>
          </w:tcPr>
          <w:p w14:paraId="20F0BB21" w14:textId="6949DC2D"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rPr>
              <w:t>Rabil</w:t>
            </w:r>
          </w:p>
        </w:tc>
        <w:tc>
          <w:tcPr>
            <w:tcW w:w="4043" w:type="dxa"/>
            <w:tcBorders>
              <w:top w:val="nil"/>
              <w:left w:val="nil"/>
              <w:bottom w:val="nil"/>
              <w:right w:val="nil"/>
            </w:tcBorders>
            <w:noWrap/>
            <w:vAlign w:val="bottom"/>
            <w:hideMark/>
          </w:tcPr>
          <w:p w14:paraId="4E479AAF" w14:textId="77777777" w:rsidR="0051223F" w:rsidRPr="00A36451" w:rsidRDefault="0051223F" w:rsidP="0051223F">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Thunnus albacares</w:t>
            </w:r>
          </w:p>
        </w:tc>
      </w:tr>
      <w:tr w:rsidR="0051223F" w:rsidRPr="00A36451" w14:paraId="7FB45C46" w14:textId="77777777" w:rsidTr="0051223F">
        <w:trPr>
          <w:trHeight w:val="290"/>
        </w:trPr>
        <w:tc>
          <w:tcPr>
            <w:tcW w:w="1418" w:type="dxa"/>
            <w:tcBorders>
              <w:top w:val="nil"/>
              <w:left w:val="nil"/>
              <w:bottom w:val="nil"/>
              <w:right w:val="nil"/>
            </w:tcBorders>
            <w:vAlign w:val="bottom"/>
          </w:tcPr>
          <w:p w14:paraId="7D414E3B" w14:textId="77777777"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ALB</w:t>
            </w:r>
          </w:p>
        </w:tc>
        <w:tc>
          <w:tcPr>
            <w:tcW w:w="3544" w:type="dxa"/>
            <w:tcBorders>
              <w:top w:val="nil"/>
              <w:left w:val="nil"/>
              <w:bottom w:val="nil"/>
              <w:right w:val="nil"/>
            </w:tcBorders>
            <w:noWrap/>
            <w:vAlign w:val="bottom"/>
            <w:hideMark/>
          </w:tcPr>
          <w:p w14:paraId="4D631AC1" w14:textId="35AC77BE"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rPr>
              <w:t>Atún blanco</w:t>
            </w:r>
          </w:p>
        </w:tc>
        <w:tc>
          <w:tcPr>
            <w:tcW w:w="4043" w:type="dxa"/>
            <w:tcBorders>
              <w:top w:val="nil"/>
              <w:left w:val="nil"/>
              <w:bottom w:val="nil"/>
              <w:right w:val="nil"/>
            </w:tcBorders>
            <w:noWrap/>
            <w:vAlign w:val="bottom"/>
            <w:hideMark/>
          </w:tcPr>
          <w:p w14:paraId="6E06388D" w14:textId="77777777" w:rsidR="0051223F" w:rsidRPr="00A36451" w:rsidRDefault="0051223F" w:rsidP="0051223F">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 xml:space="preserve">Thunnus </w:t>
            </w:r>
            <w:proofErr w:type="spellStart"/>
            <w:r w:rsidRPr="00A36451">
              <w:rPr>
                <w:rFonts w:asciiTheme="majorHAnsi" w:hAnsiTheme="majorHAnsi" w:cs="Calibri"/>
                <w:i/>
                <w:iCs/>
                <w:sz w:val="20"/>
                <w:szCs w:val="20"/>
                <w:u w:val="single"/>
                <w:lang w:eastAsia="fr-FR"/>
              </w:rPr>
              <w:t>alalunga</w:t>
            </w:r>
            <w:proofErr w:type="spellEnd"/>
          </w:p>
        </w:tc>
      </w:tr>
      <w:tr w:rsidR="0051223F" w:rsidRPr="00A36451" w14:paraId="7E1E1371" w14:textId="77777777" w:rsidTr="0051223F">
        <w:trPr>
          <w:trHeight w:val="290"/>
        </w:trPr>
        <w:tc>
          <w:tcPr>
            <w:tcW w:w="1418" w:type="dxa"/>
            <w:tcBorders>
              <w:top w:val="nil"/>
              <w:left w:val="nil"/>
              <w:bottom w:val="nil"/>
              <w:right w:val="nil"/>
            </w:tcBorders>
            <w:vAlign w:val="bottom"/>
          </w:tcPr>
          <w:p w14:paraId="4544EEBA" w14:textId="77777777"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BET</w:t>
            </w:r>
          </w:p>
        </w:tc>
        <w:tc>
          <w:tcPr>
            <w:tcW w:w="3544" w:type="dxa"/>
            <w:tcBorders>
              <w:top w:val="nil"/>
              <w:left w:val="nil"/>
              <w:bottom w:val="nil"/>
              <w:right w:val="nil"/>
            </w:tcBorders>
            <w:noWrap/>
            <w:vAlign w:val="bottom"/>
            <w:hideMark/>
          </w:tcPr>
          <w:p w14:paraId="008734CF" w14:textId="58E6D3E4"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rPr>
              <w:t>Patudo</w:t>
            </w:r>
          </w:p>
        </w:tc>
        <w:tc>
          <w:tcPr>
            <w:tcW w:w="4043" w:type="dxa"/>
            <w:tcBorders>
              <w:top w:val="nil"/>
              <w:left w:val="nil"/>
              <w:bottom w:val="nil"/>
              <w:right w:val="nil"/>
            </w:tcBorders>
            <w:noWrap/>
            <w:vAlign w:val="bottom"/>
            <w:hideMark/>
          </w:tcPr>
          <w:p w14:paraId="5E019781" w14:textId="77777777" w:rsidR="0051223F" w:rsidRPr="00A36451" w:rsidRDefault="0051223F" w:rsidP="0051223F">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Thunnus obesus</w:t>
            </w:r>
          </w:p>
        </w:tc>
      </w:tr>
      <w:tr w:rsidR="0051223F" w:rsidRPr="00A36451" w14:paraId="61D15D88" w14:textId="77777777" w:rsidTr="0051223F">
        <w:trPr>
          <w:trHeight w:val="290"/>
        </w:trPr>
        <w:tc>
          <w:tcPr>
            <w:tcW w:w="1418" w:type="dxa"/>
            <w:tcBorders>
              <w:top w:val="nil"/>
              <w:left w:val="nil"/>
              <w:bottom w:val="nil"/>
              <w:right w:val="nil"/>
            </w:tcBorders>
            <w:vAlign w:val="bottom"/>
          </w:tcPr>
          <w:p w14:paraId="62DCCAB6" w14:textId="77777777"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SKJ</w:t>
            </w:r>
          </w:p>
        </w:tc>
        <w:tc>
          <w:tcPr>
            <w:tcW w:w="3544" w:type="dxa"/>
            <w:tcBorders>
              <w:top w:val="nil"/>
              <w:left w:val="nil"/>
              <w:bottom w:val="nil"/>
              <w:right w:val="nil"/>
            </w:tcBorders>
            <w:noWrap/>
            <w:vAlign w:val="bottom"/>
            <w:hideMark/>
          </w:tcPr>
          <w:p w14:paraId="4B59A147" w14:textId="1D95A59A"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rPr>
              <w:t>Listado</w:t>
            </w:r>
          </w:p>
        </w:tc>
        <w:tc>
          <w:tcPr>
            <w:tcW w:w="4043" w:type="dxa"/>
            <w:tcBorders>
              <w:top w:val="nil"/>
              <w:left w:val="nil"/>
              <w:bottom w:val="nil"/>
              <w:right w:val="nil"/>
            </w:tcBorders>
            <w:noWrap/>
            <w:vAlign w:val="bottom"/>
            <w:hideMark/>
          </w:tcPr>
          <w:p w14:paraId="488CEF9E" w14:textId="77777777" w:rsidR="0051223F" w:rsidRPr="00A36451" w:rsidRDefault="0051223F" w:rsidP="0051223F">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Katsuwonus</w:t>
            </w:r>
            <w:proofErr w:type="spellEnd"/>
            <w:r w:rsidRPr="00A36451">
              <w:rPr>
                <w:rFonts w:asciiTheme="majorHAnsi" w:hAnsiTheme="majorHAnsi" w:cs="Calibri"/>
                <w:i/>
                <w:iCs/>
                <w:sz w:val="20"/>
                <w:szCs w:val="20"/>
                <w:u w:val="single"/>
                <w:lang w:eastAsia="fr-FR"/>
              </w:rPr>
              <w:t xml:space="preserve"> pelamis</w:t>
            </w:r>
          </w:p>
        </w:tc>
      </w:tr>
      <w:tr w:rsidR="0051223F" w:rsidRPr="00A36451" w14:paraId="795289BB" w14:textId="77777777" w:rsidTr="0051223F">
        <w:trPr>
          <w:trHeight w:val="290"/>
        </w:trPr>
        <w:tc>
          <w:tcPr>
            <w:tcW w:w="1418" w:type="dxa"/>
            <w:tcBorders>
              <w:top w:val="nil"/>
              <w:left w:val="nil"/>
              <w:bottom w:val="nil"/>
              <w:right w:val="nil"/>
            </w:tcBorders>
            <w:vAlign w:val="bottom"/>
          </w:tcPr>
          <w:p w14:paraId="37FE2224" w14:textId="77777777"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SAI</w:t>
            </w:r>
          </w:p>
        </w:tc>
        <w:tc>
          <w:tcPr>
            <w:tcW w:w="3544" w:type="dxa"/>
            <w:tcBorders>
              <w:top w:val="nil"/>
              <w:left w:val="nil"/>
              <w:bottom w:val="nil"/>
              <w:right w:val="nil"/>
            </w:tcBorders>
            <w:noWrap/>
            <w:vAlign w:val="bottom"/>
            <w:hideMark/>
          </w:tcPr>
          <w:p w14:paraId="2B70A2F6" w14:textId="1796D1AB"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rPr>
              <w:t>Pez vela del Atlántico</w:t>
            </w:r>
          </w:p>
        </w:tc>
        <w:tc>
          <w:tcPr>
            <w:tcW w:w="4043" w:type="dxa"/>
            <w:tcBorders>
              <w:top w:val="nil"/>
              <w:left w:val="nil"/>
              <w:bottom w:val="nil"/>
              <w:right w:val="nil"/>
            </w:tcBorders>
            <w:noWrap/>
            <w:vAlign w:val="bottom"/>
            <w:hideMark/>
          </w:tcPr>
          <w:p w14:paraId="1B286FB7" w14:textId="77777777" w:rsidR="0051223F" w:rsidRPr="00A36451" w:rsidRDefault="0051223F" w:rsidP="0051223F">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Istiophorus albicans/ Istiophorus platypterus</w:t>
            </w:r>
          </w:p>
        </w:tc>
      </w:tr>
      <w:tr w:rsidR="0051223F" w:rsidRPr="00A36451" w14:paraId="65942F9E" w14:textId="77777777" w:rsidTr="0051223F">
        <w:trPr>
          <w:trHeight w:val="290"/>
        </w:trPr>
        <w:tc>
          <w:tcPr>
            <w:tcW w:w="1418" w:type="dxa"/>
            <w:tcBorders>
              <w:top w:val="nil"/>
              <w:left w:val="nil"/>
              <w:bottom w:val="nil"/>
              <w:right w:val="nil"/>
            </w:tcBorders>
            <w:vAlign w:val="bottom"/>
          </w:tcPr>
          <w:p w14:paraId="6E7ACB5C" w14:textId="77777777"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BUM</w:t>
            </w:r>
          </w:p>
        </w:tc>
        <w:tc>
          <w:tcPr>
            <w:tcW w:w="3544" w:type="dxa"/>
            <w:tcBorders>
              <w:top w:val="nil"/>
              <w:left w:val="nil"/>
              <w:bottom w:val="nil"/>
              <w:right w:val="nil"/>
            </w:tcBorders>
            <w:noWrap/>
            <w:vAlign w:val="bottom"/>
            <w:hideMark/>
          </w:tcPr>
          <w:p w14:paraId="77D86F25" w14:textId="74F0C110"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rPr>
              <w:t>Aguja azul</w:t>
            </w:r>
          </w:p>
        </w:tc>
        <w:tc>
          <w:tcPr>
            <w:tcW w:w="4043" w:type="dxa"/>
            <w:tcBorders>
              <w:top w:val="nil"/>
              <w:left w:val="nil"/>
              <w:bottom w:val="nil"/>
              <w:right w:val="nil"/>
            </w:tcBorders>
            <w:noWrap/>
            <w:vAlign w:val="bottom"/>
            <w:hideMark/>
          </w:tcPr>
          <w:p w14:paraId="452CDFD8" w14:textId="77777777" w:rsidR="0051223F" w:rsidRPr="00A36451" w:rsidRDefault="0051223F" w:rsidP="0051223F">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Makaira nigricans</w:t>
            </w:r>
          </w:p>
        </w:tc>
      </w:tr>
      <w:tr w:rsidR="0051223F" w:rsidRPr="00A36451" w14:paraId="21925122" w14:textId="77777777" w:rsidTr="0051223F">
        <w:trPr>
          <w:trHeight w:val="290"/>
        </w:trPr>
        <w:tc>
          <w:tcPr>
            <w:tcW w:w="1418" w:type="dxa"/>
            <w:tcBorders>
              <w:top w:val="nil"/>
              <w:left w:val="nil"/>
              <w:bottom w:val="nil"/>
              <w:right w:val="nil"/>
            </w:tcBorders>
            <w:vAlign w:val="bottom"/>
          </w:tcPr>
          <w:p w14:paraId="00F3AB8D" w14:textId="77777777"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WHM</w:t>
            </w:r>
          </w:p>
        </w:tc>
        <w:tc>
          <w:tcPr>
            <w:tcW w:w="3544" w:type="dxa"/>
            <w:tcBorders>
              <w:top w:val="nil"/>
              <w:left w:val="nil"/>
              <w:bottom w:val="nil"/>
              <w:right w:val="nil"/>
            </w:tcBorders>
            <w:noWrap/>
            <w:vAlign w:val="bottom"/>
            <w:hideMark/>
          </w:tcPr>
          <w:p w14:paraId="1F08E9F6" w14:textId="4462A3D3" w:rsidR="0051223F" w:rsidRPr="00A36451" w:rsidRDefault="0051223F" w:rsidP="0051223F">
            <w:pPr>
              <w:rPr>
                <w:rFonts w:asciiTheme="majorHAnsi" w:hAnsiTheme="majorHAnsi" w:cs="Calibri"/>
                <w:sz w:val="20"/>
                <w:szCs w:val="20"/>
                <w:u w:val="single"/>
                <w:lang w:eastAsia="fr-FR"/>
              </w:rPr>
            </w:pPr>
            <w:r w:rsidRPr="00A36451">
              <w:rPr>
                <w:rFonts w:asciiTheme="majorHAnsi" w:hAnsiTheme="majorHAnsi" w:cs="Calibri"/>
                <w:sz w:val="20"/>
                <w:szCs w:val="20"/>
                <w:u w:val="single"/>
              </w:rPr>
              <w:t>Aguja blanca del Atlántico</w:t>
            </w:r>
          </w:p>
        </w:tc>
        <w:tc>
          <w:tcPr>
            <w:tcW w:w="4043" w:type="dxa"/>
            <w:tcBorders>
              <w:top w:val="nil"/>
              <w:left w:val="nil"/>
              <w:bottom w:val="nil"/>
              <w:right w:val="nil"/>
            </w:tcBorders>
            <w:noWrap/>
            <w:vAlign w:val="bottom"/>
            <w:hideMark/>
          </w:tcPr>
          <w:p w14:paraId="34043C84" w14:textId="77777777" w:rsidR="0051223F" w:rsidRPr="00A36451" w:rsidRDefault="0051223F" w:rsidP="0051223F">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Tetrapterus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albidus</w:t>
            </w:r>
            <w:proofErr w:type="spellEnd"/>
            <w:r w:rsidRPr="00A36451">
              <w:rPr>
                <w:rFonts w:asciiTheme="majorHAnsi" w:hAnsiTheme="majorHAnsi" w:cs="Calibri"/>
                <w:i/>
                <w:iCs/>
                <w:sz w:val="20"/>
                <w:szCs w:val="20"/>
                <w:u w:val="single"/>
                <w:lang w:eastAsia="fr-FR"/>
              </w:rPr>
              <w:t>/Kajikia albida</w:t>
            </w:r>
          </w:p>
        </w:tc>
      </w:tr>
      <w:tr w:rsidR="002B698D" w:rsidRPr="00A36451" w14:paraId="329AD3C0" w14:textId="77777777" w:rsidTr="0051223F">
        <w:trPr>
          <w:trHeight w:val="290"/>
        </w:trPr>
        <w:tc>
          <w:tcPr>
            <w:tcW w:w="1418" w:type="dxa"/>
            <w:tcBorders>
              <w:top w:val="nil"/>
              <w:left w:val="nil"/>
              <w:bottom w:val="nil"/>
              <w:right w:val="nil"/>
            </w:tcBorders>
            <w:vAlign w:val="bottom"/>
          </w:tcPr>
          <w:p w14:paraId="053F57E4"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SWO</w:t>
            </w:r>
          </w:p>
        </w:tc>
        <w:tc>
          <w:tcPr>
            <w:tcW w:w="3544" w:type="dxa"/>
            <w:tcBorders>
              <w:top w:val="nil"/>
              <w:left w:val="nil"/>
              <w:bottom w:val="nil"/>
              <w:right w:val="nil"/>
            </w:tcBorders>
            <w:noWrap/>
            <w:vAlign w:val="bottom"/>
            <w:hideMark/>
          </w:tcPr>
          <w:p w14:paraId="6A1B6914" w14:textId="2789F4EC" w:rsidR="002B698D" w:rsidRPr="00A36451" w:rsidRDefault="0051223F"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Pez espada</w:t>
            </w:r>
          </w:p>
        </w:tc>
        <w:tc>
          <w:tcPr>
            <w:tcW w:w="4043" w:type="dxa"/>
            <w:tcBorders>
              <w:top w:val="nil"/>
              <w:left w:val="nil"/>
              <w:bottom w:val="nil"/>
              <w:right w:val="nil"/>
            </w:tcBorders>
            <w:noWrap/>
            <w:vAlign w:val="bottom"/>
            <w:hideMark/>
          </w:tcPr>
          <w:p w14:paraId="389B2302" w14:textId="77777777" w:rsidR="002B698D" w:rsidRPr="00A36451" w:rsidRDefault="002B698D" w:rsidP="000E49B5">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Xiphias gladius</w:t>
            </w:r>
          </w:p>
        </w:tc>
      </w:tr>
      <w:tr w:rsidR="002B698D" w:rsidRPr="00A36451" w14:paraId="6E40137A" w14:textId="77777777" w:rsidTr="0051223F">
        <w:trPr>
          <w:trHeight w:val="290"/>
        </w:trPr>
        <w:tc>
          <w:tcPr>
            <w:tcW w:w="1418" w:type="dxa"/>
            <w:tcBorders>
              <w:top w:val="nil"/>
              <w:left w:val="nil"/>
              <w:bottom w:val="nil"/>
              <w:right w:val="nil"/>
            </w:tcBorders>
            <w:vAlign w:val="bottom"/>
          </w:tcPr>
          <w:p w14:paraId="78BA4649"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SPF</w:t>
            </w:r>
          </w:p>
        </w:tc>
        <w:tc>
          <w:tcPr>
            <w:tcW w:w="3544" w:type="dxa"/>
            <w:tcBorders>
              <w:top w:val="nil"/>
              <w:left w:val="nil"/>
              <w:bottom w:val="nil"/>
              <w:right w:val="nil"/>
            </w:tcBorders>
            <w:noWrap/>
            <w:vAlign w:val="bottom"/>
            <w:hideMark/>
          </w:tcPr>
          <w:p w14:paraId="1D27610C" w14:textId="56227B9C" w:rsidR="002B698D" w:rsidRPr="00A36451" w:rsidRDefault="00376970"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Aguja picuda</w:t>
            </w:r>
          </w:p>
        </w:tc>
        <w:tc>
          <w:tcPr>
            <w:tcW w:w="4043" w:type="dxa"/>
            <w:tcBorders>
              <w:top w:val="nil"/>
              <w:left w:val="nil"/>
              <w:bottom w:val="nil"/>
              <w:right w:val="nil"/>
            </w:tcBorders>
            <w:noWrap/>
            <w:vAlign w:val="bottom"/>
            <w:hideMark/>
          </w:tcPr>
          <w:p w14:paraId="0AC2CD06" w14:textId="77777777" w:rsidR="002B698D" w:rsidRPr="00A36451" w:rsidRDefault="002B698D" w:rsidP="000E49B5">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 xml:space="preserve">Tetrapturus </w:t>
            </w:r>
            <w:proofErr w:type="spellStart"/>
            <w:r w:rsidRPr="00A36451">
              <w:rPr>
                <w:rFonts w:asciiTheme="majorHAnsi" w:hAnsiTheme="majorHAnsi" w:cs="Calibri"/>
                <w:i/>
                <w:iCs/>
                <w:sz w:val="20"/>
                <w:szCs w:val="20"/>
                <w:u w:val="single"/>
                <w:lang w:eastAsia="fr-FR"/>
              </w:rPr>
              <w:t>pfluegeri</w:t>
            </w:r>
            <w:proofErr w:type="spellEnd"/>
          </w:p>
        </w:tc>
      </w:tr>
      <w:tr w:rsidR="002B698D" w:rsidRPr="00A36451" w14:paraId="0A54CCCF" w14:textId="77777777" w:rsidTr="0051223F">
        <w:trPr>
          <w:trHeight w:val="290"/>
        </w:trPr>
        <w:tc>
          <w:tcPr>
            <w:tcW w:w="1418" w:type="dxa"/>
            <w:tcBorders>
              <w:top w:val="nil"/>
              <w:left w:val="nil"/>
              <w:bottom w:val="nil"/>
              <w:right w:val="nil"/>
            </w:tcBorders>
            <w:vAlign w:val="bottom"/>
          </w:tcPr>
          <w:p w14:paraId="2B382748"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SBF</w:t>
            </w:r>
          </w:p>
        </w:tc>
        <w:tc>
          <w:tcPr>
            <w:tcW w:w="3544" w:type="dxa"/>
            <w:tcBorders>
              <w:top w:val="nil"/>
              <w:left w:val="nil"/>
              <w:bottom w:val="nil"/>
              <w:right w:val="nil"/>
            </w:tcBorders>
            <w:noWrap/>
            <w:vAlign w:val="bottom"/>
            <w:hideMark/>
          </w:tcPr>
          <w:p w14:paraId="2447C7A8" w14:textId="36DDB5F6" w:rsidR="002B698D" w:rsidRPr="00A36451" w:rsidRDefault="00376970"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Atún rojo del sur</w:t>
            </w:r>
          </w:p>
        </w:tc>
        <w:tc>
          <w:tcPr>
            <w:tcW w:w="4043" w:type="dxa"/>
            <w:tcBorders>
              <w:top w:val="nil"/>
              <w:left w:val="nil"/>
              <w:bottom w:val="nil"/>
              <w:right w:val="nil"/>
            </w:tcBorders>
            <w:noWrap/>
            <w:vAlign w:val="bottom"/>
            <w:hideMark/>
          </w:tcPr>
          <w:p w14:paraId="70C32AFB" w14:textId="77777777" w:rsidR="002B698D" w:rsidRPr="00A36451" w:rsidRDefault="002B698D" w:rsidP="000E49B5">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 xml:space="preserve">Thunnus </w:t>
            </w:r>
            <w:proofErr w:type="spellStart"/>
            <w:r w:rsidRPr="00A36451">
              <w:rPr>
                <w:rFonts w:asciiTheme="majorHAnsi" w:hAnsiTheme="majorHAnsi" w:cs="Calibri"/>
                <w:i/>
                <w:iCs/>
                <w:sz w:val="20"/>
                <w:szCs w:val="20"/>
                <w:u w:val="single"/>
                <w:lang w:eastAsia="fr-FR"/>
              </w:rPr>
              <w:t>maccoyii</w:t>
            </w:r>
            <w:proofErr w:type="spellEnd"/>
          </w:p>
        </w:tc>
      </w:tr>
      <w:tr w:rsidR="002B698D" w:rsidRPr="00A36451" w14:paraId="32E0EFF5" w14:textId="77777777" w:rsidTr="0051223F">
        <w:trPr>
          <w:trHeight w:val="290"/>
        </w:trPr>
        <w:tc>
          <w:tcPr>
            <w:tcW w:w="1418" w:type="dxa"/>
            <w:tcBorders>
              <w:top w:val="nil"/>
              <w:left w:val="nil"/>
              <w:bottom w:val="nil"/>
              <w:right w:val="nil"/>
            </w:tcBorders>
            <w:vAlign w:val="bottom"/>
          </w:tcPr>
          <w:p w14:paraId="7241CAC8"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BLM</w:t>
            </w:r>
          </w:p>
        </w:tc>
        <w:tc>
          <w:tcPr>
            <w:tcW w:w="3544" w:type="dxa"/>
            <w:tcBorders>
              <w:top w:val="nil"/>
              <w:left w:val="nil"/>
              <w:bottom w:val="nil"/>
              <w:right w:val="nil"/>
            </w:tcBorders>
            <w:noWrap/>
            <w:vAlign w:val="bottom"/>
            <w:hideMark/>
          </w:tcPr>
          <w:p w14:paraId="610D5397" w14:textId="7AD5A66C" w:rsidR="002B698D" w:rsidRPr="00A36451" w:rsidRDefault="00A933A4"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Aguja negra</w:t>
            </w:r>
          </w:p>
        </w:tc>
        <w:tc>
          <w:tcPr>
            <w:tcW w:w="4043" w:type="dxa"/>
            <w:tcBorders>
              <w:top w:val="nil"/>
              <w:left w:val="nil"/>
              <w:bottom w:val="nil"/>
              <w:right w:val="nil"/>
            </w:tcBorders>
            <w:noWrap/>
            <w:vAlign w:val="bottom"/>
            <w:hideMark/>
          </w:tcPr>
          <w:p w14:paraId="574CA849" w14:textId="77777777" w:rsidR="002B698D" w:rsidRPr="00A36451" w:rsidRDefault="002B698D" w:rsidP="000E49B5">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Makaira indica</w:t>
            </w:r>
          </w:p>
        </w:tc>
      </w:tr>
      <w:tr w:rsidR="002B698D" w:rsidRPr="00A36451" w14:paraId="722F5E8F" w14:textId="77777777" w:rsidTr="0051223F">
        <w:trPr>
          <w:trHeight w:val="290"/>
        </w:trPr>
        <w:tc>
          <w:tcPr>
            <w:tcW w:w="1418" w:type="dxa"/>
            <w:tcBorders>
              <w:top w:val="nil"/>
              <w:left w:val="nil"/>
              <w:bottom w:val="nil"/>
              <w:right w:val="nil"/>
            </w:tcBorders>
            <w:vAlign w:val="bottom"/>
          </w:tcPr>
          <w:p w14:paraId="7A625202"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SLT</w:t>
            </w:r>
          </w:p>
        </w:tc>
        <w:tc>
          <w:tcPr>
            <w:tcW w:w="3544" w:type="dxa"/>
            <w:tcBorders>
              <w:top w:val="nil"/>
              <w:left w:val="nil"/>
              <w:bottom w:val="nil"/>
              <w:right w:val="nil"/>
            </w:tcBorders>
            <w:noWrap/>
            <w:vAlign w:val="bottom"/>
            <w:hideMark/>
          </w:tcPr>
          <w:p w14:paraId="28F105EC" w14:textId="5AB096CA" w:rsidR="002B698D" w:rsidRPr="00A36451" w:rsidRDefault="00A933A4"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Atún lanzón</w:t>
            </w:r>
          </w:p>
        </w:tc>
        <w:tc>
          <w:tcPr>
            <w:tcW w:w="4043" w:type="dxa"/>
            <w:tcBorders>
              <w:top w:val="nil"/>
              <w:left w:val="nil"/>
              <w:bottom w:val="nil"/>
              <w:right w:val="nil"/>
            </w:tcBorders>
            <w:noWrap/>
            <w:vAlign w:val="bottom"/>
            <w:hideMark/>
          </w:tcPr>
          <w:p w14:paraId="417CF77D" w14:textId="77777777" w:rsidR="002B698D" w:rsidRPr="00A36451" w:rsidRDefault="002B698D" w:rsidP="000E49B5">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Allothunnus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fallai</w:t>
            </w:r>
            <w:proofErr w:type="spellEnd"/>
          </w:p>
        </w:tc>
      </w:tr>
      <w:tr w:rsidR="002B698D" w:rsidRPr="00A36451" w14:paraId="6A85AC50" w14:textId="77777777" w:rsidTr="0051223F">
        <w:trPr>
          <w:trHeight w:val="290"/>
        </w:trPr>
        <w:tc>
          <w:tcPr>
            <w:tcW w:w="1418" w:type="dxa"/>
            <w:tcBorders>
              <w:top w:val="nil"/>
              <w:left w:val="nil"/>
              <w:bottom w:val="nil"/>
              <w:right w:val="nil"/>
            </w:tcBorders>
            <w:vAlign w:val="bottom"/>
          </w:tcPr>
          <w:p w14:paraId="1E4B8039"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GES</w:t>
            </w:r>
          </w:p>
        </w:tc>
        <w:tc>
          <w:tcPr>
            <w:tcW w:w="3544" w:type="dxa"/>
            <w:tcBorders>
              <w:top w:val="nil"/>
              <w:left w:val="nil"/>
              <w:bottom w:val="nil"/>
              <w:right w:val="nil"/>
            </w:tcBorders>
            <w:noWrap/>
            <w:vAlign w:val="bottom"/>
            <w:hideMark/>
          </w:tcPr>
          <w:p w14:paraId="5182D051" w14:textId="3553D10A" w:rsidR="002B698D" w:rsidRPr="00A36451" w:rsidRDefault="00D93798"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 xml:space="preserve">Escolar </w:t>
            </w:r>
            <w:r w:rsidR="00D93127" w:rsidRPr="00A36451">
              <w:rPr>
                <w:rFonts w:asciiTheme="majorHAnsi" w:hAnsiTheme="majorHAnsi" w:cs="Calibri"/>
                <w:sz w:val="20"/>
                <w:szCs w:val="20"/>
                <w:u w:val="single"/>
                <w:lang w:eastAsia="fr-FR"/>
              </w:rPr>
              <w:t>de canal</w:t>
            </w:r>
          </w:p>
        </w:tc>
        <w:tc>
          <w:tcPr>
            <w:tcW w:w="4043" w:type="dxa"/>
            <w:tcBorders>
              <w:top w:val="nil"/>
              <w:left w:val="nil"/>
              <w:bottom w:val="nil"/>
              <w:right w:val="nil"/>
            </w:tcBorders>
            <w:noWrap/>
            <w:vAlign w:val="bottom"/>
            <w:hideMark/>
          </w:tcPr>
          <w:p w14:paraId="227E8374" w14:textId="77777777" w:rsidR="002B698D" w:rsidRPr="00A36451" w:rsidRDefault="002B698D" w:rsidP="000E49B5">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Gempylus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serpens</w:t>
            </w:r>
            <w:proofErr w:type="spellEnd"/>
          </w:p>
        </w:tc>
      </w:tr>
      <w:tr w:rsidR="002B698D" w:rsidRPr="00A36451" w14:paraId="78267036" w14:textId="77777777" w:rsidTr="0051223F">
        <w:trPr>
          <w:trHeight w:val="290"/>
        </w:trPr>
        <w:tc>
          <w:tcPr>
            <w:tcW w:w="1418" w:type="dxa"/>
            <w:tcBorders>
              <w:top w:val="nil"/>
              <w:left w:val="nil"/>
              <w:bottom w:val="nil"/>
              <w:right w:val="nil"/>
            </w:tcBorders>
            <w:vAlign w:val="bottom"/>
          </w:tcPr>
          <w:p w14:paraId="25307B97"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OIL</w:t>
            </w:r>
          </w:p>
        </w:tc>
        <w:tc>
          <w:tcPr>
            <w:tcW w:w="3544" w:type="dxa"/>
            <w:tcBorders>
              <w:top w:val="nil"/>
              <w:left w:val="nil"/>
              <w:bottom w:val="nil"/>
              <w:right w:val="nil"/>
            </w:tcBorders>
            <w:noWrap/>
            <w:vAlign w:val="bottom"/>
            <w:hideMark/>
          </w:tcPr>
          <w:p w14:paraId="5002135D" w14:textId="7E9732EE" w:rsidR="002B698D" w:rsidRPr="00A36451" w:rsidRDefault="0011101A"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Escolar</w:t>
            </w:r>
            <w:r w:rsidR="003A769D" w:rsidRPr="00A36451">
              <w:rPr>
                <w:rFonts w:asciiTheme="majorHAnsi" w:hAnsiTheme="majorHAnsi" w:cs="Calibri"/>
                <w:sz w:val="20"/>
                <w:szCs w:val="20"/>
                <w:u w:val="single"/>
                <w:lang w:eastAsia="fr-FR"/>
              </w:rPr>
              <w:t xml:space="preserve"> clavo</w:t>
            </w:r>
          </w:p>
        </w:tc>
        <w:tc>
          <w:tcPr>
            <w:tcW w:w="4043" w:type="dxa"/>
            <w:tcBorders>
              <w:top w:val="nil"/>
              <w:left w:val="nil"/>
              <w:bottom w:val="nil"/>
              <w:right w:val="nil"/>
            </w:tcBorders>
            <w:noWrap/>
            <w:vAlign w:val="bottom"/>
            <w:hideMark/>
          </w:tcPr>
          <w:p w14:paraId="7AADC9DF" w14:textId="77777777" w:rsidR="002B698D" w:rsidRPr="00A36451" w:rsidRDefault="002B698D" w:rsidP="000E49B5">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Ruvettus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pretiosus</w:t>
            </w:r>
            <w:proofErr w:type="spellEnd"/>
          </w:p>
        </w:tc>
      </w:tr>
      <w:tr w:rsidR="002B698D" w:rsidRPr="00A36451" w14:paraId="6AD1A690" w14:textId="77777777" w:rsidTr="0051223F">
        <w:trPr>
          <w:trHeight w:val="290"/>
        </w:trPr>
        <w:tc>
          <w:tcPr>
            <w:tcW w:w="1418" w:type="dxa"/>
            <w:tcBorders>
              <w:top w:val="nil"/>
              <w:left w:val="nil"/>
              <w:bottom w:val="nil"/>
              <w:right w:val="nil"/>
            </w:tcBorders>
            <w:vAlign w:val="bottom"/>
          </w:tcPr>
          <w:p w14:paraId="75ABBFB9"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NPH</w:t>
            </w:r>
          </w:p>
        </w:tc>
        <w:tc>
          <w:tcPr>
            <w:tcW w:w="3544" w:type="dxa"/>
            <w:tcBorders>
              <w:top w:val="nil"/>
              <w:left w:val="nil"/>
              <w:bottom w:val="nil"/>
              <w:right w:val="nil"/>
            </w:tcBorders>
            <w:noWrap/>
            <w:vAlign w:val="bottom"/>
            <w:hideMark/>
          </w:tcPr>
          <w:p w14:paraId="58E72300" w14:textId="3EEB9707" w:rsidR="002B698D" w:rsidRPr="00A36451" w:rsidRDefault="003A0CE1"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Carite</w:t>
            </w:r>
            <w:r w:rsidR="002B698D" w:rsidRPr="00A36451">
              <w:rPr>
                <w:rFonts w:asciiTheme="majorHAnsi" w:hAnsiTheme="majorHAnsi" w:cs="Calibri"/>
                <w:sz w:val="20"/>
                <w:szCs w:val="20"/>
                <w:u w:val="single"/>
                <w:lang w:eastAsia="fr-FR"/>
              </w:rPr>
              <w:t xml:space="preserve"> oriental</w:t>
            </w:r>
          </w:p>
        </w:tc>
        <w:tc>
          <w:tcPr>
            <w:tcW w:w="4043" w:type="dxa"/>
            <w:tcBorders>
              <w:top w:val="nil"/>
              <w:left w:val="nil"/>
              <w:bottom w:val="nil"/>
              <w:right w:val="nil"/>
            </w:tcBorders>
            <w:noWrap/>
            <w:vAlign w:val="bottom"/>
            <w:hideMark/>
          </w:tcPr>
          <w:p w14:paraId="3636AE83" w14:textId="77777777" w:rsidR="002B698D" w:rsidRPr="00A36451" w:rsidRDefault="002B698D" w:rsidP="000E49B5">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 xml:space="preserve">Scomberomorus </w:t>
            </w:r>
            <w:proofErr w:type="spellStart"/>
            <w:r w:rsidRPr="00A36451">
              <w:rPr>
                <w:rFonts w:asciiTheme="majorHAnsi" w:hAnsiTheme="majorHAnsi" w:cs="Calibri"/>
                <w:i/>
                <w:iCs/>
                <w:sz w:val="20"/>
                <w:szCs w:val="20"/>
                <w:u w:val="single"/>
                <w:lang w:eastAsia="fr-FR"/>
              </w:rPr>
              <w:t>niphonius</w:t>
            </w:r>
            <w:proofErr w:type="spellEnd"/>
          </w:p>
        </w:tc>
      </w:tr>
      <w:tr w:rsidR="002B698D" w:rsidRPr="00A36451" w14:paraId="15D5D8E4" w14:textId="77777777" w:rsidTr="0051223F">
        <w:trPr>
          <w:trHeight w:val="290"/>
        </w:trPr>
        <w:tc>
          <w:tcPr>
            <w:tcW w:w="1418" w:type="dxa"/>
            <w:tcBorders>
              <w:top w:val="nil"/>
              <w:left w:val="nil"/>
              <w:bottom w:val="nil"/>
              <w:right w:val="nil"/>
            </w:tcBorders>
            <w:vAlign w:val="bottom"/>
          </w:tcPr>
          <w:p w14:paraId="07EFCD64"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LEC</w:t>
            </w:r>
          </w:p>
        </w:tc>
        <w:tc>
          <w:tcPr>
            <w:tcW w:w="3544" w:type="dxa"/>
            <w:tcBorders>
              <w:top w:val="nil"/>
              <w:left w:val="nil"/>
              <w:bottom w:val="nil"/>
              <w:right w:val="nil"/>
            </w:tcBorders>
            <w:noWrap/>
            <w:vAlign w:val="bottom"/>
            <w:hideMark/>
          </w:tcPr>
          <w:p w14:paraId="15A7182C" w14:textId="2E5A6ACB" w:rsidR="002B698D" w:rsidRPr="00A36451" w:rsidRDefault="00272C7F"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Escolar negro</w:t>
            </w:r>
          </w:p>
        </w:tc>
        <w:tc>
          <w:tcPr>
            <w:tcW w:w="4043" w:type="dxa"/>
            <w:tcBorders>
              <w:top w:val="nil"/>
              <w:left w:val="nil"/>
              <w:bottom w:val="nil"/>
              <w:right w:val="nil"/>
            </w:tcBorders>
            <w:noWrap/>
            <w:vAlign w:val="bottom"/>
            <w:hideMark/>
          </w:tcPr>
          <w:p w14:paraId="46571538" w14:textId="77777777" w:rsidR="002B698D" w:rsidRPr="00A36451" w:rsidRDefault="002B698D" w:rsidP="000E49B5">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Lepidocybium</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flavobrunneum</w:t>
            </w:r>
            <w:proofErr w:type="spellEnd"/>
          </w:p>
        </w:tc>
      </w:tr>
      <w:tr w:rsidR="002B698D" w:rsidRPr="00A36451" w14:paraId="3954C213" w14:textId="77777777" w:rsidTr="0051223F">
        <w:trPr>
          <w:trHeight w:val="290"/>
        </w:trPr>
        <w:tc>
          <w:tcPr>
            <w:tcW w:w="1418" w:type="dxa"/>
            <w:tcBorders>
              <w:top w:val="nil"/>
              <w:left w:val="nil"/>
              <w:bottom w:val="nil"/>
              <w:right w:val="nil"/>
            </w:tcBorders>
            <w:vAlign w:val="bottom"/>
          </w:tcPr>
          <w:p w14:paraId="47EE6A9C"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BUK</w:t>
            </w:r>
          </w:p>
        </w:tc>
        <w:tc>
          <w:tcPr>
            <w:tcW w:w="3544" w:type="dxa"/>
            <w:tcBorders>
              <w:top w:val="nil"/>
              <w:left w:val="nil"/>
              <w:bottom w:val="nil"/>
              <w:right w:val="nil"/>
            </w:tcBorders>
            <w:noWrap/>
            <w:vAlign w:val="bottom"/>
            <w:hideMark/>
          </w:tcPr>
          <w:p w14:paraId="207CBCF6" w14:textId="785FA5C1" w:rsidR="002B698D" w:rsidRPr="00A36451" w:rsidRDefault="006D40DF"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Atún chauchera</w:t>
            </w:r>
          </w:p>
        </w:tc>
        <w:tc>
          <w:tcPr>
            <w:tcW w:w="4043" w:type="dxa"/>
            <w:tcBorders>
              <w:top w:val="nil"/>
              <w:left w:val="nil"/>
              <w:bottom w:val="nil"/>
              <w:right w:val="nil"/>
            </w:tcBorders>
            <w:noWrap/>
            <w:vAlign w:val="bottom"/>
            <w:hideMark/>
          </w:tcPr>
          <w:p w14:paraId="6C69FE7C" w14:textId="77777777" w:rsidR="002B698D" w:rsidRPr="00A36451" w:rsidRDefault="002B698D" w:rsidP="000E49B5">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Gasterochisma</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melampus</w:t>
            </w:r>
            <w:proofErr w:type="spellEnd"/>
          </w:p>
        </w:tc>
      </w:tr>
      <w:tr w:rsidR="002B698D" w:rsidRPr="00A36451" w14:paraId="6B03B22A" w14:textId="77777777" w:rsidTr="0051223F">
        <w:trPr>
          <w:trHeight w:val="290"/>
        </w:trPr>
        <w:tc>
          <w:tcPr>
            <w:tcW w:w="1418" w:type="dxa"/>
            <w:tcBorders>
              <w:top w:val="nil"/>
              <w:left w:val="nil"/>
              <w:bottom w:val="nil"/>
              <w:right w:val="nil"/>
            </w:tcBorders>
            <w:vAlign w:val="bottom"/>
          </w:tcPr>
          <w:p w14:paraId="03A62374"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KAW</w:t>
            </w:r>
          </w:p>
        </w:tc>
        <w:tc>
          <w:tcPr>
            <w:tcW w:w="3544" w:type="dxa"/>
            <w:tcBorders>
              <w:top w:val="nil"/>
              <w:left w:val="nil"/>
              <w:bottom w:val="nil"/>
              <w:right w:val="nil"/>
            </w:tcBorders>
            <w:noWrap/>
            <w:vAlign w:val="bottom"/>
            <w:hideMark/>
          </w:tcPr>
          <w:p w14:paraId="17AAD6BC" w14:textId="09BB946A" w:rsidR="002B698D" w:rsidRPr="00A36451" w:rsidRDefault="00792C4E"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Bacoreta oriental</w:t>
            </w:r>
          </w:p>
        </w:tc>
        <w:tc>
          <w:tcPr>
            <w:tcW w:w="4043" w:type="dxa"/>
            <w:tcBorders>
              <w:top w:val="nil"/>
              <w:left w:val="nil"/>
              <w:bottom w:val="nil"/>
              <w:right w:val="nil"/>
            </w:tcBorders>
            <w:noWrap/>
            <w:vAlign w:val="bottom"/>
            <w:hideMark/>
          </w:tcPr>
          <w:p w14:paraId="0FFCA99D" w14:textId="77777777" w:rsidR="002B698D" w:rsidRPr="00A36451" w:rsidRDefault="002B698D" w:rsidP="000E49B5">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 xml:space="preserve">Euthynnus </w:t>
            </w:r>
            <w:proofErr w:type="spellStart"/>
            <w:r w:rsidRPr="00A36451">
              <w:rPr>
                <w:rFonts w:asciiTheme="majorHAnsi" w:hAnsiTheme="majorHAnsi" w:cs="Calibri"/>
                <w:i/>
                <w:iCs/>
                <w:sz w:val="20"/>
                <w:szCs w:val="20"/>
                <w:u w:val="single"/>
                <w:lang w:eastAsia="fr-FR"/>
              </w:rPr>
              <w:t>affinis</w:t>
            </w:r>
            <w:proofErr w:type="spellEnd"/>
          </w:p>
        </w:tc>
      </w:tr>
      <w:tr w:rsidR="002B698D" w:rsidRPr="00A36451" w14:paraId="4E0F226B" w14:textId="77777777" w:rsidTr="0051223F">
        <w:trPr>
          <w:trHeight w:val="290"/>
        </w:trPr>
        <w:tc>
          <w:tcPr>
            <w:tcW w:w="1418" w:type="dxa"/>
            <w:tcBorders>
              <w:top w:val="nil"/>
              <w:left w:val="nil"/>
              <w:bottom w:val="nil"/>
              <w:right w:val="nil"/>
            </w:tcBorders>
            <w:vAlign w:val="bottom"/>
          </w:tcPr>
          <w:p w14:paraId="07D6F610"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MSP</w:t>
            </w:r>
          </w:p>
        </w:tc>
        <w:tc>
          <w:tcPr>
            <w:tcW w:w="3544" w:type="dxa"/>
            <w:tcBorders>
              <w:top w:val="nil"/>
              <w:left w:val="nil"/>
              <w:bottom w:val="nil"/>
              <w:right w:val="nil"/>
            </w:tcBorders>
            <w:noWrap/>
            <w:vAlign w:val="bottom"/>
            <w:hideMark/>
          </w:tcPr>
          <w:p w14:paraId="5CAA8094" w14:textId="57D7B959" w:rsidR="002B698D" w:rsidRPr="00A36451" w:rsidRDefault="00873684"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Marlín del Mediterráneo</w:t>
            </w:r>
          </w:p>
        </w:tc>
        <w:tc>
          <w:tcPr>
            <w:tcW w:w="4043" w:type="dxa"/>
            <w:tcBorders>
              <w:top w:val="nil"/>
              <w:left w:val="nil"/>
              <w:bottom w:val="nil"/>
              <w:right w:val="nil"/>
            </w:tcBorders>
            <w:noWrap/>
            <w:vAlign w:val="bottom"/>
            <w:hideMark/>
          </w:tcPr>
          <w:p w14:paraId="14139385" w14:textId="77777777" w:rsidR="002B698D" w:rsidRPr="00A36451" w:rsidRDefault="002B698D" w:rsidP="000E49B5">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 xml:space="preserve">Tetrapturus </w:t>
            </w:r>
            <w:proofErr w:type="spellStart"/>
            <w:r w:rsidRPr="00A36451">
              <w:rPr>
                <w:rFonts w:asciiTheme="majorHAnsi" w:hAnsiTheme="majorHAnsi" w:cs="Calibri"/>
                <w:i/>
                <w:iCs/>
                <w:sz w:val="20"/>
                <w:szCs w:val="20"/>
                <w:u w:val="single"/>
                <w:lang w:eastAsia="fr-FR"/>
              </w:rPr>
              <w:t>belone</w:t>
            </w:r>
            <w:proofErr w:type="spellEnd"/>
          </w:p>
        </w:tc>
      </w:tr>
      <w:tr w:rsidR="002B698D" w:rsidRPr="00A36451" w14:paraId="48E3E1A0" w14:textId="77777777" w:rsidTr="0051223F">
        <w:trPr>
          <w:trHeight w:val="290"/>
        </w:trPr>
        <w:tc>
          <w:tcPr>
            <w:tcW w:w="1418" w:type="dxa"/>
            <w:tcBorders>
              <w:top w:val="nil"/>
              <w:left w:val="nil"/>
              <w:bottom w:val="nil"/>
              <w:right w:val="nil"/>
            </w:tcBorders>
            <w:vAlign w:val="bottom"/>
          </w:tcPr>
          <w:p w14:paraId="35A83930"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MLS</w:t>
            </w:r>
          </w:p>
        </w:tc>
        <w:tc>
          <w:tcPr>
            <w:tcW w:w="3544" w:type="dxa"/>
            <w:tcBorders>
              <w:top w:val="nil"/>
              <w:left w:val="nil"/>
              <w:bottom w:val="nil"/>
              <w:right w:val="nil"/>
            </w:tcBorders>
            <w:noWrap/>
            <w:vAlign w:val="bottom"/>
            <w:hideMark/>
          </w:tcPr>
          <w:p w14:paraId="11A6C9DF" w14:textId="05E5D387" w:rsidR="002B698D" w:rsidRPr="00A36451" w:rsidRDefault="00185B49"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 xml:space="preserve">Marlín </w:t>
            </w:r>
            <w:r w:rsidR="000C5300" w:rsidRPr="00A36451">
              <w:rPr>
                <w:rFonts w:asciiTheme="majorHAnsi" w:hAnsiTheme="majorHAnsi" w:cs="Calibri"/>
                <w:sz w:val="20"/>
                <w:szCs w:val="20"/>
                <w:u w:val="single"/>
                <w:lang w:eastAsia="fr-FR"/>
              </w:rPr>
              <w:t>rayado</w:t>
            </w:r>
          </w:p>
        </w:tc>
        <w:tc>
          <w:tcPr>
            <w:tcW w:w="4043" w:type="dxa"/>
            <w:tcBorders>
              <w:top w:val="nil"/>
              <w:left w:val="nil"/>
              <w:bottom w:val="nil"/>
              <w:right w:val="nil"/>
            </w:tcBorders>
            <w:noWrap/>
            <w:vAlign w:val="bottom"/>
            <w:hideMark/>
          </w:tcPr>
          <w:p w14:paraId="469B24E9" w14:textId="77777777" w:rsidR="002B698D" w:rsidRPr="00A36451" w:rsidRDefault="002B698D" w:rsidP="000E49B5">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 xml:space="preserve">Tetrapturus </w:t>
            </w:r>
            <w:proofErr w:type="spellStart"/>
            <w:r w:rsidRPr="00A36451">
              <w:rPr>
                <w:rFonts w:asciiTheme="majorHAnsi" w:hAnsiTheme="majorHAnsi" w:cs="Calibri"/>
                <w:i/>
                <w:iCs/>
                <w:sz w:val="20"/>
                <w:szCs w:val="20"/>
                <w:u w:val="single"/>
                <w:lang w:eastAsia="fr-FR"/>
              </w:rPr>
              <w:t>audax</w:t>
            </w:r>
            <w:proofErr w:type="spellEnd"/>
          </w:p>
        </w:tc>
      </w:tr>
      <w:tr w:rsidR="002B698D" w:rsidRPr="00A36451" w14:paraId="649892F3" w14:textId="77777777" w:rsidTr="0051223F">
        <w:trPr>
          <w:trHeight w:val="290"/>
        </w:trPr>
        <w:tc>
          <w:tcPr>
            <w:tcW w:w="1418" w:type="dxa"/>
            <w:tcBorders>
              <w:top w:val="nil"/>
              <w:left w:val="nil"/>
              <w:bottom w:val="nil"/>
              <w:right w:val="nil"/>
            </w:tcBorders>
            <w:vAlign w:val="bottom"/>
          </w:tcPr>
          <w:p w14:paraId="69538EF0"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SSP</w:t>
            </w:r>
          </w:p>
        </w:tc>
        <w:tc>
          <w:tcPr>
            <w:tcW w:w="3544" w:type="dxa"/>
            <w:tcBorders>
              <w:top w:val="nil"/>
              <w:left w:val="nil"/>
              <w:bottom w:val="nil"/>
              <w:right w:val="nil"/>
            </w:tcBorders>
            <w:noWrap/>
            <w:vAlign w:val="bottom"/>
            <w:hideMark/>
          </w:tcPr>
          <w:p w14:paraId="459F88E5" w14:textId="02FC0299" w:rsidR="002B698D" w:rsidRPr="00A36451" w:rsidRDefault="00B84B9F"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Marlín trompa corta</w:t>
            </w:r>
          </w:p>
        </w:tc>
        <w:tc>
          <w:tcPr>
            <w:tcW w:w="4043" w:type="dxa"/>
            <w:tcBorders>
              <w:top w:val="nil"/>
              <w:left w:val="nil"/>
              <w:bottom w:val="nil"/>
              <w:right w:val="nil"/>
            </w:tcBorders>
            <w:noWrap/>
            <w:vAlign w:val="bottom"/>
            <w:hideMark/>
          </w:tcPr>
          <w:p w14:paraId="14538EC3" w14:textId="77777777" w:rsidR="002B698D" w:rsidRPr="00A36451" w:rsidRDefault="002B698D" w:rsidP="000E49B5">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 xml:space="preserve">Tetrapturus </w:t>
            </w:r>
            <w:proofErr w:type="spellStart"/>
            <w:r w:rsidRPr="00A36451">
              <w:rPr>
                <w:rFonts w:asciiTheme="majorHAnsi" w:hAnsiTheme="majorHAnsi" w:cs="Calibri"/>
                <w:i/>
                <w:iCs/>
                <w:sz w:val="20"/>
                <w:szCs w:val="20"/>
                <w:u w:val="single"/>
                <w:lang w:eastAsia="fr-FR"/>
              </w:rPr>
              <w:t>angustirostris</w:t>
            </w:r>
            <w:proofErr w:type="spellEnd"/>
          </w:p>
        </w:tc>
      </w:tr>
      <w:tr w:rsidR="002B698D" w:rsidRPr="00A36451" w14:paraId="67600DBE" w14:textId="77777777" w:rsidTr="0051223F">
        <w:trPr>
          <w:trHeight w:val="290"/>
        </w:trPr>
        <w:tc>
          <w:tcPr>
            <w:tcW w:w="1418" w:type="dxa"/>
            <w:tcBorders>
              <w:top w:val="nil"/>
              <w:left w:val="nil"/>
              <w:bottom w:val="nil"/>
              <w:right w:val="nil"/>
            </w:tcBorders>
            <w:vAlign w:val="bottom"/>
          </w:tcPr>
          <w:p w14:paraId="4C4A5263"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RSP</w:t>
            </w:r>
          </w:p>
        </w:tc>
        <w:tc>
          <w:tcPr>
            <w:tcW w:w="3544" w:type="dxa"/>
            <w:tcBorders>
              <w:top w:val="nil"/>
              <w:left w:val="nil"/>
              <w:bottom w:val="nil"/>
              <w:right w:val="nil"/>
            </w:tcBorders>
            <w:noWrap/>
            <w:vAlign w:val="bottom"/>
            <w:hideMark/>
          </w:tcPr>
          <w:p w14:paraId="5A477F33" w14:textId="24A30121" w:rsidR="002B698D" w:rsidRPr="00A36451" w:rsidRDefault="00E017C7"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Marlín peto</w:t>
            </w:r>
          </w:p>
        </w:tc>
        <w:tc>
          <w:tcPr>
            <w:tcW w:w="4043" w:type="dxa"/>
            <w:tcBorders>
              <w:top w:val="nil"/>
              <w:left w:val="nil"/>
              <w:bottom w:val="nil"/>
              <w:right w:val="nil"/>
            </w:tcBorders>
            <w:noWrap/>
            <w:vAlign w:val="bottom"/>
            <w:hideMark/>
          </w:tcPr>
          <w:p w14:paraId="03E79C33" w14:textId="77777777" w:rsidR="002B698D" w:rsidRPr="00A36451" w:rsidRDefault="002B698D" w:rsidP="000E49B5">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 xml:space="preserve">Tetrapturus </w:t>
            </w:r>
            <w:proofErr w:type="spellStart"/>
            <w:r w:rsidRPr="00A36451">
              <w:rPr>
                <w:rFonts w:asciiTheme="majorHAnsi" w:hAnsiTheme="majorHAnsi" w:cs="Calibri"/>
                <w:i/>
                <w:iCs/>
                <w:sz w:val="20"/>
                <w:szCs w:val="20"/>
                <w:u w:val="single"/>
                <w:lang w:eastAsia="fr-FR"/>
              </w:rPr>
              <w:t>georgii</w:t>
            </w:r>
            <w:proofErr w:type="spellEnd"/>
          </w:p>
        </w:tc>
      </w:tr>
      <w:tr w:rsidR="002B698D" w:rsidRPr="00A36451" w14:paraId="1DA4385B" w14:textId="77777777" w:rsidTr="0051223F">
        <w:trPr>
          <w:trHeight w:val="290"/>
        </w:trPr>
        <w:tc>
          <w:tcPr>
            <w:tcW w:w="1418" w:type="dxa"/>
            <w:tcBorders>
              <w:top w:val="nil"/>
              <w:left w:val="nil"/>
              <w:bottom w:val="nil"/>
              <w:right w:val="nil"/>
            </w:tcBorders>
            <w:vAlign w:val="bottom"/>
          </w:tcPr>
          <w:p w14:paraId="6AFC1B38"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SMA</w:t>
            </w:r>
          </w:p>
        </w:tc>
        <w:tc>
          <w:tcPr>
            <w:tcW w:w="3544" w:type="dxa"/>
            <w:tcBorders>
              <w:top w:val="nil"/>
              <w:left w:val="nil"/>
              <w:bottom w:val="nil"/>
              <w:right w:val="nil"/>
            </w:tcBorders>
            <w:noWrap/>
            <w:vAlign w:val="bottom"/>
            <w:hideMark/>
          </w:tcPr>
          <w:p w14:paraId="64AD3471" w14:textId="79567829" w:rsidR="002B698D" w:rsidRPr="00A36451" w:rsidRDefault="00D41B89"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Marrajo dientuso</w:t>
            </w:r>
          </w:p>
        </w:tc>
        <w:tc>
          <w:tcPr>
            <w:tcW w:w="4043" w:type="dxa"/>
            <w:tcBorders>
              <w:top w:val="nil"/>
              <w:left w:val="nil"/>
              <w:bottom w:val="nil"/>
              <w:right w:val="nil"/>
            </w:tcBorders>
            <w:noWrap/>
            <w:vAlign w:val="bottom"/>
            <w:hideMark/>
          </w:tcPr>
          <w:p w14:paraId="63C1D20D" w14:textId="77777777" w:rsidR="002B698D" w:rsidRPr="00A36451" w:rsidRDefault="002B698D" w:rsidP="000E49B5">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Isurus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oxyrinchus</w:t>
            </w:r>
            <w:proofErr w:type="spellEnd"/>
          </w:p>
        </w:tc>
      </w:tr>
      <w:tr w:rsidR="002B698D" w:rsidRPr="00A36451" w14:paraId="1FBA15AE" w14:textId="77777777" w:rsidTr="0051223F">
        <w:trPr>
          <w:trHeight w:val="290"/>
        </w:trPr>
        <w:tc>
          <w:tcPr>
            <w:tcW w:w="1418" w:type="dxa"/>
            <w:tcBorders>
              <w:top w:val="nil"/>
              <w:left w:val="nil"/>
              <w:bottom w:val="nil"/>
              <w:right w:val="nil"/>
            </w:tcBorders>
            <w:vAlign w:val="bottom"/>
          </w:tcPr>
          <w:p w14:paraId="4012C9A9"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POR</w:t>
            </w:r>
          </w:p>
        </w:tc>
        <w:tc>
          <w:tcPr>
            <w:tcW w:w="3544" w:type="dxa"/>
            <w:tcBorders>
              <w:top w:val="nil"/>
              <w:left w:val="nil"/>
              <w:bottom w:val="nil"/>
              <w:right w:val="nil"/>
            </w:tcBorders>
            <w:noWrap/>
            <w:vAlign w:val="bottom"/>
            <w:hideMark/>
          </w:tcPr>
          <w:p w14:paraId="2BCF20A1" w14:textId="20FEA944" w:rsidR="002B698D" w:rsidRPr="00A36451" w:rsidRDefault="00D41B89"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Marrajo sardinero</w:t>
            </w:r>
          </w:p>
        </w:tc>
        <w:tc>
          <w:tcPr>
            <w:tcW w:w="4043" w:type="dxa"/>
            <w:tcBorders>
              <w:top w:val="nil"/>
              <w:left w:val="nil"/>
              <w:bottom w:val="nil"/>
              <w:right w:val="nil"/>
            </w:tcBorders>
            <w:noWrap/>
            <w:vAlign w:val="bottom"/>
            <w:hideMark/>
          </w:tcPr>
          <w:p w14:paraId="442377DC" w14:textId="77777777" w:rsidR="002B698D" w:rsidRPr="00A36451" w:rsidRDefault="002B698D" w:rsidP="000E49B5">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Lamna</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nasus</w:t>
            </w:r>
            <w:proofErr w:type="spellEnd"/>
          </w:p>
        </w:tc>
      </w:tr>
      <w:tr w:rsidR="002B698D" w:rsidRPr="00A36451" w14:paraId="38FF4BCF" w14:textId="77777777" w:rsidTr="0051223F">
        <w:trPr>
          <w:trHeight w:val="290"/>
        </w:trPr>
        <w:tc>
          <w:tcPr>
            <w:tcW w:w="1418" w:type="dxa"/>
            <w:tcBorders>
              <w:top w:val="nil"/>
              <w:left w:val="nil"/>
              <w:bottom w:val="nil"/>
              <w:right w:val="nil"/>
            </w:tcBorders>
            <w:vAlign w:val="bottom"/>
          </w:tcPr>
          <w:p w14:paraId="40DE771F"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BSH</w:t>
            </w:r>
          </w:p>
        </w:tc>
        <w:tc>
          <w:tcPr>
            <w:tcW w:w="3544" w:type="dxa"/>
            <w:tcBorders>
              <w:top w:val="nil"/>
              <w:left w:val="nil"/>
              <w:bottom w:val="nil"/>
              <w:right w:val="nil"/>
            </w:tcBorders>
            <w:noWrap/>
            <w:vAlign w:val="bottom"/>
            <w:hideMark/>
          </w:tcPr>
          <w:p w14:paraId="318CC1F8" w14:textId="76B432EE" w:rsidR="002B698D" w:rsidRPr="00A36451" w:rsidRDefault="00E32DF8"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Tiburón azul</w:t>
            </w:r>
          </w:p>
        </w:tc>
        <w:tc>
          <w:tcPr>
            <w:tcW w:w="4043" w:type="dxa"/>
            <w:tcBorders>
              <w:top w:val="nil"/>
              <w:left w:val="nil"/>
              <w:bottom w:val="nil"/>
              <w:right w:val="nil"/>
            </w:tcBorders>
            <w:noWrap/>
            <w:vAlign w:val="bottom"/>
            <w:hideMark/>
          </w:tcPr>
          <w:p w14:paraId="7FFA1B89" w14:textId="77777777" w:rsidR="002B698D" w:rsidRPr="00A36451" w:rsidRDefault="002B698D" w:rsidP="000E49B5">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Prionace</w:t>
            </w:r>
            <w:proofErr w:type="spellEnd"/>
            <w:r w:rsidRPr="00A36451">
              <w:rPr>
                <w:rFonts w:asciiTheme="majorHAnsi" w:hAnsiTheme="majorHAnsi" w:cs="Calibri"/>
                <w:i/>
                <w:iCs/>
                <w:sz w:val="20"/>
                <w:szCs w:val="20"/>
                <w:u w:val="single"/>
                <w:lang w:eastAsia="fr-FR"/>
              </w:rPr>
              <w:t xml:space="preserve"> glauca</w:t>
            </w:r>
          </w:p>
        </w:tc>
      </w:tr>
      <w:tr w:rsidR="00C24247" w:rsidRPr="00A36451" w14:paraId="4363C569" w14:textId="77777777" w:rsidTr="0051223F">
        <w:trPr>
          <w:trHeight w:val="290"/>
        </w:trPr>
        <w:tc>
          <w:tcPr>
            <w:tcW w:w="1418" w:type="dxa"/>
            <w:tcBorders>
              <w:top w:val="nil"/>
              <w:left w:val="nil"/>
              <w:bottom w:val="nil"/>
              <w:right w:val="nil"/>
            </w:tcBorders>
            <w:vAlign w:val="bottom"/>
          </w:tcPr>
          <w:p w14:paraId="350C138D" w14:textId="77777777" w:rsidR="00C24247" w:rsidRPr="00A36451" w:rsidRDefault="00C24247" w:rsidP="00C24247">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ALV</w:t>
            </w:r>
          </w:p>
        </w:tc>
        <w:tc>
          <w:tcPr>
            <w:tcW w:w="3544" w:type="dxa"/>
            <w:tcBorders>
              <w:top w:val="nil"/>
              <w:left w:val="nil"/>
              <w:bottom w:val="nil"/>
              <w:right w:val="nil"/>
            </w:tcBorders>
            <w:noWrap/>
            <w:vAlign w:val="bottom"/>
            <w:hideMark/>
          </w:tcPr>
          <w:p w14:paraId="2B56C969" w14:textId="70428182" w:rsidR="00C24247" w:rsidRPr="00A36451" w:rsidRDefault="00C24247" w:rsidP="00C24247">
            <w:pPr>
              <w:rPr>
                <w:rFonts w:asciiTheme="majorHAnsi" w:hAnsiTheme="majorHAnsi" w:cs="Calibri"/>
                <w:sz w:val="20"/>
                <w:szCs w:val="20"/>
                <w:u w:val="single"/>
                <w:lang w:eastAsia="fr-FR"/>
              </w:rPr>
            </w:pPr>
            <w:r w:rsidRPr="00A36451">
              <w:rPr>
                <w:rFonts w:asciiTheme="majorHAnsi" w:hAnsiTheme="majorHAnsi" w:cs="Calibri"/>
                <w:sz w:val="20"/>
                <w:szCs w:val="20"/>
                <w:u w:val="single"/>
              </w:rPr>
              <w:t>Zorro</w:t>
            </w:r>
          </w:p>
        </w:tc>
        <w:tc>
          <w:tcPr>
            <w:tcW w:w="4043" w:type="dxa"/>
            <w:tcBorders>
              <w:top w:val="nil"/>
              <w:left w:val="nil"/>
              <w:bottom w:val="nil"/>
              <w:right w:val="nil"/>
            </w:tcBorders>
            <w:noWrap/>
            <w:vAlign w:val="bottom"/>
            <w:hideMark/>
          </w:tcPr>
          <w:p w14:paraId="3B799C08" w14:textId="77777777" w:rsidR="00C24247" w:rsidRPr="00A36451" w:rsidRDefault="00C24247" w:rsidP="00C24247">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Alopias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vulpinus</w:t>
            </w:r>
            <w:proofErr w:type="spellEnd"/>
          </w:p>
        </w:tc>
      </w:tr>
      <w:tr w:rsidR="00C24247" w:rsidRPr="00A36451" w14:paraId="03A128FF" w14:textId="77777777" w:rsidTr="0051223F">
        <w:trPr>
          <w:trHeight w:val="290"/>
        </w:trPr>
        <w:tc>
          <w:tcPr>
            <w:tcW w:w="1418" w:type="dxa"/>
            <w:tcBorders>
              <w:top w:val="nil"/>
              <w:left w:val="nil"/>
              <w:bottom w:val="nil"/>
              <w:right w:val="nil"/>
            </w:tcBorders>
            <w:vAlign w:val="bottom"/>
          </w:tcPr>
          <w:p w14:paraId="65991333" w14:textId="77777777" w:rsidR="00C24247" w:rsidRPr="00A36451" w:rsidRDefault="00C24247" w:rsidP="00C24247">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BSK</w:t>
            </w:r>
          </w:p>
        </w:tc>
        <w:tc>
          <w:tcPr>
            <w:tcW w:w="3544" w:type="dxa"/>
            <w:tcBorders>
              <w:top w:val="nil"/>
              <w:left w:val="nil"/>
              <w:bottom w:val="nil"/>
              <w:right w:val="nil"/>
            </w:tcBorders>
            <w:noWrap/>
            <w:vAlign w:val="bottom"/>
            <w:hideMark/>
          </w:tcPr>
          <w:p w14:paraId="3C82855C" w14:textId="4141EC81" w:rsidR="00C24247" w:rsidRPr="00A36451" w:rsidRDefault="00C24247" w:rsidP="00C24247">
            <w:pPr>
              <w:rPr>
                <w:rFonts w:asciiTheme="majorHAnsi" w:hAnsiTheme="majorHAnsi" w:cs="Calibri"/>
                <w:sz w:val="20"/>
                <w:szCs w:val="20"/>
                <w:u w:val="single"/>
                <w:lang w:eastAsia="fr-FR"/>
              </w:rPr>
            </w:pPr>
            <w:r w:rsidRPr="00A36451">
              <w:rPr>
                <w:rFonts w:asciiTheme="majorHAnsi" w:hAnsiTheme="majorHAnsi" w:cs="Calibri"/>
                <w:sz w:val="20"/>
                <w:szCs w:val="20"/>
                <w:u w:val="single"/>
              </w:rPr>
              <w:t>Peregrino</w:t>
            </w:r>
          </w:p>
        </w:tc>
        <w:tc>
          <w:tcPr>
            <w:tcW w:w="4043" w:type="dxa"/>
            <w:tcBorders>
              <w:top w:val="nil"/>
              <w:left w:val="nil"/>
              <w:bottom w:val="nil"/>
              <w:right w:val="nil"/>
            </w:tcBorders>
            <w:noWrap/>
            <w:vAlign w:val="bottom"/>
            <w:hideMark/>
          </w:tcPr>
          <w:p w14:paraId="76430198" w14:textId="77777777" w:rsidR="00C24247" w:rsidRPr="00A36451" w:rsidRDefault="00C24247" w:rsidP="00C24247">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Cetorhinus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maximus</w:t>
            </w:r>
            <w:proofErr w:type="spellEnd"/>
          </w:p>
        </w:tc>
      </w:tr>
      <w:tr w:rsidR="00C24247" w:rsidRPr="00A36451" w14:paraId="645DD060" w14:textId="77777777" w:rsidTr="0051223F">
        <w:trPr>
          <w:trHeight w:val="290"/>
        </w:trPr>
        <w:tc>
          <w:tcPr>
            <w:tcW w:w="1418" w:type="dxa"/>
            <w:tcBorders>
              <w:top w:val="nil"/>
              <w:left w:val="nil"/>
              <w:bottom w:val="nil"/>
              <w:right w:val="nil"/>
            </w:tcBorders>
            <w:vAlign w:val="bottom"/>
          </w:tcPr>
          <w:p w14:paraId="58AE6D04" w14:textId="77777777" w:rsidR="00C24247" w:rsidRPr="00A36451" w:rsidRDefault="00C24247" w:rsidP="00C24247">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BTH</w:t>
            </w:r>
          </w:p>
        </w:tc>
        <w:tc>
          <w:tcPr>
            <w:tcW w:w="3544" w:type="dxa"/>
            <w:tcBorders>
              <w:top w:val="nil"/>
              <w:left w:val="nil"/>
              <w:bottom w:val="nil"/>
              <w:right w:val="nil"/>
            </w:tcBorders>
            <w:noWrap/>
            <w:vAlign w:val="bottom"/>
            <w:hideMark/>
          </w:tcPr>
          <w:p w14:paraId="36991D01" w14:textId="3AF252CF" w:rsidR="00C24247" w:rsidRPr="00A36451" w:rsidRDefault="00C24247" w:rsidP="00C24247">
            <w:pPr>
              <w:rPr>
                <w:rFonts w:asciiTheme="majorHAnsi" w:hAnsiTheme="majorHAnsi" w:cs="Calibri"/>
                <w:sz w:val="20"/>
                <w:szCs w:val="20"/>
                <w:u w:val="single"/>
                <w:lang w:eastAsia="fr-FR"/>
              </w:rPr>
            </w:pPr>
            <w:r w:rsidRPr="00A36451">
              <w:rPr>
                <w:rFonts w:asciiTheme="majorHAnsi" w:hAnsiTheme="majorHAnsi" w:cs="Calibri"/>
                <w:sz w:val="20"/>
                <w:szCs w:val="20"/>
                <w:u w:val="single"/>
              </w:rPr>
              <w:t>Zorro ojón</w:t>
            </w:r>
          </w:p>
        </w:tc>
        <w:tc>
          <w:tcPr>
            <w:tcW w:w="4043" w:type="dxa"/>
            <w:tcBorders>
              <w:top w:val="nil"/>
              <w:left w:val="nil"/>
              <w:bottom w:val="nil"/>
              <w:right w:val="nil"/>
            </w:tcBorders>
            <w:noWrap/>
            <w:vAlign w:val="bottom"/>
            <w:hideMark/>
          </w:tcPr>
          <w:p w14:paraId="2AFA6E14" w14:textId="77777777" w:rsidR="00C24247" w:rsidRPr="00A36451" w:rsidRDefault="00C24247" w:rsidP="00C24247">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Alopias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superciliosus</w:t>
            </w:r>
            <w:proofErr w:type="spellEnd"/>
          </w:p>
        </w:tc>
      </w:tr>
      <w:tr w:rsidR="00806889" w:rsidRPr="00A36451" w14:paraId="38D24DC1" w14:textId="77777777" w:rsidTr="0051223F">
        <w:trPr>
          <w:trHeight w:val="290"/>
        </w:trPr>
        <w:tc>
          <w:tcPr>
            <w:tcW w:w="1418" w:type="dxa"/>
            <w:tcBorders>
              <w:top w:val="nil"/>
              <w:left w:val="nil"/>
              <w:bottom w:val="nil"/>
              <w:right w:val="nil"/>
            </w:tcBorders>
            <w:vAlign w:val="bottom"/>
          </w:tcPr>
          <w:p w14:paraId="7E0FEE47"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CCG</w:t>
            </w:r>
          </w:p>
        </w:tc>
        <w:tc>
          <w:tcPr>
            <w:tcW w:w="3544" w:type="dxa"/>
            <w:tcBorders>
              <w:top w:val="nil"/>
              <w:left w:val="nil"/>
              <w:bottom w:val="nil"/>
              <w:right w:val="nil"/>
            </w:tcBorders>
            <w:noWrap/>
            <w:vAlign w:val="bottom"/>
            <w:hideMark/>
          </w:tcPr>
          <w:p w14:paraId="44352037" w14:textId="09C86B5B"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 xml:space="preserve">Tiburón de </w:t>
            </w:r>
            <w:proofErr w:type="gramStart"/>
            <w:r w:rsidRPr="00A36451">
              <w:rPr>
                <w:rFonts w:asciiTheme="majorHAnsi" w:hAnsiTheme="majorHAnsi" w:cs="Calibri"/>
                <w:sz w:val="20"/>
                <w:szCs w:val="20"/>
                <w:u w:val="single"/>
              </w:rPr>
              <w:t>Galápagos</w:t>
            </w:r>
            <w:proofErr w:type="gramEnd"/>
          </w:p>
        </w:tc>
        <w:tc>
          <w:tcPr>
            <w:tcW w:w="4043" w:type="dxa"/>
            <w:tcBorders>
              <w:top w:val="nil"/>
              <w:left w:val="nil"/>
              <w:bottom w:val="nil"/>
              <w:right w:val="nil"/>
            </w:tcBorders>
            <w:noWrap/>
            <w:vAlign w:val="bottom"/>
            <w:hideMark/>
          </w:tcPr>
          <w:p w14:paraId="4521B2B9"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Carcharhinus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galapagensis</w:t>
            </w:r>
            <w:proofErr w:type="spellEnd"/>
          </w:p>
        </w:tc>
      </w:tr>
      <w:tr w:rsidR="00806889" w:rsidRPr="00A36451" w14:paraId="282394C9" w14:textId="77777777" w:rsidTr="0051223F">
        <w:trPr>
          <w:trHeight w:val="290"/>
        </w:trPr>
        <w:tc>
          <w:tcPr>
            <w:tcW w:w="1418" w:type="dxa"/>
            <w:tcBorders>
              <w:top w:val="nil"/>
              <w:left w:val="nil"/>
              <w:bottom w:val="nil"/>
              <w:right w:val="nil"/>
            </w:tcBorders>
            <w:vAlign w:val="bottom"/>
          </w:tcPr>
          <w:p w14:paraId="76FDCA30"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CYW</w:t>
            </w:r>
          </w:p>
        </w:tc>
        <w:tc>
          <w:tcPr>
            <w:tcW w:w="3544" w:type="dxa"/>
            <w:tcBorders>
              <w:top w:val="nil"/>
              <w:left w:val="nil"/>
              <w:bottom w:val="nil"/>
              <w:right w:val="nil"/>
            </w:tcBorders>
            <w:noWrap/>
            <w:vAlign w:val="bottom"/>
            <w:hideMark/>
          </w:tcPr>
          <w:p w14:paraId="014294EB" w14:textId="5733560B" w:rsidR="00806889" w:rsidRPr="00A36451" w:rsidRDefault="00806889" w:rsidP="00806889">
            <w:pPr>
              <w:rPr>
                <w:rFonts w:asciiTheme="majorHAnsi" w:hAnsiTheme="majorHAnsi" w:cs="Calibri"/>
                <w:sz w:val="20"/>
                <w:szCs w:val="20"/>
                <w:u w:val="single"/>
                <w:lang w:eastAsia="fr-FR"/>
              </w:rPr>
            </w:pPr>
            <w:proofErr w:type="spellStart"/>
            <w:r w:rsidRPr="00A36451">
              <w:rPr>
                <w:rFonts w:asciiTheme="majorHAnsi" w:hAnsiTheme="majorHAnsi" w:cs="Calibri"/>
                <w:sz w:val="20"/>
                <w:szCs w:val="20"/>
                <w:u w:val="single"/>
              </w:rPr>
              <w:t>Sapata</w:t>
            </w:r>
            <w:proofErr w:type="spellEnd"/>
            <w:r w:rsidRPr="00A36451">
              <w:rPr>
                <w:rFonts w:asciiTheme="majorHAnsi" w:hAnsiTheme="majorHAnsi" w:cs="Calibri"/>
                <w:sz w:val="20"/>
                <w:szCs w:val="20"/>
                <w:u w:val="single"/>
              </w:rPr>
              <w:t xml:space="preserve"> lija</w:t>
            </w:r>
          </w:p>
        </w:tc>
        <w:tc>
          <w:tcPr>
            <w:tcW w:w="4043" w:type="dxa"/>
            <w:tcBorders>
              <w:top w:val="nil"/>
              <w:left w:val="nil"/>
              <w:bottom w:val="nil"/>
              <w:right w:val="nil"/>
            </w:tcBorders>
            <w:noWrap/>
            <w:vAlign w:val="bottom"/>
            <w:hideMark/>
          </w:tcPr>
          <w:p w14:paraId="7257AA0C"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Centroscymnus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owstonii</w:t>
            </w:r>
            <w:proofErr w:type="spellEnd"/>
            <w:r w:rsidRPr="00A36451">
              <w:rPr>
                <w:rFonts w:asciiTheme="majorHAnsi" w:hAnsiTheme="majorHAnsi" w:cs="Calibri"/>
                <w:i/>
                <w:iCs/>
                <w:sz w:val="20"/>
                <w:szCs w:val="20"/>
                <w:u w:val="single"/>
                <w:lang w:eastAsia="fr-FR"/>
              </w:rPr>
              <w:t xml:space="preserve"> </w:t>
            </w:r>
          </w:p>
        </w:tc>
      </w:tr>
      <w:tr w:rsidR="00806889" w:rsidRPr="00A36451" w14:paraId="6FCB74DA" w14:textId="77777777" w:rsidTr="0051223F">
        <w:trPr>
          <w:trHeight w:val="290"/>
        </w:trPr>
        <w:tc>
          <w:tcPr>
            <w:tcW w:w="1418" w:type="dxa"/>
            <w:tcBorders>
              <w:top w:val="nil"/>
              <w:left w:val="nil"/>
              <w:bottom w:val="nil"/>
              <w:right w:val="nil"/>
            </w:tcBorders>
            <w:vAlign w:val="bottom"/>
          </w:tcPr>
          <w:p w14:paraId="780F9CC9"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ETU</w:t>
            </w:r>
          </w:p>
        </w:tc>
        <w:tc>
          <w:tcPr>
            <w:tcW w:w="3544" w:type="dxa"/>
            <w:tcBorders>
              <w:top w:val="nil"/>
              <w:left w:val="nil"/>
              <w:bottom w:val="nil"/>
              <w:right w:val="nil"/>
            </w:tcBorders>
            <w:noWrap/>
            <w:vAlign w:val="bottom"/>
            <w:hideMark/>
          </w:tcPr>
          <w:p w14:paraId="09FECCF3" w14:textId="2005F62C"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Tollo lucero rayado</w:t>
            </w:r>
          </w:p>
        </w:tc>
        <w:tc>
          <w:tcPr>
            <w:tcW w:w="4043" w:type="dxa"/>
            <w:tcBorders>
              <w:top w:val="nil"/>
              <w:left w:val="nil"/>
              <w:bottom w:val="nil"/>
              <w:right w:val="nil"/>
            </w:tcBorders>
            <w:noWrap/>
            <w:vAlign w:val="bottom"/>
            <w:hideMark/>
          </w:tcPr>
          <w:p w14:paraId="0F09388F"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Etmopterus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bullisi</w:t>
            </w:r>
            <w:proofErr w:type="spellEnd"/>
            <w:r w:rsidRPr="00A36451">
              <w:rPr>
                <w:rFonts w:asciiTheme="majorHAnsi" w:hAnsiTheme="majorHAnsi"/>
                <w:i/>
                <w:iCs/>
                <w:color w:val="00000A"/>
                <w:sz w:val="20"/>
                <w:szCs w:val="20"/>
                <w:u w:val="single"/>
                <w:lang w:eastAsia="fr-FR"/>
              </w:rPr>
              <w:t xml:space="preserve"> </w:t>
            </w:r>
          </w:p>
        </w:tc>
      </w:tr>
      <w:tr w:rsidR="00806889" w:rsidRPr="00A36451" w14:paraId="396343F0" w14:textId="77777777" w:rsidTr="0051223F">
        <w:trPr>
          <w:trHeight w:val="290"/>
        </w:trPr>
        <w:tc>
          <w:tcPr>
            <w:tcW w:w="1418" w:type="dxa"/>
            <w:tcBorders>
              <w:top w:val="nil"/>
              <w:left w:val="nil"/>
              <w:bottom w:val="nil"/>
              <w:right w:val="nil"/>
            </w:tcBorders>
            <w:vAlign w:val="bottom"/>
          </w:tcPr>
          <w:p w14:paraId="6B4EC428"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EUP</w:t>
            </w:r>
          </w:p>
        </w:tc>
        <w:tc>
          <w:tcPr>
            <w:tcW w:w="3544" w:type="dxa"/>
            <w:tcBorders>
              <w:top w:val="nil"/>
              <w:left w:val="nil"/>
              <w:bottom w:val="nil"/>
              <w:right w:val="nil"/>
            </w:tcBorders>
            <w:noWrap/>
            <w:vAlign w:val="bottom"/>
            <w:hideMark/>
          </w:tcPr>
          <w:p w14:paraId="47C82133" w14:textId="668003A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Tollo pigmeo</w:t>
            </w:r>
          </w:p>
        </w:tc>
        <w:tc>
          <w:tcPr>
            <w:tcW w:w="4043" w:type="dxa"/>
            <w:tcBorders>
              <w:top w:val="nil"/>
              <w:left w:val="nil"/>
              <w:bottom w:val="nil"/>
              <w:right w:val="nil"/>
            </w:tcBorders>
            <w:noWrap/>
            <w:vAlign w:val="bottom"/>
            <w:hideMark/>
          </w:tcPr>
          <w:p w14:paraId="63AE864E"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Euprotomicrus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bispinatus</w:t>
            </w:r>
            <w:proofErr w:type="spellEnd"/>
            <w:r w:rsidRPr="00A36451">
              <w:rPr>
                <w:rFonts w:asciiTheme="majorHAnsi" w:hAnsiTheme="majorHAnsi"/>
                <w:i/>
                <w:iCs/>
                <w:color w:val="00000A"/>
                <w:sz w:val="20"/>
                <w:szCs w:val="20"/>
                <w:u w:val="single"/>
                <w:lang w:eastAsia="fr-FR"/>
              </w:rPr>
              <w:t xml:space="preserve"> </w:t>
            </w:r>
          </w:p>
        </w:tc>
      </w:tr>
      <w:tr w:rsidR="00806889" w:rsidRPr="00A36451" w14:paraId="4AB35B5E" w14:textId="77777777" w:rsidTr="0051223F">
        <w:trPr>
          <w:trHeight w:val="290"/>
        </w:trPr>
        <w:tc>
          <w:tcPr>
            <w:tcW w:w="1418" w:type="dxa"/>
            <w:tcBorders>
              <w:top w:val="nil"/>
              <w:left w:val="nil"/>
              <w:bottom w:val="nil"/>
              <w:right w:val="nil"/>
            </w:tcBorders>
            <w:vAlign w:val="bottom"/>
          </w:tcPr>
          <w:p w14:paraId="303233B7"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EUZ</w:t>
            </w:r>
          </w:p>
        </w:tc>
        <w:tc>
          <w:tcPr>
            <w:tcW w:w="3544" w:type="dxa"/>
            <w:tcBorders>
              <w:top w:val="nil"/>
              <w:left w:val="nil"/>
              <w:bottom w:val="nil"/>
              <w:right w:val="nil"/>
            </w:tcBorders>
            <w:noWrap/>
            <w:vAlign w:val="bottom"/>
            <w:hideMark/>
          </w:tcPr>
          <w:p w14:paraId="10F6D20B" w14:textId="55B5D00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Tollo rabo claro</w:t>
            </w:r>
          </w:p>
        </w:tc>
        <w:tc>
          <w:tcPr>
            <w:tcW w:w="4043" w:type="dxa"/>
            <w:tcBorders>
              <w:top w:val="nil"/>
              <w:left w:val="nil"/>
              <w:bottom w:val="nil"/>
              <w:right w:val="nil"/>
            </w:tcBorders>
            <w:noWrap/>
            <w:vAlign w:val="bottom"/>
            <w:hideMark/>
          </w:tcPr>
          <w:p w14:paraId="67E4AC50"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Euprotomicroides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zantedeschia</w:t>
            </w:r>
            <w:proofErr w:type="spellEnd"/>
            <w:r w:rsidRPr="00A36451">
              <w:rPr>
                <w:rFonts w:asciiTheme="majorHAnsi" w:hAnsiTheme="majorHAnsi"/>
                <w:i/>
                <w:iCs/>
                <w:color w:val="00000A"/>
                <w:sz w:val="20"/>
                <w:szCs w:val="20"/>
                <w:u w:val="single"/>
                <w:lang w:eastAsia="fr-FR"/>
              </w:rPr>
              <w:t xml:space="preserve"> </w:t>
            </w:r>
          </w:p>
        </w:tc>
      </w:tr>
      <w:tr w:rsidR="00806889" w:rsidRPr="00A36451" w14:paraId="2874FF10" w14:textId="77777777" w:rsidTr="0051223F">
        <w:trPr>
          <w:trHeight w:val="290"/>
        </w:trPr>
        <w:tc>
          <w:tcPr>
            <w:tcW w:w="1418" w:type="dxa"/>
            <w:tcBorders>
              <w:top w:val="nil"/>
              <w:left w:val="nil"/>
              <w:bottom w:val="nil"/>
              <w:right w:val="nil"/>
            </w:tcBorders>
            <w:vAlign w:val="bottom"/>
          </w:tcPr>
          <w:p w14:paraId="5DC50AF9"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FAL</w:t>
            </w:r>
          </w:p>
        </w:tc>
        <w:tc>
          <w:tcPr>
            <w:tcW w:w="3544" w:type="dxa"/>
            <w:tcBorders>
              <w:top w:val="nil"/>
              <w:left w:val="nil"/>
              <w:bottom w:val="nil"/>
              <w:right w:val="nil"/>
            </w:tcBorders>
            <w:noWrap/>
            <w:vAlign w:val="bottom"/>
            <w:hideMark/>
          </w:tcPr>
          <w:p w14:paraId="6B42ECE3" w14:textId="38F4F8BC"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Tiburón jaquetón</w:t>
            </w:r>
          </w:p>
        </w:tc>
        <w:tc>
          <w:tcPr>
            <w:tcW w:w="4043" w:type="dxa"/>
            <w:tcBorders>
              <w:top w:val="nil"/>
              <w:left w:val="nil"/>
              <w:bottom w:val="nil"/>
              <w:right w:val="nil"/>
            </w:tcBorders>
            <w:noWrap/>
            <w:vAlign w:val="bottom"/>
            <w:hideMark/>
          </w:tcPr>
          <w:p w14:paraId="0186B907"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Carcharhinus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falciformis</w:t>
            </w:r>
            <w:proofErr w:type="spellEnd"/>
          </w:p>
        </w:tc>
      </w:tr>
      <w:tr w:rsidR="00806889" w:rsidRPr="00A36451" w14:paraId="68EE9471" w14:textId="77777777" w:rsidTr="0051223F">
        <w:trPr>
          <w:trHeight w:val="290"/>
        </w:trPr>
        <w:tc>
          <w:tcPr>
            <w:tcW w:w="1418" w:type="dxa"/>
            <w:tcBorders>
              <w:top w:val="nil"/>
              <w:left w:val="nil"/>
              <w:bottom w:val="nil"/>
              <w:right w:val="nil"/>
            </w:tcBorders>
            <w:vAlign w:val="bottom"/>
          </w:tcPr>
          <w:p w14:paraId="2B69C129"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HXN</w:t>
            </w:r>
          </w:p>
        </w:tc>
        <w:tc>
          <w:tcPr>
            <w:tcW w:w="3544" w:type="dxa"/>
            <w:tcBorders>
              <w:top w:val="nil"/>
              <w:left w:val="nil"/>
              <w:bottom w:val="nil"/>
              <w:right w:val="nil"/>
            </w:tcBorders>
            <w:noWrap/>
            <w:vAlign w:val="bottom"/>
            <w:hideMark/>
          </w:tcPr>
          <w:p w14:paraId="132417A7" w14:textId="2B2977F1"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Cañabota ojigrande</w:t>
            </w:r>
          </w:p>
        </w:tc>
        <w:tc>
          <w:tcPr>
            <w:tcW w:w="4043" w:type="dxa"/>
            <w:tcBorders>
              <w:top w:val="nil"/>
              <w:left w:val="nil"/>
              <w:bottom w:val="nil"/>
              <w:right w:val="nil"/>
            </w:tcBorders>
            <w:noWrap/>
            <w:vAlign w:val="bottom"/>
            <w:hideMark/>
          </w:tcPr>
          <w:p w14:paraId="6AAC2404"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Hexanchus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nakamurai</w:t>
            </w:r>
            <w:proofErr w:type="spellEnd"/>
            <w:r w:rsidRPr="00A36451">
              <w:rPr>
                <w:rFonts w:asciiTheme="majorHAnsi" w:hAnsiTheme="majorHAnsi"/>
                <w:i/>
                <w:iCs/>
                <w:color w:val="00000A"/>
                <w:sz w:val="20"/>
                <w:szCs w:val="20"/>
                <w:u w:val="single"/>
                <w:lang w:eastAsia="fr-FR"/>
              </w:rPr>
              <w:t xml:space="preserve"> </w:t>
            </w:r>
          </w:p>
        </w:tc>
      </w:tr>
      <w:tr w:rsidR="00806889" w:rsidRPr="00A36451" w14:paraId="2749BD4A" w14:textId="77777777" w:rsidTr="0051223F">
        <w:trPr>
          <w:trHeight w:val="290"/>
        </w:trPr>
        <w:tc>
          <w:tcPr>
            <w:tcW w:w="1418" w:type="dxa"/>
            <w:tcBorders>
              <w:top w:val="nil"/>
              <w:left w:val="nil"/>
              <w:bottom w:val="nil"/>
              <w:right w:val="nil"/>
            </w:tcBorders>
            <w:vAlign w:val="bottom"/>
          </w:tcPr>
          <w:p w14:paraId="23C19343"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ISB</w:t>
            </w:r>
          </w:p>
        </w:tc>
        <w:tc>
          <w:tcPr>
            <w:tcW w:w="3544" w:type="dxa"/>
            <w:tcBorders>
              <w:top w:val="nil"/>
              <w:left w:val="nil"/>
              <w:bottom w:val="nil"/>
              <w:right w:val="nil"/>
            </w:tcBorders>
            <w:noWrap/>
            <w:vAlign w:val="bottom"/>
            <w:hideMark/>
          </w:tcPr>
          <w:p w14:paraId="543B2D82" w14:textId="05D167DB"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Tollo cigarro</w:t>
            </w:r>
          </w:p>
        </w:tc>
        <w:tc>
          <w:tcPr>
            <w:tcW w:w="4043" w:type="dxa"/>
            <w:tcBorders>
              <w:top w:val="nil"/>
              <w:left w:val="nil"/>
              <w:bottom w:val="nil"/>
              <w:right w:val="nil"/>
            </w:tcBorders>
            <w:noWrap/>
            <w:vAlign w:val="bottom"/>
            <w:hideMark/>
          </w:tcPr>
          <w:p w14:paraId="7D4DA898"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Isistius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brasiliensis</w:t>
            </w:r>
            <w:proofErr w:type="spellEnd"/>
          </w:p>
        </w:tc>
      </w:tr>
      <w:tr w:rsidR="00806889" w:rsidRPr="00A36451" w14:paraId="68CBD2C6" w14:textId="77777777" w:rsidTr="0051223F">
        <w:trPr>
          <w:trHeight w:val="290"/>
        </w:trPr>
        <w:tc>
          <w:tcPr>
            <w:tcW w:w="1418" w:type="dxa"/>
            <w:tcBorders>
              <w:top w:val="nil"/>
              <w:left w:val="nil"/>
              <w:bottom w:val="nil"/>
              <w:right w:val="nil"/>
            </w:tcBorders>
            <w:vAlign w:val="bottom"/>
          </w:tcPr>
          <w:p w14:paraId="52EF9347"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ISP</w:t>
            </w:r>
          </w:p>
        </w:tc>
        <w:tc>
          <w:tcPr>
            <w:tcW w:w="3544" w:type="dxa"/>
            <w:tcBorders>
              <w:top w:val="nil"/>
              <w:left w:val="nil"/>
              <w:bottom w:val="nil"/>
              <w:right w:val="nil"/>
            </w:tcBorders>
            <w:noWrap/>
            <w:vAlign w:val="bottom"/>
            <w:hideMark/>
          </w:tcPr>
          <w:p w14:paraId="4BF1EB00" w14:textId="3E436C88"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Tollo cigarro dentón</w:t>
            </w:r>
          </w:p>
        </w:tc>
        <w:tc>
          <w:tcPr>
            <w:tcW w:w="4043" w:type="dxa"/>
            <w:tcBorders>
              <w:top w:val="nil"/>
              <w:left w:val="nil"/>
              <w:bottom w:val="nil"/>
              <w:right w:val="nil"/>
            </w:tcBorders>
            <w:noWrap/>
            <w:vAlign w:val="bottom"/>
            <w:hideMark/>
          </w:tcPr>
          <w:p w14:paraId="1AD14189"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Isistius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plutodus</w:t>
            </w:r>
            <w:proofErr w:type="spellEnd"/>
            <w:r w:rsidRPr="00A36451">
              <w:rPr>
                <w:rFonts w:asciiTheme="majorHAnsi" w:hAnsiTheme="majorHAnsi"/>
                <w:i/>
                <w:iCs/>
                <w:color w:val="00000A"/>
                <w:sz w:val="20"/>
                <w:szCs w:val="20"/>
                <w:u w:val="single"/>
                <w:lang w:eastAsia="fr-FR"/>
              </w:rPr>
              <w:t xml:space="preserve"> </w:t>
            </w:r>
          </w:p>
        </w:tc>
      </w:tr>
      <w:tr w:rsidR="00806889" w:rsidRPr="00A36451" w14:paraId="5E43C931" w14:textId="77777777" w:rsidTr="0051223F">
        <w:trPr>
          <w:trHeight w:val="290"/>
        </w:trPr>
        <w:tc>
          <w:tcPr>
            <w:tcW w:w="1418" w:type="dxa"/>
            <w:tcBorders>
              <w:top w:val="nil"/>
              <w:left w:val="nil"/>
              <w:bottom w:val="nil"/>
              <w:right w:val="nil"/>
            </w:tcBorders>
            <w:vAlign w:val="bottom"/>
          </w:tcPr>
          <w:p w14:paraId="6E61E3FF"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LMA</w:t>
            </w:r>
          </w:p>
        </w:tc>
        <w:tc>
          <w:tcPr>
            <w:tcW w:w="3544" w:type="dxa"/>
            <w:tcBorders>
              <w:top w:val="nil"/>
              <w:left w:val="nil"/>
              <w:bottom w:val="nil"/>
              <w:right w:val="nil"/>
            </w:tcBorders>
            <w:noWrap/>
            <w:vAlign w:val="bottom"/>
            <w:hideMark/>
          </w:tcPr>
          <w:p w14:paraId="3C74A752" w14:textId="20465834"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Marrajo carite</w:t>
            </w:r>
          </w:p>
        </w:tc>
        <w:tc>
          <w:tcPr>
            <w:tcW w:w="4043" w:type="dxa"/>
            <w:tcBorders>
              <w:top w:val="nil"/>
              <w:left w:val="nil"/>
              <w:bottom w:val="nil"/>
              <w:right w:val="nil"/>
            </w:tcBorders>
            <w:noWrap/>
            <w:vAlign w:val="bottom"/>
            <w:hideMark/>
          </w:tcPr>
          <w:p w14:paraId="6243CE07"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Isurus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paucus</w:t>
            </w:r>
            <w:proofErr w:type="spellEnd"/>
          </w:p>
        </w:tc>
      </w:tr>
      <w:tr w:rsidR="00806889" w:rsidRPr="00A36451" w14:paraId="311C64E1" w14:textId="77777777" w:rsidTr="0051223F">
        <w:trPr>
          <w:trHeight w:val="290"/>
        </w:trPr>
        <w:tc>
          <w:tcPr>
            <w:tcW w:w="1418" w:type="dxa"/>
            <w:tcBorders>
              <w:top w:val="nil"/>
              <w:left w:val="nil"/>
              <w:bottom w:val="nil"/>
              <w:right w:val="nil"/>
            </w:tcBorders>
            <w:vAlign w:val="bottom"/>
          </w:tcPr>
          <w:p w14:paraId="698A5728"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LMO</w:t>
            </w:r>
          </w:p>
        </w:tc>
        <w:tc>
          <w:tcPr>
            <w:tcW w:w="3544" w:type="dxa"/>
            <w:tcBorders>
              <w:top w:val="nil"/>
              <w:left w:val="nil"/>
              <w:bottom w:val="nil"/>
              <w:right w:val="nil"/>
            </w:tcBorders>
            <w:noWrap/>
            <w:vAlign w:val="bottom"/>
            <w:hideMark/>
          </w:tcPr>
          <w:p w14:paraId="7B3E8B1F" w14:textId="6B203E0F"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Tiburón duende</w:t>
            </w:r>
          </w:p>
        </w:tc>
        <w:tc>
          <w:tcPr>
            <w:tcW w:w="4043" w:type="dxa"/>
            <w:tcBorders>
              <w:top w:val="nil"/>
              <w:left w:val="nil"/>
              <w:bottom w:val="nil"/>
              <w:right w:val="nil"/>
            </w:tcBorders>
            <w:noWrap/>
            <w:vAlign w:val="bottom"/>
            <w:hideMark/>
          </w:tcPr>
          <w:p w14:paraId="296C0C30"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Mitsukurina</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owstoni</w:t>
            </w:r>
            <w:proofErr w:type="spellEnd"/>
            <w:r w:rsidRPr="00A36451">
              <w:rPr>
                <w:rFonts w:asciiTheme="majorHAnsi" w:hAnsiTheme="majorHAnsi"/>
                <w:i/>
                <w:iCs/>
                <w:color w:val="00000A"/>
                <w:sz w:val="20"/>
                <w:szCs w:val="20"/>
                <w:u w:val="single"/>
                <w:lang w:eastAsia="fr-FR"/>
              </w:rPr>
              <w:t xml:space="preserve"> </w:t>
            </w:r>
          </w:p>
        </w:tc>
      </w:tr>
      <w:tr w:rsidR="00806889" w:rsidRPr="00A36451" w14:paraId="065744DC" w14:textId="77777777" w:rsidTr="0051223F">
        <w:trPr>
          <w:trHeight w:val="290"/>
        </w:trPr>
        <w:tc>
          <w:tcPr>
            <w:tcW w:w="1418" w:type="dxa"/>
            <w:tcBorders>
              <w:top w:val="nil"/>
              <w:left w:val="nil"/>
              <w:bottom w:val="nil"/>
              <w:right w:val="nil"/>
            </w:tcBorders>
            <w:vAlign w:val="bottom"/>
          </w:tcPr>
          <w:p w14:paraId="2956E49B"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LMP</w:t>
            </w:r>
          </w:p>
        </w:tc>
        <w:tc>
          <w:tcPr>
            <w:tcW w:w="3544" w:type="dxa"/>
            <w:tcBorders>
              <w:top w:val="nil"/>
              <w:left w:val="nil"/>
              <w:bottom w:val="nil"/>
              <w:right w:val="nil"/>
            </w:tcBorders>
            <w:noWrap/>
            <w:vAlign w:val="bottom"/>
            <w:hideMark/>
          </w:tcPr>
          <w:p w14:paraId="058CD21F" w14:textId="5C7FC7AD"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Tiburón bocudo</w:t>
            </w:r>
          </w:p>
        </w:tc>
        <w:tc>
          <w:tcPr>
            <w:tcW w:w="4043" w:type="dxa"/>
            <w:tcBorders>
              <w:top w:val="nil"/>
              <w:left w:val="nil"/>
              <w:bottom w:val="nil"/>
              <w:right w:val="nil"/>
            </w:tcBorders>
            <w:noWrap/>
            <w:vAlign w:val="bottom"/>
            <w:hideMark/>
          </w:tcPr>
          <w:p w14:paraId="0665B181"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Megachasma</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pelagios</w:t>
            </w:r>
            <w:proofErr w:type="spellEnd"/>
          </w:p>
        </w:tc>
      </w:tr>
      <w:tr w:rsidR="00806889" w:rsidRPr="00A36451" w14:paraId="3D1DE68C" w14:textId="77777777" w:rsidTr="0051223F">
        <w:trPr>
          <w:trHeight w:val="290"/>
        </w:trPr>
        <w:tc>
          <w:tcPr>
            <w:tcW w:w="1418" w:type="dxa"/>
            <w:tcBorders>
              <w:top w:val="nil"/>
              <w:left w:val="nil"/>
              <w:bottom w:val="nil"/>
              <w:right w:val="nil"/>
            </w:tcBorders>
            <w:vAlign w:val="bottom"/>
          </w:tcPr>
          <w:p w14:paraId="5CF958BA"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lastRenderedPageBreak/>
              <w:t>OCS</w:t>
            </w:r>
          </w:p>
        </w:tc>
        <w:tc>
          <w:tcPr>
            <w:tcW w:w="3544" w:type="dxa"/>
            <w:tcBorders>
              <w:top w:val="nil"/>
              <w:left w:val="nil"/>
              <w:bottom w:val="nil"/>
              <w:right w:val="nil"/>
            </w:tcBorders>
            <w:noWrap/>
            <w:vAlign w:val="bottom"/>
            <w:hideMark/>
          </w:tcPr>
          <w:p w14:paraId="64CDC93C" w14:textId="2AA2AA4F"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Tiburón oceánico</w:t>
            </w:r>
          </w:p>
        </w:tc>
        <w:tc>
          <w:tcPr>
            <w:tcW w:w="4043" w:type="dxa"/>
            <w:tcBorders>
              <w:top w:val="nil"/>
              <w:left w:val="nil"/>
              <w:bottom w:val="nil"/>
              <w:right w:val="nil"/>
            </w:tcBorders>
            <w:noWrap/>
            <w:vAlign w:val="bottom"/>
            <w:hideMark/>
          </w:tcPr>
          <w:p w14:paraId="45ADF1B1"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Carcharhinus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longimanus</w:t>
            </w:r>
            <w:proofErr w:type="spellEnd"/>
          </w:p>
        </w:tc>
      </w:tr>
      <w:tr w:rsidR="00806889" w:rsidRPr="00A36451" w14:paraId="5F625C9E" w14:textId="77777777" w:rsidTr="0051223F">
        <w:trPr>
          <w:trHeight w:val="290"/>
        </w:trPr>
        <w:tc>
          <w:tcPr>
            <w:tcW w:w="1418" w:type="dxa"/>
            <w:tcBorders>
              <w:top w:val="nil"/>
              <w:left w:val="nil"/>
              <w:bottom w:val="nil"/>
              <w:right w:val="nil"/>
            </w:tcBorders>
            <w:vAlign w:val="bottom"/>
          </w:tcPr>
          <w:p w14:paraId="3F225B22"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PLS</w:t>
            </w:r>
          </w:p>
        </w:tc>
        <w:tc>
          <w:tcPr>
            <w:tcW w:w="3544" w:type="dxa"/>
            <w:tcBorders>
              <w:top w:val="nil"/>
              <w:left w:val="nil"/>
              <w:bottom w:val="nil"/>
              <w:right w:val="nil"/>
            </w:tcBorders>
            <w:noWrap/>
            <w:vAlign w:val="bottom"/>
            <w:hideMark/>
          </w:tcPr>
          <w:p w14:paraId="240EEBC3" w14:textId="7F6843DE"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Raya-látigo violeta</w:t>
            </w:r>
          </w:p>
        </w:tc>
        <w:tc>
          <w:tcPr>
            <w:tcW w:w="4043" w:type="dxa"/>
            <w:tcBorders>
              <w:top w:val="nil"/>
              <w:left w:val="nil"/>
              <w:bottom w:val="nil"/>
              <w:right w:val="nil"/>
            </w:tcBorders>
            <w:noWrap/>
            <w:vAlign w:val="bottom"/>
            <w:hideMark/>
          </w:tcPr>
          <w:p w14:paraId="6B776B75"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Pteroplatytrygon</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violacea</w:t>
            </w:r>
            <w:proofErr w:type="spellEnd"/>
          </w:p>
        </w:tc>
      </w:tr>
      <w:tr w:rsidR="00806889" w:rsidRPr="00A36451" w14:paraId="0ED49A10" w14:textId="77777777" w:rsidTr="0051223F">
        <w:trPr>
          <w:trHeight w:val="290"/>
        </w:trPr>
        <w:tc>
          <w:tcPr>
            <w:tcW w:w="1418" w:type="dxa"/>
            <w:tcBorders>
              <w:top w:val="nil"/>
              <w:left w:val="nil"/>
              <w:bottom w:val="nil"/>
              <w:right w:val="nil"/>
            </w:tcBorders>
            <w:vAlign w:val="bottom"/>
          </w:tcPr>
          <w:p w14:paraId="5B87EFA4"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PSK</w:t>
            </w:r>
          </w:p>
        </w:tc>
        <w:tc>
          <w:tcPr>
            <w:tcW w:w="3544" w:type="dxa"/>
            <w:tcBorders>
              <w:top w:val="nil"/>
              <w:left w:val="nil"/>
              <w:bottom w:val="nil"/>
              <w:right w:val="nil"/>
            </w:tcBorders>
            <w:noWrap/>
            <w:vAlign w:val="bottom"/>
            <w:hideMark/>
          </w:tcPr>
          <w:p w14:paraId="0901430B" w14:textId="59AC9D41"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Tiburón cocodrilo</w:t>
            </w:r>
          </w:p>
        </w:tc>
        <w:tc>
          <w:tcPr>
            <w:tcW w:w="4043" w:type="dxa"/>
            <w:tcBorders>
              <w:top w:val="nil"/>
              <w:left w:val="nil"/>
              <w:bottom w:val="nil"/>
              <w:right w:val="nil"/>
            </w:tcBorders>
            <w:noWrap/>
            <w:vAlign w:val="bottom"/>
            <w:hideMark/>
          </w:tcPr>
          <w:p w14:paraId="1075B605"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Pseudocarcharias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kamoharai</w:t>
            </w:r>
            <w:proofErr w:type="spellEnd"/>
          </w:p>
        </w:tc>
      </w:tr>
      <w:tr w:rsidR="00806889" w:rsidRPr="00A36451" w14:paraId="20B6881A" w14:textId="77777777" w:rsidTr="0051223F">
        <w:trPr>
          <w:trHeight w:val="290"/>
        </w:trPr>
        <w:tc>
          <w:tcPr>
            <w:tcW w:w="1418" w:type="dxa"/>
            <w:tcBorders>
              <w:top w:val="nil"/>
              <w:left w:val="nil"/>
              <w:bottom w:val="nil"/>
              <w:right w:val="nil"/>
            </w:tcBorders>
            <w:vAlign w:val="bottom"/>
          </w:tcPr>
          <w:p w14:paraId="0D270CCA"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QUL</w:t>
            </w:r>
          </w:p>
        </w:tc>
        <w:tc>
          <w:tcPr>
            <w:tcW w:w="3544" w:type="dxa"/>
            <w:tcBorders>
              <w:top w:val="nil"/>
              <w:left w:val="nil"/>
              <w:bottom w:val="nil"/>
              <w:right w:val="nil"/>
            </w:tcBorders>
            <w:noWrap/>
            <w:vAlign w:val="bottom"/>
            <w:hideMark/>
          </w:tcPr>
          <w:p w14:paraId="2E2264F8" w14:textId="474FFDC5"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Tollo pigmeo espinudo</w:t>
            </w:r>
          </w:p>
        </w:tc>
        <w:tc>
          <w:tcPr>
            <w:tcW w:w="4043" w:type="dxa"/>
            <w:tcBorders>
              <w:top w:val="nil"/>
              <w:left w:val="nil"/>
              <w:bottom w:val="nil"/>
              <w:right w:val="nil"/>
            </w:tcBorders>
            <w:noWrap/>
            <w:vAlign w:val="bottom"/>
            <w:hideMark/>
          </w:tcPr>
          <w:p w14:paraId="788851C9"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Squaliolus</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laticaudus</w:t>
            </w:r>
            <w:proofErr w:type="spellEnd"/>
          </w:p>
        </w:tc>
      </w:tr>
      <w:tr w:rsidR="00806889" w:rsidRPr="00A36451" w14:paraId="56D972F0" w14:textId="77777777" w:rsidTr="0051223F">
        <w:trPr>
          <w:trHeight w:val="290"/>
        </w:trPr>
        <w:tc>
          <w:tcPr>
            <w:tcW w:w="1418" w:type="dxa"/>
            <w:tcBorders>
              <w:top w:val="nil"/>
              <w:left w:val="nil"/>
              <w:bottom w:val="nil"/>
              <w:right w:val="nil"/>
            </w:tcBorders>
            <w:vAlign w:val="bottom"/>
          </w:tcPr>
          <w:p w14:paraId="15901F7F" w14:textId="77777777"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RHN</w:t>
            </w:r>
          </w:p>
        </w:tc>
        <w:tc>
          <w:tcPr>
            <w:tcW w:w="3544" w:type="dxa"/>
            <w:tcBorders>
              <w:top w:val="nil"/>
              <w:left w:val="nil"/>
              <w:bottom w:val="nil"/>
              <w:right w:val="nil"/>
            </w:tcBorders>
            <w:noWrap/>
            <w:vAlign w:val="bottom"/>
            <w:hideMark/>
          </w:tcPr>
          <w:p w14:paraId="5514FAA4" w14:textId="13AFDE41" w:rsidR="00806889" w:rsidRPr="00A36451" w:rsidRDefault="00806889" w:rsidP="00806889">
            <w:pPr>
              <w:rPr>
                <w:rFonts w:asciiTheme="majorHAnsi" w:hAnsiTheme="majorHAnsi" w:cs="Calibri"/>
                <w:sz w:val="20"/>
                <w:szCs w:val="20"/>
                <w:u w:val="single"/>
                <w:lang w:eastAsia="fr-FR"/>
              </w:rPr>
            </w:pPr>
            <w:r w:rsidRPr="00A36451">
              <w:rPr>
                <w:rFonts w:asciiTheme="majorHAnsi" w:hAnsiTheme="majorHAnsi" w:cs="Calibri"/>
                <w:sz w:val="20"/>
                <w:szCs w:val="20"/>
                <w:u w:val="single"/>
              </w:rPr>
              <w:t>Tiburón ballena</w:t>
            </w:r>
          </w:p>
        </w:tc>
        <w:tc>
          <w:tcPr>
            <w:tcW w:w="4043" w:type="dxa"/>
            <w:tcBorders>
              <w:top w:val="nil"/>
              <w:left w:val="nil"/>
              <w:bottom w:val="nil"/>
              <w:right w:val="nil"/>
            </w:tcBorders>
            <w:noWrap/>
            <w:vAlign w:val="bottom"/>
            <w:hideMark/>
          </w:tcPr>
          <w:p w14:paraId="20E04590" w14:textId="77777777" w:rsidR="00806889" w:rsidRPr="00A36451" w:rsidRDefault="00806889" w:rsidP="00806889">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Rhincodon</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typus</w:t>
            </w:r>
            <w:proofErr w:type="spellEnd"/>
          </w:p>
        </w:tc>
      </w:tr>
      <w:tr w:rsidR="002B698D" w:rsidRPr="00A36451" w14:paraId="720A6D21" w14:textId="77777777" w:rsidTr="0051223F">
        <w:trPr>
          <w:trHeight w:val="290"/>
        </w:trPr>
        <w:tc>
          <w:tcPr>
            <w:tcW w:w="1418" w:type="dxa"/>
            <w:tcBorders>
              <w:top w:val="nil"/>
              <w:left w:val="nil"/>
              <w:bottom w:val="nil"/>
              <w:right w:val="nil"/>
            </w:tcBorders>
            <w:vAlign w:val="bottom"/>
          </w:tcPr>
          <w:p w14:paraId="6F1B41EB"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SPK</w:t>
            </w:r>
          </w:p>
        </w:tc>
        <w:tc>
          <w:tcPr>
            <w:tcW w:w="3544" w:type="dxa"/>
            <w:tcBorders>
              <w:top w:val="nil"/>
              <w:left w:val="nil"/>
              <w:bottom w:val="nil"/>
              <w:right w:val="nil"/>
            </w:tcBorders>
            <w:noWrap/>
            <w:vAlign w:val="bottom"/>
            <w:hideMark/>
          </w:tcPr>
          <w:p w14:paraId="03BCC152" w14:textId="2624D02C" w:rsidR="002B698D" w:rsidRPr="00A36451" w:rsidRDefault="007002BE"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Cornuda gigante</w:t>
            </w:r>
          </w:p>
        </w:tc>
        <w:tc>
          <w:tcPr>
            <w:tcW w:w="4043" w:type="dxa"/>
            <w:tcBorders>
              <w:top w:val="nil"/>
              <w:left w:val="nil"/>
              <w:bottom w:val="nil"/>
              <w:right w:val="nil"/>
            </w:tcBorders>
            <w:noWrap/>
            <w:vAlign w:val="bottom"/>
            <w:hideMark/>
          </w:tcPr>
          <w:p w14:paraId="7B511E75" w14:textId="77777777" w:rsidR="002B698D" w:rsidRPr="00A36451" w:rsidRDefault="002B698D" w:rsidP="000E49B5">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 xml:space="preserve">Sphyrna </w:t>
            </w:r>
            <w:proofErr w:type="spellStart"/>
            <w:r w:rsidRPr="00A36451">
              <w:rPr>
                <w:rFonts w:asciiTheme="majorHAnsi" w:hAnsiTheme="majorHAnsi" w:cs="Calibri"/>
                <w:i/>
                <w:iCs/>
                <w:sz w:val="20"/>
                <w:szCs w:val="20"/>
                <w:u w:val="single"/>
                <w:lang w:eastAsia="fr-FR"/>
              </w:rPr>
              <w:t>mokarran</w:t>
            </w:r>
            <w:proofErr w:type="spellEnd"/>
          </w:p>
        </w:tc>
      </w:tr>
      <w:tr w:rsidR="002B698D" w:rsidRPr="00A36451" w14:paraId="0030E305" w14:textId="77777777" w:rsidTr="0051223F">
        <w:trPr>
          <w:trHeight w:val="290"/>
        </w:trPr>
        <w:tc>
          <w:tcPr>
            <w:tcW w:w="1418" w:type="dxa"/>
            <w:tcBorders>
              <w:top w:val="nil"/>
              <w:left w:val="nil"/>
              <w:bottom w:val="nil"/>
              <w:right w:val="nil"/>
            </w:tcBorders>
            <w:vAlign w:val="bottom"/>
          </w:tcPr>
          <w:p w14:paraId="15098A4B"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SPL</w:t>
            </w:r>
          </w:p>
        </w:tc>
        <w:tc>
          <w:tcPr>
            <w:tcW w:w="3544" w:type="dxa"/>
            <w:tcBorders>
              <w:top w:val="nil"/>
              <w:left w:val="nil"/>
              <w:bottom w:val="nil"/>
              <w:right w:val="nil"/>
            </w:tcBorders>
            <w:noWrap/>
            <w:vAlign w:val="bottom"/>
            <w:hideMark/>
          </w:tcPr>
          <w:p w14:paraId="2A0B2A1A" w14:textId="52568863" w:rsidR="002B698D" w:rsidRPr="00A36451" w:rsidRDefault="00961C69"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Cornuda común</w:t>
            </w:r>
          </w:p>
        </w:tc>
        <w:tc>
          <w:tcPr>
            <w:tcW w:w="4043" w:type="dxa"/>
            <w:tcBorders>
              <w:top w:val="nil"/>
              <w:left w:val="nil"/>
              <w:bottom w:val="nil"/>
              <w:right w:val="nil"/>
            </w:tcBorders>
            <w:noWrap/>
            <w:vAlign w:val="bottom"/>
            <w:hideMark/>
          </w:tcPr>
          <w:p w14:paraId="095AEC88" w14:textId="77777777" w:rsidR="002B698D" w:rsidRPr="00A36451" w:rsidRDefault="002B698D" w:rsidP="000E49B5">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 xml:space="preserve">Sphyrna </w:t>
            </w:r>
            <w:proofErr w:type="spellStart"/>
            <w:r w:rsidRPr="00A36451">
              <w:rPr>
                <w:rFonts w:asciiTheme="majorHAnsi" w:hAnsiTheme="majorHAnsi" w:cs="Calibri"/>
                <w:i/>
                <w:iCs/>
                <w:sz w:val="20"/>
                <w:szCs w:val="20"/>
                <w:u w:val="single"/>
                <w:lang w:eastAsia="fr-FR"/>
              </w:rPr>
              <w:t>lewini</w:t>
            </w:r>
            <w:proofErr w:type="spellEnd"/>
          </w:p>
        </w:tc>
      </w:tr>
      <w:tr w:rsidR="002B698D" w:rsidRPr="00A36451" w14:paraId="6FB0238A" w14:textId="77777777" w:rsidTr="0051223F">
        <w:trPr>
          <w:trHeight w:val="290"/>
        </w:trPr>
        <w:tc>
          <w:tcPr>
            <w:tcW w:w="1418" w:type="dxa"/>
            <w:tcBorders>
              <w:top w:val="nil"/>
              <w:left w:val="nil"/>
              <w:bottom w:val="nil"/>
              <w:right w:val="nil"/>
            </w:tcBorders>
            <w:vAlign w:val="bottom"/>
          </w:tcPr>
          <w:p w14:paraId="6E81E079"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SPZ</w:t>
            </w:r>
          </w:p>
        </w:tc>
        <w:tc>
          <w:tcPr>
            <w:tcW w:w="3544" w:type="dxa"/>
            <w:tcBorders>
              <w:top w:val="nil"/>
              <w:left w:val="nil"/>
              <w:bottom w:val="nil"/>
              <w:right w:val="nil"/>
            </w:tcBorders>
            <w:noWrap/>
            <w:vAlign w:val="bottom"/>
            <w:hideMark/>
          </w:tcPr>
          <w:p w14:paraId="078D81DD" w14:textId="474083C1" w:rsidR="002B698D" w:rsidRPr="00A36451" w:rsidRDefault="00002F09"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Cornuda cruz</w:t>
            </w:r>
            <w:r w:rsidRPr="00A36451">
              <w:rPr>
                <w:rFonts w:asciiTheme="majorHAnsi" w:hAnsiTheme="majorHAnsi" w:cs="Calibri"/>
                <w:sz w:val="20"/>
                <w:szCs w:val="20"/>
                <w:u w:val="single"/>
                <w:lang w:eastAsia="fr-FR"/>
              </w:rPr>
              <w:t xml:space="preserve"> </w:t>
            </w:r>
            <w:r w:rsidRPr="00A36451">
              <w:rPr>
                <w:rFonts w:asciiTheme="majorHAnsi" w:hAnsiTheme="majorHAnsi" w:cs="Calibri"/>
                <w:sz w:val="20"/>
                <w:szCs w:val="20"/>
                <w:u w:val="single"/>
                <w:lang w:eastAsia="fr-FR"/>
              </w:rPr>
              <w:t>(</w:t>
            </w:r>
            <w:r w:rsidR="005F01CA" w:rsidRPr="00A36451">
              <w:rPr>
                <w:rFonts w:asciiTheme="majorHAnsi" w:hAnsiTheme="majorHAnsi" w:cs="Calibri"/>
                <w:sz w:val="20"/>
                <w:szCs w:val="20"/>
                <w:u w:val="single"/>
                <w:lang w:eastAsia="fr-FR"/>
              </w:rPr>
              <w:t xml:space="preserve">pez </w:t>
            </w:r>
            <w:r w:rsidRPr="00A36451">
              <w:rPr>
                <w:rFonts w:asciiTheme="majorHAnsi" w:hAnsiTheme="majorHAnsi" w:cs="Calibri"/>
                <w:sz w:val="20"/>
                <w:szCs w:val="20"/>
                <w:u w:val="single"/>
                <w:lang w:eastAsia="fr-FR"/>
              </w:rPr>
              <w:t>martillo)</w:t>
            </w:r>
          </w:p>
        </w:tc>
        <w:tc>
          <w:tcPr>
            <w:tcW w:w="4043" w:type="dxa"/>
            <w:tcBorders>
              <w:top w:val="nil"/>
              <w:left w:val="nil"/>
              <w:bottom w:val="nil"/>
              <w:right w:val="nil"/>
            </w:tcBorders>
            <w:noWrap/>
            <w:vAlign w:val="bottom"/>
            <w:hideMark/>
          </w:tcPr>
          <w:p w14:paraId="5ABBBF8B" w14:textId="77777777" w:rsidR="002B698D" w:rsidRPr="00A36451" w:rsidRDefault="002B698D" w:rsidP="000E49B5">
            <w:pPr>
              <w:rPr>
                <w:rFonts w:asciiTheme="majorHAnsi" w:hAnsiTheme="majorHAnsi" w:cs="Calibri"/>
                <w:i/>
                <w:iCs/>
                <w:sz w:val="20"/>
                <w:szCs w:val="20"/>
                <w:u w:val="single"/>
                <w:lang w:eastAsia="fr-FR"/>
              </w:rPr>
            </w:pPr>
            <w:r w:rsidRPr="00A36451">
              <w:rPr>
                <w:rFonts w:asciiTheme="majorHAnsi" w:hAnsiTheme="majorHAnsi" w:cs="Calibri"/>
                <w:i/>
                <w:iCs/>
                <w:sz w:val="20"/>
                <w:szCs w:val="20"/>
                <w:u w:val="single"/>
                <w:lang w:eastAsia="fr-FR"/>
              </w:rPr>
              <w:t xml:space="preserve">Sphyrna </w:t>
            </w:r>
            <w:proofErr w:type="spellStart"/>
            <w:r w:rsidRPr="00A36451">
              <w:rPr>
                <w:rFonts w:asciiTheme="majorHAnsi" w:hAnsiTheme="majorHAnsi" w:cs="Calibri"/>
                <w:i/>
                <w:iCs/>
                <w:sz w:val="20"/>
                <w:szCs w:val="20"/>
                <w:u w:val="single"/>
                <w:lang w:eastAsia="fr-FR"/>
              </w:rPr>
              <w:t>zygaena</w:t>
            </w:r>
            <w:proofErr w:type="spellEnd"/>
          </w:p>
        </w:tc>
      </w:tr>
      <w:tr w:rsidR="002B698D" w:rsidRPr="00A36451" w14:paraId="44BEE877" w14:textId="77777777" w:rsidTr="0051223F">
        <w:trPr>
          <w:trHeight w:val="290"/>
        </w:trPr>
        <w:tc>
          <w:tcPr>
            <w:tcW w:w="1418" w:type="dxa"/>
            <w:tcBorders>
              <w:top w:val="nil"/>
              <w:left w:val="nil"/>
              <w:bottom w:val="nil"/>
              <w:right w:val="nil"/>
            </w:tcBorders>
            <w:vAlign w:val="bottom"/>
          </w:tcPr>
          <w:p w14:paraId="5350627D" w14:textId="77777777" w:rsidR="002B698D" w:rsidRPr="00A36451" w:rsidRDefault="002B698D"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WSH</w:t>
            </w:r>
          </w:p>
        </w:tc>
        <w:tc>
          <w:tcPr>
            <w:tcW w:w="3544" w:type="dxa"/>
            <w:tcBorders>
              <w:top w:val="nil"/>
              <w:left w:val="nil"/>
              <w:bottom w:val="nil"/>
              <w:right w:val="nil"/>
            </w:tcBorders>
            <w:noWrap/>
            <w:vAlign w:val="bottom"/>
            <w:hideMark/>
          </w:tcPr>
          <w:p w14:paraId="4DDF2AE7" w14:textId="1D4CCCB9" w:rsidR="002B698D" w:rsidRPr="00A36451" w:rsidRDefault="00A36451" w:rsidP="000E49B5">
            <w:pPr>
              <w:rPr>
                <w:rFonts w:asciiTheme="majorHAnsi" w:hAnsiTheme="majorHAnsi" w:cs="Calibri"/>
                <w:sz w:val="20"/>
                <w:szCs w:val="20"/>
                <w:u w:val="single"/>
                <w:lang w:eastAsia="fr-FR"/>
              </w:rPr>
            </w:pPr>
            <w:r w:rsidRPr="00A36451">
              <w:rPr>
                <w:rFonts w:asciiTheme="majorHAnsi" w:hAnsiTheme="majorHAnsi" w:cs="Calibri"/>
                <w:sz w:val="20"/>
                <w:szCs w:val="20"/>
                <w:u w:val="single"/>
                <w:lang w:eastAsia="fr-FR"/>
              </w:rPr>
              <w:t>Jaquetón blanco</w:t>
            </w:r>
          </w:p>
        </w:tc>
        <w:tc>
          <w:tcPr>
            <w:tcW w:w="4043" w:type="dxa"/>
            <w:tcBorders>
              <w:top w:val="nil"/>
              <w:left w:val="nil"/>
              <w:bottom w:val="nil"/>
              <w:right w:val="nil"/>
            </w:tcBorders>
            <w:noWrap/>
            <w:vAlign w:val="bottom"/>
            <w:hideMark/>
          </w:tcPr>
          <w:p w14:paraId="057DC36D" w14:textId="77777777" w:rsidR="002B698D" w:rsidRPr="00A36451" w:rsidRDefault="002B698D" w:rsidP="000E49B5">
            <w:pPr>
              <w:rPr>
                <w:rFonts w:asciiTheme="majorHAnsi" w:hAnsiTheme="majorHAnsi" w:cs="Calibri"/>
                <w:i/>
                <w:iCs/>
                <w:sz w:val="20"/>
                <w:szCs w:val="20"/>
                <w:u w:val="single"/>
                <w:lang w:eastAsia="fr-FR"/>
              </w:rPr>
            </w:pPr>
            <w:proofErr w:type="spellStart"/>
            <w:r w:rsidRPr="00A36451">
              <w:rPr>
                <w:rFonts w:asciiTheme="majorHAnsi" w:hAnsiTheme="majorHAnsi" w:cs="Calibri"/>
                <w:i/>
                <w:iCs/>
                <w:sz w:val="20"/>
                <w:szCs w:val="20"/>
                <w:u w:val="single"/>
                <w:lang w:eastAsia="fr-FR"/>
              </w:rPr>
              <w:t>Carcharodon</w:t>
            </w:r>
            <w:proofErr w:type="spellEnd"/>
            <w:r w:rsidRPr="00A36451">
              <w:rPr>
                <w:rFonts w:asciiTheme="majorHAnsi" w:hAnsiTheme="majorHAnsi" w:cs="Calibri"/>
                <w:i/>
                <w:iCs/>
                <w:sz w:val="20"/>
                <w:szCs w:val="20"/>
                <w:u w:val="single"/>
                <w:lang w:eastAsia="fr-FR"/>
              </w:rPr>
              <w:t xml:space="preserve"> </w:t>
            </w:r>
            <w:proofErr w:type="spellStart"/>
            <w:r w:rsidRPr="00A36451">
              <w:rPr>
                <w:rFonts w:asciiTheme="majorHAnsi" w:hAnsiTheme="majorHAnsi" w:cs="Calibri"/>
                <w:i/>
                <w:iCs/>
                <w:sz w:val="20"/>
                <w:szCs w:val="20"/>
                <w:u w:val="single"/>
                <w:lang w:eastAsia="fr-FR"/>
              </w:rPr>
              <w:t>carcharias</w:t>
            </w:r>
            <w:proofErr w:type="spellEnd"/>
          </w:p>
        </w:tc>
      </w:tr>
    </w:tbl>
    <w:p w14:paraId="1196D66E" w14:textId="77777777" w:rsidR="00F11E28" w:rsidRPr="00A36451" w:rsidRDefault="00F11E28" w:rsidP="00F11E28">
      <w:pPr>
        <w:tabs>
          <w:tab w:val="left" w:pos="400"/>
        </w:tabs>
        <w:ind w:right="125"/>
        <w:jc w:val="right"/>
        <w:rPr>
          <w:rFonts w:asciiTheme="majorHAnsi" w:hAnsiTheme="majorHAnsi"/>
          <w:sz w:val="20"/>
          <w:szCs w:val="20"/>
          <w:u w:val="single"/>
        </w:rPr>
      </w:pPr>
    </w:p>
    <w:p w14:paraId="03F35482" w14:textId="77777777" w:rsidR="0014504F" w:rsidRPr="00A36451" w:rsidRDefault="0014504F" w:rsidP="00236E05">
      <w:pPr>
        <w:tabs>
          <w:tab w:val="left" w:pos="400"/>
        </w:tabs>
        <w:ind w:left="100" w:right="125"/>
        <w:rPr>
          <w:rFonts w:asciiTheme="majorHAnsi" w:hAnsiTheme="majorHAnsi"/>
          <w:sz w:val="20"/>
          <w:szCs w:val="20"/>
          <w:u w:val="single"/>
        </w:rPr>
      </w:pPr>
    </w:p>
    <w:p w14:paraId="1EFABE7D" w14:textId="77777777" w:rsidR="0014504F" w:rsidRPr="00A36451" w:rsidRDefault="0014504F" w:rsidP="00236E05">
      <w:pPr>
        <w:tabs>
          <w:tab w:val="left" w:pos="400"/>
        </w:tabs>
        <w:ind w:left="100" w:right="125"/>
        <w:rPr>
          <w:rFonts w:asciiTheme="majorHAnsi" w:hAnsiTheme="majorHAnsi"/>
          <w:sz w:val="20"/>
          <w:szCs w:val="20"/>
          <w:u w:val="single"/>
        </w:rPr>
      </w:pPr>
    </w:p>
    <w:p w14:paraId="5DBF3A80" w14:textId="77777777" w:rsidR="0032712C" w:rsidRPr="00A36451" w:rsidRDefault="0032712C" w:rsidP="00236E05">
      <w:pPr>
        <w:tabs>
          <w:tab w:val="left" w:pos="400"/>
        </w:tabs>
        <w:ind w:left="100" w:right="125"/>
        <w:rPr>
          <w:rFonts w:asciiTheme="majorHAnsi" w:hAnsiTheme="majorHAnsi"/>
          <w:sz w:val="20"/>
          <w:szCs w:val="20"/>
          <w:u w:val="single"/>
        </w:rPr>
      </w:pPr>
    </w:p>
    <w:p w14:paraId="21ED4E00" w14:textId="77777777" w:rsidR="0032712C" w:rsidRPr="00A36451" w:rsidRDefault="0032712C" w:rsidP="00236E05">
      <w:pPr>
        <w:tabs>
          <w:tab w:val="left" w:pos="400"/>
        </w:tabs>
        <w:ind w:left="100" w:right="125"/>
        <w:rPr>
          <w:rFonts w:asciiTheme="majorHAnsi" w:hAnsiTheme="majorHAnsi"/>
          <w:sz w:val="20"/>
          <w:szCs w:val="20"/>
          <w:u w:val="single"/>
        </w:rPr>
      </w:pPr>
    </w:p>
    <w:p w14:paraId="68C93FCD" w14:textId="77777777" w:rsidR="0032712C" w:rsidRPr="00A36451" w:rsidRDefault="0032712C" w:rsidP="00236E05">
      <w:pPr>
        <w:tabs>
          <w:tab w:val="left" w:pos="400"/>
        </w:tabs>
        <w:ind w:left="100" w:right="125"/>
        <w:rPr>
          <w:rFonts w:asciiTheme="majorHAnsi" w:hAnsiTheme="majorHAnsi"/>
          <w:sz w:val="20"/>
          <w:szCs w:val="20"/>
          <w:u w:val="single"/>
        </w:rPr>
      </w:pPr>
    </w:p>
    <w:p w14:paraId="68E4CB3C" w14:textId="77777777" w:rsidR="0032712C" w:rsidRPr="00A36451" w:rsidRDefault="0032712C" w:rsidP="00236E05">
      <w:pPr>
        <w:tabs>
          <w:tab w:val="left" w:pos="400"/>
        </w:tabs>
        <w:ind w:left="100" w:right="125"/>
        <w:rPr>
          <w:rFonts w:asciiTheme="majorHAnsi" w:hAnsiTheme="majorHAnsi"/>
          <w:sz w:val="19"/>
          <w:u w:val="single"/>
        </w:rPr>
      </w:pPr>
    </w:p>
    <w:sectPr w:rsidR="0032712C" w:rsidRPr="00A36451" w:rsidSect="007D553C">
      <w:headerReference w:type="default" r:id="rId10"/>
      <w:footerReference w:type="default" r:id="rId11"/>
      <w:type w:val="continuous"/>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F219" w14:textId="77777777" w:rsidR="00CD1367" w:rsidRDefault="00CD1367">
      <w:r>
        <w:separator/>
      </w:r>
    </w:p>
  </w:endnote>
  <w:endnote w:type="continuationSeparator" w:id="0">
    <w:p w14:paraId="17239B20" w14:textId="77777777" w:rsidR="00CD1367" w:rsidRDefault="00CD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CDAE" w14:textId="77777777" w:rsidR="00CD1539" w:rsidRPr="00CD1539" w:rsidRDefault="0044689C" w:rsidP="00CD1539">
    <w:pPr>
      <w:widowControl/>
      <w:tabs>
        <w:tab w:val="center" w:pos="4535"/>
        <w:tab w:val="center" w:pos="4680"/>
        <w:tab w:val="left" w:pos="6150"/>
        <w:tab w:val="right" w:pos="9360"/>
      </w:tabs>
      <w:autoSpaceDE/>
      <w:autoSpaceDN/>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CD1539" w:rsidRPr="00CD1539">
          <w:rPr>
            <w:rFonts w:ascii="Cambria" w:eastAsia="Calibri" w:hAnsi="Cambria" w:cs="Calibri"/>
            <w:sz w:val="20"/>
          </w:rPr>
          <w:fldChar w:fldCharType="begin"/>
        </w:r>
        <w:r w:rsidR="00CD1539" w:rsidRPr="00CD1539">
          <w:rPr>
            <w:rFonts w:ascii="Cambria" w:eastAsia="Calibri" w:hAnsi="Cambria" w:cs="Calibri"/>
            <w:sz w:val="20"/>
          </w:rPr>
          <w:instrText xml:space="preserve"> PAGE </w:instrText>
        </w:r>
        <w:r w:rsidR="00CD1539" w:rsidRPr="00CD1539">
          <w:rPr>
            <w:rFonts w:ascii="Cambria" w:eastAsia="Calibri" w:hAnsi="Cambria" w:cs="Calibri"/>
            <w:sz w:val="20"/>
          </w:rPr>
          <w:fldChar w:fldCharType="separate"/>
        </w:r>
        <w:r w:rsidR="00CD1539" w:rsidRPr="00CD1539">
          <w:rPr>
            <w:rFonts w:ascii="Cambria" w:eastAsia="Calibri" w:hAnsi="Cambria" w:cs="Calibri"/>
            <w:sz w:val="20"/>
          </w:rPr>
          <w:t>1</w:t>
        </w:r>
        <w:r w:rsidR="00CD1539" w:rsidRPr="00CD1539">
          <w:rPr>
            <w:rFonts w:ascii="Cambria" w:eastAsia="Calibri" w:hAnsi="Cambria" w:cs="Calibri"/>
            <w:sz w:val="20"/>
          </w:rPr>
          <w:fldChar w:fldCharType="end"/>
        </w:r>
        <w:r w:rsidR="00CD1539">
          <w:rPr>
            <w:rFonts w:ascii="Cambria" w:hAnsi="Cambria"/>
            <w:sz w:val="20"/>
          </w:rPr>
          <w:t xml:space="preserve"> / </w:t>
        </w:r>
        <w:r w:rsidR="00CD1539" w:rsidRPr="00CD1539">
          <w:rPr>
            <w:rFonts w:ascii="Cambria" w:eastAsia="Calibri" w:hAnsi="Cambria" w:cs="Calibri"/>
            <w:sz w:val="20"/>
          </w:rPr>
          <w:fldChar w:fldCharType="begin"/>
        </w:r>
        <w:r w:rsidR="00CD1539" w:rsidRPr="00CD1539">
          <w:rPr>
            <w:rFonts w:ascii="Cambria" w:eastAsia="Calibri" w:hAnsi="Cambria" w:cs="Calibri"/>
            <w:sz w:val="20"/>
          </w:rPr>
          <w:instrText xml:space="preserve"> NUMPAGES  </w:instrText>
        </w:r>
        <w:r w:rsidR="00CD1539" w:rsidRPr="00CD1539">
          <w:rPr>
            <w:rFonts w:ascii="Cambria" w:eastAsia="Calibri" w:hAnsi="Cambria" w:cs="Calibri"/>
            <w:sz w:val="20"/>
          </w:rPr>
          <w:fldChar w:fldCharType="separate"/>
        </w:r>
        <w:r w:rsidR="00CD1539" w:rsidRPr="00CD1539">
          <w:rPr>
            <w:rFonts w:ascii="Cambria" w:eastAsia="Calibri" w:hAnsi="Cambria" w:cs="Calibri"/>
            <w:sz w:val="20"/>
          </w:rPr>
          <w:t>9</w:t>
        </w:r>
        <w:r w:rsidR="00CD1539" w:rsidRPr="00CD1539">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BB41" w14:textId="77777777" w:rsidR="00CD1367" w:rsidRDefault="00CD1367">
      <w:r>
        <w:separator/>
      </w:r>
    </w:p>
  </w:footnote>
  <w:footnote w:type="continuationSeparator" w:id="0">
    <w:p w14:paraId="6D0A6551" w14:textId="77777777" w:rsidR="00CD1367" w:rsidRDefault="00CD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F0D9" w14:textId="4F94303A" w:rsidR="00FA74C4" w:rsidRPr="00FA74C4" w:rsidRDefault="00FA74C4" w:rsidP="00FA74C4">
    <w:pPr>
      <w:widowControl/>
      <w:tabs>
        <w:tab w:val="center" w:pos="4680"/>
        <w:tab w:val="left" w:pos="6520"/>
        <w:tab w:val="right" w:pos="9360"/>
        <w:tab w:val="right" w:pos="14240"/>
      </w:tabs>
      <w:autoSpaceDE/>
      <w:autoSpaceDN/>
      <w:jc w:val="right"/>
      <w:rPr>
        <w:rFonts w:ascii="Cambria" w:eastAsia="Calibri" w:hAnsi="Cambria"/>
        <w:b/>
        <w:bCs/>
        <w:sz w:val="20"/>
        <w:szCs w:val="20"/>
      </w:rPr>
    </w:pPr>
    <w:bookmarkStart w:id="3" w:name="_Hlk107908354"/>
    <w:bookmarkStart w:id="4" w:name="_Hlk107908355"/>
    <w:bookmarkStart w:id="5" w:name="_Hlk107908359"/>
    <w:bookmarkStart w:id="6" w:name="_Hlk107908360"/>
    <w:bookmarkStart w:id="7" w:name="_Hlk107908361"/>
    <w:bookmarkStart w:id="8" w:name="_Hlk107908362"/>
    <w:r>
      <w:rPr>
        <w:rFonts w:ascii="Cambria" w:hAnsi="Cambria"/>
        <w:b/>
        <w:sz w:val="20"/>
      </w:rPr>
      <w:t>PWG_421</w:t>
    </w:r>
    <w:r w:rsidR="00013CBC">
      <w:rPr>
        <w:rFonts w:ascii="Cambria" w:hAnsi="Cambria"/>
        <w:b/>
        <w:sz w:val="20"/>
      </w:rPr>
      <w:t>_SPONS-1</w:t>
    </w:r>
    <w:r w:rsidR="009E258D">
      <w:rPr>
        <w:rFonts w:ascii="Cambria" w:hAnsi="Cambria"/>
        <w:b/>
        <w:sz w:val="20"/>
      </w:rPr>
      <w:t>_REV_1</w:t>
    </w:r>
    <w:r>
      <w:rPr>
        <w:rFonts w:ascii="Cambria" w:hAnsi="Cambria"/>
        <w:b/>
        <w:sz w:val="20"/>
      </w:rPr>
      <w:t>/2025</w:t>
    </w:r>
  </w:p>
  <w:p w14:paraId="14B978F2" w14:textId="7B68A280" w:rsidR="00FA74C4" w:rsidRPr="00FA74C4" w:rsidRDefault="00FA74C4" w:rsidP="00FA74C4">
    <w:pPr>
      <w:widowControl/>
      <w:tabs>
        <w:tab w:val="left" w:pos="7320"/>
      </w:tabs>
      <w:autoSpaceDE/>
      <w:autoSpaceDN/>
      <w:spacing w:line="240" w:lineRule="exact"/>
      <w:jc w:val="right"/>
      <w:rPr>
        <w:rFonts w:ascii="Cambria" w:hAnsi="Cambria"/>
        <w:b/>
        <w:bCs/>
        <w:sz w:val="16"/>
        <w:szCs w:val="16"/>
      </w:rPr>
    </w:pPr>
    <w:r w:rsidRPr="00FA74C4">
      <w:rPr>
        <w:rFonts w:ascii="Cambria" w:hAnsi="Cambria"/>
        <w:b/>
        <w:sz w:val="16"/>
      </w:rPr>
      <w:fldChar w:fldCharType="begin"/>
    </w:r>
    <w:r w:rsidRPr="00FA74C4">
      <w:rPr>
        <w:rFonts w:ascii="Cambria" w:hAnsi="Cambria"/>
        <w:b/>
        <w:sz w:val="16"/>
      </w:rPr>
      <w:instrText xml:space="preserve"> TIME \@ "dd/MM/yyyy H:mm" </w:instrText>
    </w:r>
    <w:r w:rsidRPr="00FA74C4">
      <w:rPr>
        <w:rFonts w:ascii="Cambria" w:hAnsi="Cambria"/>
        <w:b/>
        <w:sz w:val="16"/>
      </w:rPr>
      <w:fldChar w:fldCharType="separate"/>
    </w:r>
    <w:r w:rsidR="009E258D">
      <w:rPr>
        <w:rFonts w:ascii="Cambria" w:hAnsi="Cambria"/>
        <w:b/>
        <w:noProof/>
        <w:sz w:val="16"/>
      </w:rPr>
      <w:t>19/11/2025 11:47</w:t>
    </w:r>
    <w:r w:rsidRPr="00FA74C4">
      <w:rPr>
        <w:rFonts w:ascii="Cambria" w:hAnsi="Cambria"/>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3179"/>
    <w:multiLevelType w:val="hybridMultilevel"/>
    <w:tmpl w:val="28C46BEC"/>
    <w:lvl w:ilvl="0" w:tplc="DE34F436">
      <w:start w:val="1"/>
      <w:numFmt w:val="decimal"/>
      <w:lvlText w:val="%1."/>
      <w:lvlJc w:val="left"/>
      <w:pPr>
        <w:ind w:left="678" w:hanging="360"/>
      </w:pPr>
      <w:rPr>
        <w:rFonts w:ascii="Cambria" w:hAnsi="Cambria" w:hint="default"/>
        <w:color w:val="auto"/>
      </w:rPr>
    </w:lvl>
    <w:lvl w:ilvl="1" w:tplc="F21E2736">
      <w:start w:val="1"/>
      <w:numFmt w:val="lowerLetter"/>
      <w:lvlText w:val="%2."/>
      <w:lvlJc w:val="left"/>
      <w:pPr>
        <w:ind w:left="1440" w:hanging="360"/>
      </w:pPr>
    </w:lvl>
    <w:lvl w:ilvl="2" w:tplc="A4C83746">
      <w:start w:val="1"/>
      <w:numFmt w:val="lowerRoman"/>
      <w:lvlText w:val="%3."/>
      <w:lvlJc w:val="right"/>
      <w:pPr>
        <w:ind w:left="2160" w:hanging="180"/>
      </w:pPr>
    </w:lvl>
    <w:lvl w:ilvl="3" w:tplc="F1E47284">
      <w:start w:val="1"/>
      <w:numFmt w:val="decimal"/>
      <w:lvlText w:val="%4."/>
      <w:lvlJc w:val="left"/>
      <w:pPr>
        <w:ind w:left="2880" w:hanging="360"/>
      </w:pPr>
    </w:lvl>
    <w:lvl w:ilvl="4" w:tplc="CF82479A">
      <w:start w:val="1"/>
      <w:numFmt w:val="lowerLetter"/>
      <w:lvlText w:val="%5."/>
      <w:lvlJc w:val="left"/>
      <w:pPr>
        <w:ind w:left="3600" w:hanging="360"/>
      </w:pPr>
    </w:lvl>
    <w:lvl w:ilvl="5" w:tplc="4E8E0B0E">
      <w:start w:val="1"/>
      <w:numFmt w:val="lowerRoman"/>
      <w:lvlText w:val="%6."/>
      <w:lvlJc w:val="right"/>
      <w:pPr>
        <w:ind w:left="4320" w:hanging="180"/>
      </w:pPr>
    </w:lvl>
    <w:lvl w:ilvl="6" w:tplc="533C9416">
      <w:start w:val="1"/>
      <w:numFmt w:val="decimal"/>
      <w:lvlText w:val="%7."/>
      <w:lvlJc w:val="left"/>
      <w:pPr>
        <w:ind w:left="5040" w:hanging="360"/>
      </w:pPr>
    </w:lvl>
    <w:lvl w:ilvl="7" w:tplc="86061812">
      <w:start w:val="1"/>
      <w:numFmt w:val="lowerLetter"/>
      <w:lvlText w:val="%8."/>
      <w:lvlJc w:val="left"/>
      <w:pPr>
        <w:ind w:left="5760" w:hanging="360"/>
      </w:pPr>
    </w:lvl>
    <w:lvl w:ilvl="8" w:tplc="B7222914">
      <w:start w:val="1"/>
      <w:numFmt w:val="lowerRoman"/>
      <w:lvlText w:val="%9."/>
      <w:lvlJc w:val="right"/>
      <w:pPr>
        <w:ind w:left="6480" w:hanging="180"/>
      </w:pPr>
    </w:lvl>
  </w:abstractNum>
  <w:abstractNum w:abstractNumId="1" w15:restartNumberingAfterBreak="0">
    <w:nsid w:val="24B74B5B"/>
    <w:multiLevelType w:val="hybridMultilevel"/>
    <w:tmpl w:val="C510AF68"/>
    <w:lvl w:ilvl="0" w:tplc="118A5FF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B715F9"/>
    <w:multiLevelType w:val="hybridMultilevel"/>
    <w:tmpl w:val="6D2A8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473747"/>
    <w:multiLevelType w:val="hybridMultilevel"/>
    <w:tmpl w:val="CEB8DCE6"/>
    <w:lvl w:ilvl="0" w:tplc="202A69CA">
      <w:start w:val="1"/>
      <w:numFmt w:val="decimal"/>
      <w:lvlText w:val="%1."/>
      <w:lvlJc w:val="left"/>
      <w:pPr>
        <w:ind w:left="400" w:hanging="300"/>
      </w:pPr>
      <w:rPr>
        <w:rFonts w:ascii="Cambria" w:eastAsia="Times New Roman" w:hAnsi="Cambria" w:cs="Times New Roman" w:hint="default"/>
        <w:spacing w:val="-6"/>
        <w:w w:val="102"/>
        <w:sz w:val="20"/>
        <w:szCs w:val="20"/>
        <w:lang w:val="en-US" w:eastAsia="en-US" w:bidi="ar-SA"/>
      </w:rPr>
    </w:lvl>
    <w:lvl w:ilvl="1" w:tplc="66E25B5C">
      <w:numFmt w:val="bullet"/>
      <w:lvlText w:val="•"/>
      <w:lvlJc w:val="left"/>
      <w:pPr>
        <w:ind w:left="1290" w:hanging="300"/>
      </w:pPr>
      <w:rPr>
        <w:rFonts w:hint="default"/>
        <w:lang w:val="en-US" w:eastAsia="en-US" w:bidi="ar-SA"/>
      </w:rPr>
    </w:lvl>
    <w:lvl w:ilvl="2" w:tplc="5F20D4BA">
      <w:numFmt w:val="bullet"/>
      <w:lvlText w:val="•"/>
      <w:lvlJc w:val="left"/>
      <w:pPr>
        <w:ind w:left="2180" w:hanging="300"/>
      </w:pPr>
      <w:rPr>
        <w:rFonts w:hint="default"/>
        <w:lang w:val="en-US" w:eastAsia="en-US" w:bidi="ar-SA"/>
      </w:rPr>
    </w:lvl>
    <w:lvl w:ilvl="3" w:tplc="8A6601D0">
      <w:numFmt w:val="bullet"/>
      <w:lvlText w:val="•"/>
      <w:lvlJc w:val="left"/>
      <w:pPr>
        <w:ind w:left="3070" w:hanging="300"/>
      </w:pPr>
      <w:rPr>
        <w:rFonts w:hint="default"/>
        <w:lang w:val="en-US" w:eastAsia="en-US" w:bidi="ar-SA"/>
      </w:rPr>
    </w:lvl>
    <w:lvl w:ilvl="4" w:tplc="E902AFB4">
      <w:numFmt w:val="bullet"/>
      <w:lvlText w:val="•"/>
      <w:lvlJc w:val="left"/>
      <w:pPr>
        <w:ind w:left="3960" w:hanging="300"/>
      </w:pPr>
      <w:rPr>
        <w:rFonts w:hint="default"/>
        <w:lang w:val="en-US" w:eastAsia="en-US" w:bidi="ar-SA"/>
      </w:rPr>
    </w:lvl>
    <w:lvl w:ilvl="5" w:tplc="086EBC82">
      <w:numFmt w:val="bullet"/>
      <w:lvlText w:val="•"/>
      <w:lvlJc w:val="left"/>
      <w:pPr>
        <w:ind w:left="4850" w:hanging="300"/>
      </w:pPr>
      <w:rPr>
        <w:rFonts w:hint="default"/>
        <w:lang w:val="en-US" w:eastAsia="en-US" w:bidi="ar-SA"/>
      </w:rPr>
    </w:lvl>
    <w:lvl w:ilvl="6" w:tplc="6EB44DB2">
      <w:numFmt w:val="bullet"/>
      <w:lvlText w:val="•"/>
      <w:lvlJc w:val="left"/>
      <w:pPr>
        <w:ind w:left="5740" w:hanging="300"/>
      </w:pPr>
      <w:rPr>
        <w:rFonts w:hint="default"/>
        <w:lang w:val="en-US" w:eastAsia="en-US" w:bidi="ar-SA"/>
      </w:rPr>
    </w:lvl>
    <w:lvl w:ilvl="7" w:tplc="071063AA">
      <w:numFmt w:val="bullet"/>
      <w:lvlText w:val="•"/>
      <w:lvlJc w:val="left"/>
      <w:pPr>
        <w:ind w:left="6630" w:hanging="300"/>
      </w:pPr>
      <w:rPr>
        <w:rFonts w:hint="default"/>
        <w:lang w:val="en-US" w:eastAsia="en-US" w:bidi="ar-SA"/>
      </w:rPr>
    </w:lvl>
    <w:lvl w:ilvl="8" w:tplc="F5E27E58">
      <w:numFmt w:val="bullet"/>
      <w:lvlText w:val="•"/>
      <w:lvlJc w:val="left"/>
      <w:pPr>
        <w:ind w:left="7520" w:hanging="300"/>
      </w:pPr>
      <w:rPr>
        <w:rFonts w:hint="default"/>
        <w:lang w:val="en-US" w:eastAsia="en-US" w:bidi="ar-SA"/>
      </w:rPr>
    </w:lvl>
  </w:abstractNum>
  <w:abstractNum w:abstractNumId="4"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5" w15:restartNumberingAfterBreak="0">
    <w:nsid w:val="7E54365B"/>
    <w:multiLevelType w:val="hybridMultilevel"/>
    <w:tmpl w:val="C2B64B4E"/>
    <w:lvl w:ilvl="0" w:tplc="8FA64072">
      <w:start w:val="1"/>
      <w:numFmt w:val="lowerLetter"/>
      <w:lvlText w:val="%1)"/>
      <w:lvlJc w:val="left"/>
      <w:pPr>
        <w:ind w:left="760" w:hanging="360"/>
      </w:pPr>
      <w:rPr>
        <w:rFonts w:hint="default"/>
      </w:rPr>
    </w:lvl>
    <w:lvl w:ilvl="1" w:tplc="18090019" w:tentative="1">
      <w:start w:val="1"/>
      <w:numFmt w:val="lowerLetter"/>
      <w:lvlText w:val="%2."/>
      <w:lvlJc w:val="left"/>
      <w:pPr>
        <w:ind w:left="1480" w:hanging="360"/>
      </w:pPr>
    </w:lvl>
    <w:lvl w:ilvl="2" w:tplc="1809001B" w:tentative="1">
      <w:start w:val="1"/>
      <w:numFmt w:val="lowerRoman"/>
      <w:lvlText w:val="%3."/>
      <w:lvlJc w:val="right"/>
      <w:pPr>
        <w:ind w:left="2200" w:hanging="180"/>
      </w:pPr>
    </w:lvl>
    <w:lvl w:ilvl="3" w:tplc="1809000F" w:tentative="1">
      <w:start w:val="1"/>
      <w:numFmt w:val="decimal"/>
      <w:lvlText w:val="%4."/>
      <w:lvlJc w:val="left"/>
      <w:pPr>
        <w:ind w:left="2920" w:hanging="360"/>
      </w:pPr>
    </w:lvl>
    <w:lvl w:ilvl="4" w:tplc="18090019" w:tentative="1">
      <w:start w:val="1"/>
      <w:numFmt w:val="lowerLetter"/>
      <w:lvlText w:val="%5."/>
      <w:lvlJc w:val="left"/>
      <w:pPr>
        <w:ind w:left="3640" w:hanging="360"/>
      </w:pPr>
    </w:lvl>
    <w:lvl w:ilvl="5" w:tplc="1809001B" w:tentative="1">
      <w:start w:val="1"/>
      <w:numFmt w:val="lowerRoman"/>
      <w:lvlText w:val="%6."/>
      <w:lvlJc w:val="right"/>
      <w:pPr>
        <w:ind w:left="4360" w:hanging="180"/>
      </w:pPr>
    </w:lvl>
    <w:lvl w:ilvl="6" w:tplc="1809000F" w:tentative="1">
      <w:start w:val="1"/>
      <w:numFmt w:val="decimal"/>
      <w:lvlText w:val="%7."/>
      <w:lvlJc w:val="left"/>
      <w:pPr>
        <w:ind w:left="5080" w:hanging="360"/>
      </w:pPr>
    </w:lvl>
    <w:lvl w:ilvl="7" w:tplc="18090019" w:tentative="1">
      <w:start w:val="1"/>
      <w:numFmt w:val="lowerLetter"/>
      <w:lvlText w:val="%8."/>
      <w:lvlJc w:val="left"/>
      <w:pPr>
        <w:ind w:left="5800" w:hanging="360"/>
      </w:pPr>
    </w:lvl>
    <w:lvl w:ilvl="8" w:tplc="1809001B" w:tentative="1">
      <w:start w:val="1"/>
      <w:numFmt w:val="lowerRoman"/>
      <w:lvlText w:val="%9."/>
      <w:lvlJc w:val="right"/>
      <w:pPr>
        <w:ind w:left="6520" w:hanging="180"/>
      </w:pPr>
    </w:lvl>
  </w:abstractNum>
  <w:num w:numId="1" w16cid:durableId="1315255183">
    <w:abstractNumId w:val="0"/>
  </w:num>
  <w:num w:numId="2" w16cid:durableId="43023828">
    <w:abstractNumId w:val="3"/>
  </w:num>
  <w:num w:numId="3" w16cid:durableId="1133596195">
    <w:abstractNumId w:val="5"/>
  </w:num>
  <w:num w:numId="4" w16cid:durableId="1217010296">
    <w:abstractNumId w:val="2"/>
  </w:num>
  <w:num w:numId="5" w16cid:durableId="1364936511">
    <w:abstractNumId w:val="1"/>
  </w:num>
  <w:num w:numId="6" w16cid:durableId="324363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7FE5"/>
    <w:rsid w:val="00002F09"/>
    <w:rsid w:val="000137AD"/>
    <w:rsid w:val="00013CBC"/>
    <w:rsid w:val="00015FA0"/>
    <w:rsid w:val="000447D2"/>
    <w:rsid w:val="00045941"/>
    <w:rsid w:val="00067B7A"/>
    <w:rsid w:val="00084EFE"/>
    <w:rsid w:val="0008521C"/>
    <w:rsid w:val="00097734"/>
    <w:rsid w:val="000A601F"/>
    <w:rsid w:val="000C5300"/>
    <w:rsid w:val="000C73E4"/>
    <w:rsid w:val="000D7FF2"/>
    <w:rsid w:val="001109F2"/>
    <w:rsid w:val="0011101A"/>
    <w:rsid w:val="00127FE5"/>
    <w:rsid w:val="00130C4D"/>
    <w:rsid w:val="00136256"/>
    <w:rsid w:val="0014504F"/>
    <w:rsid w:val="0014774F"/>
    <w:rsid w:val="00185B49"/>
    <w:rsid w:val="00186760"/>
    <w:rsid w:val="00196F27"/>
    <w:rsid w:val="001A083F"/>
    <w:rsid w:val="001A0921"/>
    <w:rsid w:val="001A7BE5"/>
    <w:rsid w:val="001B4DC6"/>
    <w:rsid w:val="001C065C"/>
    <w:rsid w:val="001E1967"/>
    <w:rsid w:val="00202396"/>
    <w:rsid w:val="00227FF5"/>
    <w:rsid w:val="00235F3C"/>
    <w:rsid w:val="00236E05"/>
    <w:rsid w:val="002601E6"/>
    <w:rsid w:val="00272C7F"/>
    <w:rsid w:val="00277860"/>
    <w:rsid w:val="00287307"/>
    <w:rsid w:val="002B2274"/>
    <w:rsid w:val="002B5BC2"/>
    <w:rsid w:val="002B698D"/>
    <w:rsid w:val="002E3E3A"/>
    <w:rsid w:val="002F2BB3"/>
    <w:rsid w:val="0031120F"/>
    <w:rsid w:val="00314DE0"/>
    <w:rsid w:val="0032712C"/>
    <w:rsid w:val="00336684"/>
    <w:rsid w:val="00350E40"/>
    <w:rsid w:val="00376970"/>
    <w:rsid w:val="00377147"/>
    <w:rsid w:val="003A0CE1"/>
    <w:rsid w:val="003A6750"/>
    <w:rsid w:val="003A769D"/>
    <w:rsid w:val="003B743C"/>
    <w:rsid w:val="003D4722"/>
    <w:rsid w:val="003E0471"/>
    <w:rsid w:val="004851F9"/>
    <w:rsid w:val="004A0887"/>
    <w:rsid w:val="004C7B7F"/>
    <w:rsid w:val="004C7C5E"/>
    <w:rsid w:val="004D0984"/>
    <w:rsid w:val="00511588"/>
    <w:rsid w:val="0051223F"/>
    <w:rsid w:val="00516263"/>
    <w:rsid w:val="005202C4"/>
    <w:rsid w:val="00532787"/>
    <w:rsid w:val="0053798D"/>
    <w:rsid w:val="00544EEB"/>
    <w:rsid w:val="00565099"/>
    <w:rsid w:val="00580847"/>
    <w:rsid w:val="00584175"/>
    <w:rsid w:val="00587420"/>
    <w:rsid w:val="00590766"/>
    <w:rsid w:val="005A2856"/>
    <w:rsid w:val="005C3057"/>
    <w:rsid w:val="005C63DB"/>
    <w:rsid w:val="005F01CA"/>
    <w:rsid w:val="005F0D49"/>
    <w:rsid w:val="00616EDA"/>
    <w:rsid w:val="00627D20"/>
    <w:rsid w:val="00631F0B"/>
    <w:rsid w:val="00632DEC"/>
    <w:rsid w:val="00654894"/>
    <w:rsid w:val="006648C7"/>
    <w:rsid w:val="006671EB"/>
    <w:rsid w:val="0068375B"/>
    <w:rsid w:val="006C5A35"/>
    <w:rsid w:val="006D40DF"/>
    <w:rsid w:val="006D7270"/>
    <w:rsid w:val="006F6570"/>
    <w:rsid w:val="007002BE"/>
    <w:rsid w:val="00713E4A"/>
    <w:rsid w:val="00717F78"/>
    <w:rsid w:val="00734928"/>
    <w:rsid w:val="007453FC"/>
    <w:rsid w:val="00765E8D"/>
    <w:rsid w:val="00776B8A"/>
    <w:rsid w:val="00792C4E"/>
    <w:rsid w:val="00797E27"/>
    <w:rsid w:val="007A47EE"/>
    <w:rsid w:val="007B0B98"/>
    <w:rsid w:val="007B72A9"/>
    <w:rsid w:val="007D553C"/>
    <w:rsid w:val="00804C5A"/>
    <w:rsid w:val="00806889"/>
    <w:rsid w:val="00807B03"/>
    <w:rsid w:val="00807CBA"/>
    <w:rsid w:val="00810CDE"/>
    <w:rsid w:val="00836233"/>
    <w:rsid w:val="00873684"/>
    <w:rsid w:val="00874921"/>
    <w:rsid w:val="008A14FB"/>
    <w:rsid w:val="008B1876"/>
    <w:rsid w:val="008B44D7"/>
    <w:rsid w:val="008B5923"/>
    <w:rsid w:val="008B5A09"/>
    <w:rsid w:val="008B7D95"/>
    <w:rsid w:val="008D2B3E"/>
    <w:rsid w:val="008D70FA"/>
    <w:rsid w:val="008D773C"/>
    <w:rsid w:val="008F4249"/>
    <w:rsid w:val="008F5927"/>
    <w:rsid w:val="009005B8"/>
    <w:rsid w:val="00922AC2"/>
    <w:rsid w:val="00923C21"/>
    <w:rsid w:val="00931EE3"/>
    <w:rsid w:val="009347EE"/>
    <w:rsid w:val="00953DAE"/>
    <w:rsid w:val="00961C69"/>
    <w:rsid w:val="009B1D8F"/>
    <w:rsid w:val="009C29F5"/>
    <w:rsid w:val="009C5C7C"/>
    <w:rsid w:val="009D5958"/>
    <w:rsid w:val="009E258D"/>
    <w:rsid w:val="009E7F12"/>
    <w:rsid w:val="00A04DBD"/>
    <w:rsid w:val="00A12060"/>
    <w:rsid w:val="00A20D08"/>
    <w:rsid w:val="00A23BCF"/>
    <w:rsid w:val="00A25292"/>
    <w:rsid w:val="00A36451"/>
    <w:rsid w:val="00A36D0C"/>
    <w:rsid w:val="00A4341A"/>
    <w:rsid w:val="00A57C6E"/>
    <w:rsid w:val="00A71341"/>
    <w:rsid w:val="00A71E71"/>
    <w:rsid w:val="00A764AA"/>
    <w:rsid w:val="00A82598"/>
    <w:rsid w:val="00A86C9A"/>
    <w:rsid w:val="00A933A4"/>
    <w:rsid w:val="00AB778A"/>
    <w:rsid w:val="00AD4376"/>
    <w:rsid w:val="00B26BB5"/>
    <w:rsid w:val="00B337C2"/>
    <w:rsid w:val="00B4107D"/>
    <w:rsid w:val="00B57C8E"/>
    <w:rsid w:val="00B64589"/>
    <w:rsid w:val="00B65B8A"/>
    <w:rsid w:val="00B7537E"/>
    <w:rsid w:val="00B817B0"/>
    <w:rsid w:val="00B84B9F"/>
    <w:rsid w:val="00B919E9"/>
    <w:rsid w:val="00BA587B"/>
    <w:rsid w:val="00BB3392"/>
    <w:rsid w:val="00C24247"/>
    <w:rsid w:val="00C24D3B"/>
    <w:rsid w:val="00C24E17"/>
    <w:rsid w:val="00C252A4"/>
    <w:rsid w:val="00C45519"/>
    <w:rsid w:val="00C56ED3"/>
    <w:rsid w:val="00C67CE8"/>
    <w:rsid w:val="00C828C2"/>
    <w:rsid w:val="00C934FB"/>
    <w:rsid w:val="00CA4B51"/>
    <w:rsid w:val="00CD1367"/>
    <w:rsid w:val="00CD1539"/>
    <w:rsid w:val="00CF7184"/>
    <w:rsid w:val="00D26A63"/>
    <w:rsid w:val="00D3127F"/>
    <w:rsid w:val="00D41B89"/>
    <w:rsid w:val="00D4512E"/>
    <w:rsid w:val="00D85F8C"/>
    <w:rsid w:val="00D93127"/>
    <w:rsid w:val="00D93798"/>
    <w:rsid w:val="00D944CF"/>
    <w:rsid w:val="00D974D4"/>
    <w:rsid w:val="00DA7608"/>
    <w:rsid w:val="00DC4112"/>
    <w:rsid w:val="00DC4F0D"/>
    <w:rsid w:val="00DF2327"/>
    <w:rsid w:val="00E017C7"/>
    <w:rsid w:val="00E24DDF"/>
    <w:rsid w:val="00E32DF8"/>
    <w:rsid w:val="00E513E7"/>
    <w:rsid w:val="00E553BB"/>
    <w:rsid w:val="00E603D0"/>
    <w:rsid w:val="00E829A8"/>
    <w:rsid w:val="00EB3F09"/>
    <w:rsid w:val="00EE44DD"/>
    <w:rsid w:val="00EF5651"/>
    <w:rsid w:val="00F03D97"/>
    <w:rsid w:val="00F058BF"/>
    <w:rsid w:val="00F06624"/>
    <w:rsid w:val="00F11A13"/>
    <w:rsid w:val="00F11E28"/>
    <w:rsid w:val="00F25D62"/>
    <w:rsid w:val="00F45FA9"/>
    <w:rsid w:val="00F52CAD"/>
    <w:rsid w:val="00F97A2F"/>
    <w:rsid w:val="00FA74C4"/>
    <w:rsid w:val="00FB9A90"/>
    <w:rsid w:val="00FC4AFD"/>
    <w:rsid w:val="00FC610D"/>
    <w:rsid w:val="00FD43F5"/>
    <w:rsid w:val="00FE78CA"/>
    <w:rsid w:val="021AE74A"/>
    <w:rsid w:val="077171D3"/>
    <w:rsid w:val="0B72C9B0"/>
    <w:rsid w:val="0E29B18A"/>
    <w:rsid w:val="14F878AB"/>
    <w:rsid w:val="1638E338"/>
    <w:rsid w:val="17C3F4E7"/>
    <w:rsid w:val="1AA6A04D"/>
    <w:rsid w:val="1BACB792"/>
    <w:rsid w:val="200E35A1"/>
    <w:rsid w:val="2528B3B8"/>
    <w:rsid w:val="27922EF6"/>
    <w:rsid w:val="2A882ACF"/>
    <w:rsid w:val="2B7B32F6"/>
    <w:rsid w:val="2C221D1C"/>
    <w:rsid w:val="2CCDA666"/>
    <w:rsid w:val="2FD87A95"/>
    <w:rsid w:val="32ECBA76"/>
    <w:rsid w:val="3414313D"/>
    <w:rsid w:val="394F0428"/>
    <w:rsid w:val="3B5CF93D"/>
    <w:rsid w:val="3C48C48E"/>
    <w:rsid w:val="3E7943F2"/>
    <w:rsid w:val="41602EB1"/>
    <w:rsid w:val="4BD68CC3"/>
    <w:rsid w:val="4E801A91"/>
    <w:rsid w:val="509FC783"/>
    <w:rsid w:val="509FFFE9"/>
    <w:rsid w:val="51E11DA0"/>
    <w:rsid w:val="55130F45"/>
    <w:rsid w:val="594A338A"/>
    <w:rsid w:val="597CF32B"/>
    <w:rsid w:val="5D10DCD8"/>
    <w:rsid w:val="5FD06A0E"/>
    <w:rsid w:val="60A4D66D"/>
    <w:rsid w:val="6122A0E2"/>
    <w:rsid w:val="6380394C"/>
    <w:rsid w:val="64A5BF9F"/>
    <w:rsid w:val="6604B28E"/>
    <w:rsid w:val="72190A68"/>
    <w:rsid w:val="76038D5F"/>
    <w:rsid w:val="76E8C359"/>
    <w:rsid w:val="772F7C49"/>
    <w:rsid w:val="7AB4333D"/>
    <w:rsid w:val="7AD61020"/>
    <w:rsid w:val="7E592C2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3B61"/>
  <w15:docId w15:val="{15CD4C21-CF4F-4EDC-B3DD-5D86CA12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82"/>
      <w:ind w:left="100"/>
    </w:pPr>
    <w:rPr>
      <w:b/>
      <w:bCs/>
      <w:sz w:val="19"/>
      <w:szCs w:val="19"/>
    </w:rPr>
  </w:style>
  <w:style w:type="paragraph" w:styleId="ListParagraph">
    <w:name w:val="List Paragraph"/>
    <w:basedOn w:val="Normal"/>
    <w:uiPriority w:val="1"/>
    <w:qFormat/>
    <w:pPr>
      <w:ind w:left="400" w:right="126" w:hanging="300"/>
      <w:jc w:val="both"/>
    </w:pPr>
  </w:style>
  <w:style w:type="paragraph" w:customStyle="1" w:styleId="TableParagraph">
    <w:name w:val="Table Paragraph"/>
    <w:basedOn w:val="Normal"/>
    <w:uiPriority w:val="1"/>
    <w:qFormat/>
  </w:style>
  <w:style w:type="paragraph" w:styleId="Revision">
    <w:name w:val="Revision"/>
    <w:hidden/>
    <w:uiPriority w:val="99"/>
    <w:semiHidden/>
    <w:rsid w:val="004C7B7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2327"/>
    <w:rPr>
      <w:sz w:val="16"/>
      <w:szCs w:val="16"/>
    </w:rPr>
  </w:style>
  <w:style w:type="paragraph" w:styleId="CommentText">
    <w:name w:val="annotation text"/>
    <w:basedOn w:val="Normal"/>
    <w:link w:val="CommentTextChar"/>
    <w:uiPriority w:val="99"/>
    <w:unhideWhenUsed/>
    <w:rsid w:val="00DF2327"/>
    <w:rPr>
      <w:sz w:val="20"/>
      <w:szCs w:val="20"/>
    </w:rPr>
  </w:style>
  <w:style w:type="character" w:customStyle="1" w:styleId="CommentTextChar">
    <w:name w:val="Comment Text Char"/>
    <w:basedOn w:val="DefaultParagraphFont"/>
    <w:link w:val="CommentText"/>
    <w:uiPriority w:val="99"/>
    <w:rsid w:val="00DF23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2327"/>
    <w:rPr>
      <w:b/>
      <w:bCs/>
    </w:rPr>
  </w:style>
  <w:style w:type="character" w:customStyle="1" w:styleId="CommentSubjectChar">
    <w:name w:val="Comment Subject Char"/>
    <w:basedOn w:val="CommentTextChar"/>
    <w:link w:val="CommentSubject"/>
    <w:uiPriority w:val="99"/>
    <w:semiHidden/>
    <w:rsid w:val="00DF232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2712C"/>
    <w:pPr>
      <w:widowControl/>
      <w:autoSpaceDE/>
      <w:autoSpaceDN/>
      <w:spacing w:before="100" w:beforeAutospacing="1" w:after="100" w:afterAutospacing="1"/>
    </w:pPr>
    <w:rPr>
      <w:sz w:val="24"/>
      <w:szCs w:val="24"/>
      <w:lang w:eastAsia="en-IE"/>
    </w:rPr>
  </w:style>
  <w:style w:type="table" w:styleId="TableGrid">
    <w:name w:val="Table Grid"/>
    <w:basedOn w:val="TableNormal"/>
    <w:uiPriority w:val="39"/>
    <w:rsid w:val="00C5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772F7C49"/>
    <w:pPr>
      <w:tabs>
        <w:tab w:val="center" w:pos="4680"/>
        <w:tab w:val="right" w:pos="9360"/>
      </w:tabs>
    </w:pPr>
  </w:style>
  <w:style w:type="paragraph" w:styleId="Footer">
    <w:name w:val="footer"/>
    <w:basedOn w:val="Normal"/>
    <w:uiPriority w:val="99"/>
    <w:unhideWhenUsed/>
    <w:rsid w:val="772F7C49"/>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6516">
      <w:bodyDiv w:val="1"/>
      <w:marLeft w:val="0"/>
      <w:marRight w:val="0"/>
      <w:marTop w:val="0"/>
      <w:marBottom w:val="0"/>
      <w:divBdr>
        <w:top w:val="none" w:sz="0" w:space="0" w:color="auto"/>
        <w:left w:val="none" w:sz="0" w:space="0" w:color="auto"/>
        <w:bottom w:val="none" w:sz="0" w:space="0" w:color="auto"/>
        <w:right w:val="none" w:sz="0" w:space="0" w:color="auto"/>
      </w:divBdr>
    </w:div>
    <w:div w:id="1983536369">
      <w:bodyDiv w:val="1"/>
      <w:marLeft w:val="0"/>
      <w:marRight w:val="0"/>
      <w:marTop w:val="0"/>
      <w:marBottom w:val="0"/>
      <w:divBdr>
        <w:top w:val="none" w:sz="0" w:space="0" w:color="auto"/>
        <w:left w:val="none" w:sz="0" w:space="0" w:color="auto"/>
        <w:bottom w:val="none" w:sz="0" w:space="0" w:color="auto"/>
        <w:right w:val="none" w:sz="0" w:space="0" w:color="auto"/>
      </w:divBdr>
    </w:div>
    <w:div w:id="2032219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D3619-4347-43CB-A9A3-04C3035EB408}">
  <ds:schemaRefs>
    <ds:schemaRef ds:uri="http://schemas.microsoft.com/sharepoint/v3/contenttype/forms"/>
  </ds:schemaRefs>
</ds:datastoreItem>
</file>

<file path=customXml/itemProps2.xml><?xml version="1.0" encoding="utf-8"?>
<ds:datastoreItem xmlns:ds="http://schemas.openxmlformats.org/officeDocument/2006/customXml" ds:itemID="{CFF93896-287C-43AF-ADC6-366D139333DA}">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69524DD8-6E48-4BCF-BD06-1B201461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1974</Words>
  <Characters>11258</Characters>
  <Application>Microsoft Office Word</Application>
  <DocSecurity>0</DocSecurity>
  <Lines>93</Lines>
  <Paragraphs>26</Paragraphs>
  <ScaleCrop>false</ScaleCrop>
  <Company>European Commission</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03-04_REC MED SWO_DEC 17.doc</dc:title>
  <dc:creator>pseidita</dc:creator>
  <cp:lastModifiedBy>María José García</cp:lastModifiedBy>
  <cp:revision>2</cp:revision>
  <cp:lastPrinted>2025-04-29T07:13:00Z</cp:lastPrinted>
  <dcterms:created xsi:type="dcterms:W3CDTF">2025-11-19T11:36:00Z</dcterms:created>
  <dcterms:modified xsi:type="dcterms:W3CDTF">2025-11-19T11:36:00Z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2003-12-19T00:00:00Z</vt:filetime>
  </property>
  <property fmtid="{D5CDD505-2E9C-101B-9397-08002B2CF9AE}" pid="3" name="Creator">
    <vt:lpwstr>03-04_REC MED SWO_DEC 17.doc - Microsoft Word</vt:lpwstr>
  </property>
  <property fmtid="{D5CDD505-2E9C-101B-9397-08002B2CF9AE}" pid="4" name="LastSaved">
    <vt:filetime>2003-12-19T00:00:00Z</vt:filetime>
  </property>
  <property fmtid="{D5CDD505-2E9C-101B-9397-08002B2CF9AE}" pid="5" name="MSIP_Label_6bd9ddd1-4d20-43f6-abfa-fc3c07406f94_Enabled">
    <vt:lpwstr>true</vt:lpwstr>
  </property>
  <property fmtid="{D5CDD505-2E9C-101B-9397-08002B2CF9AE}" pid="6" name="MSIP_Label_6bd9ddd1-4d20-43f6-abfa-fc3c07406f94_SetDate">
    <vt:lpwstr>2024-09-30T09:22:51Z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4a701fab-cbae-4469-981b-e759dab52670</vt:lpwstr>
  </property>
  <property fmtid="{D5CDD505-2E9C-101B-9397-08002B2CF9AE}" pid="11" name="MSIP_Label_6bd9ddd1-4d20-43f6-abfa-fc3c07406f94_ContentBits">
    <vt:lpwstr>0</vt:lpwstr>
  </property>
  <property fmtid="{D5CDD505-2E9C-101B-9397-08002B2CF9AE}" pid="12" name="ContentTypeId">
    <vt:lpwstr>0x01010017FF78C904FD5D479F9D99C5899B7D55</vt:lpwstr>
  </property>
  <property fmtid="{D5CDD505-2E9C-101B-9397-08002B2CF9AE}" pid="13" name="MediaServiceImageTags">
    <vt:lpwstr/>
  </property>
</Properties>
</file>