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D4512E" w:rsidRDefault="00AB778A" w:rsidP="00AB778A">
      <w:pPr>
        <w:widowControl/>
        <w:autoSpaceDE/>
        <w:autoSpaceDN/>
        <w:jc w:val="center"/>
        <w:rPr>
          <w:rFonts w:ascii="Cambria" w:hAnsi="Cambria"/>
          <w:b/>
          <w:sz w:val="20"/>
          <w:szCs w:val="20"/>
        </w:rPr>
      </w:pPr>
      <w:r w:rsidRPr="00D4512E">
        <w:rPr>
          <w:rFonts w:ascii="Cambria" w:hAnsi="Cambria"/>
          <w:b/>
          <w:sz w:val="20"/>
        </w:rPr>
        <w:t>Portada para acompañar nuevas propuestas</w:t>
      </w:r>
    </w:p>
    <w:p w14:paraId="63642CBD" w14:textId="77777777" w:rsidR="00AB778A" w:rsidRPr="00D4512E"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642E2DBD" w:rsidR="00AB778A" w:rsidRPr="00D4512E" w:rsidRDefault="00AB778A" w:rsidP="00AB778A">
      <w:pPr>
        <w:widowControl/>
        <w:autoSpaceDE/>
        <w:autoSpaceDN/>
        <w:spacing w:line="234" w:lineRule="exact"/>
        <w:ind w:left="281" w:right="201"/>
        <w:jc w:val="center"/>
        <w:rPr>
          <w:rFonts w:ascii="Cambria" w:eastAsia="Cambria" w:hAnsi="Cambria" w:cs="Cambria"/>
          <w:i/>
          <w:sz w:val="20"/>
        </w:rPr>
      </w:pPr>
      <w:bookmarkStart w:id="0" w:name="_30j0zll"/>
      <w:bookmarkStart w:id="1" w:name="_Hlk211851716"/>
      <w:bookmarkEnd w:id="0"/>
      <w:r w:rsidRPr="00D4512E">
        <w:rPr>
          <w:rFonts w:ascii="Cambria" w:hAnsi="Cambria"/>
          <w:i/>
          <w:sz w:val="20"/>
        </w:rPr>
        <w:t>(presentado por la Unión Europea)</w:t>
      </w:r>
    </w:p>
    <w:bookmarkEnd w:id="1"/>
    <w:p w14:paraId="3DFD5012" w14:textId="76A17D9E" w:rsidR="00127FE5" w:rsidRPr="00D4512E" w:rsidRDefault="00127FE5" w:rsidP="594A338A">
      <w:pPr>
        <w:pStyle w:val="BodyText"/>
        <w:spacing w:before="1"/>
        <w:rPr>
          <w:b/>
          <w:bCs/>
          <w:sz w:val="22"/>
          <w:szCs w:val="22"/>
        </w:rPr>
      </w:pPr>
    </w:p>
    <w:p w14:paraId="4A11D49F" w14:textId="14870FFE" w:rsidR="60A4D66D" w:rsidRPr="00D4512E" w:rsidRDefault="60A4D66D" w:rsidP="772F7C49">
      <w:pPr>
        <w:ind w:hanging="10"/>
        <w:jc w:val="both"/>
        <w:rPr>
          <w:rFonts w:ascii="Cambria" w:eastAsia="Cambria" w:hAnsi="Cambria" w:cs="Cambria"/>
          <w:color w:val="EE0000"/>
          <w:sz w:val="20"/>
          <w:szCs w:val="20"/>
        </w:rPr>
      </w:pPr>
      <w:r w:rsidRPr="00D4512E">
        <w:rPr>
          <w:rFonts w:ascii="Cambria" w:hAnsi="Cambria"/>
          <w:b/>
          <w:color w:val="000000" w:themeColor="text1"/>
          <w:sz w:val="20"/>
        </w:rPr>
        <w:t xml:space="preserve">Título de la propuesta de Proyecto de Recomendación/Resolución: </w:t>
      </w:r>
      <w:r w:rsidRPr="00D4512E">
        <w:rPr>
          <w:rFonts w:ascii="Cambria" w:hAnsi="Cambria"/>
          <w:color w:val="EE0000"/>
          <w:sz w:val="20"/>
        </w:rPr>
        <w:t>Proyecto de Recomendación de ICCAT que establece una prohibición de las redes de deriva para la captura de determinadas especies de ICCAT</w:t>
      </w:r>
    </w:p>
    <w:p w14:paraId="70329A2B" w14:textId="04521C72" w:rsidR="772F7C49" w:rsidRPr="00D4512E" w:rsidRDefault="772F7C49" w:rsidP="772F7C49">
      <w:pPr>
        <w:ind w:hanging="10"/>
        <w:jc w:val="both"/>
        <w:rPr>
          <w:rFonts w:ascii="Cambria" w:eastAsia="Cambria" w:hAnsi="Cambria" w:cs="Cambria"/>
          <w:color w:val="000000" w:themeColor="text1"/>
          <w:sz w:val="20"/>
          <w:szCs w:val="20"/>
        </w:rPr>
      </w:pPr>
    </w:p>
    <w:p w14:paraId="1A99076B" w14:textId="36794161" w:rsidR="0E29B18A" w:rsidRPr="00D4512E" w:rsidRDefault="60A4D66D" w:rsidP="772F7C49">
      <w:pPr>
        <w:ind w:hanging="10"/>
        <w:jc w:val="both"/>
        <w:rPr>
          <w:rFonts w:ascii="Cambria" w:eastAsia="Cambria" w:hAnsi="Cambria" w:cs="Cambria"/>
          <w:color w:val="EE0000"/>
          <w:sz w:val="20"/>
          <w:szCs w:val="20"/>
        </w:rPr>
      </w:pPr>
      <w:r w:rsidRPr="00D4512E">
        <w:rPr>
          <w:rFonts w:ascii="Cambria" w:hAnsi="Cambria"/>
          <w:b/>
          <w:color w:val="000000" w:themeColor="text1"/>
          <w:sz w:val="20"/>
        </w:rPr>
        <w:t xml:space="preserve">Título de la(s) recomendación(es) o resolución(es) actualmente vigente(s) que aborda(n) la misma cuestión o cuestiones relacionadas: </w:t>
      </w:r>
      <w:r w:rsidRPr="00D4512E">
        <w:rPr>
          <w:rFonts w:ascii="Cambria" w:hAnsi="Cambria"/>
          <w:i/>
          <w:iCs/>
          <w:color w:val="EE0000"/>
          <w:sz w:val="20"/>
        </w:rPr>
        <w:t>Resolución de ICCAT sobre la pesca a gran escala con redes pelágicas de enmalle a la deriva</w:t>
      </w:r>
      <w:r w:rsidRPr="00D4512E">
        <w:rPr>
          <w:rFonts w:ascii="Cambria" w:hAnsi="Cambria"/>
          <w:color w:val="EE0000"/>
          <w:sz w:val="20"/>
        </w:rPr>
        <w:t xml:space="preserve"> (Res. 96-15)</w:t>
      </w:r>
    </w:p>
    <w:p w14:paraId="18A25403" w14:textId="3E4A3180" w:rsidR="55130F45" w:rsidRPr="00D4512E" w:rsidRDefault="55130F45" w:rsidP="772F7C49">
      <w:pPr>
        <w:ind w:hanging="10"/>
        <w:jc w:val="both"/>
        <w:rPr>
          <w:rFonts w:ascii="Cambria" w:eastAsia="Cambria" w:hAnsi="Cambria" w:cs="Cambria"/>
          <w:color w:val="EE0000"/>
          <w:sz w:val="20"/>
          <w:szCs w:val="20"/>
        </w:rPr>
      </w:pPr>
      <w:r w:rsidRPr="00D4512E">
        <w:rPr>
          <w:rFonts w:ascii="Cambria" w:hAnsi="Cambria"/>
          <w:i/>
          <w:iCs/>
          <w:color w:val="EE0000"/>
          <w:sz w:val="20"/>
        </w:rPr>
        <w:t xml:space="preserve">Recomendación de ICCAT sobre el pez espada del Mediterráneo </w:t>
      </w:r>
      <w:r w:rsidRPr="00D4512E">
        <w:rPr>
          <w:rFonts w:ascii="Cambria" w:hAnsi="Cambria"/>
          <w:color w:val="EE0000"/>
          <w:sz w:val="20"/>
        </w:rPr>
        <w:t>(Rec. 03-04); párrafo 3</w:t>
      </w:r>
    </w:p>
    <w:p w14:paraId="78082FFE" w14:textId="7DC15832" w:rsidR="772F7C49" w:rsidRPr="00D4512E" w:rsidRDefault="772F7C49" w:rsidP="772F7C49">
      <w:pPr>
        <w:ind w:hanging="10"/>
        <w:jc w:val="both"/>
        <w:rPr>
          <w:rFonts w:ascii="Cambria" w:eastAsia="Cambria" w:hAnsi="Cambria" w:cs="Cambria"/>
          <w:color w:val="0070C0"/>
          <w:sz w:val="20"/>
          <w:szCs w:val="20"/>
        </w:rPr>
      </w:pPr>
    </w:p>
    <w:p w14:paraId="169CBDEC" w14:textId="17290292" w:rsidR="772F7C49" w:rsidRPr="00D4512E" w:rsidRDefault="772F7C49" w:rsidP="772F7C49">
      <w:pPr>
        <w:ind w:hanging="10"/>
        <w:jc w:val="both"/>
        <w:rPr>
          <w:rFonts w:ascii="Cambria" w:eastAsia="Cambria" w:hAnsi="Cambria" w:cs="Cambria"/>
          <w:color w:val="000000" w:themeColor="text1"/>
          <w:sz w:val="20"/>
          <w:szCs w:val="20"/>
        </w:rPr>
      </w:pPr>
    </w:p>
    <w:p w14:paraId="6E462099" w14:textId="57AEA500" w:rsidR="772F7C49"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color w:val="FF0000"/>
          <w:sz w:val="20"/>
          <w:szCs w:val="20"/>
        </w:rPr>
      </w:pPr>
      <w:r w:rsidRPr="00D4512E">
        <w:rPr>
          <w:rFonts w:ascii="Cambria" w:eastAsia="Cambria" w:hAnsi="Cambria" w:cs="Cambria"/>
          <w:sz w:val="20"/>
        </w:rPr>
        <w:t xml:space="preserve">¿Crea nuevas </w:t>
      </w:r>
      <w:r w:rsidRPr="00D4512E">
        <w:rPr>
          <w:rFonts w:ascii="Cambria" w:eastAsia="Cambria" w:hAnsi="Cambria" w:cs="Cambria"/>
          <w:b/>
          <w:sz w:val="20"/>
        </w:rPr>
        <w:t xml:space="preserve">obligaciones de comunicación </w:t>
      </w:r>
      <w:r w:rsidRPr="00D4512E">
        <w:rPr>
          <w:rFonts w:ascii="Cambria" w:eastAsia="Cambria" w:hAnsi="Cambria" w:cs="Cambria"/>
          <w:sz w:val="20"/>
        </w:rPr>
        <w:t xml:space="preserve">para las CPC?     Sí </w:t>
      </w:r>
      <w:sdt>
        <w:sdtPr>
          <w:rPr>
            <w:rFonts w:ascii="Cambria" w:eastAsia="Cambria" w:hAnsi="Cambria" w:cs="Cambria"/>
            <w:sz w:val="20"/>
          </w:rPr>
          <w:id w:val="279852826"/>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068185848"/>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2E450754" w14:textId="08E1AF8D" w:rsidR="60A4D66D" w:rsidRPr="00D4512E" w:rsidRDefault="60A4D66D" w:rsidP="772F7C49">
      <w:pPr>
        <w:ind w:left="426" w:hanging="10"/>
        <w:jc w:val="both"/>
        <w:rPr>
          <w:rFonts w:ascii="Cambria" w:eastAsia="Cambria" w:hAnsi="Cambria" w:cs="Cambria"/>
          <w:color w:val="000000" w:themeColor="text1"/>
          <w:sz w:val="20"/>
          <w:szCs w:val="20"/>
        </w:rPr>
      </w:pPr>
      <w:r w:rsidRPr="00D4512E">
        <w:rPr>
          <w:rFonts w:ascii="Cambria" w:hAnsi="Cambria"/>
          <w:color w:val="000000" w:themeColor="text1"/>
          <w:sz w:val="20"/>
        </w:rPr>
        <w:t xml:space="preserve">Breve descripción de la(s) nueva(s) obligación(es) de comunicación: </w:t>
      </w:r>
    </w:p>
    <w:p w14:paraId="4E45CAD9" w14:textId="6E8F5FC6" w:rsidR="772F7C49" w:rsidRPr="00D4512E" w:rsidRDefault="772F7C49" w:rsidP="772F7C49">
      <w:pPr>
        <w:ind w:left="426" w:hanging="10"/>
        <w:jc w:val="both"/>
        <w:rPr>
          <w:color w:val="000000" w:themeColor="text1"/>
          <w:sz w:val="20"/>
          <w:szCs w:val="20"/>
        </w:rPr>
      </w:pPr>
    </w:p>
    <w:p w14:paraId="7637592A" w14:textId="427941D4" w:rsidR="772F7C49" w:rsidRPr="00D4512E" w:rsidRDefault="000A601F" w:rsidP="000A601F">
      <w:pPr>
        <w:widowControl/>
        <w:numPr>
          <w:ilvl w:val="0"/>
          <w:numId w:val="6"/>
        </w:numPr>
        <w:tabs>
          <w:tab w:val="left" w:pos="6804"/>
        </w:tabs>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¿Requiere aportaciones o </w:t>
      </w:r>
      <w:r w:rsidRPr="00D4512E">
        <w:rPr>
          <w:rFonts w:ascii="Cambria" w:eastAsia="Cambria" w:hAnsi="Cambria" w:cs="Cambria"/>
          <w:b/>
          <w:sz w:val="20"/>
        </w:rPr>
        <w:t xml:space="preserve">trabajo </w:t>
      </w:r>
      <w:r w:rsidRPr="00D4512E">
        <w:rPr>
          <w:rFonts w:ascii="Cambria" w:eastAsia="Cambria" w:hAnsi="Cambria" w:cs="Cambria"/>
          <w:bCs/>
          <w:sz w:val="20"/>
        </w:rPr>
        <w:t>adicional</w:t>
      </w:r>
      <w:r w:rsidRPr="00D4512E">
        <w:rPr>
          <w:rFonts w:ascii="Cambria" w:eastAsia="Cambria" w:hAnsi="Cambria" w:cs="Cambria"/>
          <w:b/>
          <w:sz w:val="20"/>
        </w:rPr>
        <w:t xml:space="preserve"> por parte del SCRS</w:t>
      </w:r>
      <w:r w:rsidRPr="00D4512E">
        <w:rPr>
          <w:rFonts w:ascii="Cambria" w:eastAsia="Cambria" w:hAnsi="Cambria" w:cs="Cambria"/>
          <w:sz w:val="20"/>
        </w:rPr>
        <w:t xml:space="preserve">?  Sí </w:t>
      </w:r>
      <w:sdt>
        <w:sdtPr>
          <w:rPr>
            <w:rFonts w:ascii="Cambria" w:eastAsia="Cambria" w:hAnsi="Cambria" w:cs="Cambria"/>
            <w:sz w:val="20"/>
          </w:rPr>
          <w:id w:val="89124157"/>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209718574"/>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49EE9956" w14:textId="77777777" w:rsidR="000A601F" w:rsidRPr="00D4512E" w:rsidRDefault="000A601F" w:rsidP="000A601F">
      <w:pPr>
        <w:tabs>
          <w:tab w:val="left" w:pos="6804"/>
          <w:tab w:val="left" w:pos="7371"/>
        </w:tabs>
        <w:ind w:left="360" w:firstLine="66"/>
        <w:jc w:val="both"/>
        <w:rPr>
          <w:rFonts w:ascii="Cambria" w:eastAsia="Cambria" w:hAnsi="Cambria" w:cs="Cambria"/>
          <w:sz w:val="20"/>
          <w:szCs w:val="20"/>
        </w:rPr>
      </w:pPr>
      <w:r w:rsidRPr="00D4512E">
        <w:rPr>
          <w:rFonts w:ascii="Cambria" w:eastAsia="Cambria" w:hAnsi="Cambria" w:cs="Cambria"/>
          <w:sz w:val="20"/>
        </w:rPr>
        <w:t>¿Está este trabajo ya incluido en el Plan de trabajo actual del SCRS?</w:t>
      </w:r>
      <w:r w:rsidRPr="00D4512E">
        <w:rPr>
          <w:rFonts w:ascii="Cambria" w:eastAsia="Cambria" w:hAnsi="Cambria" w:cs="Cambria"/>
          <w:sz w:val="20"/>
        </w:rPr>
        <w:tab/>
        <w:t xml:space="preserve">Sí </w:t>
      </w:r>
      <w:sdt>
        <w:sdtPr>
          <w:rPr>
            <w:rFonts w:ascii="Cambria" w:eastAsia="Cambria" w:hAnsi="Cambria" w:cs="Cambria"/>
            <w:sz w:val="20"/>
          </w:rPr>
          <w:id w:val="-1260672485"/>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000000"/>
          <w:sz w:val="20"/>
        </w:rPr>
        <w:t xml:space="preserve">No </w:t>
      </w:r>
      <w:sdt>
        <w:sdtPr>
          <w:rPr>
            <w:rFonts w:ascii="Cambria" w:eastAsia="Cambria" w:hAnsi="Cambria" w:cs="Cambria"/>
            <w:color w:val="000000"/>
            <w:spacing w:val="-2"/>
            <w:sz w:val="20"/>
            <w:szCs w:val="20"/>
          </w:rPr>
          <w:id w:val="818388141"/>
          <w14:checkbox>
            <w14:checked w14:val="0"/>
            <w14:checkedState w14:val="2612" w14:font="MS Gothic"/>
            <w14:uncheckedState w14:val="2610" w14:font="MS Gothic"/>
          </w14:checkbox>
        </w:sdtPr>
        <w:sdtEndPr/>
        <w:sdtContent>
          <w:r w:rsidRPr="00D4512E">
            <w:rPr>
              <w:rFonts w:ascii="Cambria" w:eastAsia="MS Gothic" w:hAnsi="Cambria" w:cs="Cambria" w:hint="eastAsia"/>
              <w:color w:val="000000"/>
              <w:spacing w:val="-2"/>
              <w:sz w:val="20"/>
              <w:szCs w:val="20"/>
            </w:rPr>
            <w:t>☐</w:t>
          </w:r>
        </w:sdtContent>
      </w:sdt>
    </w:p>
    <w:p w14:paraId="4564F439" w14:textId="43F3FC76" w:rsidR="772F7C49" w:rsidRPr="00D4512E" w:rsidRDefault="772F7C49" w:rsidP="772F7C49">
      <w:pPr>
        <w:ind w:left="360" w:hanging="10"/>
        <w:rPr>
          <w:rFonts w:ascii="Cambria" w:eastAsia="Cambria" w:hAnsi="Cambria" w:cs="Cambria"/>
          <w:color w:val="000000" w:themeColor="text1"/>
          <w:sz w:val="20"/>
          <w:szCs w:val="20"/>
        </w:rPr>
      </w:pPr>
    </w:p>
    <w:p w14:paraId="30BAD497" w14:textId="63871DB5" w:rsidR="60A4D66D" w:rsidRPr="00D4512E" w:rsidRDefault="60A4D66D" w:rsidP="00C67CE8">
      <w:pPr>
        <w:ind w:left="426"/>
        <w:jc w:val="both"/>
        <w:rPr>
          <w:rFonts w:ascii="Cambria" w:eastAsia="Cambria" w:hAnsi="Cambria" w:cs="Cambria"/>
          <w:color w:val="000000" w:themeColor="text1"/>
          <w:sz w:val="20"/>
          <w:szCs w:val="20"/>
        </w:rPr>
      </w:pPr>
      <w:r w:rsidRPr="00D4512E">
        <w:rPr>
          <w:rFonts w:ascii="Cambria" w:hAnsi="Cambria"/>
          <w:color w:val="000000" w:themeColor="text1"/>
          <w:sz w:val="20"/>
        </w:rPr>
        <w:t>Breve descripción del nuevo trabajo científico necesario (es decir, evaluación del stock, análisis, consultor externo):</w:t>
      </w:r>
    </w:p>
    <w:p w14:paraId="4C73AE58" w14:textId="37B90463" w:rsidR="772F7C49" w:rsidRPr="00D4512E" w:rsidRDefault="772F7C49" w:rsidP="772F7C49">
      <w:pPr>
        <w:ind w:left="426" w:hanging="10"/>
        <w:jc w:val="both"/>
        <w:rPr>
          <w:rFonts w:ascii="Cambria" w:eastAsia="Cambria" w:hAnsi="Cambria" w:cs="Cambria"/>
          <w:color w:val="0070C0"/>
          <w:sz w:val="20"/>
          <w:szCs w:val="20"/>
        </w:rPr>
      </w:pPr>
    </w:p>
    <w:p w14:paraId="12A73586" w14:textId="77777777"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¿Implica la creación de un </w:t>
      </w:r>
      <w:r w:rsidRPr="00D4512E">
        <w:rPr>
          <w:rFonts w:ascii="Cambria" w:eastAsia="Cambria" w:hAnsi="Cambria" w:cs="Cambria"/>
          <w:b/>
          <w:sz w:val="20"/>
        </w:rPr>
        <w:t>nuevo grupo de trabajo o proceso intersesiones</w:t>
      </w:r>
      <w:r w:rsidRPr="00D4512E">
        <w:rPr>
          <w:rFonts w:ascii="Cambria" w:eastAsia="Cambria" w:hAnsi="Cambria" w:cs="Cambria"/>
          <w:sz w:val="20"/>
        </w:rPr>
        <w:t xml:space="preserve">?    Sí </w:t>
      </w:r>
      <w:sdt>
        <w:sdtPr>
          <w:rPr>
            <w:rFonts w:ascii="Cambria" w:eastAsia="Cambria" w:hAnsi="Cambria" w:cs="Cambria"/>
            <w:sz w:val="20"/>
          </w:rPr>
          <w:id w:val="1144702017"/>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1655565838"/>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27B30CA5" w14:textId="6FDA1FEA" w:rsidR="772F7C49" w:rsidRPr="00D4512E" w:rsidRDefault="772F7C49" w:rsidP="000A601F">
      <w:pPr>
        <w:rPr>
          <w:rFonts w:ascii="Cambria" w:eastAsia="Cambria" w:hAnsi="Cambria" w:cs="Cambria"/>
          <w:color w:val="000000" w:themeColor="text1"/>
          <w:sz w:val="20"/>
          <w:szCs w:val="20"/>
        </w:rPr>
      </w:pPr>
    </w:p>
    <w:p w14:paraId="1FB22B06" w14:textId="7CD2546B"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z w:val="20"/>
          <w:szCs w:val="20"/>
        </w:rPr>
      </w:pPr>
      <w:r w:rsidRPr="00D4512E">
        <w:rPr>
          <w:rFonts w:ascii="Cambria" w:eastAsia="Cambria" w:hAnsi="Cambria" w:cs="Cambria"/>
          <w:sz w:val="20"/>
        </w:rPr>
        <w:t xml:space="preserve">¿Requiere un nuevo </w:t>
      </w:r>
      <w:r w:rsidRPr="00D4512E">
        <w:rPr>
          <w:rFonts w:ascii="Cambria" w:eastAsia="Cambria" w:hAnsi="Cambria" w:cs="Cambria"/>
          <w:b/>
          <w:sz w:val="20"/>
        </w:rPr>
        <w:t>programa o actividades adicionales que deba gestionar la Secretaría</w:t>
      </w:r>
      <w:r w:rsidRPr="00D4512E">
        <w:rPr>
          <w:rFonts w:ascii="Cambria" w:eastAsia="Cambria" w:hAnsi="Cambria" w:cs="Cambria"/>
          <w:sz w:val="20"/>
        </w:rPr>
        <w:t xml:space="preserve">?  </w:t>
      </w:r>
    </w:p>
    <w:p w14:paraId="1129434C" w14:textId="77777777" w:rsidR="000A601F" w:rsidRPr="00D4512E" w:rsidRDefault="000A601F" w:rsidP="000A601F">
      <w:pPr>
        <w:ind w:left="318"/>
        <w:rPr>
          <w:rFonts w:ascii="Cambria" w:eastAsia="Cambria" w:hAnsi="Cambria" w:cs="Cambria"/>
          <w:color w:val="FF0000"/>
          <w:spacing w:val="-2"/>
          <w:sz w:val="20"/>
          <w:szCs w:val="20"/>
        </w:rPr>
      </w:pPr>
      <w:r w:rsidRPr="00D4512E">
        <w:rPr>
          <w:rFonts w:ascii="Cambria" w:eastAsia="Cambria" w:hAnsi="Cambria" w:cs="Cambria"/>
          <w:sz w:val="20"/>
        </w:rPr>
        <w:t xml:space="preserve">   Sí </w:t>
      </w:r>
      <w:sdt>
        <w:sdtPr>
          <w:rPr>
            <w:rFonts w:ascii="Cambria" w:eastAsia="Cambria" w:hAnsi="Cambria" w:cs="Cambria"/>
            <w:sz w:val="20"/>
          </w:rPr>
          <w:id w:val="1536081079"/>
          <w14:checkbox>
            <w14:checked w14:val="0"/>
            <w14:checkedState w14:val="2612" w14:font="MS Gothic"/>
            <w14:uncheckedState w14:val="2610" w14:font="MS Gothic"/>
          </w14:checkbox>
        </w:sdtPr>
        <w:sdtEndPr/>
        <w:sdtContent>
          <w:r w:rsidRPr="00D4512E">
            <w:rPr>
              <w:rFonts w:ascii="Segoe UI Symbol" w:eastAsia="Cambria" w:hAnsi="Segoe UI Symbol" w:cs="Segoe UI Symbol"/>
              <w:sz w:val="20"/>
            </w:rPr>
            <w:t>☐</w:t>
          </w:r>
        </w:sdtContent>
      </w:sdt>
      <w:r w:rsidRPr="00D4512E">
        <w:rPr>
          <w:rFonts w:ascii="Cambria" w:eastAsia="Cambria" w:hAnsi="Cambria" w:cs="Cambria"/>
          <w:sz w:val="20"/>
        </w:rPr>
        <w:tab/>
      </w:r>
      <w:r w:rsidRPr="00D4512E">
        <w:rPr>
          <w:rFonts w:ascii="Cambria" w:eastAsia="Cambria" w:hAnsi="Cambria" w:cs="Cambria"/>
          <w:color w:val="FF0000"/>
          <w:sz w:val="20"/>
        </w:rPr>
        <w:t xml:space="preserve">No </w:t>
      </w:r>
      <w:sdt>
        <w:sdtPr>
          <w:rPr>
            <w:rFonts w:ascii="Cambria" w:eastAsia="Cambria" w:hAnsi="Cambria" w:cs="Cambria"/>
            <w:color w:val="FF0000"/>
            <w:spacing w:val="-2"/>
            <w:sz w:val="20"/>
            <w:szCs w:val="20"/>
          </w:rPr>
          <w:id w:val="560759300"/>
          <w14:checkbox>
            <w14:checked w14:val="1"/>
            <w14:checkedState w14:val="2612" w14:font="MS Gothic"/>
            <w14:uncheckedState w14:val="2610" w14:font="MS Gothic"/>
          </w14:checkbox>
        </w:sdtPr>
        <w:sdtEndPr/>
        <w:sdtContent>
          <w:r w:rsidRPr="00D4512E">
            <w:rPr>
              <w:rFonts w:ascii="Segoe UI Symbol" w:eastAsia="Cambria" w:hAnsi="Segoe UI Symbol" w:cs="Segoe UI Symbol"/>
              <w:color w:val="FF0000"/>
              <w:spacing w:val="-2"/>
              <w:sz w:val="20"/>
              <w:szCs w:val="20"/>
            </w:rPr>
            <w:t>☒</w:t>
          </w:r>
        </w:sdtContent>
      </w:sdt>
    </w:p>
    <w:p w14:paraId="578DEADD" w14:textId="6B4EAE50" w:rsidR="772F7C49" w:rsidRPr="00D4512E" w:rsidRDefault="772F7C49" w:rsidP="772F7C49">
      <w:pPr>
        <w:ind w:left="360" w:hanging="10"/>
        <w:jc w:val="both"/>
        <w:rPr>
          <w:rFonts w:ascii="Cambria" w:eastAsia="Cambria" w:hAnsi="Cambria" w:cs="Cambria"/>
          <w:color w:val="000000" w:themeColor="text1"/>
          <w:sz w:val="20"/>
          <w:szCs w:val="20"/>
        </w:rPr>
      </w:pPr>
    </w:p>
    <w:p w14:paraId="0C881283" w14:textId="50736CB5" w:rsidR="60A4D66D" w:rsidRPr="00D4512E" w:rsidRDefault="60A4D66D" w:rsidP="772F7C49">
      <w:pPr>
        <w:ind w:left="360" w:hanging="10"/>
        <w:jc w:val="both"/>
        <w:rPr>
          <w:rFonts w:ascii="Cambria" w:eastAsia="Cambria" w:hAnsi="Cambria" w:cs="Cambria"/>
          <w:color w:val="000000" w:themeColor="text1"/>
          <w:sz w:val="20"/>
          <w:szCs w:val="20"/>
        </w:rPr>
      </w:pPr>
      <w:r w:rsidRPr="00D4512E">
        <w:rPr>
          <w:rFonts w:ascii="Cambria" w:hAnsi="Cambria"/>
          <w:color w:val="000000" w:themeColor="text1"/>
          <w:sz w:val="20"/>
        </w:rPr>
        <w:t xml:space="preserve">Breve descripción del nuevo trabajo necesario de la Secretaría: </w:t>
      </w:r>
    </w:p>
    <w:p w14:paraId="323476BF" w14:textId="1B97B4AF" w:rsidR="772F7C49" w:rsidRPr="00D4512E" w:rsidRDefault="772F7C49" w:rsidP="772F7C49">
      <w:pPr>
        <w:ind w:hanging="10"/>
        <w:rPr>
          <w:rFonts w:ascii="Cambria" w:eastAsia="Cambria" w:hAnsi="Cambria" w:cs="Cambria"/>
          <w:color w:val="000000" w:themeColor="text1"/>
          <w:sz w:val="20"/>
          <w:szCs w:val="20"/>
        </w:rPr>
      </w:pPr>
    </w:p>
    <w:p w14:paraId="0A3234E7" w14:textId="27C3ED82" w:rsidR="00CF7184"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pacing w:val="-2"/>
          <w:sz w:val="20"/>
          <w:szCs w:val="20"/>
        </w:rPr>
      </w:pPr>
      <w:r w:rsidRPr="00D4512E">
        <w:rPr>
          <w:rFonts w:ascii="Cambria" w:eastAsia="Cambria" w:hAnsi="Cambria" w:cs="Cambria"/>
          <w:sz w:val="20"/>
        </w:rPr>
        <w:t>¿Cuál es el calendario propuesto para la implementación? ¿Existen distintos calendarios específicos para determinadas CPC, pesquerías, regiones, etc.?</w:t>
      </w:r>
    </w:p>
    <w:p w14:paraId="5498DC41" w14:textId="3A5E93A1" w:rsidR="41602EB1" w:rsidRPr="00D4512E" w:rsidRDefault="41602EB1" w:rsidP="772F7C49">
      <w:pPr>
        <w:ind w:left="426"/>
        <w:jc w:val="both"/>
        <w:rPr>
          <w:color w:val="EE0000"/>
        </w:rPr>
      </w:pPr>
      <w:r w:rsidRPr="00D4512E">
        <w:rPr>
          <w:rFonts w:ascii="Cambria" w:hAnsi="Cambria"/>
          <w:color w:val="EE0000"/>
          <w:sz w:val="20"/>
        </w:rPr>
        <w:t>No se aplica ningún plazo.</w:t>
      </w:r>
    </w:p>
    <w:p w14:paraId="6027883A" w14:textId="3B6DADC9" w:rsidR="772F7C49" w:rsidRPr="00D4512E" w:rsidRDefault="772F7C49" w:rsidP="772F7C49">
      <w:pPr>
        <w:ind w:hanging="10"/>
        <w:rPr>
          <w:rFonts w:ascii="Cambria" w:eastAsia="Cambria" w:hAnsi="Cambria" w:cs="Cambria"/>
          <w:color w:val="000000" w:themeColor="text1"/>
          <w:sz w:val="20"/>
          <w:szCs w:val="20"/>
        </w:rPr>
      </w:pPr>
    </w:p>
    <w:p w14:paraId="27DDD75C" w14:textId="77777777" w:rsidR="000A601F" w:rsidRPr="00D4512E" w:rsidRDefault="000A601F" w:rsidP="000A601F">
      <w:pPr>
        <w:widowControl/>
        <w:numPr>
          <w:ilvl w:val="0"/>
          <w:numId w:val="6"/>
        </w:numPr>
        <w:autoSpaceDE/>
        <w:autoSpaceDN/>
        <w:spacing w:after="160" w:line="259" w:lineRule="auto"/>
        <w:ind w:left="426" w:hanging="426"/>
        <w:jc w:val="both"/>
        <w:rPr>
          <w:rFonts w:ascii="Cambria" w:eastAsia="Cambria" w:hAnsi="Cambria" w:cs="Cambria"/>
          <w:spacing w:val="-2"/>
          <w:sz w:val="20"/>
          <w:szCs w:val="20"/>
        </w:rPr>
      </w:pPr>
      <w:r w:rsidRPr="00D4512E">
        <w:rPr>
          <w:rFonts w:ascii="Cambria" w:eastAsia="Cambria" w:hAnsi="Cambria" w:cs="Cambria"/>
          <w:sz w:val="20"/>
        </w:rPr>
        <w:t>¿Hay alguna otra información pertinente sobre las repercusiones de la propuesta en lo referente a los recursos y a la carga de trabajo?</w:t>
      </w:r>
    </w:p>
    <w:p w14:paraId="53727CA6" w14:textId="595263FC" w:rsidR="60A4D66D" w:rsidRPr="00D4512E" w:rsidRDefault="60A4D66D" w:rsidP="772F7C49">
      <w:pPr>
        <w:pStyle w:val="ListParagraph"/>
        <w:ind w:left="426" w:firstLine="0"/>
        <w:jc w:val="left"/>
        <w:rPr>
          <w:rFonts w:ascii="Cambria" w:eastAsia="Cambria" w:hAnsi="Cambria" w:cs="Cambria"/>
          <w:color w:val="EE0000"/>
          <w:sz w:val="20"/>
          <w:szCs w:val="20"/>
        </w:rPr>
      </w:pPr>
      <w:r w:rsidRPr="00D4512E">
        <w:rPr>
          <w:rFonts w:ascii="Cambria" w:hAnsi="Cambria"/>
          <w:color w:val="EE0000"/>
          <w:sz w:val="20"/>
        </w:rPr>
        <w:t>No.</w:t>
      </w:r>
    </w:p>
    <w:p w14:paraId="5521827B" w14:textId="1EB4BBF2" w:rsidR="772F7C49" w:rsidRPr="00D4512E" w:rsidRDefault="772F7C49" w:rsidP="772F7C49">
      <w:pPr>
        <w:ind w:left="426" w:hanging="10"/>
        <w:rPr>
          <w:rFonts w:ascii="Cambria" w:eastAsia="Cambria" w:hAnsi="Cambria" w:cs="Cambria"/>
          <w:color w:val="000000" w:themeColor="text1"/>
          <w:sz w:val="20"/>
          <w:szCs w:val="20"/>
        </w:rPr>
      </w:pPr>
    </w:p>
    <w:p w14:paraId="0C441C90" w14:textId="732A3E38" w:rsidR="00953DAE" w:rsidRPr="00D4512E" w:rsidRDefault="00953DAE">
      <w:pPr>
        <w:rPr>
          <w:rFonts w:ascii="Cambria" w:eastAsia="Cambria" w:hAnsi="Cambria" w:cs="Cambria"/>
          <w:color w:val="000000" w:themeColor="text1"/>
          <w:sz w:val="20"/>
          <w:szCs w:val="20"/>
        </w:rPr>
      </w:pPr>
      <w:r w:rsidRPr="00D4512E">
        <w:br w:type="page"/>
      </w:r>
    </w:p>
    <w:p w14:paraId="0DA54C21" w14:textId="7C55C9B3" w:rsidR="00EF5651" w:rsidRPr="00D4512E" w:rsidRDefault="00EF5651" w:rsidP="00EF5651">
      <w:pPr>
        <w:widowControl/>
        <w:autoSpaceDE/>
        <w:autoSpaceDN/>
        <w:jc w:val="right"/>
        <w:rPr>
          <w:rFonts w:ascii="Cambria" w:hAnsi="Cambria"/>
          <w:b/>
          <w:bCs/>
          <w:sz w:val="20"/>
          <w:szCs w:val="20"/>
        </w:rPr>
      </w:pPr>
      <w:r w:rsidRPr="00D4512E">
        <w:rPr>
          <w:rFonts w:ascii="Cambria" w:hAnsi="Cambria"/>
          <w:b/>
          <w:sz w:val="20"/>
        </w:rPr>
        <w:lastRenderedPageBreak/>
        <w:t>Original: inglés</w:t>
      </w:r>
    </w:p>
    <w:p w14:paraId="4F59CD43" w14:textId="77777777" w:rsidR="00EF5651" w:rsidRPr="00D4512E" w:rsidRDefault="00EF5651" w:rsidP="00EF5651">
      <w:pPr>
        <w:widowControl/>
        <w:autoSpaceDE/>
        <w:autoSpaceDN/>
        <w:jc w:val="right"/>
        <w:rPr>
          <w:rFonts w:ascii="Cambria" w:hAnsi="Cambria"/>
          <w:b/>
          <w:bCs/>
          <w:sz w:val="20"/>
          <w:szCs w:val="20"/>
        </w:rPr>
      </w:pPr>
    </w:p>
    <w:p w14:paraId="68B24CDF" w14:textId="77777777" w:rsidR="00EF5651" w:rsidRPr="00D4512E" w:rsidRDefault="00EF5651" w:rsidP="00EF5651">
      <w:pPr>
        <w:widowControl/>
        <w:autoSpaceDE/>
        <w:autoSpaceDN/>
        <w:jc w:val="right"/>
        <w:rPr>
          <w:rFonts w:ascii="Cambria" w:hAnsi="Cambria"/>
          <w:b/>
          <w:bCs/>
          <w:sz w:val="20"/>
          <w:szCs w:val="20"/>
        </w:rPr>
      </w:pPr>
    </w:p>
    <w:p w14:paraId="08EBDDEC" w14:textId="188580B7" w:rsidR="00EF5651" w:rsidRPr="00D4512E" w:rsidRDefault="00EF5651" w:rsidP="00CF7184">
      <w:pPr>
        <w:jc w:val="center"/>
        <w:rPr>
          <w:rFonts w:ascii="Cambria" w:eastAsia="Cambria" w:hAnsi="Cambria" w:cs="Cambria"/>
          <w:b/>
          <w:bCs/>
          <w:color w:val="000000" w:themeColor="text1"/>
          <w:sz w:val="20"/>
          <w:szCs w:val="20"/>
        </w:rPr>
      </w:pPr>
      <w:r w:rsidRPr="00D4512E">
        <w:rPr>
          <w:rFonts w:ascii="Cambria" w:hAnsi="Cambria"/>
          <w:b/>
          <w:color w:val="000000" w:themeColor="text1"/>
          <w:sz w:val="20"/>
        </w:rPr>
        <w:t>Nota explicativa al Proyecto de Recomendación de ICCAT que establece una prohibición de las redes de deriva para la captura de determinadas especies de ICCAT</w:t>
      </w:r>
    </w:p>
    <w:p w14:paraId="36A1E8AC" w14:textId="77777777" w:rsidR="772F7C49" w:rsidRPr="00D4512E" w:rsidRDefault="772F7C49" w:rsidP="772F7C49">
      <w:pPr>
        <w:ind w:hanging="10"/>
        <w:rPr>
          <w:rFonts w:ascii="Cambria" w:eastAsia="Cambria" w:hAnsi="Cambria" w:cs="Cambria"/>
          <w:color w:val="000000" w:themeColor="text1"/>
          <w:sz w:val="20"/>
          <w:szCs w:val="20"/>
        </w:rPr>
      </w:pPr>
    </w:p>
    <w:p w14:paraId="1A9628BB" w14:textId="77777777" w:rsidR="00EF5651" w:rsidRPr="00D4512E" w:rsidRDefault="00EF5651" w:rsidP="772F7C49">
      <w:pPr>
        <w:ind w:hanging="10"/>
        <w:rPr>
          <w:rFonts w:ascii="Cambria" w:eastAsia="Cambria" w:hAnsi="Cambria" w:cs="Cambria"/>
          <w:color w:val="000000" w:themeColor="text1"/>
          <w:sz w:val="20"/>
          <w:szCs w:val="20"/>
        </w:rPr>
      </w:pPr>
    </w:p>
    <w:p w14:paraId="4B26E7CE" w14:textId="532CF044" w:rsidR="0B72C9B0" w:rsidRPr="00D4512E" w:rsidRDefault="00F52CAD" w:rsidP="772F7C49">
      <w:pPr>
        <w:jc w:val="both"/>
        <w:rPr>
          <w:rFonts w:ascii="Cambria" w:eastAsia="Cambria" w:hAnsi="Cambria" w:cs="Cambria"/>
          <w:sz w:val="20"/>
          <w:szCs w:val="20"/>
        </w:rPr>
      </w:pPr>
      <w:r w:rsidRPr="00D4512E">
        <w:rPr>
          <w:rFonts w:ascii="Cambria" w:hAnsi="Cambria"/>
          <w:sz w:val="20"/>
        </w:rPr>
        <w:t>Esta propuesta de Recomendación introduce elementos de mejora en la disposición actual sobre la prohibición del uso de redes de deriva para la captura de especies de grandes pelágicos, con el fin de hacerla aplicable y eficaz. También amplía el ámbito de aplicación de la prohibición del Mediterráneo a toda la zona del Convenio de ICCAT.</w:t>
      </w:r>
    </w:p>
    <w:p w14:paraId="17B495EE" w14:textId="4D38BA4A" w:rsidR="772F7C49" w:rsidRPr="00D4512E" w:rsidRDefault="772F7C49">
      <w:r w:rsidRPr="00D4512E">
        <w:br w:type="page"/>
      </w:r>
    </w:p>
    <w:p w14:paraId="4484E954" w14:textId="37443CDC" w:rsidR="772F7C49" w:rsidRPr="00D4512E" w:rsidRDefault="005C3057" w:rsidP="005C3057">
      <w:pPr>
        <w:pStyle w:val="BodyText"/>
        <w:spacing w:before="1" w:line="259" w:lineRule="auto"/>
        <w:jc w:val="right"/>
        <w:rPr>
          <w:rFonts w:ascii="Cambria" w:hAnsi="Cambria"/>
          <w:b/>
          <w:bCs/>
          <w:sz w:val="20"/>
          <w:szCs w:val="20"/>
        </w:rPr>
      </w:pPr>
      <w:r w:rsidRPr="00D4512E">
        <w:rPr>
          <w:rFonts w:ascii="Cambria" w:hAnsi="Cambria"/>
          <w:b/>
          <w:sz w:val="20"/>
        </w:rPr>
        <w:lastRenderedPageBreak/>
        <w:t>Original: inglés</w:t>
      </w:r>
    </w:p>
    <w:p w14:paraId="6F335CCB" w14:textId="77777777" w:rsidR="00654894" w:rsidRPr="00D4512E" w:rsidRDefault="00654894" w:rsidP="005C3057">
      <w:pPr>
        <w:pStyle w:val="BodyText"/>
        <w:spacing w:before="1" w:line="259" w:lineRule="auto"/>
        <w:jc w:val="right"/>
        <w:rPr>
          <w:rFonts w:ascii="Cambria" w:hAnsi="Cambria"/>
          <w:b/>
          <w:bCs/>
          <w:sz w:val="20"/>
          <w:szCs w:val="20"/>
        </w:rPr>
      </w:pPr>
    </w:p>
    <w:p w14:paraId="4A5D53EC" w14:textId="25E283C8" w:rsidR="00654894" w:rsidRPr="00D4512E" w:rsidRDefault="00A25292" w:rsidP="000D7FF2">
      <w:pPr>
        <w:pStyle w:val="BodyText"/>
        <w:spacing w:before="1" w:line="259" w:lineRule="auto"/>
        <w:jc w:val="center"/>
        <w:rPr>
          <w:rFonts w:ascii="Cambria" w:hAnsi="Cambria"/>
          <w:b/>
          <w:bCs/>
          <w:sz w:val="20"/>
          <w:szCs w:val="20"/>
        </w:rPr>
      </w:pPr>
      <w:r w:rsidRPr="00D4512E">
        <w:rPr>
          <w:rFonts w:ascii="Cambria" w:hAnsi="Cambria"/>
          <w:b/>
          <w:sz w:val="20"/>
        </w:rPr>
        <w:t xml:space="preserve">Proyecto de Recomendación de ICCAT que establece una prohibición de las redes de deriva </w:t>
      </w:r>
    </w:p>
    <w:p w14:paraId="7BC9B5EC" w14:textId="207BD9C0" w:rsidR="00A25292" w:rsidRPr="00D4512E" w:rsidRDefault="000D7FF2" w:rsidP="000D7FF2">
      <w:pPr>
        <w:pStyle w:val="BodyText"/>
        <w:spacing w:before="1" w:line="259" w:lineRule="auto"/>
        <w:jc w:val="center"/>
        <w:rPr>
          <w:rFonts w:ascii="Cambria" w:hAnsi="Cambria"/>
          <w:b/>
          <w:bCs/>
          <w:sz w:val="20"/>
          <w:szCs w:val="20"/>
        </w:rPr>
      </w:pPr>
      <w:r w:rsidRPr="00D4512E">
        <w:rPr>
          <w:rFonts w:ascii="Cambria" w:hAnsi="Cambria"/>
          <w:b/>
          <w:sz w:val="20"/>
        </w:rPr>
        <w:t>para la captura de determinadas especies de ICCAT</w:t>
      </w:r>
    </w:p>
    <w:p w14:paraId="52FD41EA" w14:textId="3B85FD91" w:rsidR="00A25292" w:rsidRPr="00D4512E" w:rsidRDefault="000D7FF2" w:rsidP="005C3057">
      <w:pPr>
        <w:pStyle w:val="BodyText"/>
        <w:spacing w:before="1" w:line="259" w:lineRule="auto"/>
        <w:jc w:val="center"/>
        <w:rPr>
          <w:rFonts w:ascii="Cambria" w:hAnsi="Cambria"/>
          <w:i/>
          <w:iCs/>
          <w:sz w:val="20"/>
          <w:szCs w:val="20"/>
        </w:rPr>
      </w:pPr>
      <w:r w:rsidRPr="00D4512E">
        <w:rPr>
          <w:rFonts w:ascii="Cambria" w:hAnsi="Cambria"/>
          <w:i/>
          <w:sz w:val="20"/>
        </w:rPr>
        <w:t>(presentado por la Unión Europea)</w:t>
      </w:r>
    </w:p>
    <w:p w14:paraId="39266181" w14:textId="77777777" w:rsidR="00A25292" w:rsidRPr="00D4512E" w:rsidRDefault="00A25292" w:rsidP="005C3057">
      <w:pPr>
        <w:pStyle w:val="BodyText"/>
        <w:spacing w:before="1" w:line="259" w:lineRule="auto"/>
        <w:jc w:val="center"/>
        <w:rPr>
          <w:rFonts w:ascii="Cambria" w:hAnsi="Cambria"/>
          <w:i/>
          <w:iCs/>
          <w:sz w:val="20"/>
          <w:szCs w:val="20"/>
        </w:rPr>
      </w:pPr>
    </w:p>
    <w:p w14:paraId="3885D96F" w14:textId="285E7B06" w:rsidR="00DC4112"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en noviembre de 1993 y noviembre de 1994 ICCAT adoptó sendas Resoluciones en apoyo de las Resoluciones de la Asamblea General de Naciones Unidas, 44/225, 45/197 y 46/215, respecto a la pesca a gran escala en alta mar con redes pelágicas de deriva y su impacto sobre los recursos marinos vivos de los océanos y mares del mundo, instando a todas sus Partes contratantes para que diesen su apoyo a estas Resoluciones;</w:t>
      </w:r>
    </w:p>
    <w:p w14:paraId="227A62B4" w14:textId="77777777" w:rsidR="00DC4112" w:rsidRPr="00D4512E" w:rsidRDefault="00DC4112" w:rsidP="00654894">
      <w:pPr>
        <w:pStyle w:val="BodyText"/>
        <w:ind w:left="100" w:right="153"/>
        <w:jc w:val="both"/>
        <w:rPr>
          <w:rFonts w:ascii="Cambria" w:hAnsi="Cambria"/>
          <w:sz w:val="20"/>
          <w:szCs w:val="20"/>
        </w:rPr>
      </w:pPr>
    </w:p>
    <w:p w14:paraId="31D592B3" w14:textId="2C1D82F4" w:rsidR="00A71E71"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tras dichas Resoluciones, en noviembre de 1996, ICCAT adoptó la </w:t>
      </w:r>
      <w:r w:rsidRPr="00D4512E">
        <w:rPr>
          <w:rFonts w:ascii="Cambria" w:hAnsi="Cambria"/>
          <w:i/>
          <w:iCs/>
          <w:sz w:val="20"/>
        </w:rPr>
        <w:t xml:space="preserve">Resolución de ICCAT sobre la pesca a gran escala con redes pelágicas de enmalle a la deriva </w:t>
      </w:r>
      <w:r w:rsidRPr="00D4512E">
        <w:rPr>
          <w:rFonts w:ascii="Cambria" w:hAnsi="Cambria"/>
          <w:sz w:val="20"/>
        </w:rPr>
        <w:t>(Res. 96-15), para reforzar aún más la preocupación de ICCAT sobre la posibilidad de que ciertos stocks bajo mandato de ICCAT, así como otros recursos marinos, estén siendo afectados negativamente por dicha pesca;</w:t>
      </w:r>
    </w:p>
    <w:p w14:paraId="7B76C18F" w14:textId="77777777" w:rsidR="00DC4112" w:rsidRPr="00D4512E" w:rsidRDefault="00DC4112" w:rsidP="00654894">
      <w:pPr>
        <w:pStyle w:val="BodyText"/>
        <w:ind w:left="100" w:right="153"/>
        <w:jc w:val="both"/>
        <w:rPr>
          <w:rFonts w:ascii="Cambria" w:hAnsi="Cambria"/>
          <w:sz w:val="20"/>
          <w:szCs w:val="20"/>
        </w:rPr>
      </w:pPr>
    </w:p>
    <w:p w14:paraId="2C16A633" w14:textId="3B38FCC3" w:rsidR="00DC4112" w:rsidRPr="00D4512E" w:rsidRDefault="001B4DC6" w:rsidP="00654894">
      <w:pPr>
        <w:pStyle w:val="BodyText"/>
        <w:ind w:right="153" w:firstLine="426"/>
        <w:jc w:val="both"/>
        <w:rPr>
          <w:rFonts w:ascii="Cambria" w:hAnsi="Cambria"/>
          <w:sz w:val="20"/>
          <w:szCs w:val="20"/>
        </w:rPr>
      </w:pPr>
      <w:r w:rsidRPr="00D4512E">
        <w:rPr>
          <w:rFonts w:ascii="Cambria" w:hAnsi="Cambria"/>
          <w:i/>
          <w:iCs/>
          <w:sz w:val="20"/>
        </w:rPr>
        <w:t xml:space="preserve">CONSIDERANDO ADEMÁS </w:t>
      </w:r>
      <w:r w:rsidRPr="00D4512E">
        <w:rPr>
          <w:rFonts w:ascii="Cambria" w:hAnsi="Cambria"/>
          <w:sz w:val="20"/>
        </w:rPr>
        <w:t>que, en su Resolución 96-15, ICCAT encargó al Comité de Cumplimiento y al Grupo de trabajo permanente para la mejora de las estadísticas de ICCAT y sus normas de conservación (GTP) que hicieran un seguimiento del cumplimiento de las Resoluciones de Naciones Unidas dentro de la zona del Convenio de ICCAT, con el objetivo de adoptar las medidas adecuadas;</w:t>
      </w:r>
    </w:p>
    <w:p w14:paraId="1C3DBE29" w14:textId="5ED297B2" w:rsidR="00DC4112" w:rsidRPr="00D4512E" w:rsidRDefault="00DC4112" w:rsidP="00654894">
      <w:pPr>
        <w:pStyle w:val="BodyText"/>
        <w:ind w:left="100" w:right="153"/>
        <w:jc w:val="both"/>
        <w:rPr>
          <w:rFonts w:ascii="Cambria" w:hAnsi="Cambria"/>
          <w:sz w:val="20"/>
          <w:szCs w:val="20"/>
        </w:rPr>
      </w:pPr>
    </w:p>
    <w:p w14:paraId="1C88A618" w14:textId="4DBA43D3" w:rsidR="00DC4112" w:rsidRPr="00D4512E" w:rsidRDefault="00DC4112" w:rsidP="00654894">
      <w:pPr>
        <w:pStyle w:val="BodyText"/>
        <w:ind w:right="153" w:firstLine="426"/>
        <w:jc w:val="both"/>
        <w:rPr>
          <w:rFonts w:ascii="Cambria" w:hAnsi="Cambria"/>
          <w:sz w:val="20"/>
          <w:szCs w:val="20"/>
        </w:rPr>
      </w:pPr>
      <w:r w:rsidRPr="00D4512E">
        <w:rPr>
          <w:rFonts w:ascii="Cambria" w:hAnsi="Cambria"/>
          <w:i/>
          <w:iCs/>
          <w:sz w:val="20"/>
        </w:rPr>
        <w:t>OBSERVANDO</w:t>
      </w:r>
      <w:r w:rsidRPr="00D4512E">
        <w:rPr>
          <w:rFonts w:ascii="Cambria" w:hAnsi="Cambria"/>
          <w:sz w:val="20"/>
        </w:rPr>
        <w:t xml:space="preserve"> que en 2003 ICCAT adoptó la </w:t>
      </w:r>
      <w:r w:rsidRPr="00D4512E">
        <w:rPr>
          <w:rFonts w:ascii="Cambria" w:hAnsi="Cambria"/>
          <w:i/>
          <w:iCs/>
          <w:sz w:val="20"/>
        </w:rPr>
        <w:t>Recomendación de ICCAT sobre el pez espada del Mediterráneo</w:t>
      </w:r>
      <w:r w:rsidRPr="00D4512E">
        <w:rPr>
          <w:rFonts w:ascii="Cambria" w:hAnsi="Cambria"/>
          <w:sz w:val="20"/>
        </w:rPr>
        <w:t xml:space="preserve"> (Rec. 03-04) para proteger al pez espada pequeño en el Mediterráneo y solicitar a las Partes contratantes, Partes, Entidades o Entidades pesqueras no contratantes colaboradoras que prohíban el uso de redes de enmalle de deriva para la pesca de grandes pelágicos en el Mediterráneo;</w:t>
      </w:r>
    </w:p>
    <w:p w14:paraId="4EE2098A" w14:textId="77777777" w:rsidR="005A2856" w:rsidRPr="00D4512E" w:rsidRDefault="005A2856" w:rsidP="00654894">
      <w:pPr>
        <w:pStyle w:val="BodyText"/>
        <w:ind w:left="100" w:right="153"/>
        <w:jc w:val="both"/>
        <w:rPr>
          <w:rFonts w:ascii="Cambria" w:hAnsi="Cambria"/>
          <w:sz w:val="20"/>
          <w:szCs w:val="20"/>
        </w:rPr>
      </w:pPr>
    </w:p>
    <w:p w14:paraId="78A4D153" w14:textId="5532C2BA" w:rsidR="005A2856" w:rsidRPr="00D4512E" w:rsidRDefault="005A2856" w:rsidP="00654894">
      <w:pPr>
        <w:pStyle w:val="BodyText"/>
        <w:ind w:left="100" w:right="153" w:firstLine="3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que en la Resolución 76-71 de las Naciones Unidas, de 9 de diciembre de 2021, la Asamblea General, al tiempo que reconocía los esfuerzos realizados para aplicar la moratoria, expresó su preocupación por la práctica persistente de la pesca pelágica a gran escala con redes de deriva, por lo que instó a los Estados miembros a que, a través de los acuerdos y las organizaciones regionales de ordenación pesquera, adoptaran medidas eficaces, o reforzar las medidas existentes, para aplicar y hacer cumplir la actual moratoria mundial sobre el uso de redes de deriva pelágicas a gran escala en alta mar, y exhortó a los Estados a garantizar que los buques que enarbolen su pabellón y estén debidamente autorizados a utilizar redes de deriva a gran escala en aguas bajo su jurisdicción nacional no utilicen dichas artes para pescar mientras se encuentren en alta mar;</w:t>
      </w:r>
    </w:p>
    <w:p w14:paraId="30A9153E" w14:textId="77777777" w:rsidR="00A23BCF" w:rsidRPr="00D4512E" w:rsidRDefault="00A23BCF" w:rsidP="00654894">
      <w:pPr>
        <w:pStyle w:val="BodyText"/>
        <w:ind w:left="100" w:right="153"/>
        <w:jc w:val="both"/>
        <w:rPr>
          <w:rFonts w:ascii="Cambria" w:hAnsi="Cambria"/>
          <w:sz w:val="20"/>
          <w:szCs w:val="20"/>
        </w:rPr>
      </w:pPr>
    </w:p>
    <w:p w14:paraId="0B63E28A" w14:textId="7481C56B" w:rsidR="005A2856" w:rsidRPr="00D4512E" w:rsidRDefault="00A23BCF" w:rsidP="00654894">
      <w:pPr>
        <w:pStyle w:val="BodyText"/>
        <w:ind w:right="153" w:firstLine="426"/>
        <w:jc w:val="both"/>
        <w:rPr>
          <w:rFonts w:ascii="Cambria" w:hAnsi="Cambria"/>
          <w:sz w:val="20"/>
          <w:szCs w:val="20"/>
        </w:rPr>
      </w:pPr>
      <w:r w:rsidRPr="00D4512E">
        <w:rPr>
          <w:rFonts w:ascii="Cambria" w:hAnsi="Cambria"/>
          <w:i/>
          <w:iCs/>
          <w:sz w:val="20"/>
        </w:rPr>
        <w:t>RECONOCIENDO</w:t>
      </w:r>
      <w:r w:rsidRPr="00D4512E">
        <w:rPr>
          <w:rFonts w:ascii="Cambria" w:hAnsi="Cambria"/>
          <w:sz w:val="20"/>
        </w:rPr>
        <w:t xml:space="preserve"> el impacto negativo demostrado que tienen las redes  de deriva en la captura fortuita de especies marinas sensibles como consecuencia de la pesca, que deberán reducirse al mínimo y, cuando sea posible, eliminarse para que no representen una amenaza para el estado de conservación de dichas especies;</w:t>
      </w:r>
    </w:p>
    <w:p w14:paraId="6C0AB7A8" w14:textId="77777777" w:rsidR="00874921" w:rsidRPr="00D4512E" w:rsidRDefault="00874921" w:rsidP="00654894">
      <w:pPr>
        <w:pStyle w:val="BodyText"/>
        <w:ind w:left="100" w:right="153" w:firstLine="620"/>
        <w:jc w:val="both"/>
        <w:rPr>
          <w:rFonts w:ascii="Cambria" w:hAnsi="Cambria"/>
          <w:sz w:val="20"/>
          <w:szCs w:val="20"/>
        </w:rPr>
      </w:pPr>
    </w:p>
    <w:p w14:paraId="249219C2" w14:textId="1F10380A" w:rsidR="00874921" w:rsidRPr="00D4512E" w:rsidRDefault="00874921" w:rsidP="00654894">
      <w:pPr>
        <w:pStyle w:val="BodyText"/>
        <w:ind w:left="100" w:right="153" w:firstLine="326"/>
        <w:jc w:val="both"/>
        <w:rPr>
          <w:rFonts w:ascii="Cambria" w:hAnsi="Cambria"/>
          <w:sz w:val="20"/>
          <w:szCs w:val="20"/>
        </w:rPr>
      </w:pPr>
      <w:r w:rsidRPr="00D4512E">
        <w:rPr>
          <w:rFonts w:ascii="Cambria" w:hAnsi="Cambria"/>
          <w:i/>
          <w:iCs/>
          <w:sz w:val="20"/>
        </w:rPr>
        <w:t xml:space="preserve">RECORDANDO </w:t>
      </w:r>
      <w:r w:rsidRPr="00D4512E">
        <w:rPr>
          <w:rFonts w:ascii="Cambria" w:hAnsi="Cambria"/>
          <w:sz w:val="20"/>
        </w:rPr>
        <w:t>que la Comisión se reafirma en su compromiso con el concepto de pesca responsable, tal como queda establecido en el marco del Código de Conducta de la Organización de las Naciones Unidas para la Alimentación y la Agricultura (FAO);</w:t>
      </w:r>
    </w:p>
    <w:p w14:paraId="19451A5B" w14:textId="77777777" w:rsidR="002601E6" w:rsidRPr="00D4512E" w:rsidRDefault="002601E6" w:rsidP="00654894">
      <w:pPr>
        <w:pStyle w:val="BodyText"/>
        <w:ind w:left="100" w:right="153"/>
        <w:jc w:val="both"/>
        <w:rPr>
          <w:rFonts w:ascii="Cambria" w:hAnsi="Cambria"/>
          <w:sz w:val="20"/>
          <w:szCs w:val="20"/>
        </w:rPr>
      </w:pPr>
    </w:p>
    <w:p w14:paraId="492A096D" w14:textId="5566D718" w:rsidR="002601E6" w:rsidRPr="00D4512E" w:rsidRDefault="002601E6" w:rsidP="00654894">
      <w:pPr>
        <w:pStyle w:val="BodyText"/>
        <w:ind w:left="100" w:right="153" w:firstLine="326"/>
        <w:jc w:val="both"/>
        <w:rPr>
          <w:rFonts w:ascii="Cambria" w:hAnsi="Cambria"/>
          <w:sz w:val="20"/>
          <w:szCs w:val="20"/>
        </w:rPr>
      </w:pPr>
      <w:bookmarkStart w:id="2" w:name="_Hlk193805956"/>
      <w:r w:rsidRPr="00D4512E">
        <w:rPr>
          <w:rFonts w:ascii="Cambria" w:hAnsi="Cambria"/>
          <w:i/>
          <w:iCs/>
          <w:sz w:val="20"/>
        </w:rPr>
        <w:t>CONSIDERANDO</w:t>
      </w:r>
      <w:r w:rsidRPr="00D4512E">
        <w:rPr>
          <w:rFonts w:ascii="Cambria" w:hAnsi="Cambria"/>
          <w:sz w:val="20"/>
        </w:rPr>
        <w:t xml:space="preserve"> que en la Recomendación 03-04 se han detectado deficiencias en la aplicabilidad de la actual prohibición del uso de redes de deriva para grandes pelágicos, y que es necesario reforzar la legislación, incluido el establecimiento de una definición de red de deriva para mejorar la aplicabilidad de la prohibición, incluso cuando la red de deriva no esté en uso.</w:t>
      </w:r>
    </w:p>
    <w:p w14:paraId="22021E52" w14:textId="77777777" w:rsidR="00734928" w:rsidRPr="00D4512E" w:rsidRDefault="00734928" w:rsidP="00654894">
      <w:pPr>
        <w:pStyle w:val="BodyText"/>
        <w:ind w:left="100" w:right="153"/>
        <w:jc w:val="both"/>
        <w:rPr>
          <w:rFonts w:ascii="Cambria" w:hAnsi="Cambria"/>
          <w:sz w:val="20"/>
          <w:szCs w:val="20"/>
        </w:rPr>
      </w:pPr>
    </w:p>
    <w:p w14:paraId="629F2F2F" w14:textId="4480BE2B" w:rsidR="00734928" w:rsidRPr="00D4512E" w:rsidRDefault="00C56ED3" w:rsidP="00654894">
      <w:pPr>
        <w:pStyle w:val="BodyText"/>
        <w:ind w:right="153" w:firstLine="426"/>
        <w:jc w:val="both"/>
        <w:rPr>
          <w:rFonts w:ascii="Cambria" w:hAnsi="Cambria"/>
          <w:sz w:val="20"/>
          <w:szCs w:val="20"/>
        </w:rPr>
      </w:pPr>
      <w:r w:rsidRPr="00D4512E">
        <w:rPr>
          <w:rFonts w:ascii="Cambria" w:hAnsi="Cambria"/>
          <w:i/>
          <w:iCs/>
          <w:sz w:val="20"/>
        </w:rPr>
        <w:t>CONSIDERANDO</w:t>
      </w:r>
      <w:r w:rsidRPr="00D4512E">
        <w:rPr>
          <w:rFonts w:ascii="Cambria" w:hAnsi="Cambria"/>
          <w:sz w:val="20"/>
        </w:rPr>
        <w:t xml:space="preserve"> la necesidad de disposiciones armonizadas y eficaces en ICCAT y en la Comisión General de Pesca del Mediterráneo (</w:t>
      </w:r>
      <w:proofErr w:type="spellStart"/>
      <w:r w:rsidRPr="00D4512E">
        <w:rPr>
          <w:rFonts w:ascii="Cambria" w:hAnsi="Cambria"/>
          <w:sz w:val="20"/>
        </w:rPr>
        <w:t>CGPM</w:t>
      </w:r>
      <w:proofErr w:type="spellEnd"/>
      <w:r w:rsidRPr="00D4512E">
        <w:rPr>
          <w:rFonts w:ascii="Cambria" w:hAnsi="Cambria"/>
          <w:sz w:val="20"/>
        </w:rPr>
        <w:t>) para el uso de redes de enmalle de deriva en el mar Mediterráneo;</w:t>
      </w:r>
    </w:p>
    <w:bookmarkEnd w:id="2"/>
    <w:p w14:paraId="79214181" w14:textId="77777777" w:rsidR="00A23BCF" w:rsidRPr="00D4512E" w:rsidRDefault="00A23BCF" w:rsidP="00654894">
      <w:pPr>
        <w:pStyle w:val="BodyText"/>
        <w:ind w:left="100" w:right="153"/>
        <w:jc w:val="both"/>
        <w:rPr>
          <w:rFonts w:ascii="Cambria" w:hAnsi="Cambria"/>
          <w:sz w:val="20"/>
          <w:szCs w:val="20"/>
        </w:rPr>
      </w:pPr>
    </w:p>
    <w:p w14:paraId="69996717" w14:textId="418AD57C" w:rsidR="00A23BCF" w:rsidRPr="00D4512E" w:rsidRDefault="00A23BCF" w:rsidP="00654894">
      <w:pPr>
        <w:pStyle w:val="BodyText"/>
        <w:ind w:right="153" w:firstLine="426"/>
        <w:jc w:val="both"/>
        <w:rPr>
          <w:rFonts w:ascii="Cambria" w:hAnsi="Cambria"/>
          <w:sz w:val="20"/>
          <w:szCs w:val="20"/>
        </w:rPr>
      </w:pPr>
      <w:r w:rsidRPr="00D4512E">
        <w:rPr>
          <w:rFonts w:ascii="Cambria" w:hAnsi="Cambria"/>
          <w:i/>
          <w:iCs/>
          <w:sz w:val="20"/>
        </w:rPr>
        <w:t>RECONOCIENDO</w:t>
      </w:r>
      <w:r w:rsidRPr="00D4512E">
        <w:rPr>
          <w:rFonts w:ascii="Cambria" w:hAnsi="Cambria"/>
          <w:sz w:val="20"/>
        </w:rPr>
        <w:t xml:space="preserve"> el mandato de ICCAT para la conservación de los túnidos y especies afines en el océano Atlántico y sus mares adyacentes;</w:t>
      </w:r>
    </w:p>
    <w:p w14:paraId="5F41C7EE" w14:textId="77777777" w:rsidR="005A2856" w:rsidRPr="00D4512E" w:rsidRDefault="005A2856" w:rsidP="00654894">
      <w:pPr>
        <w:pStyle w:val="BodyText"/>
        <w:ind w:left="100" w:right="153"/>
        <w:jc w:val="both"/>
        <w:rPr>
          <w:rFonts w:ascii="Cambria" w:hAnsi="Cambria"/>
          <w:sz w:val="20"/>
          <w:szCs w:val="20"/>
        </w:rPr>
      </w:pPr>
    </w:p>
    <w:p w14:paraId="172D2A57" w14:textId="77777777" w:rsidR="001B4DC6" w:rsidRPr="00D4512E" w:rsidRDefault="001B4DC6" w:rsidP="00654894">
      <w:pPr>
        <w:pStyle w:val="BodyText"/>
        <w:ind w:right="155"/>
        <w:jc w:val="both"/>
        <w:rPr>
          <w:rFonts w:ascii="Cambria" w:hAnsi="Cambria"/>
          <w:b/>
          <w:bCs/>
          <w:i/>
          <w:w w:val="105"/>
          <w:sz w:val="20"/>
          <w:szCs w:val="20"/>
        </w:rPr>
      </w:pPr>
    </w:p>
    <w:p w14:paraId="091DF603" w14:textId="77777777" w:rsidR="00F97A2F" w:rsidRPr="00D4512E" w:rsidRDefault="00F97A2F" w:rsidP="00654894">
      <w:pPr>
        <w:pStyle w:val="BodyText"/>
        <w:ind w:right="155"/>
        <w:jc w:val="both"/>
        <w:rPr>
          <w:rFonts w:ascii="Cambria" w:hAnsi="Cambria"/>
          <w:b/>
          <w:bCs/>
          <w:i/>
          <w:w w:val="105"/>
          <w:sz w:val="20"/>
          <w:szCs w:val="20"/>
        </w:rPr>
      </w:pPr>
    </w:p>
    <w:p w14:paraId="33EDDDA2" w14:textId="77777777" w:rsidR="00F97A2F" w:rsidRPr="00D4512E" w:rsidRDefault="00F97A2F" w:rsidP="00654894">
      <w:pPr>
        <w:pStyle w:val="BodyText"/>
        <w:ind w:right="155"/>
        <w:jc w:val="both"/>
        <w:rPr>
          <w:rFonts w:ascii="Cambria" w:hAnsi="Cambria"/>
          <w:b/>
          <w:bCs/>
          <w:i/>
          <w:iCs/>
          <w:w w:val="105"/>
          <w:sz w:val="20"/>
          <w:szCs w:val="20"/>
        </w:rPr>
      </w:pPr>
    </w:p>
    <w:p w14:paraId="21FEE3C8" w14:textId="3B0D1F48" w:rsidR="3414313D" w:rsidRPr="00D4512E" w:rsidRDefault="3414313D" w:rsidP="00654894">
      <w:pPr>
        <w:pStyle w:val="BodyText"/>
        <w:ind w:right="155"/>
        <w:jc w:val="both"/>
        <w:rPr>
          <w:rFonts w:ascii="Cambria" w:hAnsi="Cambria"/>
          <w:b/>
          <w:bCs/>
          <w:i/>
          <w:iCs/>
          <w:sz w:val="20"/>
          <w:szCs w:val="20"/>
        </w:rPr>
      </w:pPr>
    </w:p>
    <w:p w14:paraId="516BF505" w14:textId="60BB0BD6" w:rsidR="3414313D" w:rsidRPr="00D4512E" w:rsidRDefault="3414313D" w:rsidP="3414313D">
      <w:pPr>
        <w:pStyle w:val="BodyText"/>
        <w:spacing w:line="247" w:lineRule="auto"/>
        <w:ind w:right="155"/>
        <w:jc w:val="both"/>
        <w:rPr>
          <w:rFonts w:ascii="Cambria" w:hAnsi="Cambria"/>
          <w:b/>
          <w:bCs/>
          <w:i/>
          <w:iCs/>
          <w:sz w:val="20"/>
          <w:szCs w:val="20"/>
        </w:rPr>
      </w:pPr>
    </w:p>
    <w:p w14:paraId="4AC136A4" w14:textId="6C289A70" w:rsidR="00127FE5" w:rsidRPr="00D4512E" w:rsidRDefault="00C24E17" w:rsidP="00654894">
      <w:pPr>
        <w:jc w:val="center"/>
        <w:rPr>
          <w:rFonts w:ascii="Cambria" w:hAnsi="Cambria"/>
          <w:sz w:val="20"/>
          <w:szCs w:val="20"/>
        </w:rPr>
      </w:pPr>
      <w:r w:rsidRPr="00D4512E">
        <w:rPr>
          <w:rFonts w:ascii="Cambria" w:hAnsi="Cambria"/>
          <w:sz w:val="20"/>
        </w:rPr>
        <w:t>LA COMISIÓN INTERNACIONAL PARA LA CONSERVACIÓN DEL ATÚN ATLÁNTICO (ICCAT) RECOMIENDA LO SIGUIENTE:</w:t>
      </w:r>
    </w:p>
    <w:p w14:paraId="5E2116D7" w14:textId="0D7A2B40" w:rsidR="594A338A" w:rsidRPr="00D4512E" w:rsidRDefault="594A338A" w:rsidP="00654894">
      <w:pPr>
        <w:pStyle w:val="ListParagraph"/>
        <w:tabs>
          <w:tab w:val="left" w:pos="400"/>
        </w:tabs>
        <w:ind w:right="127" w:firstLine="0"/>
        <w:rPr>
          <w:rFonts w:ascii="Cambria" w:hAnsi="Cambria"/>
          <w:sz w:val="20"/>
          <w:szCs w:val="20"/>
        </w:rPr>
      </w:pPr>
    </w:p>
    <w:p w14:paraId="107CC3F5" w14:textId="52871357" w:rsidR="004C7B7F" w:rsidRPr="00D4512E" w:rsidRDefault="76E8C359"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Definiciones A efectos de esta Recomendación:</w:t>
      </w:r>
    </w:p>
    <w:p w14:paraId="014F7C35" w14:textId="77777777" w:rsidR="00235F3C" w:rsidRPr="00D4512E" w:rsidRDefault="00235F3C" w:rsidP="00235F3C">
      <w:pPr>
        <w:pStyle w:val="ListParagraph"/>
        <w:tabs>
          <w:tab w:val="left" w:pos="400"/>
        </w:tabs>
        <w:ind w:right="127" w:firstLine="0"/>
        <w:jc w:val="left"/>
        <w:rPr>
          <w:rFonts w:ascii="Cambria" w:hAnsi="Cambria"/>
          <w:sz w:val="20"/>
          <w:szCs w:val="20"/>
        </w:rPr>
      </w:pPr>
    </w:p>
    <w:p w14:paraId="20DAD0EF" w14:textId="229953C9" w:rsidR="004C7B7F" w:rsidRPr="00D4512E" w:rsidRDefault="004C7B7F"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"red de deriva para especies de grandes pelágicos" se entiende un conjunto de redes de enmalle que se mantiene más o menos vertical mediante flotadores en el cabo superior (relinga superior) y que puede tener pequeños lastres en el cabo inferior (relinga inferior), con una luz de malla en cualquier parte de la red igual o superior a 90 mm, que se utiliza cerca de la superficie o a profundidad intermedia, independientemente o con la embarcación a la que puede estar fijada.</w:t>
      </w:r>
    </w:p>
    <w:p w14:paraId="5FC5A0D1" w14:textId="77777777" w:rsidR="00874921" w:rsidRPr="00D4512E" w:rsidRDefault="00874921" w:rsidP="00654894">
      <w:pPr>
        <w:pStyle w:val="ListParagraph"/>
        <w:tabs>
          <w:tab w:val="left" w:pos="400"/>
        </w:tabs>
        <w:ind w:left="760" w:right="127" w:firstLine="0"/>
        <w:rPr>
          <w:rFonts w:ascii="Cambria" w:hAnsi="Cambria"/>
          <w:sz w:val="20"/>
          <w:szCs w:val="20"/>
        </w:rPr>
      </w:pPr>
    </w:p>
    <w:p w14:paraId="0345AFD4" w14:textId="21D3CC35" w:rsidR="00067B7A" w:rsidRPr="00D4512E" w:rsidRDefault="00067B7A"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"redes de deriva para pequeños túnidos" se entiende un arte de pesca pasivo consistente en uno o más paños de redes de enmalle que deriva con la corriente y se mantiene en posición casi vertical mediante flotadores en el cabo superior (relinga superior) y pequeños pesos en el cabo inferior (relinga de fondo). La luz de malla de estas redes será inferior a 90 mm en cualquier parte de la red.</w:t>
      </w:r>
    </w:p>
    <w:p w14:paraId="042CD57F" w14:textId="77777777" w:rsidR="00874921" w:rsidRPr="00D4512E" w:rsidRDefault="00874921" w:rsidP="00654894">
      <w:pPr>
        <w:tabs>
          <w:tab w:val="left" w:pos="400"/>
        </w:tabs>
        <w:ind w:right="127"/>
        <w:rPr>
          <w:rFonts w:ascii="Cambria" w:hAnsi="Cambria"/>
          <w:sz w:val="20"/>
          <w:szCs w:val="20"/>
        </w:rPr>
      </w:pPr>
    </w:p>
    <w:p w14:paraId="6181F43B" w14:textId="042B311E" w:rsidR="002E3E3A" w:rsidRPr="00D4512E" w:rsidRDefault="002E3E3A"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Por "luz de malla" de una red de deriva se entiende la distancia máxima interior entre las juntas o nudos opuestos de la misma malla cuando está completamente extendida a lo largo de su eje más largo posible, sin incluir las mallas que se encuentren en la parte superior, inferior o lateral de un costadillo de la red, las mallas situadas a menos de tres mallas de los cordones y relingas, y las mallas que se hayan roto o hayan sido reparadas.</w:t>
      </w:r>
    </w:p>
    <w:p w14:paraId="39628EB4" w14:textId="77777777" w:rsidR="00874921" w:rsidRPr="00D4512E" w:rsidRDefault="00874921" w:rsidP="00654894">
      <w:pPr>
        <w:tabs>
          <w:tab w:val="left" w:pos="400"/>
        </w:tabs>
        <w:ind w:right="127"/>
        <w:rPr>
          <w:rFonts w:ascii="Cambria" w:hAnsi="Cambria"/>
          <w:sz w:val="20"/>
          <w:szCs w:val="20"/>
        </w:rPr>
      </w:pPr>
    </w:p>
    <w:p w14:paraId="11753004" w14:textId="3FC09768" w:rsidR="008B44D7" w:rsidRPr="00D4512E" w:rsidRDefault="00CA4B51" w:rsidP="00516263">
      <w:pPr>
        <w:pStyle w:val="ListParagraph"/>
        <w:numPr>
          <w:ilvl w:val="0"/>
          <w:numId w:val="3"/>
        </w:numPr>
        <w:tabs>
          <w:tab w:val="left" w:pos="400"/>
        </w:tabs>
        <w:ind w:left="851" w:right="127" w:hanging="451"/>
        <w:rPr>
          <w:rFonts w:ascii="Cambria" w:hAnsi="Cambria"/>
          <w:sz w:val="20"/>
          <w:szCs w:val="20"/>
        </w:rPr>
      </w:pPr>
      <w:r w:rsidRPr="00D4512E">
        <w:rPr>
          <w:rFonts w:ascii="Cambria" w:hAnsi="Cambria"/>
          <w:sz w:val="20"/>
        </w:rPr>
        <w:t xml:space="preserve">Por "especies de pequeños túnidos" se entiende las especies que se enumeran en el </w:t>
      </w:r>
      <w:r w:rsidRPr="00D4512E">
        <w:rPr>
          <w:rFonts w:ascii="Cambria" w:hAnsi="Cambria"/>
          <w:b/>
          <w:bCs/>
          <w:sz w:val="20"/>
        </w:rPr>
        <w:t>Anexo 1</w:t>
      </w:r>
      <w:r w:rsidRPr="00D4512E">
        <w:rPr>
          <w:rFonts w:ascii="Cambria" w:hAnsi="Cambria"/>
          <w:sz w:val="20"/>
        </w:rPr>
        <w:t>.</w:t>
      </w:r>
    </w:p>
    <w:p w14:paraId="722351ED" w14:textId="77777777" w:rsidR="00836233" w:rsidRPr="00D4512E" w:rsidRDefault="00836233" w:rsidP="00654894">
      <w:pPr>
        <w:pStyle w:val="ListParagraph"/>
        <w:tabs>
          <w:tab w:val="left" w:pos="400"/>
        </w:tabs>
        <w:ind w:left="760" w:right="127" w:firstLine="0"/>
        <w:rPr>
          <w:rFonts w:ascii="Cambria" w:hAnsi="Cambria"/>
          <w:sz w:val="20"/>
          <w:szCs w:val="20"/>
        </w:rPr>
      </w:pPr>
    </w:p>
    <w:p w14:paraId="436F892B" w14:textId="5958D943" w:rsidR="001C065C" w:rsidRPr="00D4512E" w:rsidRDefault="00A23BCF"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 xml:space="preserve">Las Partes contratantes, Partes, Entidades o Entidades pesqueras no contratantes colaboradoras prohibirán la posesión a bordo de buques, así como su uso, de redes de deriva para especies de grandes pelágicos, tal y como se definen en el párrafo 1(a), para la pesca de especies de ICCAT dentro de la zona del Convenio de ICCAT. Las Partes contratantes y Partes, Entidades o Entidades pesqueras no contratantes colaboradoras costeras de ICCAT prohibirán también la posesión, el transporte o el almacenamiento de dichos artes de pesca dentro de sus respectivos territorios. </w:t>
      </w:r>
    </w:p>
    <w:p w14:paraId="4D59BA44" w14:textId="77777777" w:rsidR="001C065C" w:rsidRPr="00D4512E" w:rsidRDefault="001C065C" w:rsidP="00654894">
      <w:pPr>
        <w:pStyle w:val="ListParagraph"/>
        <w:tabs>
          <w:tab w:val="left" w:pos="400"/>
        </w:tabs>
        <w:ind w:right="127" w:firstLine="0"/>
        <w:jc w:val="left"/>
        <w:rPr>
          <w:rFonts w:ascii="Cambria" w:hAnsi="Cambria"/>
          <w:sz w:val="20"/>
          <w:szCs w:val="20"/>
        </w:rPr>
      </w:pPr>
    </w:p>
    <w:p w14:paraId="47244DD0" w14:textId="1354D667" w:rsidR="008A14FB" w:rsidRPr="00D4512E" w:rsidRDefault="008A14FB"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El uso de redes de deriva para la pesca de especies de pequeños túnidos, tal y como se especifica en el párrafo 1(b), sólo está permitido dentro de las zonas costeras que se extienden hasta una distancia máxima de tres millas náuticas de la costa y utilizando una o más redes de deriva con una longitud total combinada que no excederá de 2.500 m. Queda prohibida la posesión de red(es) de deriva cuya longitud total supere los 2.500 m.</w:t>
      </w:r>
    </w:p>
    <w:p w14:paraId="39A250C7" w14:textId="77777777" w:rsidR="00511588" w:rsidRPr="00D4512E" w:rsidRDefault="00511588" w:rsidP="00654894">
      <w:pPr>
        <w:pStyle w:val="ListParagraph"/>
        <w:tabs>
          <w:tab w:val="left" w:pos="400"/>
        </w:tabs>
        <w:ind w:right="127" w:firstLine="0"/>
        <w:rPr>
          <w:rFonts w:ascii="Cambria" w:hAnsi="Cambria"/>
          <w:sz w:val="20"/>
          <w:szCs w:val="20"/>
        </w:rPr>
      </w:pPr>
    </w:p>
    <w:p w14:paraId="1FEAC347" w14:textId="74E123B3" w:rsidR="008A14FB" w:rsidRPr="00D4512E" w:rsidRDefault="00511588" w:rsidP="00654894">
      <w:pPr>
        <w:pStyle w:val="ListParagraph"/>
        <w:tabs>
          <w:tab w:val="left" w:pos="400"/>
        </w:tabs>
        <w:ind w:right="127" w:firstLine="0"/>
        <w:rPr>
          <w:rFonts w:ascii="Cambria" w:hAnsi="Cambria"/>
          <w:sz w:val="20"/>
          <w:szCs w:val="20"/>
        </w:rPr>
      </w:pPr>
      <w:r w:rsidRPr="00D4512E">
        <w:rPr>
          <w:rFonts w:ascii="Cambria" w:hAnsi="Cambria"/>
          <w:sz w:val="20"/>
        </w:rPr>
        <w:t>Dichas redes de deriva deberán permanecer sujetas al buque pesquero durante toda la duración de la operación de pesca, y el tiempo de inmersión no excederá de 24 horas.</w:t>
      </w:r>
    </w:p>
    <w:p w14:paraId="7204AF30" w14:textId="77777777" w:rsidR="00931EE3" w:rsidRPr="00D4512E" w:rsidRDefault="00931EE3" w:rsidP="00654894">
      <w:pPr>
        <w:pStyle w:val="ListParagraph"/>
        <w:tabs>
          <w:tab w:val="left" w:pos="400"/>
        </w:tabs>
        <w:ind w:right="127" w:firstLine="0"/>
        <w:rPr>
          <w:rFonts w:ascii="Cambria" w:hAnsi="Cambria"/>
          <w:sz w:val="20"/>
          <w:szCs w:val="20"/>
        </w:rPr>
      </w:pPr>
    </w:p>
    <w:p w14:paraId="0AEE7000" w14:textId="34FD3C72" w:rsidR="008A14FB" w:rsidRPr="00D4512E" w:rsidRDefault="008A14FB" w:rsidP="00654894">
      <w:pPr>
        <w:pStyle w:val="ListParagraph"/>
        <w:tabs>
          <w:tab w:val="left" w:pos="400"/>
        </w:tabs>
        <w:ind w:right="127" w:firstLine="0"/>
        <w:rPr>
          <w:rFonts w:ascii="Cambria" w:hAnsi="Cambria"/>
          <w:sz w:val="20"/>
          <w:szCs w:val="20"/>
        </w:rPr>
      </w:pPr>
      <w:r w:rsidRPr="00D4512E">
        <w:rPr>
          <w:rFonts w:ascii="Cambria" w:hAnsi="Cambria"/>
          <w:sz w:val="20"/>
        </w:rPr>
        <w:t>La autorización para utilizar redes de deriva para la captura de pequeños túnidos se limita exclusivamente a los buques artesanales de menos de diez metros de eslora total.</w:t>
      </w:r>
    </w:p>
    <w:p w14:paraId="4D9E96E4" w14:textId="77777777" w:rsidR="00836233" w:rsidRPr="00D4512E" w:rsidRDefault="00836233" w:rsidP="00654894">
      <w:pPr>
        <w:tabs>
          <w:tab w:val="left" w:pos="400"/>
        </w:tabs>
        <w:ind w:right="127"/>
        <w:rPr>
          <w:rFonts w:ascii="Cambria" w:hAnsi="Cambria"/>
          <w:sz w:val="20"/>
          <w:szCs w:val="20"/>
        </w:rPr>
      </w:pPr>
    </w:p>
    <w:p w14:paraId="62812D6F" w14:textId="2D08FF33" w:rsidR="00A23BCF" w:rsidRPr="00D4512E" w:rsidRDefault="00B7537E"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Cuando se autorice el uso de redes de deriva, tal y como se establece en el párrafo 3 anterior, cualquier captura fortuita de especies de ICCAT distintas de las especies de pequeños túnidos autorizadas deberá liberarse o descartarse inmediatamente. Todos estos descartes se descontarán de la cuota de la CPC y se comunicarán a la Secretaría de ICCAT mediante la presentación periódica de los informes estadísticos de captura de Tarea 1 y Tarea 2.</w:t>
      </w:r>
    </w:p>
    <w:p w14:paraId="666DC7C8" w14:textId="77777777" w:rsidR="00836233" w:rsidRPr="00D4512E" w:rsidRDefault="00836233" w:rsidP="00654894">
      <w:pPr>
        <w:pStyle w:val="ListParagraph"/>
        <w:tabs>
          <w:tab w:val="left" w:pos="400"/>
        </w:tabs>
        <w:ind w:right="127" w:firstLine="0"/>
        <w:jc w:val="left"/>
        <w:rPr>
          <w:rFonts w:ascii="Cambria" w:hAnsi="Cambria"/>
          <w:sz w:val="20"/>
          <w:szCs w:val="20"/>
        </w:rPr>
      </w:pPr>
    </w:p>
    <w:p w14:paraId="1E85D60B" w14:textId="213D2CC5" w:rsidR="00A23BCF" w:rsidRPr="00D4512E" w:rsidRDefault="00836233"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 xml:space="preserve">Para evaluar el impacto del uso de redes de deriva en el Mediterráneo, la Secretaría de ICCAT cooperará y se coordinará con la </w:t>
      </w:r>
      <w:proofErr w:type="spellStart"/>
      <w:r w:rsidRPr="00D4512E">
        <w:rPr>
          <w:rFonts w:ascii="Cambria" w:hAnsi="Cambria"/>
          <w:sz w:val="20"/>
        </w:rPr>
        <w:t>CGPM</w:t>
      </w:r>
      <w:proofErr w:type="spellEnd"/>
      <w:r w:rsidRPr="00D4512E">
        <w:rPr>
          <w:rFonts w:ascii="Cambria" w:hAnsi="Cambria"/>
          <w:sz w:val="20"/>
        </w:rPr>
        <w:t xml:space="preserve">, de conformidad con las disposiciones de la Resolución </w:t>
      </w:r>
      <w:proofErr w:type="spellStart"/>
      <w:r w:rsidRPr="00D4512E">
        <w:rPr>
          <w:rFonts w:ascii="Cambria" w:hAnsi="Cambria"/>
          <w:sz w:val="20"/>
        </w:rPr>
        <w:t>CGPM</w:t>
      </w:r>
      <w:proofErr w:type="spellEnd"/>
      <w:r w:rsidRPr="00D4512E">
        <w:rPr>
          <w:rFonts w:ascii="Cambria" w:hAnsi="Cambria"/>
          <w:sz w:val="20"/>
        </w:rPr>
        <w:t>/46/2023/10 relativa a la restricción y prohibición de las redes de deriva en el mar Mediterráneo.</w:t>
      </w:r>
    </w:p>
    <w:p w14:paraId="340E6535" w14:textId="77777777" w:rsidR="00836233" w:rsidRPr="00D4512E" w:rsidRDefault="00836233" w:rsidP="00654894">
      <w:pPr>
        <w:pStyle w:val="ListParagraph"/>
        <w:tabs>
          <w:tab w:val="left" w:pos="400"/>
        </w:tabs>
        <w:ind w:right="127" w:firstLine="0"/>
        <w:jc w:val="left"/>
        <w:rPr>
          <w:rFonts w:ascii="Cambria" w:hAnsi="Cambria"/>
          <w:sz w:val="20"/>
          <w:szCs w:val="20"/>
        </w:rPr>
      </w:pPr>
    </w:p>
    <w:p w14:paraId="031F51CB" w14:textId="1A48C428" w:rsidR="00A23BCF" w:rsidRPr="00D4512E" w:rsidRDefault="00A57C6E"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Para garantizar la aplicabilidad y verificabilidad de la prohibición del uso de redes de deriva para especies de grandes pelágicos en las pesquerías de ICCAT, las CPC no expedirán ninguna licencia de redes de deriva a los buques que dispongan de licencias para pescar especies de ICCAT que no sean las especies de pequeños túnidos autorizadas en el párrafo</w:t>
      </w:r>
      <w:r w:rsidR="00AD4376" w:rsidRPr="00D4512E">
        <w:rPr>
          <w:rFonts w:ascii="Cambria" w:hAnsi="Cambria"/>
          <w:sz w:val="20"/>
        </w:rPr>
        <w:t> 1 d)</w:t>
      </w:r>
      <w:r w:rsidRPr="00D4512E">
        <w:rPr>
          <w:rFonts w:ascii="Cambria" w:hAnsi="Cambria"/>
          <w:sz w:val="20"/>
        </w:rPr>
        <w:t>.</w:t>
      </w:r>
    </w:p>
    <w:p w14:paraId="3BFC6CB9" w14:textId="744F71E5" w:rsidR="00E553BB" w:rsidRPr="00D4512E" w:rsidRDefault="00E553BB" w:rsidP="00654894">
      <w:pPr>
        <w:tabs>
          <w:tab w:val="left" w:pos="400"/>
        </w:tabs>
        <w:ind w:right="127"/>
        <w:rPr>
          <w:rFonts w:ascii="Cambria" w:hAnsi="Cambria"/>
          <w:sz w:val="20"/>
          <w:szCs w:val="20"/>
        </w:rPr>
      </w:pPr>
    </w:p>
    <w:p w14:paraId="78104C74" w14:textId="2B352B43" w:rsidR="00A23BCF" w:rsidRPr="00D4512E" w:rsidRDefault="00A23BCF" w:rsidP="00516263">
      <w:pPr>
        <w:pStyle w:val="ListParagraph"/>
        <w:numPr>
          <w:ilvl w:val="0"/>
          <w:numId w:val="2"/>
        </w:numPr>
        <w:tabs>
          <w:tab w:val="left" w:pos="400"/>
        </w:tabs>
        <w:ind w:right="127" w:hanging="400"/>
        <w:rPr>
          <w:rFonts w:ascii="Cambria" w:hAnsi="Cambria"/>
          <w:sz w:val="20"/>
          <w:szCs w:val="20"/>
        </w:rPr>
      </w:pPr>
      <w:r w:rsidRPr="00D4512E">
        <w:rPr>
          <w:rFonts w:ascii="Cambria" w:hAnsi="Cambria"/>
          <w:sz w:val="20"/>
        </w:rPr>
        <w:t xml:space="preserve">Las disposiciones de esta Recomendación se revisarán y, en caso necesario, se enmendarán siguiendo cualquier asesoramiento científico del SCRS o cualquier resultado derivado de las actividades conjuntas de ICCAT y la </w:t>
      </w:r>
      <w:proofErr w:type="spellStart"/>
      <w:r w:rsidRPr="00D4512E">
        <w:rPr>
          <w:rFonts w:ascii="Cambria" w:hAnsi="Cambria"/>
          <w:sz w:val="20"/>
        </w:rPr>
        <w:t>CGPM</w:t>
      </w:r>
      <w:proofErr w:type="spellEnd"/>
      <w:r w:rsidRPr="00D4512E">
        <w:rPr>
          <w:rFonts w:ascii="Cambria" w:hAnsi="Cambria"/>
          <w:sz w:val="20"/>
        </w:rPr>
        <w:t xml:space="preserve"> a las que se hace referencia en el párrafo 5.</w:t>
      </w:r>
    </w:p>
    <w:p w14:paraId="0B35322C" w14:textId="1412B7C7" w:rsidR="001B4DC6" w:rsidRPr="00D4512E" w:rsidRDefault="001B4DC6" w:rsidP="00654894">
      <w:pPr>
        <w:tabs>
          <w:tab w:val="left" w:pos="400"/>
        </w:tabs>
        <w:ind w:left="100" w:right="127"/>
        <w:rPr>
          <w:rFonts w:ascii="Cambria" w:hAnsi="Cambria"/>
          <w:sz w:val="20"/>
          <w:szCs w:val="20"/>
        </w:rPr>
      </w:pPr>
    </w:p>
    <w:p w14:paraId="188DF38C" w14:textId="77777777" w:rsidR="0014774F" w:rsidRPr="00D4512E" w:rsidRDefault="0014774F">
      <w:pPr>
        <w:rPr>
          <w:rFonts w:ascii="Cambria" w:hAnsi="Cambria"/>
          <w:b/>
          <w:sz w:val="20"/>
        </w:rPr>
      </w:pPr>
      <w:r w:rsidRPr="00D4512E">
        <w:rPr>
          <w:rFonts w:ascii="Cambria" w:hAnsi="Cambria"/>
          <w:b/>
          <w:sz w:val="20"/>
        </w:rPr>
        <w:br w:type="page"/>
      </w:r>
    </w:p>
    <w:p w14:paraId="5D4D6162" w14:textId="71F3298D" w:rsidR="0014504F" w:rsidRPr="00D4512E" w:rsidRDefault="0032712C" w:rsidP="0032712C">
      <w:pPr>
        <w:tabs>
          <w:tab w:val="left" w:pos="400"/>
        </w:tabs>
        <w:spacing w:line="247" w:lineRule="auto"/>
        <w:ind w:left="100" w:right="127"/>
        <w:jc w:val="right"/>
        <w:rPr>
          <w:rFonts w:ascii="Cambria" w:hAnsi="Cambria"/>
          <w:b/>
          <w:bCs/>
          <w:sz w:val="20"/>
          <w:szCs w:val="20"/>
        </w:rPr>
      </w:pPr>
      <w:r w:rsidRPr="00D4512E">
        <w:rPr>
          <w:rFonts w:ascii="Cambria" w:hAnsi="Cambria"/>
          <w:b/>
          <w:sz w:val="20"/>
        </w:rPr>
        <w:t>Anexo 1</w:t>
      </w:r>
    </w:p>
    <w:p w14:paraId="37C6FF08" w14:textId="77777777" w:rsidR="0032712C" w:rsidRPr="00D4512E" w:rsidRDefault="0032712C" w:rsidP="0032712C">
      <w:pPr>
        <w:tabs>
          <w:tab w:val="left" w:pos="400"/>
        </w:tabs>
        <w:spacing w:line="247" w:lineRule="auto"/>
        <w:ind w:left="100" w:right="127"/>
        <w:jc w:val="right"/>
        <w:rPr>
          <w:rFonts w:ascii="Cambria" w:hAnsi="Cambria"/>
          <w:sz w:val="20"/>
          <w:szCs w:val="20"/>
        </w:rPr>
      </w:pPr>
    </w:p>
    <w:p w14:paraId="52F73CD2" w14:textId="77777777" w:rsidR="0032712C" w:rsidRPr="00D4512E" w:rsidRDefault="0032712C" w:rsidP="00236E05">
      <w:pPr>
        <w:tabs>
          <w:tab w:val="left" w:pos="400"/>
        </w:tabs>
        <w:ind w:left="100" w:right="125"/>
        <w:rPr>
          <w:rFonts w:ascii="Cambria" w:hAnsi="Cambria"/>
          <w:sz w:val="20"/>
          <w:szCs w:val="20"/>
        </w:rPr>
      </w:pPr>
    </w:p>
    <w:p w14:paraId="762279A4" w14:textId="31C98654" w:rsidR="0032712C" w:rsidRPr="00D4512E" w:rsidRDefault="0032712C" w:rsidP="00236E05">
      <w:pPr>
        <w:tabs>
          <w:tab w:val="left" w:pos="400"/>
        </w:tabs>
        <w:ind w:right="125"/>
        <w:jc w:val="center"/>
        <w:rPr>
          <w:rFonts w:ascii="Cambria" w:hAnsi="Cambria"/>
          <w:b/>
          <w:bCs/>
          <w:w w:val="105"/>
          <w:sz w:val="20"/>
          <w:szCs w:val="20"/>
        </w:rPr>
      </w:pPr>
      <w:r w:rsidRPr="00D4512E">
        <w:rPr>
          <w:rFonts w:ascii="Cambria" w:hAnsi="Cambria"/>
          <w:b/>
          <w:sz w:val="20"/>
        </w:rPr>
        <w:t>Lista de especies de pequeños túnidos de ICCAT</w:t>
      </w:r>
    </w:p>
    <w:p w14:paraId="7DC71ECE" w14:textId="77777777" w:rsidR="00336684" w:rsidRPr="00D4512E" w:rsidRDefault="00336684" w:rsidP="00236E05">
      <w:pPr>
        <w:tabs>
          <w:tab w:val="left" w:pos="400"/>
        </w:tabs>
        <w:ind w:right="125"/>
        <w:rPr>
          <w:rFonts w:ascii="Cambria" w:hAnsi="Cambria"/>
          <w:w w:val="105"/>
          <w:sz w:val="20"/>
          <w:szCs w:val="20"/>
        </w:rPr>
      </w:pPr>
    </w:p>
    <w:p w14:paraId="6F92280D" w14:textId="4DB491CE"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BLF</w:t>
      </w:r>
      <w:proofErr w:type="spellEnd"/>
      <w:r w:rsidRPr="00D4512E">
        <w:rPr>
          <w:rFonts w:ascii="Cambria" w:hAnsi="Cambria"/>
          <w:sz w:val="20"/>
        </w:rPr>
        <w:t xml:space="preserve"> </w:t>
      </w:r>
      <w:r w:rsidRPr="00D4512E">
        <w:rPr>
          <w:rFonts w:ascii="Cambria" w:hAnsi="Cambria"/>
          <w:sz w:val="20"/>
        </w:rPr>
        <w:tab/>
        <w:t>Atún aleta negra (</w:t>
      </w:r>
      <w:proofErr w:type="spellStart"/>
      <w:r w:rsidRPr="00D4512E">
        <w:rPr>
          <w:rFonts w:ascii="Cambria" w:hAnsi="Cambria"/>
          <w:i/>
          <w:sz w:val="20"/>
        </w:rPr>
        <w:t>Thunnus</w:t>
      </w:r>
      <w:proofErr w:type="spellEnd"/>
      <w:r w:rsidRPr="00D4512E">
        <w:rPr>
          <w:rFonts w:ascii="Cambria" w:hAnsi="Cambria"/>
          <w:i/>
          <w:sz w:val="20"/>
        </w:rPr>
        <w:t xml:space="preserve"> </w:t>
      </w:r>
      <w:proofErr w:type="spellStart"/>
      <w:r w:rsidRPr="00D4512E">
        <w:rPr>
          <w:rFonts w:ascii="Cambria" w:hAnsi="Cambria"/>
          <w:i/>
          <w:sz w:val="20"/>
        </w:rPr>
        <w:t>atlanticus</w:t>
      </w:r>
      <w:proofErr w:type="spellEnd"/>
      <w:r w:rsidRPr="00D4512E">
        <w:rPr>
          <w:rFonts w:ascii="Cambria" w:hAnsi="Cambria"/>
          <w:sz w:val="20"/>
        </w:rPr>
        <w:t>)</w:t>
      </w:r>
    </w:p>
    <w:p w14:paraId="55176160" w14:textId="46740D65"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BLT</w:t>
      </w:r>
      <w:proofErr w:type="spellEnd"/>
      <w:r w:rsidRPr="00D4512E">
        <w:rPr>
          <w:rFonts w:ascii="Cambria" w:hAnsi="Cambria"/>
          <w:sz w:val="20"/>
        </w:rPr>
        <w:tab/>
        <w:t>Melvera (</w:t>
      </w:r>
      <w:proofErr w:type="spellStart"/>
      <w:r w:rsidRPr="00D4512E">
        <w:rPr>
          <w:rFonts w:ascii="Cambria" w:hAnsi="Cambria"/>
          <w:i/>
          <w:sz w:val="20"/>
        </w:rPr>
        <w:t>Auxis</w:t>
      </w:r>
      <w:proofErr w:type="spellEnd"/>
      <w:r w:rsidRPr="00D4512E">
        <w:rPr>
          <w:rFonts w:ascii="Cambria" w:hAnsi="Cambria"/>
          <w:i/>
          <w:sz w:val="20"/>
        </w:rPr>
        <w:t xml:space="preserve"> </w:t>
      </w:r>
      <w:proofErr w:type="spellStart"/>
      <w:r w:rsidRPr="00D4512E">
        <w:rPr>
          <w:rFonts w:ascii="Cambria" w:hAnsi="Cambria"/>
          <w:i/>
          <w:sz w:val="20"/>
        </w:rPr>
        <w:t>rochei</w:t>
      </w:r>
      <w:proofErr w:type="spellEnd"/>
      <w:r w:rsidRPr="00D4512E">
        <w:rPr>
          <w:rFonts w:ascii="Cambria" w:hAnsi="Cambria"/>
          <w:sz w:val="20"/>
        </w:rPr>
        <w:t>)</w:t>
      </w:r>
    </w:p>
    <w:p w14:paraId="7CFF7404" w14:textId="5036B3E0"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BON</w:t>
      </w:r>
      <w:r w:rsidRPr="00D4512E">
        <w:rPr>
          <w:rFonts w:ascii="Cambria" w:hAnsi="Cambria"/>
          <w:sz w:val="20"/>
        </w:rPr>
        <w:tab/>
        <w:t>Bonito (</w:t>
      </w:r>
      <w:r w:rsidRPr="00D4512E">
        <w:rPr>
          <w:rFonts w:ascii="Cambria" w:hAnsi="Cambria"/>
          <w:i/>
          <w:sz w:val="20"/>
        </w:rPr>
        <w:t>Sarda sarda</w:t>
      </w:r>
      <w:r w:rsidRPr="00D4512E">
        <w:rPr>
          <w:rFonts w:ascii="Cambria" w:hAnsi="Cambria"/>
          <w:sz w:val="20"/>
        </w:rPr>
        <w:t>)</w:t>
      </w:r>
    </w:p>
    <w:p w14:paraId="6F12BCFB" w14:textId="4A51E99E"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BOP</w:t>
      </w:r>
      <w:proofErr w:type="spellEnd"/>
      <w:r w:rsidRPr="00D4512E">
        <w:rPr>
          <w:rFonts w:ascii="Cambria" w:hAnsi="Cambria"/>
          <w:sz w:val="20"/>
        </w:rPr>
        <w:t xml:space="preserve"> </w:t>
      </w:r>
      <w:r w:rsidRPr="00D4512E">
        <w:rPr>
          <w:rFonts w:ascii="Cambria" w:hAnsi="Cambria"/>
          <w:sz w:val="20"/>
        </w:rPr>
        <w:tab/>
        <w:t>Tasarte (</w:t>
      </w:r>
      <w:proofErr w:type="spellStart"/>
      <w:r w:rsidRPr="00D4512E">
        <w:rPr>
          <w:rFonts w:ascii="Cambria" w:hAnsi="Cambria"/>
          <w:i/>
          <w:sz w:val="20"/>
        </w:rPr>
        <w:t>Orcynopsis</w:t>
      </w:r>
      <w:proofErr w:type="spellEnd"/>
      <w:r w:rsidRPr="00D4512E">
        <w:rPr>
          <w:rFonts w:ascii="Cambria" w:hAnsi="Cambria"/>
          <w:i/>
          <w:sz w:val="20"/>
        </w:rPr>
        <w:t xml:space="preserve"> unicolor</w:t>
      </w:r>
      <w:r w:rsidRPr="00D4512E">
        <w:rPr>
          <w:rFonts w:ascii="Cambria" w:hAnsi="Cambria"/>
          <w:sz w:val="20"/>
        </w:rPr>
        <w:t xml:space="preserve">) </w:t>
      </w:r>
    </w:p>
    <w:p w14:paraId="3CE8C904" w14:textId="0BD147D2"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BRS</w:t>
      </w:r>
      <w:proofErr w:type="spellEnd"/>
      <w:r w:rsidRPr="00D4512E">
        <w:rPr>
          <w:rFonts w:ascii="Cambria" w:hAnsi="Cambria"/>
          <w:sz w:val="20"/>
        </w:rPr>
        <w:t xml:space="preserve"> </w:t>
      </w:r>
      <w:r w:rsidRPr="00D4512E">
        <w:rPr>
          <w:rFonts w:ascii="Cambria" w:hAnsi="Cambria"/>
          <w:sz w:val="20"/>
        </w:rPr>
        <w:tab/>
        <w:t>Serra (</w:t>
      </w:r>
      <w:proofErr w:type="spellStart"/>
      <w:r w:rsidRPr="00D4512E">
        <w:rPr>
          <w:rFonts w:ascii="Cambria" w:hAnsi="Cambria"/>
          <w:i/>
          <w:sz w:val="20"/>
        </w:rPr>
        <w:t>Scomberomorus</w:t>
      </w:r>
      <w:proofErr w:type="spellEnd"/>
      <w:r w:rsidRPr="00D4512E">
        <w:rPr>
          <w:rFonts w:ascii="Cambria" w:hAnsi="Cambria"/>
          <w:i/>
          <w:sz w:val="20"/>
        </w:rPr>
        <w:t xml:space="preserve"> </w:t>
      </w:r>
      <w:proofErr w:type="spellStart"/>
      <w:r w:rsidRPr="00D4512E">
        <w:rPr>
          <w:rFonts w:ascii="Cambria" w:hAnsi="Cambria"/>
          <w:i/>
          <w:sz w:val="20"/>
        </w:rPr>
        <w:t>brasiliensis</w:t>
      </w:r>
      <w:proofErr w:type="spellEnd"/>
      <w:r w:rsidRPr="00D4512E">
        <w:rPr>
          <w:rFonts w:ascii="Cambria" w:hAnsi="Cambria"/>
          <w:sz w:val="20"/>
        </w:rPr>
        <w:t>)</w:t>
      </w:r>
    </w:p>
    <w:p w14:paraId="49748495" w14:textId="4BC37E52"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 xml:space="preserve">CER </w:t>
      </w:r>
      <w:r w:rsidRPr="00D4512E">
        <w:rPr>
          <w:rFonts w:ascii="Cambria" w:hAnsi="Cambria"/>
          <w:sz w:val="20"/>
        </w:rPr>
        <w:tab/>
        <w:t xml:space="preserve">Carite </w:t>
      </w:r>
      <w:proofErr w:type="spellStart"/>
      <w:r w:rsidRPr="00D4512E">
        <w:rPr>
          <w:rFonts w:ascii="Cambria" w:hAnsi="Cambria"/>
          <w:sz w:val="20"/>
        </w:rPr>
        <w:t>chinigua</w:t>
      </w:r>
      <w:proofErr w:type="spellEnd"/>
      <w:r w:rsidRPr="00D4512E">
        <w:rPr>
          <w:rFonts w:ascii="Cambria" w:hAnsi="Cambria"/>
          <w:sz w:val="20"/>
        </w:rPr>
        <w:t xml:space="preserve"> (</w:t>
      </w:r>
      <w:proofErr w:type="spellStart"/>
      <w:r w:rsidRPr="00D4512E">
        <w:rPr>
          <w:rFonts w:ascii="Cambria" w:hAnsi="Cambria"/>
          <w:i/>
          <w:sz w:val="20"/>
        </w:rPr>
        <w:t>Scomberomorus</w:t>
      </w:r>
      <w:proofErr w:type="spellEnd"/>
      <w:r w:rsidRPr="00D4512E">
        <w:rPr>
          <w:rFonts w:ascii="Cambria" w:hAnsi="Cambria"/>
          <w:i/>
          <w:sz w:val="20"/>
        </w:rPr>
        <w:t xml:space="preserve"> </w:t>
      </w:r>
      <w:proofErr w:type="spellStart"/>
      <w:r w:rsidRPr="00D4512E">
        <w:rPr>
          <w:rFonts w:ascii="Cambria" w:hAnsi="Cambria"/>
          <w:i/>
          <w:sz w:val="20"/>
        </w:rPr>
        <w:t>regalis</w:t>
      </w:r>
      <w:proofErr w:type="spellEnd"/>
      <w:r w:rsidRPr="00D4512E">
        <w:rPr>
          <w:rFonts w:ascii="Cambria" w:hAnsi="Cambria"/>
          <w:sz w:val="20"/>
        </w:rPr>
        <w:t>)</w:t>
      </w:r>
    </w:p>
    <w:p w14:paraId="160F11B6" w14:textId="05680A8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r w:rsidRPr="00D4512E">
        <w:rPr>
          <w:rFonts w:ascii="Cambria" w:hAnsi="Cambria"/>
          <w:sz w:val="20"/>
        </w:rPr>
        <w:t>COM</w:t>
      </w:r>
      <w:r w:rsidRPr="00D4512E">
        <w:rPr>
          <w:rFonts w:ascii="Cambria" w:hAnsi="Cambria"/>
          <w:sz w:val="20"/>
        </w:rPr>
        <w:tab/>
        <w:t xml:space="preserve">Carite estriado </w:t>
      </w:r>
      <w:proofErr w:type="spellStart"/>
      <w:r w:rsidRPr="00D4512E">
        <w:rPr>
          <w:rFonts w:ascii="Cambria" w:hAnsi="Cambria"/>
          <w:sz w:val="20"/>
        </w:rPr>
        <w:t>indopacífico</w:t>
      </w:r>
      <w:proofErr w:type="spellEnd"/>
      <w:r w:rsidRPr="00D4512E">
        <w:rPr>
          <w:rFonts w:ascii="Cambria" w:hAnsi="Cambria"/>
          <w:sz w:val="20"/>
        </w:rPr>
        <w:t xml:space="preserve"> (</w:t>
      </w:r>
      <w:proofErr w:type="spellStart"/>
      <w:r w:rsidRPr="00D4512E">
        <w:rPr>
          <w:rFonts w:ascii="Cambria" w:hAnsi="Cambria"/>
          <w:i/>
          <w:sz w:val="20"/>
        </w:rPr>
        <w:t>Scomberomorus</w:t>
      </w:r>
      <w:proofErr w:type="spellEnd"/>
      <w:r w:rsidRPr="00D4512E">
        <w:rPr>
          <w:rFonts w:ascii="Cambria" w:hAnsi="Cambria"/>
          <w:i/>
          <w:sz w:val="20"/>
        </w:rPr>
        <w:t xml:space="preserve"> </w:t>
      </w:r>
      <w:proofErr w:type="spellStart"/>
      <w:r w:rsidR="00D4512E" w:rsidRPr="00D4512E">
        <w:rPr>
          <w:rFonts w:ascii="Cambria" w:hAnsi="Cambria"/>
          <w:i/>
          <w:iCs/>
          <w:sz w:val="20"/>
          <w:szCs w:val="20"/>
        </w:rPr>
        <w:t>commerson</w:t>
      </w:r>
      <w:proofErr w:type="spellEnd"/>
      <w:r w:rsidRPr="00D4512E">
        <w:rPr>
          <w:rFonts w:ascii="Cambria" w:hAnsi="Cambria"/>
          <w:i/>
          <w:sz w:val="20"/>
        </w:rPr>
        <w:t>)</w:t>
      </w:r>
    </w:p>
    <w:p w14:paraId="5B2734D4" w14:textId="46766CE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FRI</w:t>
      </w:r>
      <w:proofErr w:type="spellEnd"/>
      <w:r w:rsidRPr="00D4512E">
        <w:rPr>
          <w:rFonts w:ascii="Cambria" w:hAnsi="Cambria"/>
          <w:sz w:val="20"/>
        </w:rPr>
        <w:t xml:space="preserve"> </w:t>
      </w:r>
      <w:r w:rsidRPr="00D4512E">
        <w:rPr>
          <w:rFonts w:ascii="Cambria" w:hAnsi="Cambria"/>
          <w:sz w:val="20"/>
        </w:rPr>
        <w:tab/>
        <w:t>Melva (</w:t>
      </w:r>
      <w:proofErr w:type="spellStart"/>
      <w:r w:rsidRPr="00D4512E">
        <w:rPr>
          <w:rFonts w:ascii="Cambria" w:hAnsi="Cambria"/>
          <w:i/>
          <w:sz w:val="20"/>
        </w:rPr>
        <w:t>Auxis</w:t>
      </w:r>
      <w:proofErr w:type="spellEnd"/>
      <w:r w:rsidRPr="00D4512E">
        <w:rPr>
          <w:rFonts w:ascii="Cambria" w:hAnsi="Cambria"/>
          <w:i/>
          <w:sz w:val="20"/>
        </w:rPr>
        <w:t xml:space="preserve"> </w:t>
      </w:r>
      <w:proofErr w:type="spellStart"/>
      <w:r w:rsidRPr="00D4512E">
        <w:rPr>
          <w:rFonts w:ascii="Cambria" w:hAnsi="Cambria"/>
          <w:i/>
          <w:sz w:val="20"/>
        </w:rPr>
        <w:t>thazard</w:t>
      </w:r>
      <w:proofErr w:type="spellEnd"/>
      <w:r w:rsidRPr="00D4512E">
        <w:rPr>
          <w:rFonts w:ascii="Cambria" w:hAnsi="Cambria"/>
          <w:sz w:val="20"/>
        </w:rPr>
        <w:t>)</w:t>
      </w:r>
    </w:p>
    <w:p w14:paraId="0A228E53" w14:textId="49AC5BC0"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KGM</w:t>
      </w:r>
      <w:proofErr w:type="spellEnd"/>
      <w:r w:rsidRPr="00D4512E">
        <w:rPr>
          <w:rFonts w:ascii="Cambria" w:hAnsi="Cambria"/>
          <w:sz w:val="20"/>
        </w:rPr>
        <w:tab/>
        <w:t>Carite lucio (</w:t>
      </w:r>
      <w:proofErr w:type="spellStart"/>
      <w:r w:rsidRPr="00D4512E">
        <w:rPr>
          <w:rFonts w:ascii="Cambria" w:hAnsi="Cambria"/>
          <w:i/>
          <w:sz w:val="20"/>
        </w:rPr>
        <w:t>Scomberomorus</w:t>
      </w:r>
      <w:proofErr w:type="spellEnd"/>
      <w:r w:rsidRPr="00D4512E">
        <w:rPr>
          <w:rFonts w:ascii="Cambria" w:hAnsi="Cambria"/>
          <w:i/>
          <w:sz w:val="20"/>
        </w:rPr>
        <w:t xml:space="preserve"> </w:t>
      </w:r>
      <w:proofErr w:type="spellStart"/>
      <w:r w:rsidRPr="00D4512E">
        <w:rPr>
          <w:rFonts w:ascii="Cambria" w:hAnsi="Cambria"/>
          <w:i/>
          <w:sz w:val="20"/>
        </w:rPr>
        <w:t>cavalla</w:t>
      </w:r>
      <w:proofErr w:type="spellEnd"/>
      <w:r w:rsidRPr="00D4512E">
        <w:rPr>
          <w:rFonts w:ascii="Cambria" w:hAnsi="Cambria"/>
          <w:sz w:val="20"/>
        </w:rPr>
        <w:t>)</w:t>
      </w:r>
    </w:p>
    <w:p w14:paraId="6ABAA971" w14:textId="24DCF75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LTA</w:t>
      </w:r>
      <w:proofErr w:type="spellEnd"/>
      <w:r w:rsidRPr="00D4512E">
        <w:rPr>
          <w:rFonts w:ascii="Cambria" w:hAnsi="Cambria"/>
          <w:sz w:val="20"/>
        </w:rPr>
        <w:tab/>
        <w:t>Bacoreta (</w:t>
      </w:r>
      <w:proofErr w:type="spellStart"/>
      <w:r w:rsidRPr="00D4512E">
        <w:rPr>
          <w:rFonts w:ascii="Cambria" w:hAnsi="Cambria"/>
          <w:i/>
          <w:sz w:val="20"/>
        </w:rPr>
        <w:t>Euthynnus</w:t>
      </w:r>
      <w:proofErr w:type="spellEnd"/>
      <w:r w:rsidRPr="00D4512E">
        <w:rPr>
          <w:rFonts w:ascii="Cambria" w:hAnsi="Cambria"/>
          <w:i/>
          <w:sz w:val="20"/>
        </w:rPr>
        <w:t xml:space="preserve"> </w:t>
      </w:r>
      <w:proofErr w:type="spellStart"/>
      <w:r w:rsidRPr="00D4512E">
        <w:rPr>
          <w:rFonts w:ascii="Cambria" w:hAnsi="Cambria"/>
          <w:i/>
          <w:sz w:val="20"/>
        </w:rPr>
        <w:t>alletteratus</w:t>
      </w:r>
      <w:proofErr w:type="spellEnd"/>
      <w:r w:rsidRPr="00D4512E">
        <w:rPr>
          <w:rFonts w:ascii="Cambria" w:hAnsi="Cambria"/>
          <w:sz w:val="20"/>
        </w:rPr>
        <w:t>)</w:t>
      </w:r>
    </w:p>
    <w:p w14:paraId="16034319" w14:textId="151C2764"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MAW</w:t>
      </w:r>
      <w:proofErr w:type="spellEnd"/>
      <w:r w:rsidRPr="00D4512E">
        <w:rPr>
          <w:rFonts w:ascii="Cambria" w:hAnsi="Cambria"/>
          <w:sz w:val="20"/>
        </w:rPr>
        <w:t xml:space="preserve"> </w:t>
      </w:r>
      <w:r w:rsidRPr="00D4512E">
        <w:rPr>
          <w:rFonts w:ascii="Cambria" w:hAnsi="Cambria"/>
          <w:sz w:val="20"/>
        </w:rPr>
        <w:tab/>
        <w:t>Carite lusitánico (</w:t>
      </w:r>
      <w:proofErr w:type="spellStart"/>
      <w:r w:rsidRPr="00D4512E">
        <w:rPr>
          <w:rFonts w:ascii="Cambria" w:hAnsi="Cambria"/>
          <w:i/>
          <w:sz w:val="20"/>
        </w:rPr>
        <w:t>Scomberomorus</w:t>
      </w:r>
      <w:proofErr w:type="spellEnd"/>
      <w:r w:rsidRPr="00D4512E">
        <w:rPr>
          <w:rFonts w:ascii="Cambria" w:hAnsi="Cambria"/>
          <w:i/>
          <w:sz w:val="20"/>
        </w:rPr>
        <w:t xml:space="preserve"> </w:t>
      </w:r>
      <w:proofErr w:type="spellStart"/>
      <w:r w:rsidRPr="00D4512E">
        <w:rPr>
          <w:rFonts w:ascii="Cambria" w:hAnsi="Cambria"/>
          <w:i/>
          <w:sz w:val="20"/>
        </w:rPr>
        <w:t>tritor</w:t>
      </w:r>
      <w:proofErr w:type="spellEnd"/>
      <w:r w:rsidRPr="00D4512E">
        <w:rPr>
          <w:rFonts w:ascii="Cambria" w:hAnsi="Cambria"/>
          <w:sz w:val="20"/>
        </w:rPr>
        <w:t>)</w:t>
      </w:r>
    </w:p>
    <w:p w14:paraId="1631D0E7" w14:textId="06EB8D90" w:rsidR="00336684" w:rsidRPr="00D4512E" w:rsidRDefault="00336684" w:rsidP="009C29F5">
      <w:pPr>
        <w:pStyle w:val="ListParagraph"/>
        <w:numPr>
          <w:ilvl w:val="0"/>
          <w:numId w:val="5"/>
        </w:numPr>
        <w:tabs>
          <w:tab w:val="left" w:pos="400"/>
        </w:tabs>
        <w:ind w:left="851" w:right="125" w:hanging="425"/>
        <w:rPr>
          <w:rFonts w:ascii="Cambria" w:hAnsi="Cambria"/>
          <w:sz w:val="20"/>
          <w:szCs w:val="20"/>
          <w:lang w:val="en-US"/>
        </w:rPr>
      </w:pPr>
      <w:proofErr w:type="spellStart"/>
      <w:r w:rsidRPr="00D4512E">
        <w:rPr>
          <w:rFonts w:ascii="Cambria" w:hAnsi="Cambria"/>
          <w:sz w:val="20"/>
          <w:lang w:val="en-US"/>
        </w:rPr>
        <w:t>SSM</w:t>
      </w:r>
      <w:proofErr w:type="spellEnd"/>
      <w:r w:rsidRPr="00D4512E">
        <w:rPr>
          <w:rFonts w:ascii="Cambria" w:hAnsi="Cambria"/>
          <w:sz w:val="20"/>
          <w:lang w:val="en-US"/>
        </w:rPr>
        <w:t xml:space="preserve"> </w:t>
      </w:r>
      <w:r w:rsidRPr="00D4512E">
        <w:rPr>
          <w:rFonts w:ascii="Cambria" w:hAnsi="Cambria"/>
          <w:sz w:val="20"/>
          <w:lang w:val="en-US"/>
        </w:rPr>
        <w:tab/>
        <w:t xml:space="preserve">Carite </w:t>
      </w:r>
      <w:proofErr w:type="spellStart"/>
      <w:r w:rsidRPr="00D4512E">
        <w:rPr>
          <w:rFonts w:ascii="Cambria" w:hAnsi="Cambria"/>
          <w:sz w:val="20"/>
          <w:lang w:val="en-US"/>
        </w:rPr>
        <w:t>atlántico</w:t>
      </w:r>
      <w:proofErr w:type="spellEnd"/>
      <w:r w:rsidRPr="00D4512E">
        <w:rPr>
          <w:rFonts w:ascii="Cambria" w:hAnsi="Cambria"/>
          <w:sz w:val="20"/>
          <w:lang w:val="en-US"/>
        </w:rPr>
        <w:t xml:space="preserve"> (</w:t>
      </w:r>
      <w:r w:rsidRPr="00D4512E">
        <w:rPr>
          <w:rFonts w:ascii="Cambria" w:hAnsi="Cambria"/>
          <w:i/>
          <w:sz w:val="20"/>
          <w:lang w:val="en-US"/>
        </w:rPr>
        <w:t>Scomberomorus maculatus</w:t>
      </w:r>
      <w:r w:rsidRPr="00D4512E">
        <w:rPr>
          <w:rFonts w:ascii="Cambria" w:hAnsi="Cambria"/>
          <w:sz w:val="20"/>
          <w:lang w:val="en-US"/>
        </w:rPr>
        <w:t>)</w:t>
      </w:r>
    </w:p>
    <w:p w14:paraId="22FF1216" w14:textId="13D2327A" w:rsidR="00336684" w:rsidRPr="00D4512E" w:rsidRDefault="00336684" w:rsidP="009C29F5">
      <w:pPr>
        <w:pStyle w:val="ListParagraph"/>
        <w:numPr>
          <w:ilvl w:val="0"/>
          <w:numId w:val="5"/>
        </w:numPr>
        <w:tabs>
          <w:tab w:val="left" w:pos="400"/>
        </w:tabs>
        <w:ind w:left="851" w:right="125" w:hanging="425"/>
        <w:rPr>
          <w:rFonts w:ascii="Cambria" w:hAnsi="Cambria"/>
          <w:sz w:val="20"/>
          <w:szCs w:val="20"/>
        </w:rPr>
      </w:pPr>
      <w:proofErr w:type="spellStart"/>
      <w:r w:rsidRPr="00D4512E">
        <w:rPr>
          <w:rFonts w:ascii="Cambria" w:hAnsi="Cambria"/>
          <w:sz w:val="20"/>
        </w:rPr>
        <w:t>WAH</w:t>
      </w:r>
      <w:proofErr w:type="spellEnd"/>
      <w:r w:rsidRPr="00D4512E">
        <w:rPr>
          <w:rFonts w:ascii="Cambria" w:hAnsi="Cambria"/>
          <w:sz w:val="20"/>
        </w:rPr>
        <w:tab/>
        <w:t>Peto (</w:t>
      </w:r>
      <w:proofErr w:type="spellStart"/>
      <w:r w:rsidRPr="00D4512E">
        <w:rPr>
          <w:rFonts w:ascii="Cambria" w:hAnsi="Cambria"/>
          <w:i/>
          <w:sz w:val="20"/>
        </w:rPr>
        <w:t>Acanthocybium</w:t>
      </w:r>
      <w:proofErr w:type="spellEnd"/>
      <w:r w:rsidRPr="00D4512E">
        <w:rPr>
          <w:rFonts w:ascii="Cambria" w:hAnsi="Cambria"/>
          <w:i/>
          <w:sz w:val="20"/>
        </w:rPr>
        <w:t xml:space="preserve"> </w:t>
      </w:r>
      <w:proofErr w:type="spellStart"/>
      <w:r w:rsidRPr="00D4512E">
        <w:rPr>
          <w:rFonts w:ascii="Cambria" w:hAnsi="Cambria"/>
          <w:i/>
          <w:sz w:val="20"/>
        </w:rPr>
        <w:t>solandri</w:t>
      </w:r>
      <w:proofErr w:type="spellEnd"/>
      <w:r w:rsidRPr="00D4512E">
        <w:rPr>
          <w:rFonts w:ascii="Cambria" w:hAnsi="Cambria"/>
          <w:sz w:val="20"/>
        </w:rPr>
        <w:t>)</w:t>
      </w:r>
    </w:p>
    <w:p w14:paraId="03F35482" w14:textId="77777777" w:rsidR="0014504F" w:rsidRPr="00D974D4" w:rsidRDefault="0014504F" w:rsidP="00236E05">
      <w:pPr>
        <w:tabs>
          <w:tab w:val="left" w:pos="400"/>
        </w:tabs>
        <w:ind w:left="100" w:right="125"/>
        <w:rPr>
          <w:rFonts w:ascii="Cambria" w:hAnsi="Cambria"/>
          <w:sz w:val="20"/>
          <w:szCs w:val="20"/>
        </w:rPr>
      </w:pPr>
    </w:p>
    <w:p w14:paraId="1EFABE7D" w14:textId="77777777" w:rsidR="0014504F" w:rsidRPr="00D974D4" w:rsidRDefault="0014504F" w:rsidP="00236E05">
      <w:pPr>
        <w:tabs>
          <w:tab w:val="left" w:pos="400"/>
        </w:tabs>
        <w:ind w:left="100" w:right="125"/>
        <w:rPr>
          <w:rFonts w:ascii="Cambria" w:hAnsi="Cambria"/>
          <w:sz w:val="20"/>
          <w:szCs w:val="20"/>
        </w:rPr>
      </w:pPr>
    </w:p>
    <w:p w14:paraId="5DBF3A80" w14:textId="77777777" w:rsidR="0032712C" w:rsidRPr="00D974D4" w:rsidRDefault="0032712C" w:rsidP="00236E05">
      <w:pPr>
        <w:tabs>
          <w:tab w:val="left" w:pos="400"/>
        </w:tabs>
        <w:ind w:left="100" w:right="125"/>
        <w:rPr>
          <w:rFonts w:ascii="Cambria" w:hAnsi="Cambria"/>
          <w:sz w:val="20"/>
          <w:szCs w:val="20"/>
        </w:rPr>
      </w:pPr>
    </w:p>
    <w:p w14:paraId="21ED4E00" w14:textId="77777777" w:rsidR="0032712C" w:rsidRPr="00D974D4" w:rsidRDefault="0032712C" w:rsidP="00236E05">
      <w:pPr>
        <w:tabs>
          <w:tab w:val="left" w:pos="400"/>
        </w:tabs>
        <w:ind w:left="100" w:right="125"/>
        <w:rPr>
          <w:rFonts w:ascii="Cambria" w:hAnsi="Cambria"/>
          <w:sz w:val="20"/>
          <w:szCs w:val="20"/>
        </w:rPr>
      </w:pPr>
    </w:p>
    <w:p w14:paraId="68C93FCD" w14:textId="77777777" w:rsidR="0032712C" w:rsidRPr="00D974D4" w:rsidRDefault="0032712C" w:rsidP="00236E05">
      <w:pPr>
        <w:tabs>
          <w:tab w:val="left" w:pos="400"/>
        </w:tabs>
        <w:ind w:left="100" w:right="125"/>
        <w:rPr>
          <w:rFonts w:ascii="Cambria" w:hAnsi="Cambria"/>
          <w:sz w:val="20"/>
          <w:szCs w:val="20"/>
        </w:rPr>
      </w:pPr>
    </w:p>
    <w:p w14:paraId="68E4CB3C" w14:textId="77777777" w:rsidR="0032712C" w:rsidRPr="00C24E17" w:rsidRDefault="0032712C" w:rsidP="00236E05">
      <w:pPr>
        <w:tabs>
          <w:tab w:val="left" w:pos="400"/>
        </w:tabs>
        <w:ind w:left="100" w:right="125"/>
        <w:rPr>
          <w:sz w:val="19"/>
        </w:rPr>
      </w:pPr>
    </w:p>
    <w:sectPr w:rsidR="0032712C" w:rsidRPr="00C24E17"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F219" w14:textId="77777777" w:rsidR="00CD1367" w:rsidRDefault="00CD1367">
      <w:r>
        <w:separator/>
      </w:r>
    </w:p>
  </w:endnote>
  <w:endnote w:type="continuationSeparator" w:id="0">
    <w:p w14:paraId="17239B20" w14:textId="77777777" w:rsidR="00CD1367" w:rsidRDefault="00C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D4512E"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CD1539">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BB41" w14:textId="77777777" w:rsidR="00CD1367" w:rsidRDefault="00CD1367">
      <w:r>
        <w:separator/>
      </w:r>
    </w:p>
  </w:footnote>
  <w:footnote w:type="continuationSeparator" w:id="0">
    <w:p w14:paraId="6D0A6551" w14:textId="77777777" w:rsidR="00CD1367" w:rsidRDefault="00CD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76353D2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PWG_421/2025</w:t>
    </w:r>
  </w:p>
  <w:p w14:paraId="14B978F2" w14:textId="7695D352"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D4512E">
      <w:rPr>
        <w:rFonts w:ascii="Cambria" w:hAnsi="Cambria"/>
        <w:b/>
        <w:noProof/>
        <w:sz w:val="16"/>
      </w:rPr>
      <w:t>21/10/2025 11:52</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28C46BEC"/>
    <w:lvl w:ilvl="0" w:tplc="DE34F436">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5"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5"/>
  </w:num>
  <w:num w:numId="4" w16cid:durableId="1217010296">
    <w:abstractNumId w:val="2"/>
  </w:num>
  <w:num w:numId="5" w16cid:durableId="1364936511">
    <w:abstractNumId w:val="1"/>
  </w:num>
  <w:num w:numId="6" w16cid:durableId="32436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84EFE"/>
    <w:rsid w:val="0008521C"/>
    <w:rsid w:val="00097734"/>
    <w:rsid w:val="000A601F"/>
    <w:rsid w:val="000C73E4"/>
    <w:rsid w:val="000D7FF2"/>
    <w:rsid w:val="001109F2"/>
    <w:rsid w:val="00127FE5"/>
    <w:rsid w:val="00130C4D"/>
    <w:rsid w:val="00136256"/>
    <w:rsid w:val="0014504F"/>
    <w:rsid w:val="001477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4722"/>
    <w:rsid w:val="003E0471"/>
    <w:rsid w:val="004851F9"/>
    <w:rsid w:val="004A0887"/>
    <w:rsid w:val="004C7B7F"/>
    <w:rsid w:val="004C7C5E"/>
    <w:rsid w:val="004D0984"/>
    <w:rsid w:val="00511588"/>
    <w:rsid w:val="00516263"/>
    <w:rsid w:val="005202C4"/>
    <w:rsid w:val="00532787"/>
    <w:rsid w:val="0053798D"/>
    <w:rsid w:val="00565099"/>
    <w:rsid w:val="00580847"/>
    <w:rsid w:val="00584175"/>
    <w:rsid w:val="00587420"/>
    <w:rsid w:val="00590766"/>
    <w:rsid w:val="005A2856"/>
    <w:rsid w:val="005C3057"/>
    <w:rsid w:val="005C63DB"/>
    <w:rsid w:val="005F0D49"/>
    <w:rsid w:val="00616EDA"/>
    <w:rsid w:val="00631F0B"/>
    <w:rsid w:val="00632DEC"/>
    <w:rsid w:val="00654894"/>
    <w:rsid w:val="006648C7"/>
    <w:rsid w:val="006671EB"/>
    <w:rsid w:val="0068375B"/>
    <w:rsid w:val="006C5A35"/>
    <w:rsid w:val="006D7270"/>
    <w:rsid w:val="006F6570"/>
    <w:rsid w:val="00713E4A"/>
    <w:rsid w:val="00717F78"/>
    <w:rsid w:val="00734928"/>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A14FB"/>
    <w:rsid w:val="008B1876"/>
    <w:rsid w:val="008B44D7"/>
    <w:rsid w:val="008B5A09"/>
    <w:rsid w:val="008B7D95"/>
    <w:rsid w:val="008D2B3E"/>
    <w:rsid w:val="008D70FA"/>
    <w:rsid w:val="008D773C"/>
    <w:rsid w:val="008F4249"/>
    <w:rsid w:val="008F5927"/>
    <w:rsid w:val="009005B8"/>
    <w:rsid w:val="00922AC2"/>
    <w:rsid w:val="00923C21"/>
    <w:rsid w:val="00931EE3"/>
    <w:rsid w:val="009347EE"/>
    <w:rsid w:val="00953DAE"/>
    <w:rsid w:val="009B1D8F"/>
    <w:rsid w:val="009C29F5"/>
    <w:rsid w:val="009D5958"/>
    <w:rsid w:val="009E7F12"/>
    <w:rsid w:val="00A04DBD"/>
    <w:rsid w:val="00A12060"/>
    <w:rsid w:val="00A20D08"/>
    <w:rsid w:val="00A23BCF"/>
    <w:rsid w:val="00A25292"/>
    <w:rsid w:val="00A36D0C"/>
    <w:rsid w:val="00A4341A"/>
    <w:rsid w:val="00A57C6E"/>
    <w:rsid w:val="00A71341"/>
    <w:rsid w:val="00A71E71"/>
    <w:rsid w:val="00A764AA"/>
    <w:rsid w:val="00A82598"/>
    <w:rsid w:val="00A86C9A"/>
    <w:rsid w:val="00AB778A"/>
    <w:rsid w:val="00AD4376"/>
    <w:rsid w:val="00B26BB5"/>
    <w:rsid w:val="00B337C2"/>
    <w:rsid w:val="00B4107D"/>
    <w:rsid w:val="00B57C8E"/>
    <w:rsid w:val="00B64589"/>
    <w:rsid w:val="00B65B8A"/>
    <w:rsid w:val="00B7537E"/>
    <w:rsid w:val="00B817B0"/>
    <w:rsid w:val="00B919E9"/>
    <w:rsid w:val="00BA587B"/>
    <w:rsid w:val="00BB3392"/>
    <w:rsid w:val="00C24D3B"/>
    <w:rsid w:val="00C24E17"/>
    <w:rsid w:val="00C252A4"/>
    <w:rsid w:val="00C56ED3"/>
    <w:rsid w:val="00C67CE8"/>
    <w:rsid w:val="00C828C2"/>
    <w:rsid w:val="00C934FB"/>
    <w:rsid w:val="00CA4B51"/>
    <w:rsid w:val="00CD1367"/>
    <w:rsid w:val="00CD1539"/>
    <w:rsid w:val="00CF7184"/>
    <w:rsid w:val="00D26A63"/>
    <w:rsid w:val="00D3127F"/>
    <w:rsid w:val="00D4512E"/>
    <w:rsid w:val="00D944CF"/>
    <w:rsid w:val="00D974D4"/>
    <w:rsid w:val="00DA7608"/>
    <w:rsid w:val="00DC4112"/>
    <w:rsid w:val="00DC4F0D"/>
    <w:rsid w:val="00DF2327"/>
    <w:rsid w:val="00E24DDF"/>
    <w:rsid w:val="00E513E7"/>
    <w:rsid w:val="00E553BB"/>
    <w:rsid w:val="00E603D0"/>
    <w:rsid w:val="00E829A8"/>
    <w:rsid w:val="00EB3F09"/>
    <w:rsid w:val="00EE44DD"/>
    <w:rsid w:val="00EF5651"/>
    <w:rsid w:val="00F03D97"/>
    <w:rsid w:val="00F058BF"/>
    <w:rsid w:val="00F11A13"/>
    <w:rsid w:val="00F25D62"/>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E4CD3619-4347-43CB-A9A3-04C3035EB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1681</Words>
  <Characters>9248</Characters>
  <Application>Microsoft Office Word</Application>
  <DocSecurity>0</DocSecurity>
  <Lines>77</Lines>
  <Paragraphs>21</Paragraphs>
  <ScaleCrop>false</ScaleCrop>
  <Company>European Commission</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Author</cp:lastModifiedBy>
  <cp:revision>53</cp:revision>
  <cp:lastPrinted>2025-04-29T07:13:00Z</cp:lastPrinted>
  <dcterms:created xsi:type="dcterms:W3CDTF">2025-09-23T07:37:00Z</dcterms:created>
  <dcterms:modified xsi:type="dcterms:W3CDTF">2025-10-21T09:53:00Z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