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AB778A" w:rsidRDefault="00AB778A" w:rsidP="00AB778A">
      <w:pPr>
        <w:widowControl/>
        <w:autoSpaceDE/>
        <w:autoSpaceDN/>
        <w:jc w:val="center"/>
        <w:rPr>
          <w:rFonts w:ascii="Cambria" w:hAnsi="Cambria"/>
          <w:b/>
          <w:sz w:val="20"/>
          <w:szCs w:val="20"/>
        </w:rPr>
      </w:pPr>
      <w:r>
        <w:rPr>
          <w:rFonts w:ascii="Cambria" w:hAnsi="Cambria"/>
          <w:b/>
          <w:sz w:val="20"/>
        </w:rPr>
        <w:t>Page de garde accompagnant les nouvelles propositions</w:t>
      </w:r>
    </w:p>
    <w:p w14:paraId="63642CBD" w14:textId="77777777" w:rsidR="00AB778A" w:rsidRPr="00AB778A"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69D61176" w:rsidR="00AB778A" w:rsidRPr="00965F73" w:rsidRDefault="00AB778A" w:rsidP="00AB778A">
      <w:pPr>
        <w:widowControl/>
        <w:autoSpaceDE/>
        <w:autoSpaceDN/>
        <w:spacing w:line="234" w:lineRule="exact"/>
        <w:ind w:left="281" w:right="201"/>
        <w:jc w:val="center"/>
        <w:rPr>
          <w:rFonts w:ascii="Cambria" w:eastAsia="Cambria" w:hAnsi="Cambria" w:cs="Cambria"/>
          <w:i/>
          <w:sz w:val="20"/>
          <w:u w:val="single"/>
        </w:rPr>
      </w:pPr>
      <w:bookmarkStart w:id="0" w:name="_30j0zll"/>
      <w:bookmarkStart w:id="1" w:name="_Hlk211851716"/>
      <w:bookmarkEnd w:id="0"/>
      <w:r>
        <w:rPr>
          <w:rFonts w:ascii="Cambria" w:hAnsi="Cambria"/>
          <w:i/>
          <w:sz w:val="20"/>
        </w:rPr>
        <w:t>(Document présenté par l’Union européenne</w:t>
      </w:r>
      <w:r w:rsidR="00965F73">
        <w:rPr>
          <w:rFonts w:ascii="Cambria" w:hAnsi="Cambria"/>
          <w:i/>
          <w:sz w:val="20"/>
        </w:rPr>
        <w:t>,</w:t>
      </w:r>
      <w:r w:rsidR="00965F73" w:rsidRPr="00965F73">
        <w:rPr>
          <w:rFonts w:ascii="Cambria" w:hAnsi="Cambria"/>
          <w:i/>
          <w:sz w:val="20"/>
          <w:u w:val="single"/>
        </w:rPr>
        <w:t xml:space="preserve"> le Maroc et la République de Corée</w:t>
      </w:r>
      <w:r w:rsidRPr="00965F73">
        <w:rPr>
          <w:rFonts w:ascii="Cambria" w:hAnsi="Cambria"/>
          <w:i/>
          <w:sz w:val="20"/>
          <w:u w:val="single"/>
        </w:rPr>
        <w:t>)</w:t>
      </w:r>
    </w:p>
    <w:bookmarkEnd w:id="1"/>
    <w:p w14:paraId="3DFD5012" w14:textId="76A17D9E" w:rsidR="00127FE5" w:rsidRPr="00965F73" w:rsidRDefault="00127FE5" w:rsidP="594A338A">
      <w:pPr>
        <w:pStyle w:val="BodyText"/>
        <w:spacing w:before="1"/>
        <w:rPr>
          <w:b/>
          <w:bCs/>
          <w:sz w:val="22"/>
          <w:szCs w:val="22"/>
          <w:u w:val="single"/>
        </w:rPr>
      </w:pPr>
    </w:p>
    <w:p w14:paraId="4A11D49F" w14:textId="14870FFE" w:rsidR="60A4D66D" w:rsidRPr="0044624F" w:rsidRDefault="60A4D66D" w:rsidP="772F7C49">
      <w:pPr>
        <w:ind w:hanging="10"/>
        <w:jc w:val="both"/>
        <w:rPr>
          <w:rFonts w:asciiTheme="majorHAnsi" w:eastAsia="Cambria" w:hAnsiTheme="majorHAnsi" w:cs="Cambria"/>
          <w:color w:val="EE0000"/>
          <w:sz w:val="20"/>
          <w:szCs w:val="20"/>
        </w:rPr>
      </w:pPr>
      <w:r w:rsidRPr="0044624F">
        <w:rPr>
          <w:rFonts w:asciiTheme="majorHAnsi" w:hAnsiTheme="majorHAnsi"/>
          <w:b/>
          <w:color w:val="000000" w:themeColor="text1"/>
          <w:sz w:val="20"/>
          <w:szCs w:val="20"/>
        </w:rPr>
        <w:t xml:space="preserve">Titre de la proposition de projet de Recommandation/Résolution : </w:t>
      </w:r>
      <w:r w:rsidRPr="0044624F">
        <w:rPr>
          <w:rFonts w:asciiTheme="majorHAnsi" w:hAnsiTheme="majorHAnsi"/>
          <w:color w:val="EE0000"/>
          <w:sz w:val="20"/>
          <w:szCs w:val="20"/>
        </w:rPr>
        <w:t>Projet de Recommandation de l’ICCAT instaurant une interdiction des filets dérivants pour la capture de certaines espèces relevant de l’ICCAT</w:t>
      </w:r>
    </w:p>
    <w:p w14:paraId="70329A2B" w14:textId="04521C72" w:rsidR="772F7C49" w:rsidRPr="0044624F" w:rsidRDefault="772F7C49" w:rsidP="772F7C49">
      <w:pPr>
        <w:ind w:hanging="10"/>
        <w:jc w:val="both"/>
        <w:rPr>
          <w:rFonts w:asciiTheme="majorHAnsi" w:eastAsia="Cambria" w:hAnsiTheme="majorHAnsi" w:cs="Cambria"/>
          <w:color w:val="000000" w:themeColor="text1"/>
          <w:sz w:val="20"/>
          <w:szCs w:val="20"/>
        </w:rPr>
      </w:pPr>
    </w:p>
    <w:p w14:paraId="1A99076B" w14:textId="13BB148F" w:rsidR="0E29B18A" w:rsidRPr="0044624F" w:rsidRDefault="60A4D66D" w:rsidP="772F7C49">
      <w:pPr>
        <w:ind w:hanging="10"/>
        <w:jc w:val="both"/>
        <w:rPr>
          <w:rFonts w:asciiTheme="majorHAnsi" w:eastAsia="Cambria" w:hAnsiTheme="majorHAnsi" w:cs="Cambria"/>
          <w:color w:val="EE0000"/>
          <w:sz w:val="20"/>
          <w:szCs w:val="20"/>
        </w:rPr>
      </w:pPr>
      <w:r w:rsidRPr="0044624F">
        <w:rPr>
          <w:rFonts w:asciiTheme="majorHAnsi" w:hAnsiTheme="majorHAnsi"/>
          <w:b/>
          <w:color w:val="000000" w:themeColor="text1"/>
          <w:sz w:val="20"/>
          <w:szCs w:val="20"/>
        </w:rPr>
        <w:t xml:space="preserve">Titre de la ou des Recommandations ou Résolutions en vigueur traitant des mêmes questions ou de questions connexes : </w:t>
      </w:r>
      <w:r w:rsidRPr="0044624F">
        <w:rPr>
          <w:rFonts w:asciiTheme="majorHAnsi" w:hAnsiTheme="majorHAnsi"/>
          <w:i/>
          <w:iCs/>
          <w:color w:val="EE0000"/>
          <w:sz w:val="20"/>
          <w:szCs w:val="20"/>
        </w:rPr>
        <w:t>Résolution de l’ICCAT concernant la pêche aux grands filets pélagiques dérivants</w:t>
      </w:r>
      <w:r w:rsidRPr="0044624F">
        <w:rPr>
          <w:rFonts w:asciiTheme="majorHAnsi" w:hAnsiTheme="majorHAnsi"/>
          <w:color w:val="EE0000"/>
          <w:sz w:val="20"/>
          <w:szCs w:val="20"/>
        </w:rPr>
        <w:t xml:space="preserve"> (Rés.</w:t>
      </w:r>
      <w:r w:rsidR="0044624F">
        <w:rPr>
          <w:rFonts w:asciiTheme="majorHAnsi" w:hAnsiTheme="majorHAnsi"/>
          <w:color w:val="EE0000"/>
          <w:sz w:val="20"/>
          <w:szCs w:val="20"/>
        </w:rPr>
        <w:t> </w:t>
      </w:r>
      <w:r w:rsidRPr="0044624F">
        <w:rPr>
          <w:rFonts w:asciiTheme="majorHAnsi" w:hAnsiTheme="majorHAnsi"/>
          <w:color w:val="EE0000"/>
          <w:sz w:val="20"/>
          <w:szCs w:val="20"/>
        </w:rPr>
        <w:t>96-15)</w:t>
      </w:r>
    </w:p>
    <w:p w14:paraId="18A25403" w14:textId="3E4A3180" w:rsidR="55130F45" w:rsidRPr="0044624F" w:rsidRDefault="55130F45" w:rsidP="772F7C49">
      <w:pPr>
        <w:ind w:hanging="10"/>
        <w:jc w:val="both"/>
        <w:rPr>
          <w:rFonts w:asciiTheme="majorHAnsi" w:eastAsia="Cambria" w:hAnsiTheme="majorHAnsi" w:cs="Cambria"/>
          <w:color w:val="EE0000"/>
          <w:sz w:val="20"/>
          <w:szCs w:val="20"/>
        </w:rPr>
      </w:pPr>
      <w:r w:rsidRPr="0044624F">
        <w:rPr>
          <w:rFonts w:asciiTheme="majorHAnsi" w:hAnsiTheme="majorHAnsi"/>
          <w:i/>
          <w:iCs/>
          <w:color w:val="EE0000"/>
          <w:sz w:val="20"/>
          <w:szCs w:val="20"/>
        </w:rPr>
        <w:t xml:space="preserve">Recommandation de l’ICCAT sur l’espadon de la Méditerranée </w:t>
      </w:r>
      <w:r w:rsidRPr="0044624F">
        <w:rPr>
          <w:rFonts w:asciiTheme="majorHAnsi" w:hAnsiTheme="majorHAnsi"/>
          <w:color w:val="EE0000"/>
          <w:sz w:val="20"/>
          <w:szCs w:val="20"/>
        </w:rPr>
        <w:t>(Rec. 03-04); paragraphe 3</w:t>
      </w:r>
    </w:p>
    <w:p w14:paraId="78082FFE" w14:textId="7DC15832" w:rsidR="772F7C49" w:rsidRPr="0044624F" w:rsidRDefault="772F7C49" w:rsidP="772F7C49">
      <w:pPr>
        <w:ind w:hanging="10"/>
        <w:jc w:val="both"/>
        <w:rPr>
          <w:rFonts w:asciiTheme="majorHAnsi" w:eastAsia="Cambria" w:hAnsiTheme="majorHAnsi" w:cs="Cambria"/>
          <w:color w:val="0070C0"/>
          <w:sz w:val="20"/>
          <w:szCs w:val="20"/>
        </w:rPr>
      </w:pPr>
    </w:p>
    <w:p w14:paraId="169CBDEC" w14:textId="17290292" w:rsidR="772F7C49" w:rsidRPr="0044624F" w:rsidRDefault="772F7C49" w:rsidP="772F7C49">
      <w:pPr>
        <w:ind w:hanging="10"/>
        <w:jc w:val="both"/>
        <w:rPr>
          <w:rFonts w:asciiTheme="majorHAnsi" w:eastAsia="Cambria" w:hAnsiTheme="majorHAnsi" w:cs="Cambria"/>
          <w:color w:val="000000" w:themeColor="text1"/>
          <w:sz w:val="20"/>
          <w:szCs w:val="20"/>
        </w:rPr>
      </w:pPr>
    </w:p>
    <w:p w14:paraId="55E221CD" w14:textId="4249214C" w:rsidR="60A4D66D" w:rsidRPr="0044624F"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Cela crée-t-il de nouvelles </w:t>
      </w:r>
      <w:r w:rsidRPr="0044624F">
        <w:rPr>
          <w:rFonts w:asciiTheme="majorHAnsi" w:hAnsiTheme="majorHAnsi"/>
          <w:b/>
          <w:color w:val="000000" w:themeColor="text1"/>
          <w:sz w:val="20"/>
          <w:szCs w:val="20"/>
        </w:rPr>
        <w:t xml:space="preserve">obligations de déclaration </w:t>
      </w:r>
      <w:r w:rsidRPr="0044624F">
        <w:rPr>
          <w:rFonts w:asciiTheme="majorHAnsi" w:hAnsiTheme="majorHAnsi"/>
          <w:color w:val="000000" w:themeColor="text1"/>
          <w:sz w:val="20"/>
          <w:szCs w:val="20"/>
        </w:rPr>
        <w:t xml:space="preserve">pour les CPC ?     Oui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sz w:val="20"/>
          <w:szCs w:val="20"/>
        </w:rPr>
        <w:tab/>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sz w:val="20"/>
          <w:szCs w:val="20"/>
        </w:rPr>
        <w:t>.</w:t>
      </w:r>
      <w:r w:rsidRPr="0044624F">
        <w:rPr>
          <w:rFonts w:asciiTheme="majorHAnsi" w:hAnsiTheme="majorHAnsi"/>
          <w:color w:val="EE0000"/>
          <w:sz w:val="20"/>
          <w:szCs w:val="20"/>
        </w:rPr>
        <w:t xml:space="preserve"> </w:t>
      </w:r>
    </w:p>
    <w:p w14:paraId="6E462099" w14:textId="7C717659" w:rsidR="772F7C49" w:rsidRPr="0044624F" w:rsidRDefault="772F7C49" w:rsidP="772F7C49">
      <w:pPr>
        <w:ind w:hanging="10"/>
        <w:rPr>
          <w:rFonts w:asciiTheme="majorHAnsi" w:eastAsia="Cambria" w:hAnsiTheme="majorHAnsi" w:cs="Cambria"/>
          <w:color w:val="000000" w:themeColor="text1"/>
          <w:sz w:val="20"/>
          <w:szCs w:val="20"/>
        </w:rPr>
      </w:pPr>
    </w:p>
    <w:p w14:paraId="2E450754" w14:textId="08E1AF8D" w:rsidR="60A4D66D" w:rsidRPr="0044624F" w:rsidRDefault="60A4D66D" w:rsidP="772F7C49">
      <w:pPr>
        <w:ind w:left="426" w:hanging="10"/>
        <w:jc w:val="both"/>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Brève description de la ou des nouvelle(s) obligation(s) de déclaration : </w:t>
      </w:r>
    </w:p>
    <w:p w14:paraId="4E45CAD9" w14:textId="6E8F5FC6" w:rsidR="772F7C49" w:rsidRPr="0044624F" w:rsidRDefault="772F7C49" w:rsidP="772F7C49">
      <w:pPr>
        <w:ind w:left="426" w:hanging="10"/>
        <w:jc w:val="both"/>
        <w:rPr>
          <w:rFonts w:asciiTheme="majorHAnsi" w:hAnsiTheme="majorHAnsi"/>
          <w:color w:val="000000" w:themeColor="text1"/>
          <w:sz w:val="20"/>
          <w:szCs w:val="20"/>
        </w:rPr>
      </w:pPr>
    </w:p>
    <w:p w14:paraId="09B049E1" w14:textId="77777777" w:rsidR="005F37C1" w:rsidRPr="005F37C1"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Cela nécessite-t-il une contribution ou un </w:t>
      </w:r>
      <w:r w:rsidRPr="0044624F">
        <w:rPr>
          <w:rFonts w:asciiTheme="majorHAnsi" w:hAnsiTheme="majorHAnsi"/>
          <w:b/>
          <w:color w:val="000000" w:themeColor="text1"/>
          <w:sz w:val="20"/>
          <w:szCs w:val="20"/>
        </w:rPr>
        <w:t>travail</w:t>
      </w:r>
      <w:r w:rsidRPr="0044624F">
        <w:rPr>
          <w:rFonts w:asciiTheme="majorHAnsi" w:hAnsiTheme="majorHAnsi"/>
          <w:color w:val="000000" w:themeColor="text1"/>
          <w:sz w:val="20"/>
          <w:szCs w:val="20"/>
        </w:rPr>
        <w:t xml:space="preserve"> supplémentaire </w:t>
      </w:r>
      <w:r w:rsidRPr="0044624F">
        <w:rPr>
          <w:rFonts w:asciiTheme="majorHAnsi" w:hAnsiTheme="majorHAnsi"/>
          <w:b/>
          <w:color w:val="000000" w:themeColor="text1"/>
          <w:sz w:val="20"/>
          <w:szCs w:val="20"/>
        </w:rPr>
        <w:t>de la part du SCRS</w:t>
      </w:r>
      <w:r w:rsidRPr="0044624F">
        <w:rPr>
          <w:rFonts w:asciiTheme="majorHAnsi" w:hAnsiTheme="majorHAnsi"/>
          <w:color w:val="000000" w:themeColor="text1"/>
          <w:sz w:val="20"/>
          <w:szCs w:val="20"/>
        </w:rPr>
        <w:t xml:space="preserve"> ?</w:t>
      </w:r>
    </w:p>
    <w:p w14:paraId="27985D18" w14:textId="2473CDF1" w:rsidR="60A4D66D" w:rsidRPr="0044624F" w:rsidRDefault="60A4D66D" w:rsidP="005F37C1">
      <w:pPr>
        <w:pStyle w:val="ListParagraph"/>
        <w:ind w:left="426" w:firstLine="0"/>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    Oui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sz w:val="20"/>
          <w:szCs w:val="20"/>
        </w:rPr>
        <w:tab/>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sz w:val="20"/>
          <w:szCs w:val="20"/>
        </w:rPr>
        <w:t>.</w:t>
      </w:r>
    </w:p>
    <w:p w14:paraId="7637592A" w14:textId="5C4B70D7" w:rsidR="772F7C49" w:rsidRPr="0044624F" w:rsidRDefault="772F7C49" w:rsidP="772F7C49">
      <w:pPr>
        <w:ind w:left="360" w:hanging="10"/>
        <w:rPr>
          <w:rFonts w:asciiTheme="majorHAnsi" w:eastAsia="Cambria" w:hAnsiTheme="majorHAnsi" w:cs="Cambria"/>
          <w:color w:val="000000" w:themeColor="text1"/>
          <w:sz w:val="20"/>
          <w:szCs w:val="20"/>
        </w:rPr>
      </w:pPr>
    </w:p>
    <w:p w14:paraId="4867FA50" w14:textId="4B0F0079" w:rsidR="60A4D66D" w:rsidRPr="0044624F" w:rsidRDefault="60A4D66D" w:rsidP="00C67CE8">
      <w:pPr>
        <w:ind w:left="426"/>
        <w:jc w:val="both"/>
        <w:rPr>
          <w:rFonts w:asciiTheme="majorHAnsi" w:eastAsia="MS Gothic" w:hAnsiTheme="majorHAnsi" w:cs="MS Gothic"/>
          <w:color w:val="000000" w:themeColor="text1"/>
          <w:sz w:val="20"/>
          <w:szCs w:val="20"/>
        </w:rPr>
      </w:pPr>
      <w:r w:rsidRPr="0044624F">
        <w:rPr>
          <w:rFonts w:asciiTheme="majorHAnsi" w:hAnsiTheme="majorHAnsi"/>
          <w:sz w:val="20"/>
          <w:szCs w:val="20"/>
        </w:rPr>
        <w:t>Ce travail est-il déjà inclus dans le plan de travail actuel du SCRS ? Oui</w:t>
      </w:r>
      <w:r w:rsidRPr="0044624F">
        <w:rPr>
          <w:rFonts w:asciiTheme="majorHAnsi" w:hAnsiTheme="majorHAnsi"/>
          <w:color w:val="000000" w:themeColor="text1"/>
          <w:sz w:val="20"/>
          <w:szCs w:val="20"/>
        </w:rPr>
        <w:t xml:space="preserve">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color w:val="000000" w:themeColor="text1"/>
          <w:sz w:val="20"/>
          <w:szCs w:val="20"/>
        </w:rPr>
        <w:t xml:space="preserve">Non  </w:t>
      </w:r>
      <w:r w:rsidRPr="0044624F">
        <w:rPr>
          <w:rFonts w:ascii="Segoe UI Symbol" w:hAnsi="Segoe UI Symbol" w:cs="Segoe UI Symbol"/>
          <w:color w:val="000000" w:themeColor="text1"/>
          <w:sz w:val="20"/>
          <w:szCs w:val="20"/>
        </w:rPr>
        <w:t>☐</w:t>
      </w:r>
    </w:p>
    <w:p w14:paraId="4564F439" w14:textId="43F3FC76" w:rsidR="772F7C49" w:rsidRPr="0044624F" w:rsidRDefault="772F7C49" w:rsidP="772F7C49">
      <w:pPr>
        <w:ind w:left="360" w:hanging="10"/>
        <w:rPr>
          <w:rFonts w:asciiTheme="majorHAnsi" w:eastAsia="Cambria" w:hAnsiTheme="majorHAnsi" w:cs="Cambria"/>
          <w:color w:val="000000" w:themeColor="text1"/>
          <w:sz w:val="20"/>
          <w:szCs w:val="20"/>
        </w:rPr>
      </w:pPr>
    </w:p>
    <w:p w14:paraId="30BAD497" w14:textId="63871DB5" w:rsidR="60A4D66D" w:rsidRPr="0044624F" w:rsidRDefault="60A4D66D" w:rsidP="00C67CE8">
      <w:pPr>
        <w:ind w:left="426"/>
        <w:jc w:val="both"/>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Brève description des nouveaux travaux scientifiques requis (évaluation des stocks, analyse, consultant externe) :</w:t>
      </w:r>
    </w:p>
    <w:p w14:paraId="4C73AE58" w14:textId="37B90463" w:rsidR="772F7C49" w:rsidRPr="0044624F" w:rsidRDefault="772F7C49" w:rsidP="772F7C49">
      <w:pPr>
        <w:ind w:left="426" w:hanging="10"/>
        <w:jc w:val="both"/>
        <w:rPr>
          <w:rFonts w:asciiTheme="majorHAnsi" w:eastAsia="Cambria" w:hAnsiTheme="majorHAnsi" w:cs="Cambria"/>
          <w:color w:val="0070C0"/>
          <w:sz w:val="20"/>
          <w:szCs w:val="20"/>
        </w:rPr>
      </w:pPr>
    </w:p>
    <w:p w14:paraId="08D7F136" w14:textId="6DA9729E" w:rsidR="60A4D66D" w:rsidRPr="0044624F"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44624F">
        <w:rPr>
          <w:rFonts w:asciiTheme="majorHAnsi" w:hAnsiTheme="majorHAnsi"/>
          <w:color w:val="000000" w:themeColor="text1"/>
          <w:sz w:val="20"/>
          <w:szCs w:val="20"/>
        </w:rPr>
        <w:t xml:space="preserve">Cela implique-t-il la création d'un </w:t>
      </w:r>
      <w:r w:rsidRPr="0044624F">
        <w:rPr>
          <w:rFonts w:asciiTheme="majorHAnsi" w:hAnsiTheme="majorHAnsi"/>
          <w:b/>
          <w:color w:val="000000" w:themeColor="text1"/>
          <w:sz w:val="20"/>
          <w:szCs w:val="20"/>
        </w:rPr>
        <w:t xml:space="preserve">nouveau groupe de travail ou d'un processus intersessions </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 xml:space="preserve">Oui </w:t>
      </w:r>
      <w:r w:rsidRPr="0044624F">
        <w:rPr>
          <w:rFonts w:ascii="Segoe UI Symbol" w:hAnsi="Segoe UI Symbol" w:cs="Segoe UI Symbol"/>
          <w:sz w:val="20"/>
          <w:szCs w:val="20"/>
        </w:rPr>
        <w:t>☐</w:t>
      </w:r>
      <w:r w:rsidRPr="0044624F">
        <w:rPr>
          <w:rFonts w:asciiTheme="majorHAnsi" w:hAnsiTheme="majorHAnsi"/>
          <w:sz w:val="20"/>
          <w:szCs w:val="20"/>
        </w:rPr>
        <w:t xml:space="preserve"> </w:t>
      </w:r>
      <w:r w:rsidR="005F37C1">
        <w:rPr>
          <w:rFonts w:asciiTheme="majorHAnsi" w:hAnsiTheme="majorHAnsi"/>
          <w:sz w:val="20"/>
          <w:szCs w:val="20"/>
        </w:rPr>
        <w:t xml:space="preserve">     </w:t>
      </w:r>
      <w:r w:rsidRPr="0044624F">
        <w:rPr>
          <w:rFonts w:asciiTheme="majorHAnsi" w:hAnsiTheme="majorHAnsi"/>
          <w:sz w:val="20"/>
          <w:szCs w:val="20"/>
        </w:rPr>
        <w:t xml:space="preserve"> </w:t>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color w:val="EE0000"/>
          <w:sz w:val="20"/>
          <w:szCs w:val="20"/>
        </w:rPr>
        <w:t xml:space="preserve"> </w:t>
      </w:r>
    </w:p>
    <w:p w14:paraId="27B30CA5" w14:textId="6FDA1FEA" w:rsidR="772F7C49" w:rsidRPr="0044624F" w:rsidRDefault="772F7C49" w:rsidP="772F7C49">
      <w:pPr>
        <w:ind w:hanging="10"/>
        <w:rPr>
          <w:rFonts w:asciiTheme="majorHAnsi" w:eastAsia="Cambria" w:hAnsiTheme="majorHAnsi" w:cs="Cambria"/>
          <w:color w:val="000000" w:themeColor="text1"/>
          <w:sz w:val="20"/>
          <w:szCs w:val="20"/>
        </w:rPr>
      </w:pPr>
    </w:p>
    <w:p w14:paraId="7C407656" w14:textId="05BB88FB" w:rsidR="60A4D66D" w:rsidRPr="0044624F" w:rsidRDefault="60A4D66D" w:rsidP="772F7C49">
      <w:pPr>
        <w:pStyle w:val="ListParagraph"/>
        <w:numPr>
          <w:ilvl w:val="0"/>
          <w:numId w:val="1"/>
        </w:numPr>
        <w:ind w:left="426" w:hanging="426"/>
        <w:jc w:val="left"/>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Cela nécessite-t-il un nouveau </w:t>
      </w:r>
      <w:r w:rsidRPr="0044624F">
        <w:rPr>
          <w:rFonts w:asciiTheme="majorHAnsi" w:hAnsiTheme="majorHAnsi"/>
          <w:b/>
          <w:color w:val="000000" w:themeColor="text1"/>
          <w:sz w:val="20"/>
          <w:szCs w:val="20"/>
        </w:rPr>
        <w:t xml:space="preserve">programme ou des activités supplémentaires à gérer par le Secrétariat </w:t>
      </w:r>
      <w:r w:rsidRPr="0044624F">
        <w:rPr>
          <w:rFonts w:asciiTheme="majorHAnsi" w:hAnsiTheme="majorHAnsi"/>
          <w:color w:val="000000" w:themeColor="text1"/>
          <w:sz w:val="20"/>
          <w:szCs w:val="20"/>
        </w:rPr>
        <w:t xml:space="preserve">?  </w:t>
      </w:r>
    </w:p>
    <w:p w14:paraId="6724CD21" w14:textId="425BAEE9" w:rsidR="772F7C49" w:rsidRPr="0044624F" w:rsidRDefault="772F7C49" w:rsidP="772F7C49">
      <w:pPr>
        <w:ind w:left="426" w:hanging="10"/>
        <w:rPr>
          <w:rFonts w:asciiTheme="majorHAnsi" w:eastAsia="Cambria" w:hAnsiTheme="majorHAnsi" w:cs="Cambria"/>
          <w:color w:val="000000" w:themeColor="text1"/>
          <w:sz w:val="20"/>
          <w:szCs w:val="20"/>
        </w:rPr>
      </w:pPr>
    </w:p>
    <w:p w14:paraId="275EA370" w14:textId="48521E76" w:rsidR="60A4D66D" w:rsidRPr="0044624F" w:rsidRDefault="60A4D66D" w:rsidP="772F7C49">
      <w:pPr>
        <w:ind w:left="426" w:hanging="10"/>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Oui  </w:t>
      </w:r>
      <w:r w:rsidRPr="0044624F">
        <w:rPr>
          <w:rFonts w:ascii="Segoe UI Symbol" w:hAnsi="Segoe UI Symbol" w:cs="Segoe UI Symbol"/>
          <w:color w:val="000000" w:themeColor="text1"/>
          <w:sz w:val="20"/>
          <w:szCs w:val="20"/>
        </w:rPr>
        <w:t>☐</w:t>
      </w:r>
      <w:r w:rsidRPr="0044624F">
        <w:rPr>
          <w:rFonts w:asciiTheme="majorHAnsi" w:hAnsiTheme="majorHAnsi"/>
          <w:color w:val="000000" w:themeColor="text1"/>
          <w:sz w:val="20"/>
          <w:szCs w:val="20"/>
        </w:rPr>
        <w:t xml:space="preserve"> </w:t>
      </w:r>
      <w:r w:rsidRPr="0044624F">
        <w:rPr>
          <w:rFonts w:asciiTheme="majorHAnsi" w:hAnsiTheme="majorHAnsi"/>
          <w:sz w:val="20"/>
          <w:szCs w:val="20"/>
        </w:rPr>
        <w:tab/>
      </w:r>
      <w:r w:rsidRPr="0044624F">
        <w:rPr>
          <w:rFonts w:asciiTheme="majorHAnsi" w:hAnsiTheme="majorHAnsi"/>
          <w:color w:val="EE0000"/>
          <w:sz w:val="20"/>
          <w:szCs w:val="20"/>
        </w:rPr>
        <w:t xml:space="preserve">Non  </w:t>
      </w:r>
      <w:r w:rsidRPr="0044624F">
        <w:rPr>
          <w:rFonts w:ascii="Segoe UI Symbol" w:hAnsi="Segoe UI Symbol" w:cs="Segoe UI Symbol"/>
          <w:color w:val="EE0000"/>
          <w:sz w:val="20"/>
          <w:szCs w:val="20"/>
        </w:rPr>
        <w:t>☒</w:t>
      </w:r>
      <w:r w:rsidRPr="0044624F">
        <w:rPr>
          <w:rFonts w:asciiTheme="majorHAnsi" w:hAnsiTheme="majorHAnsi"/>
          <w:sz w:val="20"/>
          <w:szCs w:val="20"/>
        </w:rPr>
        <w:t>.</w:t>
      </w:r>
      <w:r w:rsidRPr="0044624F">
        <w:rPr>
          <w:rFonts w:asciiTheme="majorHAnsi" w:hAnsiTheme="majorHAnsi"/>
          <w:color w:val="EE0000"/>
          <w:sz w:val="20"/>
          <w:szCs w:val="20"/>
        </w:rPr>
        <w:t xml:space="preserve"> </w:t>
      </w:r>
    </w:p>
    <w:p w14:paraId="578DEADD" w14:textId="6B4EAE50" w:rsidR="772F7C49" w:rsidRPr="0044624F" w:rsidRDefault="772F7C49" w:rsidP="772F7C49">
      <w:pPr>
        <w:ind w:left="360" w:hanging="10"/>
        <w:jc w:val="both"/>
        <w:rPr>
          <w:rFonts w:asciiTheme="majorHAnsi" w:eastAsia="Cambria" w:hAnsiTheme="majorHAnsi" w:cs="Cambria"/>
          <w:color w:val="000000" w:themeColor="text1"/>
          <w:sz w:val="20"/>
          <w:szCs w:val="20"/>
        </w:rPr>
      </w:pPr>
    </w:p>
    <w:p w14:paraId="0C881283" w14:textId="50736CB5" w:rsidR="60A4D66D" w:rsidRPr="0044624F" w:rsidRDefault="60A4D66D" w:rsidP="772F7C49">
      <w:pPr>
        <w:ind w:left="360" w:hanging="10"/>
        <w:jc w:val="both"/>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Brève description du nouveau travail requis pour le Secrétariat : </w:t>
      </w:r>
    </w:p>
    <w:p w14:paraId="323476BF" w14:textId="1B97B4AF" w:rsidR="772F7C49" w:rsidRPr="0044624F" w:rsidRDefault="772F7C49" w:rsidP="772F7C49">
      <w:pPr>
        <w:ind w:hanging="10"/>
        <w:rPr>
          <w:rFonts w:asciiTheme="majorHAnsi" w:eastAsia="Cambria" w:hAnsiTheme="majorHAnsi" w:cs="Cambria"/>
          <w:color w:val="000000" w:themeColor="text1"/>
          <w:sz w:val="20"/>
          <w:szCs w:val="20"/>
        </w:rPr>
      </w:pPr>
    </w:p>
    <w:p w14:paraId="75856905" w14:textId="7C314F64" w:rsidR="60A4D66D" w:rsidRPr="0044624F" w:rsidRDefault="60A4D66D" w:rsidP="772F7C49">
      <w:pPr>
        <w:pStyle w:val="ListParagraph"/>
        <w:numPr>
          <w:ilvl w:val="0"/>
          <w:numId w:val="1"/>
        </w:numPr>
        <w:ind w:left="426" w:hanging="426"/>
        <w:rPr>
          <w:rFonts w:asciiTheme="majorHAnsi" w:eastAsia="Cambria" w:hAnsiTheme="majorHAnsi" w:cs="Cambria"/>
          <w:color w:val="000000" w:themeColor="text1"/>
          <w:sz w:val="20"/>
          <w:szCs w:val="20"/>
        </w:rPr>
      </w:pPr>
      <w:r w:rsidRPr="0044624F">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0A3234E7" w14:textId="77777777" w:rsidR="00CF7184" w:rsidRPr="0044624F" w:rsidRDefault="00CF7184" w:rsidP="00CF7184">
      <w:pPr>
        <w:pStyle w:val="ListParagraph"/>
        <w:ind w:left="426" w:firstLine="0"/>
        <w:rPr>
          <w:rFonts w:asciiTheme="majorHAnsi" w:eastAsia="Cambria" w:hAnsiTheme="majorHAnsi" w:cs="Cambria"/>
          <w:color w:val="000000" w:themeColor="text1"/>
          <w:sz w:val="20"/>
          <w:szCs w:val="20"/>
        </w:rPr>
      </w:pPr>
    </w:p>
    <w:p w14:paraId="5498DC41" w14:textId="3A5E93A1" w:rsidR="41602EB1" w:rsidRPr="0044624F" w:rsidRDefault="41602EB1" w:rsidP="772F7C49">
      <w:pPr>
        <w:ind w:left="426"/>
        <w:jc w:val="both"/>
        <w:rPr>
          <w:rFonts w:asciiTheme="majorHAnsi" w:hAnsiTheme="majorHAnsi"/>
          <w:color w:val="EE0000"/>
          <w:sz w:val="20"/>
          <w:szCs w:val="20"/>
        </w:rPr>
      </w:pPr>
      <w:r w:rsidRPr="0044624F">
        <w:rPr>
          <w:rFonts w:asciiTheme="majorHAnsi" w:hAnsiTheme="majorHAnsi"/>
          <w:color w:val="EE0000"/>
          <w:sz w:val="20"/>
          <w:szCs w:val="20"/>
        </w:rPr>
        <w:t>Aucun calendrier n'est applicable.</w:t>
      </w:r>
    </w:p>
    <w:p w14:paraId="6027883A" w14:textId="3B6DADC9" w:rsidR="772F7C49" w:rsidRPr="0044624F" w:rsidRDefault="772F7C49" w:rsidP="772F7C49">
      <w:pPr>
        <w:ind w:hanging="10"/>
        <w:rPr>
          <w:rFonts w:asciiTheme="majorHAnsi" w:eastAsia="Cambria" w:hAnsiTheme="majorHAnsi" w:cs="Cambria"/>
          <w:color w:val="000000" w:themeColor="text1"/>
          <w:sz w:val="20"/>
          <w:szCs w:val="20"/>
        </w:rPr>
      </w:pPr>
    </w:p>
    <w:p w14:paraId="0D35D84E" w14:textId="01387861" w:rsidR="60A4D66D" w:rsidRPr="0044624F" w:rsidRDefault="60A4D66D" w:rsidP="772F7C49">
      <w:pPr>
        <w:pStyle w:val="ListParagraph"/>
        <w:numPr>
          <w:ilvl w:val="0"/>
          <w:numId w:val="1"/>
        </w:numPr>
        <w:ind w:left="426" w:hanging="426"/>
        <w:jc w:val="left"/>
        <w:rPr>
          <w:rFonts w:asciiTheme="majorHAnsi" w:eastAsia="Cambria" w:hAnsiTheme="majorHAnsi" w:cs="Cambria"/>
          <w:color w:val="0070C0"/>
          <w:sz w:val="20"/>
          <w:szCs w:val="20"/>
        </w:rPr>
      </w:pPr>
      <w:r w:rsidRPr="0044624F">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p>
    <w:p w14:paraId="5CCB5043" w14:textId="77777777" w:rsidR="00CF7184" w:rsidRPr="0044624F" w:rsidRDefault="00CF7184" w:rsidP="00CF7184">
      <w:pPr>
        <w:pStyle w:val="ListParagraph"/>
        <w:ind w:left="426" w:firstLine="0"/>
        <w:jc w:val="left"/>
        <w:rPr>
          <w:rFonts w:asciiTheme="majorHAnsi" w:eastAsia="Cambria" w:hAnsiTheme="majorHAnsi" w:cs="Cambria"/>
          <w:color w:val="0070C0"/>
          <w:sz w:val="20"/>
          <w:szCs w:val="20"/>
        </w:rPr>
      </w:pPr>
    </w:p>
    <w:p w14:paraId="53727CA6" w14:textId="595263FC" w:rsidR="60A4D66D" w:rsidRPr="0044624F" w:rsidRDefault="60A4D66D" w:rsidP="772F7C49">
      <w:pPr>
        <w:pStyle w:val="ListParagraph"/>
        <w:ind w:left="426" w:firstLine="0"/>
        <w:jc w:val="left"/>
        <w:rPr>
          <w:rFonts w:asciiTheme="majorHAnsi" w:eastAsia="Cambria" w:hAnsiTheme="majorHAnsi" w:cs="Cambria"/>
          <w:color w:val="EE0000"/>
          <w:sz w:val="20"/>
          <w:szCs w:val="20"/>
        </w:rPr>
      </w:pPr>
      <w:r w:rsidRPr="0044624F">
        <w:rPr>
          <w:rFonts w:asciiTheme="majorHAnsi" w:hAnsiTheme="majorHAnsi"/>
          <w:color w:val="EE0000"/>
          <w:sz w:val="20"/>
          <w:szCs w:val="20"/>
        </w:rPr>
        <w:t>Non</w:t>
      </w:r>
    </w:p>
    <w:p w14:paraId="5521827B" w14:textId="1EB4BBF2" w:rsidR="772F7C49" w:rsidRDefault="772F7C49" w:rsidP="772F7C49">
      <w:pPr>
        <w:ind w:left="426" w:hanging="10"/>
        <w:rPr>
          <w:rFonts w:ascii="Cambria" w:eastAsia="Cambria" w:hAnsi="Cambria" w:cs="Cambria"/>
          <w:color w:val="000000" w:themeColor="text1"/>
          <w:sz w:val="20"/>
          <w:szCs w:val="20"/>
        </w:rPr>
      </w:pPr>
    </w:p>
    <w:p w14:paraId="0C441C90" w14:textId="732A3E38" w:rsidR="00953DAE" w:rsidRDefault="00953DAE">
      <w:pPr>
        <w:rPr>
          <w:rFonts w:ascii="Cambria" w:eastAsia="Cambria" w:hAnsi="Cambria" w:cs="Cambria"/>
          <w:color w:val="000000" w:themeColor="text1"/>
          <w:sz w:val="20"/>
          <w:szCs w:val="20"/>
        </w:rPr>
      </w:pPr>
      <w:r>
        <w:br w:type="page"/>
      </w:r>
    </w:p>
    <w:p w14:paraId="0DA54C21" w14:textId="1C43E802" w:rsidR="00EF5651" w:rsidRPr="005F37C1" w:rsidRDefault="009E1F3F" w:rsidP="00EF5651">
      <w:pPr>
        <w:widowControl/>
        <w:autoSpaceDE/>
        <w:autoSpaceDN/>
        <w:jc w:val="right"/>
        <w:rPr>
          <w:rFonts w:ascii="Cambria" w:hAnsi="Cambria"/>
          <w:b/>
          <w:bCs/>
          <w:sz w:val="20"/>
          <w:szCs w:val="20"/>
        </w:rPr>
      </w:pPr>
      <w:r w:rsidRPr="005F37C1">
        <w:rPr>
          <w:rFonts w:ascii="Cambria" w:hAnsi="Cambria"/>
          <w:b/>
          <w:sz w:val="20"/>
        </w:rPr>
        <w:lastRenderedPageBreak/>
        <w:t>Original :</w:t>
      </w:r>
      <w:r w:rsidR="00EF5651" w:rsidRPr="005F37C1">
        <w:rPr>
          <w:rFonts w:ascii="Cambria" w:hAnsi="Cambria"/>
          <w:b/>
          <w:sz w:val="20"/>
        </w:rPr>
        <w:t xml:space="preserve"> </w:t>
      </w:r>
      <w:r w:rsidR="00EF5651" w:rsidRPr="005F37C1">
        <w:rPr>
          <w:rFonts w:ascii="Cambria" w:hAnsi="Cambria"/>
          <w:b/>
          <w:bCs/>
          <w:sz w:val="20"/>
        </w:rPr>
        <w:t>anglais</w:t>
      </w:r>
    </w:p>
    <w:p w14:paraId="4F59CD43" w14:textId="77777777" w:rsidR="00EF5651" w:rsidRPr="005F37C1" w:rsidRDefault="00EF5651" w:rsidP="00EF5651">
      <w:pPr>
        <w:widowControl/>
        <w:autoSpaceDE/>
        <w:autoSpaceDN/>
        <w:jc w:val="right"/>
        <w:rPr>
          <w:rFonts w:ascii="Cambria" w:hAnsi="Cambria"/>
          <w:b/>
          <w:bCs/>
          <w:sz w:val="20"/>
          <w:szCs w:val="20"/>
        </w:rPr>
      </w:pPr>
    </w:p>
    <w:p w14:paraId="68B24CDF" w14:textId="77777777" w:rsidR="00EF5651" w:rsidRPr="005F37C1" w:rsidRDefault="00EF5651" w:rsidP="00EF5651">
      <w:pPr>
        <w:widowControl/>
        <w:autoSpaceDE/>
        <w:autoSpaceDN/>
        <w:jc w:val="right"/>
        <w:rPr>
          <w:rFonts w:ascii="Cambria" w:hAnsi="Cambria"/>
          <w:b/>
          <w:bCs/>
          <w:sz w:val="20"/>
          <w:szCs w:val="20"/>
        </w:rPr>
      </w:pPr>
    </w:p>
    <w:p w14:paraId="08EBDDEC" w14:textId="188580B7" w:rsidR="00EF5651" w:rsidRPr="00CF7184" w:rsidRDefault="00EF5651" w:rsidP="00CF7184">
      <w:pPr>
        <w:jc w:val="center"/>
        <w:rPr>
          <w:rFonts w:ascii="Cambria" w:eastAsia="Cambria" w:hAnsi="Cambria" w:cs="Cambria"/>
          <w:b/>
          <w:bCs/>
          <w:color w:val="000000" w:themeColor="text1"/>
          <w:sz w:val="20"/>
          <w:szCs w:val="20"/>
        </w:rPr>
      </w:pPr>
      <w:r w:rsidRPr="005F37C1">
        <w:rPr>
          <w:rFonts w:ascii="Cambria" w:hAnsi="Cambria"/>
          <w:b/>
          <w:color w:val="000000" w:themeColor="text1"/>
          <w:sz w:val="20"/>
        </w:rPr>
        <w:t>Note explicative sur le Projet de Recommandation de l’ICCAT instaurant une interdiction des filets dérivants pour la capture de certaines espèces relevant de l’ICCAT</w:t>
      </w:r>
    </w:p>
    <w:p w14:paraId="36A1E8AC" w14:textId="77777777" w:rsidR="772F7C49" w:rsidRDefault="772F7C49" w:rsidP="772F7C49">
      <w:pPr>
        <w:ind w:hanging="10"/>
        <w:rPr>
          <w:rFonts w:ascii="Cambria" w:eastAsia="Cambria" w:hAnsi="Cambria" w:cs="Cambria"/>
          <w:color w:val="000000" w:themeColor="text1"/>
          <w:sz w:val="20"/>
          <w:szCs w:val="20"/>
        </w:rPr>
      </w:pPr>
    </w:p>
    <w:p w14:paraId="1A9628BB" w14:textId="77777777" w:rsidR="00EF5651" w:rsidRDefault="00EF5651" w:rsidP="772F7C49">
      <w:pPr>
        <w:ind w:hanging="10"/>
        <w:rPr>
          <w:rFonts w:ascii="Cambria" w:eastAsia="Cambria" w:hAnsi="Cambria" w:cs="Cambria"/>
          <w:color w:val="000000" w:themeColor="text1"/>
          <w:sz w:val="20"/>
          <w:szCs w:val="20"/>
        </w:rPr>
      </w:pPr>
    </w:p>
    <w:p w14:paraId="4B26E7CE" w14:textId="532CF044" w:rsidR="0B72C9B0" w:rsidRPr="00F52CAD" w:rsidRDefault="00F52CAD" w:rsidP="772F7C49">
      <w:pPr>
        <w:jc w:val="both"/>
        <w:rPr>
          <w:rFonts w:ascii="Cambria" w:eastAsia="Cambria" w:hAnsi="Cambria" w:cs="Cambria"/>
          <w:sz w:val="20"/>
          <w:szCs w:val="20"/>
        </w:rPr>
      </w:pPr>
      <w:r>
        <w:rPr>
          <w:rFonts w:ascii="Cambria" w:hAnsi="Cambria"/>
          <w:sz w:val="20"/>
        </w:rPr>
        <w:t>Cette proposition de recommandation apporte des éléments d’amélioration à la disposition actuelle relative à l'interdiction de l'utilisation de filets dérivants pour la capture d’espèces de grands pélagiques, afin de la rendre applicable et efficace. Elle étend également le champ d'application de l'interdiction de la Méditerranée à l'ensemble de la zone de la Convention de l’ICCAT.</w:t>
      </w:r>
    </w:p>
    <w:p w14:paraId="17B495EE" w14:textId="4D38BA4A" w:rsidR="772F7C49" w:rsidRPr="00F52CAD" w:rsidRDefault="772F7C49">
      <w:r>
        <w:br w:type="page"/>
      </w:r>
    </w:p>
    <w:p w14:paraId="4484E954" w14:textId="37443CDC" w:rsidR="772F7C49" w:rsidRDefault="005C3057" w:rsidP="005C3057">
      <w:pPr>
        <w:pStyle w:val="BodyText"/>
        <w:spacing w:before="1" w:line="259" w:lineRule="auto"/>
        <w:jc w:val="right"/>
        <w:rPr>
          <w:rFonts w:ascii="Cambria" w:hAnsi="Cambria"/>
          <w:b/>
          <w:bCs/>
          <w:sz w:val="20"/>
          <w:szCs w:val="20"/>
        </w:rPr>
      </w:pPr>
      <w:r>
        <w:rPr>
          <w:rFonts w:ascii="Cambria" w:hAnsi="Cambria"/>
          <w:b/>
          <w:sz w:val="20"/>
        </w:rPr>
        <w:lastRenderedPageBreak/>
        <w:t xml:space="preserve">Original : </w:t>
      </w:r>
      <w:r>
        <w:rPr>
          <w:rFonts w:ascii="Cambria" w:hAnsi="Cambria"/>
          <w:b/>
          <w:bCs/>
          <w:sz w:val="20"/>
        </w:rPr>
        <w:t>anglais</w:t>
      </w:r>
    </w:p>
    <w:p w14:paraId="6F335CCB" w14:textId="77777777" w:rsidR="00654894" w:rsidRPr="00236E05" w:rsidRDefault="00654894" w:rsidP="005C3057">
      <w:pPr>
        <w:pStyle w:val="BodyText"/>
        <w:spacing w:before="1" w:line="259" w:lineRule="auto"/>
        <w:jc w:val="right"/>
        <w:rPr>
          <w:rFonts w:ascii="Cambria" w:hAnsi="Cambria"/>
          <w:b/>
          <w:bCs/>
          <w:sz w:val="20"/>
          <w:szCs w:val="20"/>
        </w:rPr>
      </w:pPr>
      <w:bookmarkStart w:id="2" w:name="_Hlk214184840"/>
    </w:p>
    <w:p w14:paraId="4A5D53EC" w14:textId="25E283C8" w:rsidR="00654894" w:rsidRPr="009E1F3F" w:rsidRDefault="00A25292" w:rsidP="000D7FF2">
      <w:pPr>
        <w:pStyle w:val="BodyText"/>
        <w:spacing w:before="1" w:line="259" w:lineRule="auto"/>
        <w:jc w:val="center"/>
        <w:rPr>
          <w:rFonts w:asciiTheme="majorHAnsi" w:hAnsiTheme="majorHAnsi"/>
          <w:b/>
          <w:bCs/>
          <w:sz w:val="20"/>
          <w:szCs w:val="20"/>
        </w:rPr>
      </w:pPr>
      <w:r w:rsidRPr="009E1F3F">
        <w:rPr>
          <w:rFonts w:asciiTheme="majorHAnsi" w:hAnsiTheme="majorHAnsi"/>
          <w:b/>
          <w:sz w:val="20"/>
          <w:szCs w:val="20"/>
        </w:rPr>
        <w:t xml:space="preserve">Projet de Recommandation de l’ICCAT instaurant une interdiction des filets dérivants  </w:t>
      </w:r>
    </w:p>
    <w:p w14:paraId="7BC9B5EC" w14:textId="207BD9C0" w:rsidR="00A25292" w:rsidRPr="009E1F3F" w:rsidRDefault="000D7FF2" w:rsidP="000D7FF2">
      <w:pPr>
        <w:pStyle w:val="BodyText"/>
        <w:spacing w:before="1" w:line="259" w:lineRule="auto"/>
        <w:jc w:val="center"/>
        <w:rPr>
          <w:rFonts w:asciiTheme="majorHAnsi" w:hAnsiTheme="majorHAnsi"/>
          <w:b/>
          <w:bCs/>
          <w:sz w:val="20"/>
          <w:szCs w:val="20"/>
        </w:rPr>
      </w:pPr>
      <w:r w:rsidRPr="009E1F3F">
        <w:rPr>
          <w:rFonts w:asciiTheme="majorHAnsi" w:hAnsiTheme="majorHAnsi"/>
          <w:b/>
          <w:sz w:val="20"/>
          <w:szCs w:val="20"/>
        </w:rPr>
        <w:t>pour la capture de certaines espèces relevant de l’ICCAT</w:t>
      </w:r>
    </w:p>
    <w:p w14:paraId="24FBB996" w14:textId="77777777" w:rsidR="00965F73" w:rsidRPr="00965F73" w:rsidRDefault="00965F73" w:rsidP="00965F73">
      <w:pPr>
        <w:widowControl/>
        <w:autoSpaceDE/>
        <w:autoSpaceDN/>
        <w:spacing w:line="234" w:lineRule="exact"/>
        <w:ind w:left="281" w:right="201"/>
        <w:jc w:val="center"/>
        <w:rPr>
          <w:rFonts w:ascii="Cambria" w:eastAsia="Cambria" w:hAnsi="Cambria" w:cs="Cambria"/>
          <w:i/>
          <w:sz w:val="20"/>
          <w:u w:val="single"/>
        </w:rPr>
      </w:pPr>
      <w:r>
        <w:rPr>
          <w:rFonts w:ascii="Cambria" w:hAnsi="Cambria"/>
          <w:i/>
          <w:sz w:val="20"/>
        </w:rPr>
        <w:t>(Document présenté par l’Union européenne,</w:t>
      </w:r>
      <w:r w:rsidRPr="00965F73">
        <w:rPr>
          <w:rFonts w:ascii="Cambria" w:hAnsi="Cambria"/>
          <w:i/>
          <w:sz w:val="20"/>
          <w:u w:val="single"/>
        </w:rPr>
        <w:t xml:space="preserve"> le Maroc et la République de Corée)</w:t>
      </w:r>
    </w:p>
    <w:bookmarkEnd w:id="2"/>
    <w:p w14:paraId="39266181" w14:textId="77777777" w:rsidR="00A25292" w:rsidRPr="009E1F3F" w:rsidRDefault="00A25292" w:rsidP="005C3057">
      <w:pPr>
        <w:pStyle w:val="BodyText"/>
        <w:spacing w:before="1" w:line="259" w:lineRule="auto"/>
        <w:jc w:val="center"/>
        <w:rPr>
          <w:rFonts w:asciiTheme="majorHAnsi" w:hAnsiTheme="majorHAnsi"/>
          <w:i/>
          <w:iCs/>
          <w:sz w:val="20"/>
          <w:szCs w:val="20"/>
        </w:rPr>
      </w:pPr>
    </w:p>
    <w:p w14:paraId="3885D96F" w14:textId="285E7B06" w:rsidR="00DC4112" w:rsidRPr="009E1F3F" w:rsidRDefault="00DC4112"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qu'en novembre 1993 et en novembre 1994, l’ICCAT a adopté des résolutions à l'appui des Résolutions 44/225, 45/197 et 46/215 de l'Assemblée générale des Nations Unies, concernant les grands filets dérivants pélagiques à grande échelle en haute mer et leur impact sur les ressources marines vivantes des océans et des mers du monde, demandant à ses Parties contractantes d'appuyer ces résolutions ;</w:t>
      </w:r>
    </w:p>
    <w:p w14:paraId="227A62B4" w14:textId="77777777" w:rsidR="00DC4112" w:rsidRPr="009E1F3F" w:rsidRDefault="00DC4112" w:rsidP="00654894">
      <w:pPr>
        <w:pStyle w:val="BodyText"/>
        <w:ind w:left="100" w:right="153"/>
        <w:jc w:val="both"/>
        <w:rPr>
          <w:rFonts w:asciiTheme="majorHAnsi" w:hAnsiTheme="majorHAnsi"/>
          <w:sz w:val="20"/>
          <w:szCs w:val="20"/>
        </w:rPr>
      </w:pPr>
    </w:p>
    <w:p w14:paraId="31D592B3" w14:textId="2C1D82F4" w:rsidR="00A71E71" w:rsidRPr="009E1F3F" w:rsidRDefault="00DC4112"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qu'à la suite de ces résolutions, l’ICCAT a adopté, en novembre 1996, la </w:t>
      </w:r>
      <w:r w:rsidRPr="009E1F3F">
        <w:rPr>
          <w:rFonts w:asciiTheme="majorHAnsi" w:hAnsiTheme="majorHAnsi"/>
          <w:i/>
          <w:iCs/>
          <w:sz w:val="20"/>
          <w:szCs w:val="20"/>
        </w:rPr>
        <w:t>Résolution de l’ICCAT concernant la pêche aux grands filets pélagiques dérivants</w:t>
      </w:r>
      <w:r w:rsidRPr="009E1F3F">
        <w:rPr>
          <w:rFonts w:asciiTheme="majorHAnsi" w:hAnsiTheme="majorHAnsi"/>
          <w:sz w:val="20"/>
          <w:szCs w:val="20"/>
        </w:rPr>
        <w:t xml:space="preserve"> (Rés. 96-15), afin d’insister davantage sur les préoccupations de l’ICCAT quant à la possibilité que certains stocks relevant du mandat de l’ICCAT, ainsi que d'autres ressources marines, soient affectés négativement par ce type de pêche ;</w:t>
      </w:r>
    </w:p>
    <w:p w14:paraId="7B76C18F" w14:textId="77777777" w:rsidR="00DC4112" w:rsidRPr="009E1F3F" w:rsidRDefault="00DC4112" w:rsidP="00654894">
      <w:pPr>
        <w:pStyle w:val="BodyText"/>
        <w:ind w:left="100" w:right="153"/>
        <w:jc w:val="both"/>
        <w:rPr>
          <w:rFonts w:asciiTheme="majorHAnsi" w:hAnsiTheme="majorHAnsi"/>
          <w:sz w:val="20"/>
          <w:szCs w:val="20"/>
        </w:rPr>
      </w:pPr>
    </w:p>
    <w:p w14:paraId="2C16A633" w14:textId="3B38FCC3" w:rsidR="00DC4112" w:rsidRPr="009E1F3F" w:rsidRDefault="001B4DC6"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w:t>
      </w:r>
      <w:r w:rsidRPr="009E1F3F">
        <w:rPr>
          <w:rFonts w:asciiTheme="majorHAnsi" w:hAnsiTheme="majorHAnsi"/>
          <w:i/>
          <w:iCs/>
          <w:sz w:val="20"/>
          <w:szCs w:val="20"/>
        </w:rPr>
        <w:t>EN OUTRE</w:t>
      </w:r>
      <w:r w:rsidRPr="009E1F3F">
        <w:rPr>
          <w:rFonts w:asciiTheme="majorHAnsi" w:hAnsiTheme="majorHAnsi"/>
          <w:sz w:val="20"/>
          <w:szCs w:val="20"/>
        </w:rPr>
        <w:t xml:space="preserve"> que, dans sa Résolution 96-15, l’ICCAT a chargé le Comité d'application et le Groupe de travail permanent pour l'amélioration des statistiques et des mesures de conservation de l’ICCAT (PWG) de surveiller l’application des résolutions des Nations Unies dans la zone de la Convention de l’ICCAT en vue d'adopter des mesures adéquates ;</w:t>
      </w:r>
    </w:p>
    <w:p w14:paraId="1C3DBE29" w14:textId="5ED297B2" w:rsidR="00DC4112" w:rsidRPr="009E1F3F" w:rsidRDefault="00DC4112" w:rsidP="00654894">
      <w:pPr>
        <w:pStyle w:val="BodyText"/>
        <w:ind w:left="100" w:right="153"/>
        <w:jc w:val="both"/>
        <w:rPr>
          <w:rFonts w:asciiTheme="majorHAnsi" w:hAnsiTheme="majorHAnsi"/>
          <w:sz w:val="20"/>
          <w:szCs w:val="20"/>
        </w:rPr>
      </w:pPr>
    </w:p>
    <w:p w14:paraId="1C88A618" w14:textId="4DBA43D3" w:rsidR="00DC4112" w:rsidRPr="009E1F3F" w:rsidRDefault="00DC4112"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NOTANT</w:t>
      </w:r>
      <w:r w:rsidRPr="009E1F3F">
        <w:rPr>
          <w:rFonts w:asciiTheme="majorHAnsi" w:hAnsiTheme="majorHAnsi"/>
          <w:sz w:val="20"/>
          <w:szCs w:val="20"/>
        </w:rPr>
        <w:t xml:space="preserve"> que l’ICCAT a adopté en 2003 la </w:t>
      </w:r>
      <w:r w:rsidRPr="009E1F3F">
        <w:rPr>
          <w:rFonts w:asciiTheme="majorHAnsi" w:hAnsiTheme="majorHAnsi"/>
          <w:i/>
          <w:iCs/>
          <w:sz w:val="20"/>
          <w:szCs w:val="20"/>
        </w:rPr>
        <w:t>Recommandation de l’ICCAT sur l’espadon de la Méditerranée</w:t>
      </w:r>
      <w:r w:rsidRPr="009E1F3F">
        <w:rPr>
          <w:rFonts w:asciiTheme="majorHAnsi" w:hAnsiTheme="majorHAnsi"/>
          <w:sz w:val="20"/>
          <w:szCs w:val="20"/>
        </w:rPr>
        <w:t xml:space="preserve"> (Rec. 03-04) afin de protéger les petits espadons de la Méditerranée et de demander aux Parties contractantes et aux Parties, Entités ou Entités de pêche non contractantes coopérantes d'interdire l'utilisation de filets dérivants pour les pêcheries de grands pélagiques en Méditerranée ;</w:t>
      </w:r>
    </w:p>
    <w:p w14:paraId="4EE2098A" w14:textId="77777777" w:rsidR="005A2856" w:rsidRPr="009E1F3F" w:rsidRDefault="005A2856" w:rsidP="00654894">
      <w:pPr>
        <w:pStyle w:val="BodyText"/>
        <w:ind w:left="100" w:right="153"/>
        <w:jc w:val="both"/>
        <w:rPr>
          <w:rFonts w:asciiTheme="majorHAnsi" w:hAnsiTheme="majorHAnsi"/>
          <w:sz w:val="20"/>
          <w:szCs w:val="20"/>
        </w:rPr>
      </w:pPr>
    </w:p>
    <w:p w14:paraId="78A4D153" w14:textId="5532C2BA" w:rsidR="005A2856" w:rsidRPr="009E1F3F" w:rsidRDefault="005A2856" w:rsidP="00654894">
      <w:pPr>
        <w:pStyle w:val="BodyText"/>
        <w:ind w:left="100" w:right="153" w:firstLine="326"/>
        <w:jc w:val="both"/>
        <w:rPr>
          <w:rFonts w:asciiTheme="majorHAnsi" w:hAnsiTheme="majorHAnsi"/>
          <w:sz w:val="20"/>
          <w:szCs w:val="20"/>
        </w:rPr>
      </w:pPr>
      <w:r w:rsidRPr="009E1F3F">
        <w:rPr>
          <w:rFonts w:asciiTheme="majorHAnsi" w:hAnsiTheme="majorHAnsi"/>
          <w:i/>
          <w:iCs/>
          <w:sz w:val="20"/>
          <w:szCs w:val="20"/>
        </w:rPr>
        <w:t>CONSIDÉRANT</w:t>
      </w:r>
      <w:r w:rsidRPr="009E1F3F">
        <w:rPr>
          <w:rFonts w:asciiTheme="majorHAnsi" w:hAnsiTheme="majorHAnsi"/>
          <w:sz w:val="20"/>
          <w:szCs w:val="20"/>
        </w:rPr>
        <w:t xml:space="preserve"> que, dans sa Résolution 76/71 du 9 décembre 2021, l'Assemblée générale des Nations Unies, tout en reconnaissant les efforts déployés pour mettre en œuvre le moratoire, s'est déclarée préoccupée par la persistance de la pratique de la pêche pélagique au grand filet dérivant et a donc exhorté les États membres, par l'intermédiaire d’organismes et arrangements régionaux de gestion des pêches, à adopter des mesures efficaces, ou à renforcer celles qui existent pour appliquer et faire appliquer le moratoire mondial actuel sur l'utilisation des grands filets dérivants pélagiques en haute mer, et a demandé aux États de faire en sorte que les navires battant leur pavillon qui sont dûment autorisés à utiliser de grands filets dérivants dans les eaux relevant de leur juridiction nationale n'utilisent pas cet engin pour pêcher en haute mer ;</w:t>
      </w:r>
    </w:p>
    <w:p w14:paraId="30A9153E" w14:textId="77777777" w:rsidR="00A23BCF" w:rsidRPr="009E1F3F" w:rsidRDefault="00A23BCF" w:rsidP="00654894">
      <w:pPr>
        <w:pStyle w:val="BodyText"/>
        <w:ind w:left="100" w:right="153"/>
        <w:jc w:val="both"/>
        <w:rPr>
          <w:rFonts w:asciiTheme="majorHAnsi" w:hAnsiTheme="majorHAnsi"/>
          <w:sz w:val="20"/>
          <w:szCs w:val="20"/>
        </w:rPr>
      </w:pPr>
    </w:p>
    <w:p w14:paraId="0B63E28A" w14:textId="7481C56B" w:rsidR="005A2856" w:rsidRPr="009E1F3F" w:rsidRDefault="00A23BCF"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RECONNAISSANT</w:t>
      </w:r>
      <w:r w:rsidRPr="009E1F3F">
        <w:rPr>
          <w:rFonts w:asciiTheme="majorHAnsi" w:hAnsiTheme="majorHAnsi"/>
          <w:sz w:val="20"/>
          <w:szCs w:val="20"/>
        </w:rPr>
        <w:t xml:space="preserve"> l'impact négatif avéré des filets dérivants sur les captures accidentelles d'espèces marines sensibles résultant de la pêche, qu'il convient de réduire au minimum et, si possible, d'éliminer afin qu'ils ne représentent pas une menace pour l'état de conservation de ces espèces ;</w:t>
      </w:r>
    </w:p>
    <w:p w14:paraId="6C0AB7A8" w14:textId="77777777" w:rsidR="00874921" w:rsidRPr="009E1F3F" w:rsidRDefault="00874921" w:rsidP="00654894">
      <w:pPr>
        <w:pStyle w:val="BodyText"/>
        <w:ind w:left="100" w:right="153" w:firstLine="620"/>
        <w:jc w:val="both"/>
        <w:rPr>
          <w:rFonts w:asciiTheme="majorHAnsi" w:hAnsiTheme="majorHAnsi"/>
          <w:sz w:val="20"/>
          <w:szCs w:val="20"/>
        </w:rPr>
      </w:pPr>
    </w:p>
    <w:p w14:paraId="249219C2" w14:textId="1F10380A" w:rsidR="00874921" w:rsidRPr="009E1F3F" w:rsidRDefault="00874921" w:rsidP="00654894">
      <w:pPr>
        <w:pStyle w:val="BodyText"/>
        <w:ind w:left="100" w:right="153" w:firstLine="326"/>
        <w:jc w:val="both"/>
        <w:rPr>
          <w:rFonts w:asciiTheme="majorHAnsi" w:hAnsiTheme="majorHAnsi"/>
          <w:sz w:val="20"/>
          <w:szCs w:val="20"/>
        </w:rPr>
      </w:pPr>
      <w:r w:rsidRPr="009E1F3F">
        <w:rPr>
          <w:rFonts w:asciiTheme="majorHAnsi" w:hAnsiTheme="majorHAnsi"/>
          <w:i/>
          <w:iCs/>
          <w:sz w:val="20"/>
          <w:szCs w:val="20"/>
        </w:rPr>
        <w:t>RAPPELANT</w:t>
      </w:r>
      <w:r w:rsidRPr="009E1F3F">
        <w:rPr>
          <w:rFonts w:asciiTheme="majorHAnsi" w:hAnsiTheme="majorHAnsi"/>
          <w:sz w:val="20"/>
          <w:szCs w:val="20"/>
        </w:rPr>
        <w:t xml:space="preserve"> que la Commission a réaffirmé son engagement à l'égard du concept de pêche responsable, tel qu'il est établi dans le cadre du Code de conduite de l'Organisation des Nations unies pour l'Alimentation et l'Agriculture (FAO) ;</w:t>
      </w:r>
    </w:p>
    <w:p w14:paraId="19451A5B" w14:textId="77777777" w:rsidR="002601E6" w:rsidRPr="009E1F3F" w:rsidRDefault="002601E6" w:rsidP="00654894">
      <w:pPr>
        <w:pStyle w:val="BodyText"/>
        <w:ind w:left="100" w:right="153"/>
        <w:jc w:val="both"/>
        <w:rPr>
          <w:rFonts w:asciiTheme="majorHAnsi" w:hAnsiTheme="majorHAnsi"/>
          <w:sz w:val="20"/>
          <w:szCs w:val="20"/>
        </w:rPr>
      </w:pPr>
    </w:p>
    <w:p w14:paraId="492A096D" w14:textId="5566D718" w:rsidR="002601E6" w:rsidRPr="009E1F3F" w:rsidRDefault="002601E6" w:rsidP="00654894">
      <w:pPr>
        <w:pStyle w:val="BodyText"/>
        <w:ind w:left="100" w:right="153" w:firstLine="326"/>
        <w:jc w:val="both"/>
        <w:rPr>
          <w:rFonts w:asciiTheme="majorHAnsi" w:hAnsiTheme="majorHAnsi"/>
          <w:sz w:val="20"/>
          <w:szCs w:val="20"/>
        </w:rPr>
      </w:pPr>
      <w:bookmarkStart w:id="3" w:name="_Hlk193805956"/>
      <w:r w:rsidRPr="009E1F3F">
        <w:rPr>
          <w:rFonts w:asciiTheme="majorHAnsi" w:hAnsiTheme="majorHAnsi"/>
          <w:i/>
          <w:iCs/>
          <w:sz w:val="20"/>
          <w:szCs w:val="20"/>
        </w:rPr>
        <w:t>CONSIDÉRANT</w:t>
      </w:r>
      <w:r w:rsidRPr="009E1F3F">
        <w:rPr>
          <w:rFonts w:asciiTheme="majorHAnsi" w:hAnsiTheme="majorHAnsi"/>
          <w:sz w:val="20"/>
          <w:szCs w:val="20"/>
        </w:rPr>
        <w:t xml:space="preserve"> que des faiblesses ont été identifiées dans la mise en œuvre de l'interdiction actuelle de l'utilisation de filets dérivants pour les grands pélagiques dans la Recommandation 03-04, et qu'il est nécessaire de renforcer la législation, notamment en établissant une définition du filet dérivant afin d'améliorer la mise en œuvre de l'interdiction, même lorsque le filet dérivant n'est pas utilisé ;</w:t>
      </w:r>
    </w:p>
    <w:p w14:paraId="22021E52" w14:textId="77777777" w:rsidR="00734928" w:rsidRPr="009E1F3F" w:rsidRDefault="00734928" w:rsidP="00654894">
      <w:pPr>
        <w:pStyle w:val="BodyText"/>
        <w:ind w:left="100" w:right="153"/>
        <w:jc w:val="both"/>
        <w:rPr>
          <w:rFonts w:asciiTheme="majorHAnsi" w:hAnsiTheme="majorHAnsi"/>
          <w:sz w:val="20"/>
          <w:szCs w:val="20"/>
        </w:rPr>
      </w:pPr>
    </w:p>
    <w:p w14:paraId="629F2F2F" w14:textId="4480BE2B" w:rsidR="00734928" w:rsidRPr="009E1F3F" w:rsidRDefault="00C56ED3" w:rsidP="00654894">
      <w:pPr>
        <w:pStyle w:val="BodyText"/>
        <w:ind w:right="153" w:firstLine="426"/>
        <w:jc w:val="both"/>
        <w:rPr>
          <w:rFonts w:asciiTheme="majorHAnsi" w:hAnsiTheme="majorHAnsi"/>
          <w:sz w:val="20"/>
          <w:szCs w:val="20"/>
        </w:rPr>
      </w:pPr>
      <w:r w:rsidRPr="009E1F3F">
        <w:rPr>
          <w:rFonts w:asciiTheme="majorHAnsi" w:hAnsiTheme="majorHAnsi"/>
          <w:i/>
          <w:sz w:val="20"/>
          <w:szCs w:val="20"/>
        </w:rPr>
        <w:t>CONSTATANT</w:t>
      </w:r>
      <w:r w:rsidRPr="009E1F3F">
        <w:rPr>
          <w:rFonts w:asciiTheme="majorHAnsi" w:hAnsiTheme="majorHAnsi"/>
          <w:sz w:val="20"/>
          <w:szCs w:val="20"/>
        </w:rPr>
        <w:t xml:space="preserve"> la nécessité de dispositions harmonisées et efficaces au sein de l’ICCAT et de la Commission générale des pêches pour la Méditerranée (CGPM) pour l'utilisation des filets dérivants dans la mer Méditerranée ;</w:t>
      </w:r>
    </w:p>
    <w:bookmarkEnd w:id="3"/>
    <w:p w14:paraId="79214181" w14:textId="77777777" w:rsidR="00A23BCF" w:rsidRPr="009E1F3F" w:rsidRDefault="00A23BCF" w:rsidP="00654894">
      <w:pPr>
        <w:pStyle w:val="BodyText"/>
        <w:ind w:left="100" w:right="153"/>
        <w:jc w:val="both"/>
        <w:rPr>
          <w:rFonts w:asciiTheme="majorHAnsi" w:hAnsiTheme="majorHAnsi"/>
          <w:sz w:val="20"/>
          <w:szCs w:val="20"/>
        </w:rPr>
      </w:pPr>
    </w:p>
    <w:p w14:paraId="69996717" w14:textId="418AD57C" w:rsidR="00A23BCF" w:rsidRPr="009E1F3F" w:rsidRDefault="00A23BCF" w:rsidP="00654894">
      <w:pPr>
        <w:pStyle w:val="BodyText"/>
        <w:ind w:right="153" w:firstLine="426"/>
        <w:jc w:val="both"/>
        <w:rPr>
          <w:rFonts w:asciiTheme="majorHAnsi" w:hAnsiTheme="majorHAnsi"/>
          <w:sz w:val="20"/>
          <w:szCs w:val="20"/>
        </w:rPr>
      </w:pPr>
      <w:r w:rsidRPr="009E1F3F">
        <w:rPr>
          <w:rFonts w:asciiTheme="majorHAnsi" w:hAnsiTheme="majorHAnsi"/>
          <w:i/>
          <w:iCs/>
          <w:sz w:val="20"/>
          <w:szCs w:val="20"/>
        </w:rPr>
        <w:t>RECONNAISSANT</w:t>
      </w:r>
      <w:r w:rsidRPr="009E1F3F">
        <w:rPr>
          <w:rFonts w:asciiTheme="majorHAnsi" w:hAnsiTheme="majorHAnsi"/>
          <w:sz w:val="20"/>
          <w:szCs w:val="20"/>
        </w:rPr>
        <w:t xml:space="preserve"> le mandat de l’ICCAT pour la conservation des thonidés et des espèces apparentées dans l'océan Atlantique et ses mers adjacentes ;</w:t>
      </w:r>
    </w:p>
    <w:p w14:paraId="5F41C7EE" w14:textId="77777777" w:rsidR="005A2856" w:rsidRPr="009E1F3F" w:rsidRDefault="005A2856" w:rsidP="00654894">
      <w:pPr>
        <w:pStyle w:val="BodyText"/>
        <w:ind w:left="100" w:right="153"/>
        <w:jc w:val="both"/>
        <w:rPr>
          <w:rFonts w:asciiTheme="majorHAnsi" w:hAnsiTheme="majorHAnsi"/>
          <w:sz w:val="20"/>
          <w:szCs w:val="20"/>
        </w:rPr>
      </w:pPr>
    </w:p>
    <w:p w14:paraId="39623D40" w14:textId="77777777" w:rsidR="005F175F" w:rsidRDefault="005F175F">
      <w:pPr>
        <w:rPr>
          <w:rFonts w:asciiTheme="majorHAnsi" w:hAnsiTheme="majorHAnsi"/>
          <w:sz w:val="20"/>
          <w:szCs w:val="20"/>
        </w:rPr>
      </w:pPr>
      <w:r>
        <w:rPr>
          <w:rFonts w:asciiTheme="majorHAnsi" w:hAnsiTheme="majorHAnsi"/>
          <w:sz w:val="20"/>
          <w:szCs w:val="20"/>
        </w:rPr>
        <w:br w:type="page"/>
      </w:r>
    </w:p>
    <w:p w14:paraId="4AC136A4" w14:textId="3C9EF678" w:rsidR="00127FE5" w:rsidRPr="009E1F3F" w:rsidRDefault="00C24E17" w:rsidP="00654894">
      <w:pPr>
        <w:jc w:val="center"/>
        <w:rPr>
          <w:rFonts w:asciiTheme="majorHAnsi" w:hAnsiTheme="majorHAnsi"/>
          <w:sz w:val="20"/>
          <w:szCs w:val="20"/>
        </w:rPr>
      </w:pPr>
      <w:r w:rsidRPr="009E1F3F">
        <w:rPr>
          <w:rFonts w:asciiTheme="majorHAnsi" w:hAnsiTheme="majorHAnsi"/>
          <w:sz w:val="20"/>
          <w:szCs w:val="20"/>
        </w:rPr>
        <w:t>LA COMMISSION INTERNATIONALE POUR LA CONSERVATION DES THONIDÉS DE L’ATLANTIQUE (ICCAT) RECOMMANDE CE QUI SUIT :</w:t>
      </w:r>
    </w:p>
    <w:p w14:paraId="5E2116D7" w14:textId="0D7A2B40" w:rsidR="594A338A" w:rsidRPr="005F175F" w:rsidRDefault="594A338A" w:rsidP="00654894">
      <w:pPr>
        <w:pStyle w:val="ListParagraph"/>
        <w:tabs>
          <w:tab w:val="left" w:pos="400"/>
        </w:tabs>
        <w:ind w:right="127" w:firstLine="0"/>
        <w:rPr>
          <w:rFonts w:asciiTheme="majorHAnsi" w:hAnsiTheme="majorHAnsi"/>
          <w:sz w:val="8"/>
          <w:szCs w:val="8"/>
        </w:rPr>
      </w:pPr>
    </w:p>
    <w:p w14:paraId="107CC3F5" w14:textId="52871357" w:rsidR="004C7B7F" w:rsidRPr="009E1F3F" w:rsidRDefault="76E8C359"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Définitions. Aux fins de la présente Recommandation :</w:t>
      </w:r>
    </w:p>
    <w:p w14:paraId="014F7C35" w14:textId="77777777" w:rsidR="00235F3C" w:rsidRPr="009E1F3F" w:rsidRDefault="00235F3C" w:rsidP="00235F3C">
      <w:pPr>
        <w:pStyle w:val="ListParagraph"/>
        <w:tabs>
          <w:tab w:val="left" w:pos="400"/>
        </w:tabs>
        <w:ind w:right="127" w:firstLine="0"/>
        <w:jc w:val="left"/>
        <w:rPr>
          <w:rFonts w:asciiTheme="majorHAnsi" w:hAnsiTheme="majorHAnsi"/>
          <w:sz w:val="20"/>
          <w:szCs w:val="20"/>
        </w:rPr>
      </w:pPr>
    </w:p>
    <w:p w14:paraId="20DAD0EF" w14:textId="229953C9" w:rsidR="004C7B7F" w:rsidRPr="009E1F3F" w:rsidRDefault="004C7B7F"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Un « filet dérivant pour grands pélagiques » désigne une chaîne de filets maillants maintenus plus ou moins verticalement par des flotteurs sur la ligne supérieure (ralingue supérieure) et pouvant être munis de petits poids sur la ligne inférieure (ralingue de fond), dont le maillage dans toute partie du filet est supérieur ou égal à 90 mm, utilisé à proximité de la surface ou à moyenne profondeur, soit indépendamment, soit avec le bateau auquel il peut être attaché.</w:t>
      </w:r>
    </w:p>
    <w:p w14:paraId="5FC5A0D1" w14:textId="77777777" w:rsidR="00874921" w:rsidRPr="009E1F3F" w:rsidRDefault="00874921" w:rsidP="00654894">
      <w:pPr>
        <w:pStyle w:val="ListParagraph"/>
        <w:tabs>
          <w:tab w:val="left" w:pos="400"/>
        </w:tabs>
        <w:ind w:left="760" w:right="127" w:firstLine="0"/>
        <w:rPr>
          <w:rFonts w:asciiTheme="majorHAnsi" w:hAnsiTheme="majorHAnsi"/>
          <w:sz w:val="20"/>
          <w:szCs w:val="20"/>
        </w:rPr>
      </w:pPr>
    </w:p>
    <w:p w14:paraId="0345AFD4" w14:textId="21D3CC35" w:rsidR="00067B7A" w:rsidRPr="009E1F3F" w:rsidRDefault="00067B7A"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Un « filet dérivant pour thonidés mineurs » désigne un engin de pêche passif constitué d'un ou de plusieurs panneaux de filets maillants qui dérivent avec le courant et maintenus en position quasi-verticale au moyen de flotteurs sur la ligne supérieure (ralingue supérieure) et de petits poids sur la ligne inférieure (ralingue de fond). Le maillage de ces filets doit être inférieur à 90 mm dans toutes les parties du filet.</w:t>
      </w:r>
    </w:p>
    <w:p w14:paraId="042CD57F" w14:textId="77777777" w:rsidR="00874921" w:rsidRPr="009E1F3F" w:rsidRDefault="00874921" w:rsidP="00654894">
      <w:pPr>
        <w:tabs>
          <w:tab w:val="left" w:pos="400"/>
        </w:tabs>
        <w:ind w:right="127"/>
        <w:rPr>
          <w:rFonts w:asciiTheme="majorHAnsi" w:hAnsiTheme="majorHAnsi"/>
          <w:sz w:val="20"/>
          <w:szCs w:val="20"/>
        </w:rPr>
      </w:pPr>
    </w:p>
    <w:p w14:paraId="6181F43B" w14:textId="042B311E" w:rsidR="002E3E3A" w:rsidRPr="009E1F3F" w:rsidRDefault="002E3E3A"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Le « maillage » d'un filet dérivant désigne la distance maximale intérieure entre les joints ou les nœuds opposés d'une même maille lorsqu'elle est entièrement déployée le long de son axe le plus long possible, à l'exclusion des mailles situées en haut, en bas ou sur le côté d'une ralingue du filet, des mailles situées à moins de trois mailles des laçages et des cordages, et des mailles qui ont été brisées ou qui ont été réparées.</w:t>
      </w:r>
    </w:p>
    <w:p w14:paraId="39628EB4" w14:textId="77777777" w:rsidR="00874921" w:rsidRPr="009E1F3F" w:rsidRDefault="00874921" w:rsidP="00654894">
      <w:pPr>
        <w:tabs>
          <w:tab w:val="left" w:pos="400"/>
        </w:tabs>
        <w:ind w:right="127"/>
        <w:rPr>
          <w:rFonts w:asciiTheme="majorHAnsi" w:hAnsiTheme="majorHAnsi"/>
          <w:sz w:val="20"/>
          <w:szCs w:val="20"/>
        </w:rPr>
      </w:pPr>
    </w:p>
    <w:p w14:paraId="11753004" w14:textId="3FC09768" w:rsidR="008B44D7" w:rsidRPr="009E1F3F" w:rsidRDefault="00CA4B51" w:rsidP="00516263">
      <w:pPr>
        <w:pStyle w:val="ListParagraph"/>
        <w:numPr>
          <w:ilvl w:val="0"/>
          <w:numId w:val="3"/>
        </w:numPr>
        <w:tabs>
          <w:tab w:val="left" w:pos="400"/>
        </w:tabs>
        <w:ind w:left="851" w:right="127" w:hanging="451"/>
        <w:rPr>
          <w:rFonts w:asciiTheme="majorHAnsi" w:hAnsiTheme="majorHAnsi"/>
          <w:sz w:val="20"/>
          <w:szCs w:val="20"/>
        </w:rPr>
      </w:pPr>
      <w:r w:rsidRPr="009E1F3F">
        <w:rPr>
          <w:rFonts w:asciiTheme="majorHAnsi" w:hAnsiTheme="majorHAnsi"/>
          <w:sz w:val="20"/>
          <w:szCs w:val="20"/>
        </w:rPr>
        <w:t>Les « espèces de thonidés mineurs » désignent les espèces énumérées à l</w:t>
      </w:r>
      <w:r w:rsidRPr="009E1F3F">
        <w:rPr>
          <w:rFonts w:asciiTheme="majorHAnsi" w:hAnsiTheme="majorHAnsi"/>
          <w:b/>
          <w:bCs/>
          <w:sz w:val="20"/>
          <w:szCs w:val="20"/>
        </w:rPr>
        <w:t>'annexe 1.</w:t>
      </w:r>
    </w:p>
    <w:p w14:paraId="722351ED" w14:textId="77777777" w:rsidR="00836233" w:rsidRPr="009E1F3F" w:rsidRDefault="00836233" w:rsidP="00654894">
      <w:pPr>
        <w:pStyle w:val="ListParagraph"/>
        <w:tabs>
          <w:tab w:val="left" w:pos="400"/>
        </w:tabs>
        <w:ind w:left="760" w:right="127" w:firstLine="0"/>
        <w:rPr>
          <w:rFonts w:asciiTheme="majorHAnsi" w:hAnsiTheme="majorHAnsi"/>
          <w:sz w:val="20"/>
          <w:szCs w:val="20"/>
        </w:rPr>
      </w:pPr>
    </w:p>
    <w:p w14:paraId="436F892B" w14:textId="5958D943" w:rsidR="001C065C" w:rsidRPr="009E1F3F" w:rsidRDefault="00A23BCF"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 xml:space="preserve">Les Parties contractantes et les Parties, Entités ou Entités de pêche non contractantes coopérantes devront interdire la possession à bord des navires, ainsi que l'utilisation de filets dérivants pour les espèces de grands pélagiques, telles que définies au paragraphe 1(a), pour la pêche des espèces relevant de l’ICCAT dans la zone de la Convention de l’ICCAT. Les Parties contractantes et les Parties, Entités ou Entités de pêche non contractantes coopérantes côtières de l’ICCAT devront également interdire la possession, le transport ou le stockage de ces engins de pêche sur leurs territoires respectifs. </w:t>
      </w:r>
    </w:p>
    <w:p w14:paraId="4D59BA44" w14:textId="77777777" w:rsidR="001C065C" w:rsidRPr="009E1F3F" w:rsidRDefault="001C065C" w:rsidP="00654894">
      <w:pPr>
        <w:pStyle w:val="ListParagraph"/>
        <w:tabs>
          <w:tab w:val="left" w:pos="400"/>
        </w:tabs>
        <w:ind w:right="127" w:firstLine="0"/>
        <w:jc w:val="left"/>
        <w:rPr>
          <w:rFonts w:asciiTheme="majorHAnsi" w:hAnsiTheme="majorHAnsi"/>
          <w:sz w:val="20"/>
          <w:szCs w:val="20"/>
        </w:rPr>
      </w:pPr>
    </w:p>
    <w:p w14:paraId="47244DD0" w14:textId="716BF80D" w:rsidR="008A14FB" w:rsidRPr="009E1F3F" w:rsidRDefault="008A14FB"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L'utilisation de filets dérivants pour la pêche des thonidés mineurs, tels que spécifiés au paragraphe</w:t>
      </w:r>
      <w:r w:rsidR="005F7735">
        <w:rPr>
          <w:rFonts w:asciiTheme="majorHAnsi" w:hAnsiTheme="majorHAnsi"/>
          <w:sz w:val="20"/>
          <w:szCs w:val="20"/>
        </w:rPr>
        <w:t> </w:t>
      </w:r>
      <w:r w:rsidRPr="009E1F3F">
        <w:rPr>
          <w:rFonts w:asciiTheme="majorHAnsi" w:hAnsiTheme="majorHAnsi"/>
          <w:sz w:val="20"/>
          <w:szCs w:val="20"/>
        </w:rPr>
        <w:t>1.</w:t>
      </w:r>
      <w:r w:rsidR="00956EB6">
        <w:rPr>
          <w:rFonts w:asciiTheme="majorHAnsi" w:hAnsiTheme="majorHAnsi"/>
          <w:sz w:val="20"/>
          <w:szCs w:val="20"/>
        </w:rPr>
        <w:t> </w:t>
      </w:r>
      <w:r w:rsidRPr="009E1F3F">
        <w:rPr>
          <w:rFonts w:asciiTheme="majorHAnsi" w:hAnsiTheme="majorHAnsi"/>
          <w:sz w:val="20"/>
          <w:szCs w:val="20"/>
        </w:rPr>
        <w:t>b), n'est autorisée que dans les zones côtières s'étendant jusqu'à une distance maximale de trois milles nautiques du rivage et en utilisant un ou plusieurs filets dérivants d'une longueur totale combinée ne dépassant pas 2.500 mètres. La possession de filet(s) dérivant(s) dont la longueur totale dépasse 2.500 mètres est interdite.</w:t>
      </w:r>
    </w:p>
    <w:p w14:paraId="39A250C7" w14:textId="77777777" w:rsidR="00511588" w:rsidRPr="009E1F3F" w:rsidRDefault="00511588" w:rsidP="00654894">
      <w:pPr>
        <w:pStyle w:val="ListParagraph"/>
        <w:tabs>
          <w:tab w:val="left" w:pos="400"/>
        </w:tabs>
        <w:ind w:right="127" w:firstLine="0"/>
        <w:rPr>
          <w:rFonts w:asciiTheme="majorHAnsi" w:hAnsiTheme="majorHAnsi"/>
          <w:sz w:val="20"/>
          <w:szCs w:val="20"/>
        </w:rPr>
      </w:pPr>
    </w:p>
    <w:p w14:paraId="1FEAC347" w14:textId="74E123B3" w:rsidR="008A14FB" w:rsidRPr="009E1F3F" w:rsidRDefault="00511588" w:rsidP="00654894">
      <w:pPr>
        <w:pStyle w:val="ListParagraph"/>
        <w:tabs>
          <w:tab w:val="left" w:pos="400"/>
        </w:tabs>
        <w:ind w:right="127" w:firstLine="0"/>
        <w:rPr>
          <w:rFonts w:asciiTheme="majorHAnsi" w:hAnsiTheme="majorHAnsi"/>
          <w:sz w:val="20"/>
          <w:szCs w:val="20"/>
        </w:rPr>
      </w:pPr>
      <w:r w:rsidRPr="009E1F3F">
        <w:rPr>
          <w:rFonts w:asciiTheme="majorHAnsi" w:hAnsiTheme="majorHAnsi"/>
          <w:sz w:val="20"/>
          <w:szCs w:val="20"/>
        </w:rPr>
        <w:t>Ces filets dérivants doivent rester attachés au navire de pêche pendant toute la durée de l'opération de pêche et le temps d'immersion ne doit pas dépasser 24 heures.</w:t>
      </w:r>
    </w:p>
    <w:p w14:paraId="7204AF30" w14:textId="77777777" w:rsidR="00931EE3" w:rsidRPr="009E1F3F" w:rsidRDefault="00931EE3" w:rsidP="00654894">
      <w:pPr>
        <w:pStyle w:val="ListParagraph"/>
        <w:tabs>
          <w:tab w:val="left" w:pos="400"/>
        </w:tabs>
        <w:ind w:right="127" w:firstLine="0"/>
        <w:rPr>
          <w:rFonts w:asciiTheme="majorHAnsi" w:hAnsiTheme="majorHAnsi"/>
          <w:sz w:val="20"/>
          <w:szCs w:val="20"/>
        </w:rPr>
      </w:pPr>
    </w:p>
    <w:p w14:paraId="0AEE7000" w14:textId="34FD3C72" w:rsidR="008A14FB" w:rsidRPr="009E1F3F" w:rsidRDefault="008A14FB" w:rsidP="00654894">
      <w:pPr>
        <w:pStyle w:val="ListParagraph"/>
        <w:tabs>
          <w:tab w:val="left" w:pos="400"/>
        </w:tabs>
        <w:ind w:right="127" w:firstLine="0"/>
        <w:rPr>
          <w:rFonts w:asciiTheme="majorHAnsi" w:hAnsiTheme="majorHAnsi"/>
          <w:sz w:val="20"/>
          <w:szCs w:val="20"/>
        </w:rPr>
      </w:pPr>
      <w:r w:rsidRPr="009E1F3F">
        <w:rPr>
          <w:rFonts w:asciiTheme="majorHAnsi" w:hAnsiTheme="majorHAnsi"/>
          <w:sz w:val="20"/>
          <w:szCs w:val="20"/>
        </w:rPr>
        <w:t>L'autorisation d'utiliser des filets dérivants pour la capture d’espèces de thonidés mineurs est limitée exclusivement aux navires artisanaux d'une longueur totale inférieure à 10 mètres.</w:t>
      </w:r>
    </w:p>
    <w:p w14:paraId="4D9E96E4" w14:textId="77777777" w:rsidR="00836233" w:rsidRPr="009E1F3F" w:rsidRDefault="00836233" w:rsidP="00654894">
      <w:pPr>
        <w:tabs>
          <w:tab w:val="left" w:pos="400"/>
        </w:tabs>
        <w:ind w:right="127"/>
        <w:rPr>
          <w:rFonts w:asciiTheme="majorHAnsi" w:hAnsiTheme="majorHAnsi"/>
          <w:sz w:val="20"/>
          <w:szCs w:val="20"/>
        </w:rPr>
      </w:pPr>
    </w:p>
    <w:p w14:paraId="62812D6F" w14:textId="5E289F94" w:rsidR="00A23BCF" w:rsidRPr="009E1F3F" w:rsidRDefault="00B7537E"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 xml:space="preserve">Lorsque l'utilisation de filets dérivants est autorisée, conformément au paragraphe 3 ci-dessus, toute prise accessoire d'espèces de l’ICCAT autres que les espèces de thonidés mineurs autorisées devra être rapidement remise à l'eau ou rejetée. Tous ces rejets devront être décomptés du </w:t>
      </w:r>
      <w:r w:rsidR="00956EB6" w:rsidRPr="009E1F3F">
        <w:rPr>
          <w:rFonts w:asciiTheme="majorHAnsi" w:hAnsiTheme="majorHAnsi"/>
          <w:sz w:val="20"/>
          <w:szCs w:val="20"/>
        </w:rPr>
        <w:t>quota</w:t>
      </w:r>
      <w:r w:rsidR="00956EB6" w:rsidRPr="009E1F3F">
        <w:rPr>
          <w:rStyle w:val="CommentReference"/>
          <w:rFonts w:asciiTheme="majorHAnsi" w:hAnsiTheme="majorHAnsi"/>
          <w:sz w:val="20"/>
          <w:szCs w:val="20"/>
        </w:rPr>
        <w:t xml:space="preserve"> </w:t>
      </w:r>
      <w:r w:rsidR="00956EB6" w:rsidRPr="009E1F3F">
        <w:rPr>
          <w:rFonts w:asciiTheme="majorHAnsi" w:hAnsiTheme="majorHAnsi"/>
          <w:sz w:val="20"/>
          <w:szCs w:val="20"/>
        </w:rPr>
        <w:t>de</w:t>
      </w:r>
      <w:r w:rsidRPr="009E1F3F">
        <w:rPr>
          <w:rFonts w:asciiTheme="majorHAnsi" w:hAnsiTheme="majorHAnsi"/>
          <w:sz w:val="20"/>
          <w:szCs w:val="20"/>
        </w:rPr>
        <w:t xml:space="preserve"> la CPC et déclarés au Secrétariat de l'ICCAT par le biais de la soumission régulière des rapports statistiques de capture de la tâche 1 et de la tâche 2.</w:t>
      </w:r>
    </w:p>
    <w:p w14:paraId="666DC7C8" w14:textId="77777777" w:rsidR="00836233" w:rsidRPr="009E1F3F" w:rsidRDefault="00836233" w:rsidP="00654894">
      <w:pPr>
        <w:pStyle w:val="ListParagraph"/>
        <w:tabs>
          <w:tab w:val="left" w:pos="400"/>
        </w:tabs>
        <w:ind w:right="127" w:firstLine="0"/>
        <w:jc w:val="left"/>
        <w:rPr>
          <w:rFonts w:asciiTheme="majorHAnsi" w:hAnsiTheme="majorHAnsi"/>
          <w:sz w:val="20"/>
          <w:szCs w:val="20"/>
        </w:rPr>
      </w:pPr>
    </w:p>
    <w:p w14:paraId="1E85D60B" w14:textId="213D2CC5" w:rsidR="00A23BCF" w:rsidRPr="009E1F3F" w:rsidRDefault="00836233"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Afin d'évaluer l'impact de l'utilisation des filets dérivants en Méditerranée, le Secrétariat de l’ICCAT devra coopérer et se coordonner avec la CGPM, conformément aux dispositions de la Résolution CGPM/46/2023/10 concernant la restriction et l'interdiction de l’utilisation des filets dérivants en Méditerranée.</w:t>
      </w:r>
    </w:p>
    <w:p w14:paraId="340E6535" w14:textId="77777777" w:rsidR="00836233" w:rsidRPr="009E1F3F" w:rsidRDefault="00836233" w:rsidP="00654894">
      <w:pPr>
        <w:pStyle w:val="ListParagraph"/>
        <w:tabs>
          <w:tab w:val="left" w:pos="400"/>
        </w:tabs>
        <w:ind w:right="127" w:firstLine="0"/>
        <w:jc w:val="left"/>
        <w:rPr>
          <w:rFonts w:asciiTheme="majorHAnsi" w:hAnsiTheme="majorHAnsi"/>
          <w:sz w:val="20"/>
          <w:szCs w:val="20"/>
        </w:rPr>
      </w:pPr>
    </w:p>
    <w:p w14:paraId="5CC111B4" w14:textId="026CA71D" w:rsidR="005F175F" w:rsidRPr="005F175F" w:rsidRDefault="00A57C6E" w:rsidP="00A72658">
      <w:pPr>
        <w:pStyle w:val="ListParagraph"/>
        <w:numPr>
          <w:ilvl w:val="0"/>
          <w:numId w:val="2"/>
        </w:numPr>
        <w:tabs>
          <w:tab w:val="left" w:pos="400"/>
        </w:tabs>
        <w:ind w:right="127" w:hanging="400"/>
        <w:jc w:val="both"/>
        <w:rPr>
          <w:rFonts w:asciiTheme="majorHAnsi" w:hAnsiTheme="majorHAnsi"/>
          <w:sz w:val="20"/>
          <w:szCs w:val="20"/>
        </w:rPr>
      </w:pPr>
      <w:r w:rsidRPr="005F175F">
        <w:rPr>
          <w:rFonts w:asciiTheme="majorHAnsi" w:hAnsiTheme="majorHAnsi"/>
          <w:sz w:val="20"/>
          <w:szCs w:val="20"/>
        </w:rPr>
        <w:t>Afin de garantir l'applicabilité et la vérifiabilité de l'interdiction d'utiliser des filets dérivants pour les espèces de grands pélagiques dans les pêcheries de l'ICCAT, les CPC ne devront pas délivrer de licence de filet dérivant aux navires détenant des licences ciblant des espèces de l'ICCAT autres que les espèces de thonidés mineurs autorisées en vertu du paragraphe</w:t>
      </w:r>
      <w:r w:rsidR="0065763C" w:rsidRPr="005F175F">
        <w:rPr>
          <w:rFonts w:asciiTheme="majorHAnsi" w:hAnsiTheme="majorHAnsi"/>
          <w:sz w:val="20"/>
          <w:szCs w:val="20"/>
        </w:rPr>
        <w:t xml:space="preserve"> 1.d).</w:t>
      </w:r>
      <w:r w:rsidR="005F175F" w:rsidRPr="005F175F">
        <w:rPr>
          <w:rFonts w:asciiTheme="majorHAnsi" w:hAnsiTheme="majorHAnsi"/>
          <w:sz w:val="20"/>
          <w:szCs w:val="20"/>
        </w:rPr>
        <w:br w:type="page"/>
      </w:r>
    </w:p>
    <w:p w14:paraId="78104C74" w14:textId="08D48A0F" w:rsidR="00A23BCF" w:rsidRPr="009E1F3F" w:rsidRDefault="00A23BCF" w:rsidP="00516263">
      <w:pPr>
        <w:pStyle w:val="ListParagraph"/>
        <w:numPr>
          <w:ilvl w:val="0"/>
          <w:numId w:val="2"/>
        </w:numPr>
        <w:tabs>
          <w:tab w:val="left" w:pos="400"/>
        </w:tabs>
        <w:ind w:right="127" w:hanging="400"/>
        <w:jc w:val="both"/>
        <w:rPr>
          <w:rFonts w:asciiTheme="majorHAnsi" w:hAnsiTheme="majorHAnsi"/>
          <w:sz w:val="20"/>
          <w:szCs w:val="20"/>
        </w:rPr>
      </w:pPr>
      <w:r w:rsidRPr="009E1F3F">
        <w:rPr>
          <w:rFonts w:asciiTheme="majorHAnsi" w:hAnsiTheme="majorHAnsi"/>
          <w:sz w:val="20"/>
          <w:szCs w:val="20"/>
        </w:rPr>
        <w:t>Les dispositions de la présente Recommandation devront être révisées et, si nécessaire, amendées à la suite de tout avis scientifique du SCRS ou de tout résultat découlant des activités conjointes de l'ICCAT et de la CGPM auxquelles il est fait référence au paragraphe 5.</w:t>
      </w:r>
    </w:p>
    <w:p w14:paraId="0B35322C" w14:textId="1412B7C7" w:rsidR="001B4DC6" w:rsidRPr="009E1F3F" w:rsidRDefault="001B4DC6" w:rsidP="00654894">
      <w:pPr>
        <w:tabs>
          <w:tab w:val="left" w:pos="400"/>
        </w:tabs>
        <w:ind w:left="100" w:right="127"/>
        <w:rPr>
          <w:rFonts w:asciiTheme="majorHAnsi" w:hAnsiTheme="majorHAnsi"/>
          <w:sz w:val="20"/>
          <w:szCs w:val="20"/>
        </w:rPr>
      </w:pPr>
    </w:p>
    <w:p w14:paraId="5D4D6162" w14:textId="03888C30" w:rsidR="0014504F" w:rsidRPr="009E1F3F" w:rsidRDefault="0032712C" w:rsidP="0032712C">
      <w:pPr>
        <w:tabs>
          <w:tab w:val="left" w:pos="400"/>
        </w:tabs>
        <w:spacing w:line="247" w:lineRule="auto"/>
        <w:ind w:left="100" w:right="127"/>
        <w:jc w:val="right"/>
        <w:rPr>
          <w:rFonts w:asciiTheme="majorHAnsi" w:hAnsiTheme="majorHAnsi"/>
          <w:b/>
          <w:bCs/>
          <w:sz w:val="20"/>
          <w:szCs w:val="20"/>
        </w:rPr>
      </w:pPr>
      <w:r w:rsidRPr="009E1F3F">
        <w:rPr>
          <w:rFonts w:asciiTheme="majorHAnsi" w:hAnsiTheme="majorHAnsi"/>
          <w:b/>
          <w:sz w:val="20"/>
          <w:szCs w:val="20"/>
        </w:rPr>
        <w:t>Annexe 1</w:t>
      </w:r>
    </w:p>
    <w:p w14:paraId="37C6FF08" w14:textId="77777777" w:rsidR="0032712C" w:rsidRPr="009E1F3F" w:rsidRDefault="0032712C" w:rsidP="0032712C">
      <w:pPr>
        <w:tabs>
          <w:tab w:val="left" w:pos="400"/>
        </w:tabs>
        <w:spacing w:line="247" w:lineRule="auto"/>
        <w:ind w:left="100" w:right="127"/>
        <w:jc w:val="right"/>
        <w:rPr>
          <w:rFonts w:asciiTheme="majorHAnsi" w:hAnsiTheme="majorHAnsi"/>
          <w:sz w:val="20"/>
          <w:szCs w:val="20"/>
        </w:rPr>
      </w:pPr>
    </w:p>
    <w:p w14:paraId="52F73CD2" w14:textId="77777777" w:rsidR="0032712C" w:rsidRPr="009E1F3F" w:rsidRDefault="0032712C" w:rsidP="00236E05">
      <w:pPr>
        <w:tabs>
          <w:tab w:val="left" w:pos="400"/>
        </w:tabs>
        <w:ind w:left="100" w:right="125"/>
        <w:rPr>
          <w:rFonts w:asciiTheme="majorHAnsi" w:hAnsiTheme="majorHAnsi"/>
          <w:sz w:val="20"/>
          <w:szCs w:val="20"/>
        </w:rPr>
      </w:pPr>
    </w:p>
    <w:p w14:paraId="762279A4" w14:textId="31C98654" w:rsidR="0032712C" w:rsidRPr="009E1F3F" w:rsidRDefault="0032712C" w:rsidP="00236E05">
      <w:pPr>
        <w:tabs>
          <w:tab w:val="left" w:pos="400"/>
        </w:tabs>
        <w:ind w:right="125"/>
        <w:jc w:val="center"/>
        <w:rPr>
          <w:rFonts w:asciiTheme="majorHAnsi" w:hAnsiTheme="majorHAnsi"/>
          <w:b/>
          <w:bCs/>
          <w:w w:val="105"/>
          <w:sz w:val="20"/>
          <w:szCs w:val="20"/>
        </w:rPr>
      </w:pPr>
      <w:r w:rsidRPr="009E1F3F">
        <w:rPr>
          <w:rFonts w:asciiTheme="majorHAnsi" w:hAnsiTheme="majorHAnsi"/>
          <w:b/>
          <w:sz w:val="20"/>
          <w:szCs w:val="20"/>
        </w:rPr>
        <w:t>Liste des espèces de thonidés mineurs de l’ICCAT</w:t>
      </w:r>
    </w:p>
    <w:p w14:paraId="7DC71ECE" w14:textId="77777777" w:rsidR="00336684" w:rsidRPr="009E1F3F" w:rsidRDefault="00336684" w:rsidP="00236E05">
      <w:pPr>
        <w:tabs>
          <w:tab w:val="left" w:pos="400"/>
        </w:tabs>
        <w:ind w:right="125"/>
        <w:rPr>
          <w:rFonts w:asciiTheme="majorHAnsi" w:hAnsiTheme="majorHAnsi"/>
          <w:w w:val="105"/>
          <w:sz w:val="20"/>
          <w:szCs w:val="20"/>
        </w:rPr>
      </w:pPr>
    </w:p>
    <w:p w14:paraId="6F92280D" w14:textId="4DB491CE"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BLF </w:t>
      </w:r>
      <w:r w:rsidRPr="009E1F3F">
        <w:rPr>
          <w:rFonts w:asciiTheme="majorHAnsi" w:hAnsiTheme="majorHAnsi"/>
          <w:sz w:val="20"/>
          <w:szCs w:val="20"/>
        </w:rPr>
        <w:tab/>
        <w:t>Thon à nageoires noires (</w:t>
      </w:r>
      <w:proofErr w:type="spellStart"/>
      <w:r w:rsidRPr="009E1F3F">
        <w:rPr>
          <w:rFonts w:asciiTheme="majorHAnsi" w:hAnsiTheme="majorHAnsi"/>
          <w:i/>
          <w:sz w:val="20"/>
          <w:szCs w:val="20"/>
        </w:rPr>
        <w:t>Thunnus</w:t>
      </w:r>
      <w:proofErr w:type="spellEnd"/>
      <w:r w:rsidRPr="009E1F3F">
        <w:rPr>
          <w:rFonts w:asciiTheme="majorHAnsi" w:hAnsiTheme="majorHAnsi"/>
          <w:i/>
          <w:sz w:val="20"/>
          <w:szCs w:val="20"/>
        </w:rPr>
        <w:t xml:space="preserve"> </w:t>
      </w:r>
      <w:proofErr w:type="spellStart"/>
      <w:r w:rsidRPr="009E1F3F">
        <w:rPr>
          <w:rFonts w:asciiTheme="majorHAnsi" w:hAnsiTheme="majorHAnsi"/>
          <w:i/>
          <w:sz w:val="20"/>
          <w:szCs w:val="20"/>
        </w:rPr>
        <w:t>atlanticus</w:t>
      </w:r>
      <w:proofErr w:type="spellEnd"/>
      <w:r w:rsidRPr="009E1F3F">
        <w:rPr>
          <w:rFonts w:asciiTheme="majorHAnsi" w:hAnsiTheme="majorHAnsi"/>
          <w:sz w:val="20"/>
          <w:szCs w:val="20"/>
        </w:rPr>
        <w:t>)</w:t>
      </w:r>
    </w:p>
    <w:p w14:paraId="55176160" w14:textId="577ED8FD"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BLT</w:t>
      </w:r>
      <w:r w:rsidRPr="009E1F3F">
        <w:rPr>
          <w:rFonts w:asciiTheme="majorHAnsi" w:hAnsiTheme="majorHAnsi"/>
          <w:sz w:val="20"/>
          <w:szCs w:val="20"/>
        </w:rPr>
        <w:tab/>
      </w:r>
      <w:proofErr w:type="spellStart"/>
      <w:r w:rsidRPr="009E1F3F">
        <w:rPr>
          <w:rFonts w:asciiTheme="majorHAnsi" w:hAnsiTheme="majorHAnsi"/>
          <w:sz w:val="20"/>
          <w:szCs w:val="20"/>
        </w:rPr>
        <w:t>Bonitou</w:t>
      </w:r>
      <w:proofErr w:type="spellEnd"/>
      <w:r w:rsidRPr="009E1F3F">
        <w:rPr>
          <w:rFonts w:asciiTheme="majorHAnsi" w:hAnsiTheme="majorHAnsi"/>
          <w:sz w:val="20"/>
          <w:szCs w:val="20"/>
        </w:rPr>
        <w:t xml:space="preserve"> (</w:t>
      </w:r>
      <w:proofErr w:type="spellStart"/>
      <w:r w:rsidRPr="009E1F3F">
        <w:rPr>
          <w:rFonts w:asciiTheme="majorHAnsi" w:hAnsiTheme="majorHAnsi"/>
          <w:i/>
          <w:iCs/>
          <w:sz w:val="20"/>
          <w:szCs w:val="20"/>
        </w:rPr>
        <w:t>Auxis</w:t>
      </w:r>
      <w:proofErr w:type="spellEnd"/>
      <w:r w:rsidRPr="009E1F3F">
        <w:rPr>
          <w:rFonts w:asciiTheme="majorHAnsi" w:hAnsiTheme="majorHAnsi"/>
          <w:i/>
          <w:iCs/>
          <w:sz w:val="20"/>
          <w:szCs w:val="20"/>
        </w:rPr>
        <w:t xml:space="preserve"> </w:t>
      </w:r>
      <w:proofErr w:type="spellStart"/>
      <w:r w:rsidRPr="009E1F3F">
        <w:rPr>
          <w:rFonts w:asciiTheme="majorHAnsi" w:hAnsiTheme="majorHAnsi"/>
          <w:i/>
          <w:iCs/>
          <w:sz w:val="20"/>
          <w:szCs w:val="20"/>
        </w:rPr>
        <w:t>rochei</w:t>
      </w:r>
      <w:proofErr w:type="spellEnd"/>
      <w:r w:rsidRPr="009E1F3F">
        <w:rPr>
          <w:rFonts w:asciiTheme="majorHAnsi" w:hAnsiTheme="majorHAnsi"/>
          <w:sz w:val="20"/>
          <w:szCs w:val="20"/>
        </w:rPr>
        <w:t>)</w:t>
      </w:r>
    </w:p>
    <w:p w14:paraId="7CFF7404" w14:textId="5036B3E0"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BON</w:t>
      </w:r>
      <w:r w:rsidRPr="009E1F3F">
        <w:rPr>
          <w:rFonts w:asciiTheme="majorHAnsi" w:hAnsiTheme="majorHAnsi"/>
          <w:sz w:val="20"/>
          <w:szCs w:val="20"/>
        </w:rPr>
        <w:tab/>
        <w:t>Bonite à dos rayé (</w:t>
      </w:r>
      <w:r w:rsidRPr="009E1F3F">
        <w:rPr>
          <w:rFonts w:asciiTheme="majorHAnsi" w:hAnsiTheme="majorHAnsi"/>
          <w:i/>
          <w:iCs/>
          <w:sz w:val="20"/>
          <w:szCs w:val="20"/>
        </w:rPr>
        <w:t xml:space="preserve">Sarda </w:t>
      </w:r>
      <w:proofErr w:type="spellStart"/>
      <w:r w:rsidRPr="009E1F3F">
        <w:rPr>
          <w:rFonts w:asciiTheme="majorHAnsi" w:hAnsiTheme="majorHAnsi"/>
          <w:i/>
          <w:iCs/>
          <w:sz w:val="20"/>
          <w:szCs w:val="20"/>
        </w:rPr>
        <w:t>sarda</w:t>
      </w:r>
      <w:proofErr w:type="spellEnd"/>
      <w:r w:rsidRPr="009E1F3F">
        <w:rPr>
          <w:rFonts w:asciiTheme="majorHAnsi" w:hAnsiTheme="majorHAnsi"/>
          <w:sz w:val="20"/>
          <w:szCs w:val="20"/>
        </w:rPr>
        <w:t>)</w:t>
      </w:r>
    </w:p>
    <w:p w14:paraId="6F12BCFB" w14:textId="38575527"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BOP</w:t>
      </w:r>
      <w:r w:rsidRPr="009E1F3F">
        <w:rPr>
          <w:rFonts w:asciiTheme="majorHAnsi" w:hAnsiTheme="majorHAnsi"/>
          <w:sz w:val="20"/>
          <w:szCs w:val="20"/>
        </w:rPr>
        <w:tab/>
      </w:r>
      <w:proofErr w:type="spellStart"/>
      <w:r w:rsidRPr="009E1F3F">
        <w:rPr>
          <w:rFonts w:asciiTheme="majorHAnsi" w:hAnsiTheme="majorHAnsi"/>
          <w:sz w:val="20"/>
          <w:szCs w:val="20"/>
        </w:rPr>
        <w:t>Palomette</w:t>
      </w:r>
      <w:proofErr w:type="spellEnd"/>
      <w:r w:rsidRPr="009E1F3F">
        <w:rPr>
          <w:rFonts w:asciiTheme="majorHAnsi" w:hAnsiTheme="majorHAnsi"/>
          <w:sz w:val="20"/>
          <w:szCs w:val="20"/>
        </w:rPr>
        <w:t xml:space="preserve"> (</w:t>
      </w:r>
      <w:proofErr w:type="spellStart"/>
      <w:r w:rsidRPr="009E1F3F">
        <w:rPr>
          <w:rFonts w:asciiTheme="majorHAnsi" w:hAnsiTheme="majorHAnsi"/>
          <w:i/>
          <w:sz w:val="20"/>
          <w:szCs w:val="20"/>
        </w:rPr>
        <w:t>Orcynopsis</w:t>
      </w:r>
      <w:proofErr w:type="spellEnd"/>
      <w:r w:rsidRPr="009E1F3F">
        <w:rPr>
          <w:rFonts w:asciiTheme="majorHAnsi" w:hAnsiTheme="majorHAnsi"/>
          <w:i/>
          <w:sz w:val="20"/>
          <w:szCs w:val="20"/>
        </w:rPr>
        <w:t xml:space="preserve"> </w:t>
      </w:r>
      <w:proofErr w:type="spellStart"/>
      <w:r w:rsidRPr="009E1F3F">
        <w:rPr>
          <w:rFonts w:asciiTheme="majorHAnsi" w:hAnsiTheme="majorHAnsi"/>
          <w:i/>
          <w:sz w:val="20"/>
          <w:szCs w:val="20"/>
        </w:rPr>
        <w:t>unicolor</w:t>
      </w:r>
      <w:proofErr w:type="spellEnd"/>
      <w:r w:rsidRPr="009E1F3F">
        <w:rPr>
          <w:rFonts w:asciiTheme="majorHAnsi" w:hAnsiTheme="majorHAnsi"/>
          <w:sz w:val="20"/>
          <w:szCs w:val="20"/>
        </w:rPr>
        <w:t xml:space="preserve">) </w:t>
      </w:r>
    </w:p>
    <w:p w14:paraId="3CE8C904" w14:textId="0BD147D2"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BRS </w:t>
      </w:r>
      <w:r w:rsidRPr="009E1F3F">
        <w:rPr>
          <w:rFonts w:asciiTheme="majorHAnsi" w:hAnsiTheme="majorHAnsi"/>
          <w:sz w:val="20"/>
          <w:szCs w:val="20"/>
        </w:rPr>
        <w:tab/>
      </w:r>
      <w:proofErr w:type="spellStart"/>
      <w:r w:rsidRPr="009E1F3F">
        <w:rPr>
          <w:rFonts w:asciiTheme="majorHAnsi" w:hAnsiTheme="majorHAnsi"/>
          <w:sz w:val="20"/>
          <w:szCs w:val="20"/>
        </w:rPr>
        <w:t>Thazard</w:t>
      </w:r>
      <w:proofErr w:type="spellEnd"/>
      <w:r w:rsidRPr="009E1F3F">
        <w:rPr>
          <w:rFonts w:asciiTheme="majorHAnsi" w:hAnsiTheme="majorHAnsi"/>
          <w:sz w:val="20"/>
          <w:szCs w:val="20"/>
        </w:rPr>
        <w:t xml:space="preserve"> serra (</w:t>
      </w:r>
      <w:proofErr w:type="spellStart"/>
      <w:r w:rsidRPr="009E1F3F">
        <w:rPr>
          <w:rFonts w:asciiTheme="majorHAnsi" w:hAnsiTheme="majorHAnsi"/>
          <w:i/>
          <w:sz w:val="20"/>
          <w:szCs w:val="20"/>
        </w:rPr>
        <w:t>Scomberomorus</w:t>
      </w:r>
      <w:proofErr w:type="spellEnd"/>
      <w:r w:rsidRPr="009E1F3F">
        <w:rPr>
          <w:rFonts w:asciiTheme="majorHAnsi" w:hAnsiTheme="majorHAnsi"/>
          <w:i/>
          <w:sz w:val="20"/>
          <w:szCs w:val="20"/>
        </w:rPr>
        <w:t xml:space="preserve"> </w:t>
      </w:r>
      <w:proofErr w:type="spellStart"/>
      <w:r w:rsidRPr="009E1F3F">
        <w:rPr>
          <w:rFonts w:asciiTheme="majorHAnsi" w:hAnsiTheme="majorHAnsi"/>
          <w:i/>
          <w:sz w:val="20"/>
          <w:szCs w:val="20"/>
        </w:rPr>
        <w:t>brasiliensis</w:t>
      </w:r>
      <w:proofErr w:type="spellEnd"/>
      <w:r w:rsidRPr="009E1F3F">
        <w:rPr>
          <w:rFonts w:asciiTheme="majorHAnsi" w:hAnsiTheme="majorHAnsi"/>
          <w:sz w:val="20"/>
          <w:szCs w:val="20"/>
        </w:rPr>
        <w:t>)</w:t>
      </w:r>
    </w:p>
    <w:p w14:paraId="49748495" w14:textId="096A7A96"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 xml:space="preserve">CER </w:t>
      </w:r>
      <w:r w:rsidRPr="009E1F3F">
        <w:rPr>
          <w:rFonts w:asciiTheme="majorHAnsi" w:hAnsiTheme="majorHAnsi"/>
          <w:sz w:val="20"/>
          <w:szCs w:val="20"/>
          <w:lang w:val="en-US"/>
        </w:rPr>
        <w:tab/>
      </w:r>
      <w:proofErr w:type="spellStart"/>
      <w:r w:rsidRPr="009E1F3F">
        <w:rPr>
          <w:rFonts w:asciiTheme="majorHAnsi" w:hAnsiTheme="majorHAnsi"/>
          <w:sz w:val="20"/>
          <w:szCs w:val="20"/>
          <w:lang w:val="en-US"/>
        </w:rPr>
        <w:t>Thazard</w:t>
      </w:r>
      <w:proofErr w:type="spellEnd"/>
      <w:r w:rsidRPr="009E1F3F">
        <w:rPr>
          <w:rFonts w:asciiTheme="majorHAnsi" w:hAnsiTheme="majorHAnsi"/>
          <w:sz w:val="20"/>
          <w:szCs w:val="20"/>
          <w:lang w:val="en-US"/>
        </w:rPr>
        <w:t xml:space="preserve"> franc (</w:t>
      </w:r>
      <w:r w:rsidRPr="009E1F3F">
        <w:rPr>
          <w:rFonts w:asciiTheme="majorHAnsi" w:hAnsiTheme="majorHAnsi"/>
          <w:i/>
          <w:sz w:val="20"/>
          <w:szCs w:val="20"/>
          <w:lang w:val="en-US"/>
        </w:rPr>
        <w:t>Scomberomorus regalis</w:t>
      </w:r>
      <w:r w:rsidRPr="009E1F3F">
        <w:rPr>
          <w:rFonts w:asciiTheme="majorHAnsi" w:hAnsiTheme="majorHAnsi"/>
          <w:sz w:val="20"/>
          <w:szCs w:val="20"/>
          <w:lang w:val="en-US"/>
        </w:rPr>
        <w:t>)</w:t>
      </w:r>
    </w:p>
    <w:p w14:paraId="160F11B6" w14:textId="02610721"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COM </w:t>
      </w:r>
      <w:r w:rsidRPr="009E1F3F">
        <w:rPr>
          <w:rFonts w:asciiTheme="majorHAnsi" w:hAnsiTheme="majorHAnsi"/>
          <w:sz w:val="20"/>
          <w:szCs w:val="20"/>
        </w:rPr>
        <w:tab/>
      </w:r>
      <w:proofErr w:type="spellStart"/>
      <w:r w:rsidRPr="009E1F3F">
        <w:rPr>
          <w:rFonts w:asciiTheme="majorHAnsi" w:hAnsiTheme="majorHAnsi"/>
          <w:sz w:val="20"/>
          <w:szCs w:val="20"/>
        </w:rPr>
        <w:t>Thazard</w:t>
      </w:r>
      <w:proofErr w:type="spellEnd"/>
      <w:r w:rsidRPr="009E1F3F">
        <w:rPr>
          <w:rFonts w:asciiTheme="majorHAnsi" w:hAnsiTheme="majorHAnsi"/>
          <w:sz w:val="20"/>
          <w:szCs w:val="20"/>
        </w:rPr>
        <w:t xml:space="preserve"> rayé </w:t>
      </w:r>
      <w:proofErr w:type="spellStart"/>
      <w:r w:rsidRPr="009E1F3F">
        <w:rPr>
          <w:rFonts w:asciiTheme="majorHAnsi" w:hAnsiTheme="majorHAnsi"/>
          <w:sz w:val="20"/>
          <w:szCs w:val="20"/>
        </w:rPr>
        <w:t>indo-pacifique</w:t>
      </w:r>
      <w:proofErr w:type="spellEnd"/>
      <w:r w:rsidRPr="009E1F3F">
        <w:rPr>
          <w:rFonts w:asciiTheme="majorHAnsi" w:hAnsiTheme="majorHAnsi"/>
          <w:sz w:val="20"/>
          <w:szCs w:val="20"/>
        </w:rPr>
        <w:t xml:space="preserve"> (</w:t>
      </w:r>
      <w:proofErr w:type="spellStart"/>
      <w:r w:rsidRPr="009E1F3F">
        <w:rPr>
          <w:rFonts w:asciiTheme="majorHAnsi" w:hAnsiTheme="majorHAnsi"/>
          <w:i/>
          <w:sz w:val="20"/>
          <w:szCs w:val="20"/>
        </w:rPr>
        <w:t>Scomberomorus</w:t>
      </w:r>
      <w:proofErr w:type="spellEnd"/>
      <w:r w:rsidRPr="009E1F3F">
        <w:rPr>
          <w:rFonts w:asciiTheme="majorHAnsi" w:hAnsiTheme="majorHAnsi"/>
          <w:i/>
          <w:sz w:val="20"/>
          <w:szCs w:val="20"/>
        </w:rPr>
        <w:t xml:space="preserve"> </w:t>
      </w:r>
      <w:proofErr w:type="spellStart"/>
      <w:r w:rsidRPr="009E1F3F">
        <w:rPr>
          <w:rFonts w:asciiTheme="majorHAnsi" w:hAnsiTheme="majorHAnsi"/>
          <w:i/>
          <w:sz w:val="20"/>
          <w:szCs w:val="20"/>
        </w:rPr>
        <w:t>commerson</w:t>
      </w:r>
      <w:proofErr w:type="spellEnd"/>
      <w:r w:rsidRPr="009E1F3F">
        <w:rPr>
          <w:rFonts w:asciiTheme="majorHAnsi" w:hAnsiTheme="majorHAnsi"/>
          <w:sz w:val="20"/>
          <w:szCs w:val="20"/>
        </w:rPr>
        <w:t>)</w:t>
      </w:r>
    </w:p>
    <w:p w14:paraId="5B2734D4" w14:textId="54ED6F8F"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FRI</w:t>
      </w:r>
      <w:r w:rsidRPr="009E1F3F">
        <w:rPr>
          <w:rFonts w:asciiTheme="majorHAnsi" w:hAnsiTheme="majorHAnsi"/>
          <w:sz w:val="20"/>
          <w:szCs w:val="20"/>
        </w:rPr>
        <w:tab/>
      </w:r>
      <w:proofErr w:type="spellStart"/>
      <w:r w:rsidRPr="009E1F3F">
        <w:rPr>
          <w:rFonts w:asciiTheme="majorHAnsi" w:hAnsiTheme="majorHAnsi"/>
          <w:sz w:val="20"/>
          <w:szCs w:val="20"/>
        </w:rPr>
        <w:t>Auxide</w:t>
      </w:r>
      <w:proofErr w:type="spellEnd"/>
      <w:r w:rsidRPr="009E1F3F">
        <w:rPr>
          <w:rFonts w:asciiTheme="majorHAnsi" w:hAnsiTheme="majorHAnsi"/>
          <w:sz w:val="20"/>
          <w:szCs w:val="20"/>
        </w:rPr>
        <w:t xml:space="preserve"> (</w:t>
      </w:r>
      <w:proofErr w:type="spellStart"/>
      <w:r w:rsidRPr="009E1F3F">
        <w:rPr>
          <w:rFonts w:asciiTheme="majorHAnsi" w:hAnsiTheme="majorHAnsi"/>
          <w:sz w:val="20"/>
          <w:szCs w:val="20"/>
        </w:rPr>
        <w:t>Auxis</w:t>
      </w:r>
      <w:proofErr w:type="spellEnd"/>
      <w:r w:rsidRPr="009E1F3F">
        <w:rPr>
          <w:rFonts w:asciiTheme="majorHAnsi" w:hAnsiTheme="majorHAnsi"/>
          <w:sz w:val="20"/>
          <w:szCs w:val="20"/>
        </w:rPr>
        <w:t xml:space="preserve"> </w:t>
      </w:r>
      <w:proofErr w:type="spellStart"/>
      <w:r w:rsidRPr="009E1F3F">
        <w:rPr>
          <w:rFonts w:asciiTheme="majorHAnsi" w:hAnsiTheme="majorHAnsi"/>
          <w:sz w:val="20"/>
          <w:szCs w:val="20"/>
        </w:rPr>
        <w:t>thazard</w:t>
      </w:r>
      <w:proofErr w:type="spellEnd"/>
      <w:r w:rsidRPr="009E1F3F">
        <w:rPr>
          <w:rFonts w:asciiTheme="majorHAnsi" w:hAnsiTheme="majorHAnsi"/>
          <w:sz w:val="20"/>
          <w:szCs w:val="20"/>
        </w:rPr>
        <w:t>)</w:t>
      </w:r>
    </w:p>
    <w:p w14:paraId="0A228E53" w14:textId="49AC5BC0"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 xml:space="preserve">KGM </w:t>
      </w:r>
      <w:r w:rsidRPr="009E1F3F">
        <w:rPr>
          <w:rFonts w:asciiTheme="majorHAnsi" w:hAnsiTheme="majorHAnsi"/>
          <w:sz w:val="20"/>
          <w:szCs w:val="20"/>
        </w:rPr>
        <w:tab/>
      </w:r>
      <w:proofErr w:type="spellStart"/>
      <w:r w:rsidRPr="009E1F3F">
        <w:rPr>
          <w:rFonts w:asciiTheme="majorHAnsi" w:hAnsiTheme="majorHAnsi"/>
          <w:sz w:val="20"/>
          <w:szCs w:val="20"/>
        </w:rPr>
        <w:t>Thazard</w:t>
      </w:r>
      <w:proofErr w:type="spellEnd"/>
      <w:r w:rsidRPr="009E1F3F">
        <w:rPr>
          <w:rFonts w:asciiTheme="majorHAnsi" w:hAnsiTheme="majorHAnsi"/>
          <w:sz w:val="20"/>
          <w:szCs w:val="20"/>
        </w:rPr>
        <w:t xml:space="preserve"> barré (</w:t>
      </w:r>
      <w:proofErr w:type="spellStart"/>
      <w:r w:rsidRPr="009E1F3F">
        <w:rPr>
          <w:rFonts w:asciiTheme="majorHAnsi" w:hAnsiTheme="majorHAnsi"/>
          <w:i/>
          <w:sz w:val="20"/>
          <w:szCs w:val="20"/>
        </w:rPr>
        <w:t>Scomberomorus</w:t>
      </w:r>
      <w:proofErr w:type="spellEnd"/>
      <w:r w:rsidRPr="009E1F3F">
        <w:rPr>
          <w:rFonts w:asciiTheme="majorHAnsi" w:hAnsiTheme="majorHAnsi"/>
          <w:i/>
          <w:sz w:val="20"/>
          <w:szCs w:val="20"/>
        </w:rPr>
        <w:t xml:space="preserve"> </w:t>
      </w:r>
      <w:proofErr w:type="spellStart"/>
      <w:r w:rsidRPr="009E1F3F">
        <w:rPr>
          <w:rFonts w:asciiTheme="majorHAnsi" w:hAnsiTheme="majorHAnsi"/>
          <w:i/>
          <w:sz w:val="20"/>
          <w:szCs w:val="20"/>
        </w:rPr>
        <w:t>cavalla</w:t>
      </w:r>
      <w:proofErr w:type="spellEnd"/>
      <w:r w:rsidRPr="009E1F3F">
        <w:rPr>
          <w:rFonts w:asciiTheme="majorHAnsi" w:hAnsiTheme="majorHAnsi"/>
          <w:sz w:val="20"/>
          <w:szCs w:val="20"/>
        </w:rPr>
        <w:t>)</w:t>
      </w:r>
    </w:p>
    <w:p w14:paraId="6ABAA971" w14:textId="33DD9B17"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9E1F3F">
        <w:rPr>
          <w:rFonts w:asciiTheme="majorHAnsi" w:hAnsiTheme="majorHAnsi"/>
          <w:sz w:val="20"/>
          <w:szCs w:val="20"/>
        </w:rPr>
        <w:t>LTA</w:t>
      </w:r>
      <w:r w:rsidRPr="009E1F3F">
        <w:rPr>
          <w:rFonts w:asciiTheme="majorHAnsi" w:hAnsiTheme="majorHAnsi"/>
          <w:sz w:val="20"/>
          <w:szCs w:val="20"/>
        </w:rPr>
        <w:tab/>
        <w:t>Thonine commune (</w:t>
      </w:r>
      <w:proofErr w:type="spellStart"/>
      <w:r w:rsidRPr="009E1F3F">
        <w:rPr>
          <w:rFonts w:asciiTheme="majorHAnsi" w:hAnsiTheme="majorHAnsi"/>
          <w:i/>
          <w:iCs/>
          <w:sz w:val="20"/>
          <w:szCs w:val="20"/>
        </w:rPr>
        <w:t>Euthynnus</w:t>
      </w:r>
      <w:proofErr w:type="spellEnd"/>
      <w:r w:rsidRPr="009E1F3F">
        <w:rPr>
          <w:rFonts w:asciiTheme="majorHAnsi" w:hAnsiTheme="majorHAnsi"/>
          <w:i/>
          <w:iCs/>
          <w:sz w:val="20"/>
          <w:szCs w:val="20"/>
        </w:rPr>
        <w:t xml:space="preserve"> </w:t>
      </w:r>
      <w:proofErr w:type="spellStart"/>
      <w:r w:rsidRPr="009E1F3F">
        <w:rPr>
          <w:rFonts w:asciiTheme="majorHAnsi" w:hAnsiTheme="majorHAnsi"/>
          <w:i/>
          <w:iCs/>
          <w:sz w:val="20"/>
          <w:szCs w:val="20"/>
        </w:rPr>
        <w:t>alletteratus</w:t>
      </w:r>
      <w:proofErr w:type="spellEnd"/>
      <w:r w:rsidRPr="009E1F3F">
        <w:rPr>
          <w:rFonts w:asciiTheme="majorHAnsi" w:hAnsiTheme="majorHAnsi"/>
          <w:sz w:val="20"/>
          <w:szCs w:val="20"/>
        </w:rPr>
        <w:t>)</w:t>
      </w:r>
    </w:p>
    <w:p w14:paraId="16034319" w14:textId="151C2764"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 xml:space="preserve">MAW </w:t>
      </w:r>
      <w:r w:rsidRPr="009E1F3F">
        <w:rPr>
          <w:rFonts w:asciiTheme="majorHAnsi" w:hAnsiTheme="majorHAnsi"/>
          <w:sz w:val="20"/>
          <w:szCs w:val="20"/>
          <w:lang w:val="en-US"/>
        </w:rPr>
        <w:tab/>
      </w:r>
      <w:proofErr w:type="spellStart"/>
      <w:r w:rsidRPr="009E1F3F">
        <w:rPr>
          <w:rFonts w:asciiTheme="majorHAnsi" w:hAnsiTheme="majorHAnsi"/>
          <w:sz w:val="20"/>
          <w:szCs w:val="20"/>
          <w:lang w:val="en-US"/>
        </w:rPr>
        <w:t>Thazard</w:t>
      </w:r>
      <w:proofErr w:type="spellEnd"/>
      <w:r w:rsidRPr="009E1F3F">
        <w:rPr>
          <w:rFonts w:asciiTheme="majorHAnsi" w:hAnsiTheme="majorHAnsi"/>
          <w:sz w:val="20"/>
          <w:szCs w:val="20"/>
          <w:lang w:val="en-US"/>
        </w:rPr>
        <w:t xml:space="preserve"> </w:t>
      </w:r>
      <w:proofErr w:type="spellStart"/>
      <w:r w:rsidRPr="009E1F3F">
        <w:rPr>
          <w:rFonts w:asciiTheme="majorHAnsi" w:hAnsiTheme="majorHAnsi"/>
          <w:sz w:val="20"/>
          <w:szCs w:val="20"/>
          <w:lang w:val="en-US"/>
        </w:rPr>
        <w:t>blanc</w:t>
      </w:r>
      <w:proofErr w:type="spellEnd"/>
      <w:r w:rsidRPr="009E1F3F">
        <w:rPr>
          <w:rFonts w:asciiTheme="majorHAnsi" w:hAnsiTheme="majorHAnsi"/>
          <w:sz w:val="20"/>
          <w:szCs w:val="20"/>
          <w:lang w:val="en-US"/>
        </w:rPr>
        <w:t xml:space="preserve"> (</w:t>
      </w:r>
      <w:r w:rsidRPr="009E1F3F">
        <w:rPr>
          <w:rFonts w:asciiTheme="majorHAnsi" w:hAnsiTheme="majorHAnsi"/>
          <w:i/>
          <w:sz w:val="20"/>
          <w:szCs w:val="20"/>
          <w:lang w:val="en-US"/>
        </w:rPr>
        <w:t>Scomberomorus tritor</w:t>
      </w:r>
      <w:r w:rsidRPr="009E1F3F">
        <w:rPr>
          <w:rFonts w:asciiTheme="majorHAnsi" w:hAnsiTheme="majorHAnsi"/>
          <w:sz w:val="20"/>
          <w:szCs w:val="20"/>
          <w:lang w:val="en-US"/>
        </w:rPr>
        <w:t>)</w:t>
      </w:r>
    </w:p>
    <w:p w14:paraId="1631D0E7" w14:textId="51E9DF0A"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SSM</w:t>
      </w:r>
      <w:r w:rsidRPr="009E1F3F">
        <w:rPr>
          <w:rFonts w:asciiTheme="majorHAnsi" w:hAnsiTheme="majorHAnsi"/>
          <w:sz w:val="20"/>
          <w:szCs w:val="20"/>
          <w:lang w:val="en-US"/>
        </w:rPr>
        <w:tab/>
      </w:r>
      <w:proofErr w:type="spellStart"/>
      <w:r w:rsidRPr="009E1F3F">
        <w:rPr>
          <w:rFonts w:asciiTheme="majorHAnsi" w:hAnsiTheme="majorHAnsi"/>
          <w:sz w:val="20"/>
          <w:szCs w:val="20"/>
          <w:lang w:val="en-US"/>
        </w:rPr>
        <w:t>Thazard</w:t>
      </w:r>
      <w:proofErr w:type="spellEnd"/>
      <w:r w:rsidRPr="009E1F3F">
        <w:rPr>
          <w:rFonts w:asciiTheme="majorHAnsi" w:hAnsiTheme="majorHAnsi"/>
          <w:sz w:val="20"/>
          <w:szCs w:val="20"/>
          <w:lang w:val="en-US"/>
        </w:rPr>
        <w:t xml:space="preserve"> </w:t>
      </w:r>
      <w:proofErr w:type="spellStart"/>
      <w:r w:rsidRPr="009E1F3F">
        <w:rPr>
          <w:rFonts w:asciiTheme="majorHAnsi" w:hAnsiTheme="majorHAnsi"/>
          <w:sz w:val="20"/>
          <w:szCs w:val="20"/>
          <w:lang w:val="en-US"/>
        </w:rPr>
        <w:t>atlantique</w:t>
      </w:r>
      <w:proofErr w:type="spellEnd"/>
      <w:r w:rsidRPr="009E1F3F">
        <w:rPr>
          <w:rFonts w:asciiTheme="majorHAnsi" w:hAnsiTheme="majorHAnsi"/>
          <w:sz w:val="20"/>
          <w:szCs w:val="20"/>
          <w:lang w:val="en-US"/>
        </w:rPr>
        <w:t xml:space="preserve"> (</w:t>
      </w:r>
      <w:r w:rsidRPr="009E1F3F">
        <w:rPr>
          <w:rFonts w:asciiTheme="majorHAnsi" w:hAnsiTheme="majorHAnsi"/>
          <w:i/>
          <w:sz w:val="20"/>
          <w:szCs w:val="20"/>
          <w:lang w:val="en-US"/>
        </w:rPr>
        <w:t>Scomberomorus maculatus</w:t>
      </w:r>
      <w:r w:rsidRPr="009E1F3F">
        <w:rPr>
          <w:rFonts w:asciiTheme="majorHAnsi" w:hAnsiTheme="majorHAnsi"/>
          <w:sz w:val="20"/>
          <w:szCs w:val="20"/>
          <w:lang w:val="en-US"/>
        </w:rPr>
        <w:t>)</w:t>
      </w:r>
    </w:p>
    <w:p w14:paraId="22FF1216" w14:textId="13D2327A" w:rsidR="00336684" w:rsidRPr="009E1F3F"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9E1F3F">
        <w:rPr>
          <w:rFonts w:asciiTheme="majorHAnsi" w:hAnsiTheme="majorHAnsi"/>
          <w:sz w:val="20"/>
          <w:szCs w:val="20"/>
          <w:lang w:val="en-US"/>
        </w:rPr>
        <w:t xml:space="preserve">WAH </w:t>
      </w:r>
      <w:r w:rsidRPr="009E1F3F">
        <w:rPr>
          <w:rFonts w:asciiTheme="majorHAnsi" w:hAnsiTheme="majorHAnsi"/>
          <w:sz w:val="20"/>
          <w:szCs w:val="20"/>
          <w:lang w:val="en-US"/>
        </w:rPr>
        <w:tab/>
      </w:r>
      <w:proofErr w:type="spellStart"/>
      <w:r w:rsidRPr="009E1F3F">
        <w:rPr>
          <w:rFonts w:asciiTheme="majorHAnsi" w:hAnsiTheme="majorHAnsi"/>
          <w:sz w:val="20"/>
          <w:szCs w:val="20"/>
          <w:lang w:val="en-US"/>
        </w:rPr>
        <w:t>Thazard-bâtard</w:t>
      </w:r>
      <w:proofErr w:type="spellEnd"/>
      <w:r w:rsidRPr="009E1F3F">
        <w:rPr>
          <w:rFonts w:asciiTheme="majorHAnsi" w:hAnsiTheme="majorHAnsi"/>
          <w:sz w:val="20"/>
          <w:szCs w:val="20"/>
          <w:lang w:val="en-US"/>
        </w:rPr>
        <w:t xml:space="preserve"> (</w:t>
      </w:r>
      <w:r w:rsidRPr="009E1F3F">
        <w:rPr>
          <w:rFonts w:asciiTheme="majorHAnsi" w:hAnsiTheme="majorHAnsi"/>
          <w:i/>
          <w:iCs/>
          <w:sz w:val="20"/>
          <w:szCs w:val="20"/>
          <w:lang w:val="en-US"/>
        </w:rPr>
        <w:t>Acanthocybium solandri</w:t>
      </w:r>
      <w:r w:rsidRPr="009E1F3F">
        <w:rPr>
          <w:rFonts w:asciiTheme="majorHAnsi" w:hAnsiTheme="majorHAnsi"/>
          <w:sz w:val="20"/>
          <w:szCs w:val="20"/>
          <w:lang w:val="en-US"/>
        </w:rPr>
        <w:t>)</w:t>
      </w:r>
    </w:p>
    <w:p w14:paraId="03F35482" w14:textId="77777777" w:rsidR="0014504F" w:rsidRPr="009E1F3F" w:rsidRDefault="0014504F" w:rsidP="00236E05">
      <w:pPr>
        <w:tabs>
          <w:tab w:val="left" w:pos="400"/>
        </w:tabs>
        <w:ind w:left="100" w:right="125"/>
        <w:rPr>
          <w:rFonts w:asciiTheme="majorHAnsi" w:hAnsiTheme="majorHAnsi"/>
          <w:sz w:val="20"/>
          <w:szCs w:val="20"/>
          <w:lang w:val="en-US"/>
        </w:rPr>
      </w:pPr>
    </w:p>
    <w:sectPr w:rsidR="0014504F" w:rsidRPr="009E1F3F" w:rsidSect="007D553C">
      <w:headerReference w:type="default" r:id="rId10"/>
      <w:footerReference w:type="default" r:id="rId11"/>
      <w:type w:val="continuous"/>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1412" w14:textId="77777777" w:rsidR="00412FE1" w:rsidRDefault="00412FE1">
      <w:r>
        <w:separator/>
      </w:r>
    </w:p>
  </w:endnote>
  <w:endnote w:type="continuationSeparator" w:id="0">
    <w:p w14:paraId="316DA040" w14:textId="77777777" w:rsidR="00412FE1" w:rsidRDefault="0041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5F175F"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PAGE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1</w:t>
        </w:r>
        <w:r w:rsidR="00CD1539" w:rsidRPr="00CD1539">
          <w:rPr>
            <w:rFonts w:ascii="Cambria" w:eastAsia="Calibri" w:hAnsi="Cambria" w:cs="Calibri"/>
            <w:sz w:val="20"/>
          </w:rPr>
          <w:fldChar w:fldCharType="end"/>
        </w:r>
        <w:r w:rsidR="00956EB6">
          <w:rPr>
            <w:rFonts w:ascii="Cambria" w:hAnsi="Cambria"/>
            <w:sz w:val="20"/>
          </w:rPr>
          <w:t xml:space="preserve"> / </w:t>
        </w:r>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NUMPAGES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9</w:t>
        </w:r>
        <w:r w:rsidR="00CD1539"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806F" w14:textId="77777777" w:rsidR="00412FE1" w:rsidRDefault="00412FE1">
      <w:r>
        <w:separator/>
      </w:r>
    </w:p>
  </w:footnote>
  <w:footnote w:type="continuationSeparator" w:id="0">
    <w:p w14:paraId="1BEC4774" w14:textId="77777777" w:rsidR="00412FE1" w:rsidRDefault="0041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07CD1040"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PWG_421</w:t>
    </w:r>
    <w:r w:rsidR="00965F73">
      <w:rPr>
        <w:rFonts w:ascii="Cambria" w:hAnsi="Cambria"/>
        <w:b/>
        <w:sz w:val="20"/>
      </w:rPr>
      <w:t>_SPONS_1</w:t>
    </w:r>
    <w:r>
      <w:rPr>
        <w:rFonts w:ascii="Cambria" w:hAnsi="Cambria"/>
        <w:b/>
        <w:sz w:val="20"/>
      </w:rPr>
      <w:t>/2025</w:t>
    </w:r>
  </w:p>
  <w:p w14:paraId="14B978F2" w14:textId="3A54F289" w:rsidR="00FA74C4" w:rsidRPr="00FA74C4" w:rsidRDefault="00FA74C4" w:rsidP="00FA74C4">
    <w:pPr>
      <w:widowControl/>
      <w:tabs>
        <w:tab w:val="left" w:pos="7320"/>
      </w:tabs>
      <w:autoSpaceDE/>
      <w:autoSpaceDN/>
      <w:spacing w:line="240" w:lineRule="exact"/>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965F73">
      <w:rPr>
        <w:rFonts w:ascii="Cambria" w:hAnsi="Cambria"/>
        <w:b/>
        <w:noProof/>
        <w:sz w:val="16"/>
      </w:rPr>
      <w:t>16/11/2025 11:24</w:t>
    </w:r>
    <w:r w:rsidRPr="00FA74C4">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B1049820"/>
    <w:lvl w:ilvl="0" w:tplc="90F0F408">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jc w:val="left"/>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4"/>
  </w:num>
  <w:num w:numId="4" w16cid:durableId="1217010296">
    <w:abstractNumId w:val="2"/>
  </w:num>
  <w:num w:numId="5" w16cid:durableId="13649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5FA0"/>
    <w:rsid w:val="000447D2"/>
    <w:rsid w:val="00045941"/>
    <w:rsid w:val="00067B7A"/>
    <w:rsid w:val="00084EFE"/>
    <w:rsid w:val="0008521C"/>
    <w:rsid w:val="00097734"/>
    <w:rsid w:val="000C73E4"/>
    <w:rsid w:val="000D7FF2"/>
    <w:rsid w:val="001109F2"/>
    <w:rsid w:val="00127FE5"/>
    <w:rsid w:val="00130C4D"/>
    <w:rsid w:val="00136256"/>
    <w:rsid w:val="0014504F"/>
    <w:rsid w:val="00196F27"/>
    <w:rsid w:val="001A083F"/>
    <w:rsid w:val="001A0921"/>
    <w:rsid w:val="001A7BE5"/>
    <w:rsid w:val="001B4DC6"/>
    <w:rsid w:val="001C065C"/>
    <w:rsid w:val="001E1967"/>
    <w:rsid w:val="00202396"/>
    <w:rsid w:val="00227FF5"/>
    <w:rsid w:val="00235F3C"/>
    <w:rsid w:val="00236E05"/>
    <w:rsid w:val="002601E6"/>
    <w:rsid w:val="00277860"/>
    <w:rsid w:val="002B5BC2"/>
    <w:rsid w:val="002E3E3A"/>
    <w:rsid w:val="002F2BB3"/>
    <w:rsid w:val="0031120F"/>
    <w:rsid w:val="00314DE0"/>
    <w:rsid w:val="0032712C"/>
    <w:rsid w:val="00336684"/>
    <w:rsid w:val="00350E40"/>
    <w:rsid w:val="00377147"/>
    <w:rsid w:val="003A6750"/>
    <w:rsid w:val="003B743C"/>
    <w:rsid w:val="003D2061"/>
    <w:rsid w:val="003D4722"/>
    <w:rsid w:val="003E0471"/>
    <w:rsid w:val="00412FE1"/>
    <w:rsid w:val="0044624F"/>
    <w:rsid w:val="004851F9"/>
    <w:rsid w:val="004A0887"/>
    <w:rsid w:val="004C7B7F"/>
    <w:rsid w:val="004C7C5E"/>
    <w:rsid w:val="004D0984"/>
    <w:rsid w:val="004F056B"/>
    <w:rsid w:val="00511588"/>
    <w:rsid w:val="00516263"/>
    <w:rsid w:val="005202C4"/>
    <w:rsid w:val="00532787"/>
    <w:rsid w:val="0053798D"/>
    <w:rsid w:val="00565099"/>
    <w:rsid w:val="00580847"/>
    <w:rsid w:val="00584175"/>
    <w:rsid w:val="00587420"/>
    <w:rsid w:val="00590766"/>
    <w:rsid w:val="005A2856"/>
    <w:rsid w:val="005C3057"/>
    <w:rsid w:val="005C63DB"/>
    <w:rsid w:val="005E5E56"/>
    <w:rsid w:val="005F0D49"/>
    <w:rsid w:val="005F175F"/>
    <w:rsid w:val="005F37C1"/>
    <w:rsid w:val="005F7735"/>
    <w:rsid w:val="00611E74"/>
    <w:rsid w:val="00616EDA"/>
    <w:rsid w:val="00631F0B"/>
    <w:rsid w:val="00654894"/>
    <w:rsid w:val="0065763C"/>
    <w:rsid w:val="006648C7"/>
    <w:rsid w:val="006671EB"/>
    <w:rsid w:val="0068375B"/>
    <w:rsid w:val="006C5A35"/>
    <w:rsid w:val="006D7270"/>
    <w:rsid w:val="006F6570"/>
    <w:rsid w:val="00713E4A"/>
    <w:rsid w:val="00717F78"/>
    <w:rsid w:val="00734928"/>
    <w:rsid w:val="007453FC"/>
    <w:rsid w:val="00765E8D"/>
    <w:rsid w:val="00776B8A"/>
    <w:rsid w:val="00797E27"/>
    <w:rsid w:val="007A47EE"/>
    <w:rsid w:val="007B0B98"/>
    <w:rsid w:val="007B72A9"/>
    <w:rsid w:val="007D553C"/>
    <w:rsid w:val="00804C5A"/>
    <w:rsid w:val="00807B03"/>
    <w:rsid w:val="00807CBA"/>
    <w:rsid w:val="00810CDE"/>
    <w:rsid w:val="00836233"/>
    <w:rsid w:val="00874921"/>
    <w:rsid w:val="00885A73"/>
    <w:rsid w:val="008A14FB"/>
    <w:rsid w:val="008B1876"/>
    <w:rsid w:val="008B44D7"/>
    <w:rsid w:val="008B5A09"/>
    <w:rsid w:val="008B7D95"/>
    <w:rsid w:val="008D2B3E"/>
    <w:rsid w:val="008D70FA"/>
    <w:rsid w:val="008D773C"/>
    <w:rsid w:val="008F4249"/>
    <w:rsid w:val="008F5927"/>
    <w:rsid w:val="009005B8"/>
    <w:rsid w:val="00922AC2"/>
    <w:rsid w:val="00923C21"/>
    <w:rsid w:val="00931EE3"/>
    <w:rsid w:val="009347EE"/>
    <w:rsid w:val="00953DAE"/>
    <w:rsid w:val="00956EB6"/>
    <w:rsid w:val="00965F73"/>
    <w:rsid w:val="009B1D8F"/>
    <w:rsid w:val="009C29F5"/>
    <w:rsid w:val="009D5958"/>
    <w:rsid w:val="009E1F3F"/>
    <w:rsid w:val="009E7F12"/>
    <w:rsid w:val="00A04DBD"/>
    <w:rsid w:val="00A12060"/>
    <w:rsid w:val="00A20D08"/>
    <w:rsid w:val="00A23BCF"/>
    <w:rsid w:val="00A25292"/>
    <w:rsid w:val="00A36D0C"/>
    <w:rsid w:val="00A4341A"/>
    <w:rsid w:val="00A57C6E"/>
    <w:rsid w:val="00A6380B"/>
    <w:rsid w:val="00A71341"/>
    <w:rsid w:val="00A71E71"/>
    <w:rsid w:val="00A764AA"/>
    <w:rsid w:val="00A82598"/>
    <w:rsid w:val="00A86C9A"/>
    <w:rsid w:val="00AB778A"/>
    <w:rsid w:val="00B26BB5"/>
    <w:rsid w:val="00B337C2"/>
    <w:rsid w:val="00B4107D"/>
    <w:rsid w:val="00B57C8E"/>
    <w:rsid w:val="00B64589"/>
    <w:rsid w:val="00B65B8A"/>
    <w:rsid w:val="00B7537E"/>
    <w:rsid w:val="00B817B0"/>
    <w:rsid w:val="00B919E9"/>
    <w:rsid w:val="00BA587B"/>
    <w:rsid w:val="00BB3392"/>
    <w:rsid w:val="00BC0212"/>
    <w:rsid w:val="00C019B2"/>
    <w:rsid w:val="00C24D3B"/>
    <w:rsid w:val="00C24E17"/>
    <w:rsid w:val="00C252A4"/>
    <w:rsid w:val="00C56ED3"/>
    <w:rsid w:val="00C67CE8"/>
    <w:rsid w:val="00C828C2"/>
    <w:rsid w:val="00C934FB"/>
    <w:rsid w:val="00CA4B51"/>
    <w:rsid w:val="00CD1367"/>
    <w:rsid w:val="00CD1539"/>
    <w:rsid w:val="00CF7184"/>
    <w:rsid w:val="00D26A63"/>
    <w:rsid w:val="00D3127F"/>
    <w:rsid w:val="00D944CF"/>
    <w:rsid w:val="00D974D4"/>
    <w:rsid w:val="00DA7608"/>
    <w:rsid w:val="00DC4112"/>
    <w:rsid w:val="00DC4F0D"/>
    <w:rsid w:val="00DF2327"/>
    <w:rsid w:val="00E24DDF"/>
    <w:rsid w:val="00E513E7"/>
    <w:rsid w:val="00E553BB"/>
    <w:rsid w:val="00E603D0"/>
    <w:rsid w:val="00E829A8"/>
    <w:rsid w:val="00EB3F09"/>
    <w:rsid w:val="00EE44DD"/>
    <w:rsid w:val="00EF5651"/>
    <w:rsid w:val="00F03D97"/>
    <w:rsid w:val="00F058BF"/>
    <w:rsid w:val="00F11A13"/>
    <w:rsid w:val="00F25D62"/>
    <w:rsid w:val="00F52CAD"/>
    <w:rsid w:val="00F97A2F"/>
    <w:rsid w:val="00FA74C4"/>
    <w:rsid w:val="00FB9A90"/>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customXml/itemProps2.xml><?xml version="1.0" encoding="utf-8"?>
<ds:datastoreItem xmlns:ds="http://schemas.openxmlformats.org/officeDocument/2006/customXml" ds:itemID="{E4CD3619-4347-43CB-A9A3-04C3035EB408}">
  <ds:schemaRefs>
    <ds:schemaRef ds:uri="http://schemas.microsoft.com/sharepoint/v3/contenttype/forms"/>
  </ds:schemaRefs>
</ds:datastoreItem>
</file>

<file path=customXml/itemProps3.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1694</Words>
  <Characters>9657</Characters>
  <Application>Microsoft Office Word</Application>
  <DocSecurity>0</DocSecurity>
  <Lines>80</Lines>
  <Paragraphs>22</Paragraphs>
  <ScaleCrop>false</ScaleCrop>
  <Company>European Commission</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Dorothee Pinet</cp:lastModifiedBy>
  <cp:revision>60</cp:revision>
  <cp:lastPrinted>2025-04-29T07:13:00Z</cp:lastPrinted>
  <dcterms:created xsi:type="dcterms:W3CDTF">2025-09-23T07:37:00Z</dcterms:created>
  <dcterms:modified xsi:type="dcterms:W3CDTF">2025-11-16T10:27:00Z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