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1030" w14:textId="77777777" w:rsidR="00105DF6" w:rsidRDefault="00105DF6" w:rsidP="00105DF6">
      <w:pPr>
        <w:ind w:left="487" w:right="392"/>
        <w:contextualSpacing/>
        <w:jc w:val="center"/>
        <w:rPr>
          <w:b/>
          <w:spacing w:val="-2"/>
          <w:sz w:val="20"/>
          <w:szCs w:val="20"/>
        </w:rPr>
      </w:pPr>
    </w:p>
    <w:p w14:paraId="43FADA74" w14:textId="77777777" w:rsidR="00105DF6" w:rsidRPr="00345EE6" w:rsidRDefault="00105DF6" w:rsidP="00105DF6">
      <w:pPr>
        <w:ind w:left="487" w:right="392"/>
        <w:contextualSpacing/>
        <w:jc w:val="center"/>
        <w:rPr>
          <w:rFonts w:ascii="Cambria" w:hAnsi="Cambria"/>
          <w:b/>
          <w:sz w:val="20"/>
          <w:szCs w:val="20"/>
          <w:lang w:val="fr-FR"/>
        </w:rPr>
      </w:pPr>
      <w:r w:rsidRPr="00345EE6">
        <w:rPr>
          <w:rFonts w:ascii="Cambria" w:hAnsi="Cambria"/>
          <w:b/>
          <w:sz w:val="20"/>
          <w:szCs w:val="20"/>
          <w:lang w:val="fr-FR"/>
        </w:rPr>
        <w:t>Page de garde accompagnant les nouvelles propositions</w:t>
      </w:r>
    </w:p>
    <w:p w14:paraId="099B65E4" w14:textId="77777777" w:rsidR="00105DF6" w:rsidRPr="00345EE6" w:rsidRDefault="00105DF6" w:rsidP="00105DF6">
      <w:pPr>
        <w:spacing w:line="233" w:lineRule="auto"/>
        <w:contextualSpacing/>
        <w:jc w:val="center"/>
        <w:rPr>
          <w:rFonts w:ascii="Cambria" w:hAnsi="Cambria"/>
          <w:i/>
          <w:sz w:val="20"/>
          <w:szCs w:val="20"/>
          <w:lang w:val="fr-FR"/>
        </w:rPr>
      </w:pPr>
    </w:p>
    <w:p w14:paraId="29A095D3" w14:textId="77777777" w:rsidR="00105DF6" w:rsidRPr="00345EE6" w:rsidRDefault="00105DF6" w:rsidP="00105DF6">
      <w:pPr>
        <w:spacing w:line="233" w:lineRule="auto"/>
        <w:contextualSpacing/>
        <w:jc w:val="center"/>
        <w:rPr>
          <w:rFonts w:ascii="Cambria" w:hAnsi="Cambria"/>
          <w:i/>
          <w:sz w:val="20"/>
          <w:szCs w:val="20"/>
          <w:lang w:val="fr-FR"/>
        </w:rPr>
      </w:pPr>
      <w:r w:rsidRPr="00345EE6">
        <w:rPr>
          <w:rFonts w:ascii="Cambria" w:hAnsi="Cambria"/>
          <w:i/>
          <w:sz w:val="20"/>
          <w:szCs w:val="20"/>
          <w:lang w:val="fr-FR"/>
        </w:rPr>
        <w:t xml:space="preserve">(Proposition soumise par </w:t>
      </w:r>
      <w:r w:rsidR="00FF6DC3" w:rsidRPr="00345EE6">
        <w:rPr>
          <w:rFonts w:ascii="Cambria" w:hAnsi="Cambria"/>
          <w:i/>
          <w:sz w:val="20"/>
          <w:szCs w:val="20"/>
          <w:lang w:val="fr-FR"/>
        </w:rPr>
        <w:t>l’Union européenne</w:t>
      </w:r>
      <w:r w:rsidRPr="00345EE6">
        <w:rPr>
          <w:rFonts w:ascii="Cambria" w:hAnsi="Cambria"/>
          <w:i/>
          <w:sz w:val="20"/>
          <w:szCs w:val="20"/>
          <w:lang w:val="fr-FR"/>
        </w:rPr>
        <w:t>)</w:t>
      </w:r>
    </w:p>
    <w:p w14:paraId="10A089C2" w14:textId="77777777" w:rsidR="00105DF6" w:rsidRPr="00345EE6" w:rsidRDefault="00105DF6" w:rsidP="00105DF6">
      <w:pPr>
        <w:tabs>
          <w:tab w:val="left" w:pos="0"/>
        </w:tabs>
        <w:adjustRightInd w:val="0"/>
        <w:ind w:firstLine="426"/>
        <w:contextualSpacing/>
        <w:jc w:val="center"/>
        <w:rPr>
          <w:rFonts w:ascii="Cambria" w:hAnsi="Cambria" w:cs="Segoe UI"/>
          <w:i/>
          <w:iCs/>
          <w:color w:val="242424"/>
          <w:sz w:val="20"/>
          <w:szCs w:val="20"/>
          <w:shd w:val="clear" w:color="auto" w:fill="FFFFFF"/>
          <w:lang w:val="fr-FR"/>
        </w:rPr>
      </w:pPr>
    </w:p>
    <w:p w14:paraId="79D1A39A" w14:textId="77777777" w:rsidR="00FF6DC3" w:rsidRPr="00345EE6" w:rsidRDefault="00FF6DC3" w:rsidP="00105DF6">
      <w:pPr>
        <w:tabs>
          <w:tab w:val="left" w:pos="0"/>
        </w:tabs>
        <w:adjustRightInd w:val="0"/>
        <w:ind w:firstLine="426"/>
        <w:contextualSpacing/>
        <w:jc w:val="center"/>
        <w:rPr>
          <w:rFonts w:ascii="Cambria" w:hAnsi="Cambria" w:cs="Segoe UI"/>
          <w:i/>
          <w:iCs/>
          <w:color w:val="242424"/>
          <w:sz w:val="20"/>
          <w:szCs w:val="20"/>
          <w:shd w:val="clear" w:color="auto" w:fill="FFFFFF"/>
          <w:lang w:val="fr-FR"/>
        </w:rPr>
      </w:pPr>
    </w:p>
    <w:p w14:paraId="7A7E39C3" w14:textId="77777777" w:rsidR="00105DF6" w:rsidRPr="00345EE6" w:rsidRDefault="00105DF6" w:rsidP="00105DF6">
      <w:pPr>
        <w:tabs>
          <w:tab w:val="left" w:pos="340"/>
        </w:tabs>
        <w:jc w:val="both"/>
        <w:rPr>
          <w:rFonts w:ascii="Cambria" w:hAnsi="Cambria"/>
          <w:bCs/>
          <w:color w:val="FF0000"/>
          <w:sz w:val="20"/>
          <w:szCs w:val="20"/>
          <w:lang w:val="fr-FR"/>
        </w:rPr>
      </w:pPr>
      <w:r w:rsidRPr="00345EE6">
        <w:rPr>
          <w:rFonts w:ascii="Cambria" w:hAnsi="Cambria"/>
          <w:b/>
          <w:sz w:val="20"/>
          <w:szCs w:val="20"/>
          <w:lang w:val="fr-FR"/>
        </w:rPr>
        <w:t xml:space="preserve">Titre de la proposition de projet de Recommandation/Résolution : </w:t>
      </w:r>
      <w:r w:rsidR="00FF6DC3" w:rsidRPr="00345EE6">
        <w:rPr>
          <w:rFonts w:ascii="Cambria" w:hAnsi="Cambria"/>
          <w:bCs/>
          <w:color w:val="FF0000"/>
          <w:sz w:val="20"/>
          <w:szCs w:val="20"/>
          <w:lang w:val="fr-FR"/>
        </w:rPr>
        <w:t xml:space="preserve">Projet de </w:t>
      </w:r>
      <w:r w:rsidRPr="00345EE6">
        <w:rPr>
          <w:rFonts w:ascii="Cambria" w:hAnsi="Cambria"/>
          <w:bCs/>
          <w:color w:val="FF0000"/>
          <w:sz w:val="20"/>
          <w:szCs w:val="20"/>
          <w:lang w:val="fr-FR"/>
        </w:rPr>
        <w:t xml:space="preserve">Recommandation de l’ICCAT </w:t>
      </w:r>
      <w:r w:rsidR="00FF6DC3" w:rsidRPr="00345EE6">
        <w:rPr>
          <w:rFonts w:ascii="Cambria" w:hAnsi="Cambria"/>
          <w:bCs/>
          <w:color w:val="FF0000"/>
          <w:sz w:val="20"/>
          <w:szCs w:val="20"/>
          <w:lang w:val="fr-FR"/>
        </w:rPr>
        <w:t xml:space="preserve">amendant la Rec. 06-13 </w:t>
      </w:r>
      <w:r w:rsidRPr="00345EE6">
        <w:rPr>
          <w:rFonts w:ascii="Cambria" w:hAnsi="Cambria"/>
          <w:bCs/>
          <w:color w:val="FF0000"/>
          <w:sz w:val="20"/>
          <w:szCs w:val="20"/>
          <w:lang w:val="fr-FR"/>
        </w:rPr>
        <w:t>concernant des mesures commerciales</w:t>
      </w:r>
    </w:p>
    <w:p w14:paraId="577AE08E" w14:textId="77777777" w:rsidR="00105DF6" w:rsidRPr="00345EE6" w:rsidRDefault="00105DF6" w:rsidP="00105DF6">
      <w:pPr>
        <w:contextualSpacing/>
        <w:rPr>
          <w:rFonts w:ascii="Cambria" w:hAnsi="Cambria"/>
          <w:b/>
          <w:bCs/>
          <w:sz w:val="20"/>
          <w:szCs w:val="20"/>
          <w:lang w:val="fr-FR"/>
        </w:rPr>
      </w:pPr>
    </w:p>
    <w:p w14:paraId="20058506" w14:textId="77777777" w:rsidR="00105DF6" w:rsidRPr="00345EE6" w:rsidRDefault="00105DF6" w:rsidP="00105DF6">
      <w:pPr>
        <w:tabs>
          <w:tab w:val="left" w:pos="340"/>
        </w:tabs>
        <w:jc w:val="both"/>
        <w:rPr>
          <w:rFonts w:ascii="Cambria" w:hAnsi="Cambria"/>
          <w:bCs/>
          <w:color w:val="FF0000"/>
          <w:sz w:val="20"/>
          <w:szCs w:val="20"/>
          <w:lang w:val="fr-FR"/>
        </w:rPr>
      </w:pPr>
      <w:r w:rsidRPr="00345EE6">
        <w:rPr>
          <w:rFonts w:ascii="Cambria" w:hAnsi="Cambria"/>
          <w:b/>
          <w:sz w:val="20"/>
          <w:szCs w:val="20"/>
          <w:lang w:val="fr-FR"/>
        </w:rPr>
        <w:t xml:space="preserve">Titre de la ou des Recommandations ou Résolutions en vigueur traitant des mêmes questions ou de questions connexes : </w:t>
      </w:r>
      <w:r w:rsidRPr="00345EE6">
        <w:rPr>
          <w:rFonts w:ascii="Cambria" w:hAnsi="Cambria"/>
          <w:bCs/>
          <w:i/>
          <w:iCs/>
          <w:color w:val="FF0000"/>
          <w:sz w:val="20"/>
          <w:szCs w:val="20"/>
          <w:lang w:val="fr-FR"/>
        </w:rPr>
        <w:t>Recommandation de l’ICCAT concernant des mesures commerciales</w:t>
      </w:r>
      <w:r w:rsidR="00FF6DC3" w:rsidRPr="00345EE6">
        <w:rPr>
          <w:rFonts w:ascii="Cambria" w:hAnsi="Cambria"/>
          <w:bCs/>
          <w:color w:val="FF0000"/>
          <w:sz w:val="20"/>
          <w:szCs w:val="20"/>
          <w:lang w:val="fr-FR"/>
        </w:rPr>
        <w:t xml:space="preserve"> (Rec. 06-13)</w:t>
      </w:r>
    </w:p>
    <w:p w14:paraId="0ECCFE11" w14:textId="77777777" w:rsidR="00105DF6" w:rsidRPr="00345EE6" w:rsidRDefault="00105DF6" w:rsidP="00105DF6">
      <w:pPr>
        <w:contextualSpacing/>
        <w:rPr>
          <w:rFonts w:ascii="Cambria" w:hAnsi="Cambria"/>
          <w:b/>
          <w:bCs/>
          <w:sz w:val="20"/>
          <w:szCs w:val="20"/>
          <w:lang w:val="fr-FR"/>
        </w:rPr>
      </w:pPr>
    </w:p>
    <w:p w14:paraId="693B7F35" w14:textId="77777777" w:rsidR="00105DF6" w:rsidRPr="00345EE6" w:rsidRDefault="00105DF6" w:rsidP="00105DF6">
      <w:pPr>
        <w:ind w:left="318"/>
        <w:contextualSpacing/>
        <w:rPr>
          <w:rFonts w:ascii="Cambria" w:hAnsi="Cambria"/>
          <w:sz w:val="20"/>
          <w:szCs w:val="20"/>
          <w:lang w:val="fr-FR"/>
        </w:rPr>
      </w:pPr>
    </w:p>
    <w:p w14:paraId="2A8BF477" w14:textId="77777777" w:rsidR="00105DF6" w:rsidRPr="00345EE6" w:rsidRDefault="00105DF6" w:rsidP="00105DF6">
      <w:pPr>
        <w:pStyle w:val="ListParagraph"/>
        <w:numPr>
          <w:ilvl w:val="0"/>
          <w:numId w:val="14"/>
        </w:numPr>
        <w:ind w:left="426" w:hanging="426"/>
        <w:contextualSpacing/>
        <w:rPr>
          <w:sz w:val="20"/>
          <w:szCs w:val="20"/>
        </w:rPr>
      </w:pPr>
      <w:r w:rsidRPr="00345EE6">
        <w:rPr>
          <w:sz w:val="20"/>
          <w:szCs w:val="20"/>
        </w:rPr>
        <w:t xml:space="preserve">Cela crée-t-il de nouvelles </w:t>
      </w:r>
      <w:r w:rsidRPr="00345EE6">
        <w:rPr>
          <w:b/>
          <w:sz w:val="20"/>
          <w:szCs w:val="20"/>
        </w:rPr>
        <w:t xml:space="preserve">obligations de déclaration </w:t>
      </w:r>
      <w:r w:rsidRPr="00345EE6">
        <w:rPr>
          <w:sz w:val="20"/>
          <w:szCs w:val="20"/>
        </w:rPr>
        <w:t xml:space="preserve">pour les CPC ? </w:t>
      </w:r>
      <w:r w:rsidRPr="00345EE6">
        <w:rPr>
          <w:color w:val="FF0000"/>
          <w:sz w:val="20"/>
          <w:szCs w:val="20"/>
        </w:rPr>
        <w:t xml:space="preserve">Oui </w:t>
      </w:r>
      <w:r w:rsidRPr="00345EE6">
        <w:rPr>
          <w:rFonts w:ascii="Segoe UI Symbol" w:hAnsi="Segoe UI Symbol" w:cs="Segoe UI Symbol"/>
          <w:color w:val="FF0000"/>
          <w:sz w:val="20"/>
          <w:szCs w:val="20"/>
        </w:rPr>
        <w:t>☒</w:t>
      </w:r>
      <w:r w:rsidRPr="00345EE6">
        <w:rPr>
          <w:sz w:val="20"/>
          <w:szCs w:val="20"/>
        </w:rPr>
        <w:tab/>
        <w:t xml:space="preserve"> </w:t>
      </w:r>
      <w:r w:rsidRPr="00345EE6">
        <w:rPr>
          <w:sz w:val="20"/>
          <w:szCs w:val="20"/>
        </w:rPr>
        <w:tab/>
        <w:t>Non ¨</w:t>
      </w:r>
    </w:p>
    <w:p w14:paraId="562E3566" w14:textId="77777777" w:rsidR="00105DF6" w:rsidRPr="00345EE6" w:rsidRDefault="00105DF6" w:rsidP="00105DF6">
      <w:pPr>
        <w:pStyle w:val="BodyText"/>
        <w:ind w:left="426" w:hanging="426"/>
        <w:contextualSpacing/>
        <w:rPr>
          <w:rFonts w:ascii="Cambria" w:hAnsi="Cambria"/>
          <w:sz w:val="20"/>
          <w:szCs w:val="20"/>
          <w:lang w:val="fr-FR"/>
        </w:rPr>
      </w:pPr>
    </w:p>
    <w:p w14:paraId="45C35E6D" w14:textId="77777777" w:rsidR="00105DF6" w:rsidRPr="00345EE6" w:rsidRDefault="00105DF6" w:rsidP="00105DF6">
      <w:pPr>
        <w:ind w:left="426"/>
        <w:contextualSpacing/>
        <w:rPr>
          <w:rFonts w:ascii="Cambria" w:hAnsi="Cambria"/>
          <w:sz w:val="20"/>
          <w:szCs w:val="20"/>
          <w:lang w:val="fr-FR"/>
        </w:rPr>
      </w:pPr>
      <w:r w:rsidRPr="00345EE6">
        <w:rPr>
          <w:rFonts w:ascii="Cambria" w:hAnsi="Cambria"/>
          <w:sz w:val="20"/>
          <w:szCs w:val="20"/>
          <w:lang w:val="fr-FR"/>
        </w:rPr>
        <w:t>Brève description de la ou des nouvelle(s) obligation(s) de déclaration :</w:t>
      </w:r>
    </w:p>
    <w:p w14:paraId="730A434D" w14:textId="77777777" w:rsidR="00105DF6" w:rsidRPr="00345EE6" w:rsidRDefault="00105DF6" w:rsidP="00105DF6">
      <w:pPr>
        <w:pStyle w:val="BodyText"/>
        <w:ind w:left="426" w:hanging="426"/>
        <w:contextualSpacing/>
        <w:rPr>
          <w:rFonts w:ascii="Cambria" w:hAnsi="Cambria"/>
          <w:sz w:val="20"/>
          <w:szCs w:val="20"/>
          <w:lang w:val="fr-FR"/>
        </w:rPr>
      </w:pPr>
    </w:p>
    <w:p w14:paraId="6BC4DAA7" w14:textId="77777777" w:rsidR="00105DF6" w:rsidRPr="00345EE6" w:rsidRDefault="00105DF6" w:rsidP="00FF6DC3">
      <w:pPr>
        <w:pStyle w:val="BodyText"/>
        <w:ind w:left="426"/>
        <w:contextualSpacing/>
        <w:jc w:val="both"/>
        <w:rPr>
          <w:rFonts w:ascii="Cambria" w:hAnsi="Cambria"/>
          <w:color w:val="FF0000"/>
          <w:sz w:val="20"/>
          <w:szCs w:val="20"/>
          <w:lang w:val="fr-FR"/>
        </w:rPr>
      </w:pPr>
      <w:r w:rsidRPr="00345EE6">
        <w:rPr>
          <w:rFonts w:ascii="Cambria" w:hAnsi="Cambria"/>
          <w:color w:val="FF0000"/>
          <w:sz w:val="20"/>
          <w:szCs w:val="20"/>
          <w:lang w:val="fr-FR"/>
        </w:rPr>
        <w:t xml:space="preserve">Obligation de déclarer toutes les importations d'espèces et/ou de produits de la pêche relevant de l'ICCAT, en plus de </w:t>
      </w:r>
      <w:r w:rsidR="00FF6DC3" w:rsidRPr="00345EE6">
        <w:rPr>
          <w:rFonts w:ascii="Cambria" w:hAnsi="Cambria"/>
          <w:color w:val="FF0000"/>
          <w:sz w:val="20"/>
          <w:szCs w:val="20"/>
          <w:lang w:val="fr-FR"/>
        </w:rPr>
        <w:t xml:space="preserve">déclarer </w:t>
      </w:r>
      <w:r w:rsidRPr="00345EE6">
        <w:rPr>
          <w:rFonts w:ascii="Cambria" w:hAnsi="Cambria"/>
          <w:color w:val="FF0000"/>
          <w:sz w:val="20"/>
          <w:szCs w:val="20"/>
          <w:lang w:val="fr-FR"/>
        </w:rPr>
        <w:t>tous les débarquements d'espèces relevant de l'ICCAT dans les ports des CPC (paragraphe 12).</w:t>
      </w:r>
    </w:p>
    <w:p w14:paraId="7A053845" w14:textId="77777777" w:rsidR="00105DF6" w:rsidRPr="00345EE6" w:rsidRDefault="00105DF6" w:rsidP="00105DF6">
      <w:pPr>
        <w:pStyle w:val="BodyText"/>
        <w:ind w:left="426" w:hanging="426"/>
        <w:contextualSpacing/>
        <w:rPr>
          <w:rFonts w:ascii="Cambria" w:hAnsi="Cambria"/>
          <w:sz w:val="20"/>
          <w:szCs w:val="20"/>
          <w:lang w:val="fr-FR"/>
        </w:rPr>
      </w:pPr>
    </w:p>
    <w:p w14:paraId="354C95CB" w14:textId="77777777" w:rsidR="00105DF6" w:rsidRPr="00345EE6" w:rsidRDefault="00105DF6" w:rsidP="00105DF6">
      <w:pPr>
        <w:pStyle w:val="ListParagraph"/>
        <w:numPr>
          <w:ilvl w:val="0"/>
          <w:numId w:val="14"/>
        </w:numPr>
        <w:ind w:left="426" w:hanging="426"/>
        <w:contextualSpacing/>
        <w:rPr>
          <w:color w:val="FF0000"/>
          <w:sz w:val="20"/>
          <w:szCs w:val="20"/>
        </w:rPr>
      </w:pPr>
      <w:r w:rsidRPr="00345EE6">
        <w:rPr>
          <w:sz w:val="20"/>
          <w:szCs w:val="20"/>
        </w:rPr>
        <w:t xml:space="preserve">Cela nécessite-t-il une contribution ou un </w:t>
      </w:r>
      <w:r w:rsidRPr="00345EE6">
        <w:rPr>
          <w:b/>
          <w:sz w:val="20"/>
          <w:szCs w:val="20"/>
        </w:rPr>
        <w:t>travail</w:t>
      </w:r>
      <w:r w:rsidRPr="00345EE6">
        <w:rPr>
          <w:sz w:val="20"/>
          <w:szCs w:val="20"/>
        </w:rPr>
        <w:t xml:space="preserve"> supplémentaire </w:t>
      </w:r>
      <w:r w:rsidRPr="00345EE6">
        <w:rPr>
          <w:b/>
          <w:sz w:val="20"/>
          <w:szCs w:val="20"/>
        </w:rPr>
        <w:t>de la part du SCRS</w:t>
      </w:r>
      <w:r w:rsidRPr="00345EE6">
        <w:rPr>
          <w:sz w:val="20"/>
          <w:szCs w:val="20"/>
        </w:rPr>
        <w:t xml:space="preserve"> ? Oui </w:t>
      </w:r>
      <w:r w:rsidRPr="00345EE6">
        <w:rPr>
          <w:color w:val="FF0000"/>
          <w:sz w:val="20"/>
          <w:szCs w:val="20"/>
        </w:rPr>
        <w:t xml:space="preserve">Non </w:t>
      </w:r>
      <w:r w:rsidRPr="00345EE6">
        <w:rPr>
          <w:rFonts w:ascii="MS Gothic" w:eastAsia="MS Gothic" w:hAnsi="MS Gothic" w:hint="eastAsia"/>
          <w:color w:val="FF0000"/>
          <w:spacing w:val="-2"/>
          <w:szCs w:val="20"/>
          <w:lang w:val="en-US"/>
        </w:rPr>
        <w:t>☒</w:t>
      </w:r>
    </w:p>
    <w:p w14:paraId="561B67C8" w14:textId="77777777" w:rsidR="00105DF6" w:rsidRPr="00345EE6" w:rsidRDefault="00105DF6" w:rsidP="00105DF6">
      <w:pPr>
        <w:ind w:left="426" w:hanging="426"/>
        <w:contextualSpacing/>
        <w:rPr>
          <w:rFonts w:ascii="Cambria" w:hAnsi="Cambria"/>
          <w:sz w:val="20"/>
          <w:szCs w:val="20"/>
        </w:rPr>
      </w:pPr>
    </w:p>
    <w:p w14:paraId="74695818" w14:textId="77777777" w:rsidR="00105DF6" w:rsidRPr="00345EE6" w:rsidRDefault="00105DF6" w:rsidP="00105DF6">
      <w:pPr>
        <w:ind w:left="426"/>
        <w:contextualSpacing/>
        <w:rPr>
          <w:rFonts w:ascii="Cambria" w:hAnsi="Cambria"/>
          <w:sz w:val="20"/>
          <w:szCs w:val="20"/>
          <w:lang w:val="fr-FR"/>
        </w:rPr>
      </w:pPr>
      <w:r w:rsidRPr="00345EE6">
        <w:rPr>
          <w:rFonts w:ascii="Cambria" w:hAnsi="Cambria"/>
          <w:sz w:val="20"/>
          <w:szCs w:val="20"/>
          <w:lang w:val="fr-FR"/>
        </w:rPr>
        <w:t xml:space="preserve">Ce travail est-il déjà inclus dans le plan de travail actuel du SCRS ? Oui </w:t>
      </w:r>
      <w:r w:rsidRPr="00345EE6">
        <w:rPr>
          <w:rFonts w:ascii="Cambria" w:hAnsi="Cambria"/>
          <w:sz w:val="20"/>
          <w:szCs w:val="20"/>
        </w:rPr>
        <w:t>¨</w:t>
      </w:r>
      <w:r w:rsidRPr="00345EE6">
        <w:rPr>
          <w:rFonts w:ascii="Cambria" w:hAnsi="Cambria"/>
          <w:sz w:val="20"/>
          <w:szCs w:val="20"/>
          <w:lang w:val="fr-FR"/>
        </w:rPr>
        <w:tab/>
        <w:t xml:space="preserve">Non </w:t>
      </w:r>
      <w:r w:rsidRPr="00345EE6">
        <w:rPr>
          <w:rFonts w:ascii="Cambria" w:hAnsi="Cambria"/>
          <w:sz w:val="20"/>
          <w:szCs w:val="20"/>
        </w:rPr>
        <w:t>¨</w:t>
      </w:r>
    </w:p>
    <w:p w14:paraId="086574E7" w14:textId="77777777" w:rsidR="00105DF6" w:rsidRPr="00345EE6" w:rsidRDefault="00105DF6" w:rsidP="00105DF6">
      <w:pPr>
        <w:ind w:left="426"/>
        <w:contextualSpacing/>
        <w:rPr>
          <w:rFonts w:ascii="Cambria" w:hAnsi="Cambria"/>
          <w:sz w:val="20"/>
          <w:szCs w:val="20"/>
          <w:lang w:val="fr-FR"/>
        </w:rPr>
      </w:pPr>
    </w:p>
    <w:p w14:paraId="37426FDA" w14:textId="77777777" w:rsidR="00105DF6" w:rsidRPr="00345EE6" w:rsidRDefault="00105DF6" w:rsidP="00105DF6">
      <w:pPr>
        <w:ind w:left="426"/>
        <w:contextualSpacing/>
        <w:rPr>
          <w:rFonts w:ascii="Cambria" w:hAnsi="Cambria"/>
          <w:sz w:val="20"/>
          <w:szCs w:val="20"/>
          <w:lang w:val="fr-FR"/>
        </w:rPr>
      </w:pPr>
      <w:r w:rsidRPr="00345EE6">
        <w:rPr>
          <w:rFonts w:ascii="Cambria" w:hAnsi="Cambria"/>
          <w:sz w:val="20"/>
          <w:szCs w:val="20"/>
          <w:lang w:val="fr-FR"/>
        </w:rPr>
        <w:t>Brève description des nouveaux travaux scientifiques requis (évaluation des stocks, analyse, consultant externe) :</w:t>
      </w:r>
    </w:p>
    <w:p w14:paraId="0AC9BEF0" w14:textId="77777777" w:rsidR="00105DF6" w:rsidRPr="00345EE6" w:rsidRDefault="00105DF6" w:rsidP="00105DF6">
      <w:pPr>
        <w:ind w:left="426" w:hanging="426"/>
        <w:contextualSpacing/>
        <w:rPr>
          <w:rFonts w:ascii="Cambria" w:hAnsi="Cambria"/>
          <w:sz w:val="20"/>
          <w:szCs w:val="20"/>
          <w:lang w:val="fr-FR"/>
        </w:rPr>
      </w:pPr>
    </w:p>
    <w:p w14:paraId="78AEAE43" w14:textId="77777777" w:rsidR="00105DF6" w:rsidRPr="00345EE6" w:rsidRDefault="00105DF6" w:rsidP="00105DF6">
      <w:pPr>
        <w:ind w:left="426" w:hanging="426"/>
        <w:contextualSpacing/>
        <w:rPr>
          <w:rFonts w:ascii="Cambria" w:hAnsi="Cambria"/>
          <w:sz w:val="20"/>
          <w:szCs w:val="20"/>
          <w:lang w:val="fr-FR"/>
        </w:rPr>
      </w:pPr>
    </w:p>
    <w:p w14:paraId="60603F91" w14:textId="77777777" w:rsidR="00105DF6" w:rsidRPr="00345EE6" w:rsidRDefault="00105DF6" w:rsidP="00105DF6">
      <w:pPr>
        <w:pStyle w:val="ListParagraph"/>
        <w:numPr>
          <w:ilvl w:val="0"/>
          <w:numId w:val="14"/>
        </w:numPr>
        <w:ind w:left="426" w:hanging="426"/>
        <w:contextualSpacing/>
        <w:rPr>
          <w:sz w:val="20"/>
          <w:szCs w:val="20"/>
        </w:rPr>
      </w:pPr>
      <w:r w:rsidRPr="00345EE6">
        <w:rPr>
          <w:sz w:val="20"/>
          <w:szCs w:val="20"/>
        </w:rPr>
        <w:t xml:space="preserve">Cela implique-t-il la création d'un </w:t>
      </w:r>
      <w:r w:rsidRPr="00345EE6">
        <w:rPr>
          <w:b/>
          <w:sz w:val="20"/>
          <w:szCs w:val="20"/>
        </w:rPr>
        <w:t xml:space="preserve">nouveau groupe de travail ou d'un processus intersessions </w:t>
      </w:r>
      <w:r w:rsidRPr="00345EE6">
        <w:rPr>
          <w:sz w:val="20"/>
          <w:szCs w:val="20"/>
        </w:rPr>
        <w:t xml:space="preserve">?    </w:t>
      </w:r>
    </w:p>
    <w:p w14:paraId="677387FF" w14:textId="77777777" w:rsidR="00105DF6" w:rsidRPr="00345EE6" w:rsidRDefault="00105DF6" w:rsidP="00105DF6">
      <w:pPr>
        <w:pStyle w:val="ListParagraph"/>
        <w:ind w:left="426" w:hanging="426"/>
        <w:contextualSpacing/>
        <w:rPr>
          <w:sz w:val="20"/>
          <w:szCs w:val="20"/>
        </w:rPr>
      </w:pPr>
    </w:p>
    <w:p w14:paraId="5635382C" w14:textId="77777777" w:rsidR="00105DF6" w:rsidRPr="00345EE6" w:rsidRDefault="00105DF6" w:rsidP="00105DF6">
      <w:pPr>
        <w:pStyle w:val="ListParagraph"/>
        <w:ind w:left="426" w:firstLine="0"/>
        <w:contextualSpacing/>
        <w:rPr>
          <w:sz w:val="20"/>
          <w:szCs w:val="20"/>
        </w:rPr>
      </w:pPr>
      <w:r w:rsidRPr="00345EE6">
        <w:rPr>
          <w:sz w:val="20"/>
          <w:szCs w:val="20"/>
        </w:rPr>
        <w:t xml:space="preserve">Oui       </w:t>
      </w:r>
      <w:r w:rsidRPr="00345EE6">
        <w:rPr>
          <w:color w:val="FF0000"/>
          <w:sz w:val="20"/>
          <w:szCs w:val="20"/>
        </w:rPr>
        <w:t>Non ¨</w:t>
      </w:r>
      <w:r w:rsidRPr="00345EE6">
        <w:rPr>
          <w:color w:val="FF0000"/>
          <w:spacing w:val="-2"/>
          <w:szCs w:val="20"/>
          <w:lang w:val="en-US"/>
        </w:rPr>
        <w:t xml:space="preserve"> </w:t>
      </w:r>
      <w:r w:rsidRPr="00345EE6">
        <w:rPr>
          <w:rFonts w:ascii="MS Gothic" w:eastAsia="MS Gothic" w:hAnsi="MS Gothic" w:hint="eastAsia"/>
          <w:color w:val="FF0000"/>
          <w:spacing w:val="-2"/>
          <w:szCs w:val="20"/>
          <w:lang w:val="en-US"/>
        </w:rPr>
        <w:t>☒</w:t>
      </w:r>
    </w:p>
    <w:p w14:paraId="52B8D776" w14:textId="77777777" w:rsidR="00105DF6" w:rsidRPr="00345EE6" w:rsidRDefault="00105DF6" w:rsidP="00105DF6">
      <w:pPr>
        <w:ind w:left="426" w:hanging="426"/>
        <w:contextualSpacing/>
        <w:rPr>
          <w:rFonts w:ascii="Cambria" w:hAnsi="Cambria"/>
          <w:sz w:val="20"/>
          <w:szCs w:val="20"/>
        </w:rPr>
      </w:pPr>
    </w:p>
    <w:p w14:paraId="182E9DCA" w14:textId="77777777" w:rsidR="00105DF6" w:rsidRPr="00345EE6" w:rsidRDefault="00105DF6" w:rsidP="00105DF6">
      <w:pPr>
        <w:pStyle w:val="ListParagraph"/>
        <w:numPr>
          <w:ilvl w:val="0"/>
          <w:numId w:val="14"/>
        </w:numPr>
        <w:ind w:left="426" w:hanging="426"/>
        <w:contextualSpacing/>
        <w:rPr>
          <w:sz w:val="20"/>
          <w:szCs w:val="20"/>
        </w:rPr>
      </w:pPr>
      <w:r w:rsidRPr="00345EE6">
        <w:rPr>
          <w:sz w:val="20"/>
          <w:szCs w:val="20"/>
        </w:rPr>
        <w:t xml:space="preserve">Cela nécessite-t-il un nouveau </w:t>
      </w:r>
      <w:r w:rsidRPr="00345EE6">
        <w:rPr>
          <w:b/>
          <w:sz w:val="20"/>
          <w:szCs w:val="20"/>
        </w:rPr>
        <w:t xml:space="preserve">programme ou des activités supplémentaires à gérer par le Secrétariat </w:t>
      </w:r>
      <w:r w:rsidRPr="00345EE6">
        <w:rPr>
          <w:sz w:val="20"/>
          <w:szCs w:val="20"/>
        </w:rPr>
        <w:t xml:space="preserve">?  Oui     </w:t>
      </w:r>
      <w:r w:rsidRPr="00345EE6">
        <w:rPr>
          <w:color w:val="FF0000"/>
          <w:sz w:val="20"/>
          <w:szCs w:val="20"/>
        </w:rPr>
        <w:t xml:space="preserve">Non </w:t>
      </w:r>
      <w:r w:rsidRPr="00345EE6">
        <w:rPr>
          <w:rFonts w:ascii="MS Gothic" w:eastAsia="MS Gothic" w:hAnsi="MS Gothic" w:hint="eastAsia"/>
          <w:color w:val="FF0000"/>
          <w:spacing w:val="-2"/>
          <w:szCs w:val="20"/>
          <w:lang w:val="en-US"/>
        </w:rPr>
        <w:t>☒</w:t>
      </w:r>
    </w:p>
    <w:p w14:paraId="4F6812A4" w14:textId="77777777" w:rsidR="00105DF6" w:rsidRPr="00345EE6" w:rsidRDefault="00105DF6" w:rsidP="00105DF6">
      <w:pPr>
        <w:ind w:left="426" w:hanging="426"/>
        <w:contextualSpacing/>
        <w:rPr>
          <w:rFonts w:ascii="Cambria" w:hAnsi="Cambria"/>
          <w:sz w:val="20"/>
          <w:szCs w:val="20"/>
          <w:lang w:val="fr-FR"/>
        </w:rPr>
      </w:pPr>
    </w:p>
    <w:p w14:paraId="66A0099F" w14:textId="77777777" w:rsidR="00105DF6" w:rsidRPr="00345EE6" w:rsidRDefault="00105DF6" w:rsidP="00105DF6">
      <w:pPr>
        <w:ind w:left="426"/>
        <w:contextualSpacing/>
        <w:rPr>
          <w:rFonts w:ascii="Cambria" w:hAnsi="Cambria"/>
          <w:spacing w:val="-2"/>
          <w:sz w:val="20"/>
          <w:szCs w:val="20"/>
          <w:lang w:val="fr-FR"/>
        </w:rPr>
      </w:pPr>
      <w:r w:rsidRPr="00345EE6">
        <w:rPr>
          <w:rFonts w:ascii="Cambria" w:hAnsi="Cambria"/>
          <w:sz w:val="20"/>
          <w:szCs w:val="20"/>
          <w:lang w:val="fr-FR"/>
        </w:rPr>
        <w:t>Brève description du nouveau travail requis pour le Secrétariat :</w:t>
      </w:r>
    </w:p>
    <w:p w14:paraId="249E161E" w14:textId="77777777" w:rsidR="00105DF6" w:rsidRPr="00345EE6" w:rsidRDefault="00105DF6" w:rsidP="00105DF6">
      <w:pPr>
        <w:ind w:left="426" w:hanging="426"/>
        <w:contextualSpacing/>
        <w:rPr>
          <w:rFonts w:ascii="Cambria" w:hAnsi="Cambria"/>
          <w:spacing w:val="-2"/>
          <w:sz w:val="20"/>
          <w:szCs w:val="20"/>
          <w:lang w:val="fr-FR"/>
        </w:rPr>
      </w:pPr>
    </w:p>
    <w:p w14:paraId="5FC35251" w14:textId="77777777" w:rsidR="00105DF6" w:rsidRPr="00345EE6" w:rsidRDefault="00105DF6" w:rsidP="00105DF6">
      <w:pPr>
        <w:ind w:left="426" w:hanging="426"/>
        <w:contextualSpacing/>
        <w:rPr>
          <w:rFonts w:ascii="Cambria" w:hAnsi="Cambria"/>
          <w:spacing w:val="-2"/>
          <w:sz w:val="20"/>
          <w:szCs w:val="20"/>
          <w:lang w:val="fr-FR"/>
        </w:rPr>
      </w:pPr>
    </w:p>
    <w:p w14:paraId="6339C9F6" w14:textId="77777777" w:rsidR="00105DF6" w:rsidRPr="00345EE6" w:rsidRDefault="00105DF6" w:rsidP="00105DF6">
      <w:pPr>
        <w:pStyle w:val="ListParagraph"/>
        <w:numPr>
          <w:ilvl w:val="0"/>
          <w:numId w:val="14"/>
        </w:numPr>
        <w:ind w:left="426" w:hanging="426"/>
        <w:contextualSpacing/>
        <w:rPr>
          <w:spacing w:val="-2"/>
          <w:sz w:val="20"/>
          <w:szCs w:val="20"/>
        </w:rPr>
      </w:pPr>
      <w:r w:rsidRPr="00345EE6">
        <w:rPr>
          <w:sz w:val="20"/>
          <w:szCs w:val="20"/>
        </w:rPr>
        <w:t>Quel est le calendrier proposé pour la mise en œuvre, et existe-t-il des calendriers spécifiques différents pour certaines CPC, pêcheries, régions, etc. ?</w:t>
      </w:r>
    </w:p>
    <w:p w14:paraId="3B05C8B8" w14:textId="77777777" w:rsidR="00105DF6" w:rsidRPr="00345EE6" w:rsidRDefault="00105DF6" w:rsidP="00105DF6">
      <w:pPr>
        <w:ind w:left="426" w:hanging="426"/>
        <w:contextualSpacing/>
        <w:rPr>
          <w:rFonts w:ascii="Cambria" w:hAnsi="Cambria"/>
          <w:spacing w:val="-2"/>
          <w:sz w:val="20"/>
          <w:szCs w:val="20"/>
          <w:lang w:val="fr-FR"/>
        </w:rPr>
      </w:pPr>
    </w:p>
    <w:p w14:paraId="67F21954" w14:textId="77777777" w:rsidR="00105DF6" w:rsidRPr="00345EE6" w:rsidRDefault="00105DF6" w:rsidP="00105DF6">
      <w:pPr>
        <w:pStyle w:val="BodyText"/>
        <w:ind w:left="426"/>
        <w:contextualSpacing/>
        <w:rPr>
          <w:rFonts w:ascii="Cambria" w:hAnsi="Cambria"/>
          <w:color w:val="FF0000"/>
          <w:sz w:val="20"/>
          <w:szCs w:val="20"/>
          <w:lang w:val="fr-FR"/>
        </w:rPr>
      </w:pPr>
      <w:r w:rsidRPr="00345EE6">
        <w:rPr>
          <w:rFonts w:ascii="Cambria" w:hAnsi="Cambria"/>
          <w:color w:val="FF0000"/>
          <w:sz w:val="20"/>
          <w:szCs w:val="20"/>
          <w:lang w:val="fr-FR"/>
        </w:rPr>
        <w:t xml:space="preserve">La nouvelle obligation sera effective à partir de janvier 2027 mais </w:t>
      </w:r>
      <w:r w:rsidR="00FF6DC3" w:rsidRPr="00345EE6">
        <w:rPr>
          <w:rFonts w:ascii="Cambria" w:hAnsi="Cambria"/>
          <w:color w:val="FF0000"/>
          <w:sz w:val="20"/>
          <w:szCs w:val="20"/>
          <w:lang w:val="fr-FR"/>
        </w:rPr>
        <w:t xml:space="preserve">les CPC devront </w:t>
      </w:r>
      <w:r w:rsidR="008C7F50" w:rsidRPr="00345EE6">
        <w:rPr>
          <w:rFonts w:ascii="Cambria" w:hAnsi="Cambria"/>
          <w:color w:val="FF0000"/>
          <w:sz w:val="20"/>
          <w:szCs w:val="20"/>
          <w:lang w:val="fr-FR"/>
        </w:rPr>
        <w:t>remplir</w:t>
      </w:r>
      <w:r w:rsidR="00FF6DC3" w:rsidRPr="00345EE6">
        <w:rPr>
          <w:rFonts w:ascii="Cambria" w:hAnsi="Cambria"/>
          <w:color w:val="FF0000"/>
          <w:sz w:val="20"/>
          <w:szCs w:val="20"/>
          <w:lang w:val="fr-FR"/>
        </w:rPr>
        <w:t xml:space="preserve"> pour </w:t>
      </w:r>
      <w:r w:rsidRPr="00345EE6">
        <w:rPr>
          <w:rFonts w:ascii="Cambria" w:hAnsi="Cambria"/>
          <w:color w:val="FF0000"/>
          <w:sz w:val="20"/>
          <w:szCs w:val="20"/>
          <w:lang w:val="fr-FR"/>
        </w:rPr>
        <w:t xml:space="preserve">la première fois l'obligation de déclaration </w:t>
      </w:r>
      <w:r w:rsidR="00FF6DC3" w:rsidRPr="00345EE6">
        <w:rPr>
          <w:rFonts w:ascii="Cambria" w:hAnsi="Cambria"/>
          <w:color w:val="FF0000"/>
          <w:sz w:val="20"/>
          <w:szCs w:val="20"/>
          <w:lang w:val="fr-FR"/>
        </w:rPr>
        <w:t>au plus tard</w:t>
      </w:r>
      <w:r w:rsidRPr="00345EE6">
        <w:rPr>
          <w:rFonts w:ascii="Cambria" w:hAnsi="Cambria"/>
          <w:color w:val="FF0000"/>
          <w:sz w:val="20"/>
          <w:szCs w:val="20"/>
          <w:lang w:val="fr-FR"/>
        </w:rPr>
        <w:t xml:space="preserve"> le 15 septembre 2027 pour les importations effectuées en 2026.</w:t>
      </w:r>
    </w:p>
    <w:p w14:paraId="4DC2873A" w14:textId="77777777" w:rsidR="00105DF6" w:rsidRPr="00345EE6" w:rsidRDefault="00105DF6" w:rsidP="00105DF6">
      <w:pPr>
        <w:ind w:left="426" w:hanging="426"/>
        <w:contextualSpacing/>
        <w:rPr>
          <w:rFonts w:ascii="Cambria" w:hAnsi="Cambria"/>
          <w:spacing w:val="-2"/>
          <w:sz w:val="20"/>
          <w:szCs w:val="20"/>
          <w:lang w:val="fr-FR"/>
        </w:rPr>
      </w:pPr>
    </w:p>
    <w:p w14:paraId="3ACAA27F" w14:textId="77777777" w:rsidR="00105DF6" w:rsidRPr="00345EE6" w:rsidRDefault="00105DF6" w:rsidP="00105DF6">
      <w:pPr>
        <w:ind w:left="426" w:hanging="426"/>
        <w:contextualSpacing/>
        <w:rPr>
          <w:rFonts w:ascii="Cambria" w:hAnsi="Cambria"/>
          <w:spacing w:val="-2"/>
          <w:sz w:val="20"/>
          <w:szCs w:val="20"/>
          <w:lang w:val="fr-FR"/>
        </w:rPr>
      </w:pPr>
    </w:p>
    <w:p w14:paraId="0AC8C798" w14:textId="77777777" w:rsidR="00105DF6" w:rsidRPr="00345EE6" w:rsidRDefault="00105DF6" w:rsidP="00105DF6">
      <w:pPr>
        <w:pStyle w:val="ListParagraph"/>
        <w:numPr>
          <w:ilvl w:val="0"/>
          <w:numId w:val="14"/>
        </w:numPr>
        <w:ind w:left="426" w:hanging="426"/>
        <w:contextualSpacing/>
        <w:rPr>
          <w:spacing w:val="-2"/>
          <w:sz w:val="20"/>
          <w:szCs w:val="20"/>
        </w:rPr>
      </w:pPr>
      <w:r w:rsidRPr="00345EE6">
        <w:rPr>
          <w:sz w:val="20"/>
          <w:szCs w:val="20"/>
        </w:rPr>
        <w:t>Existe-t-il d'autres informations pertinentes concernant les implications de la proposition en termes de ressources et de charge de travail ?</w:t>
      </w:r>
    </w:p>
    <w:p w14:paraId="539DC372" w14:textId="77777777" w:rsidR="00105DF6" w:rsidRPr="00345EE6" w:rsidRDefault="00105DF6" w:rsidP="00105DF6">
      <w:pPr>
        <w:pStyle w:val="ListParagraph"/>
        <w:ind w:left="360" w:firstLine="0"/>
        <w:contextualSpacing/>
        <w:rPr>
          <w:spacing w:val="-2"/>
          <w:sz w:val="20"/>
          <w:szCs w:val="20"/>
        </w:rPr>
      </w:pPr>
    </w:p>
    <w:p w14:paraId="665FD337" w14:textId="77777777" w:rsidR="008C7F50" w:rsidRPr="00345EE6" w:rsidRDefault="00105DF6" w:rsidP="008C7F50">
      <w:pPr>
        <w:tabs>
          <w:tab w:val="left" w:pos="340"/>
        </w:tabs>
        <w:ind w:firstLine="340"/>
        <w:jc w:val="right"/>
        <w:rPr>
          <w:rFonts w:ascii="Cambria" w:hAnsi="Cambria"/>
          <w:b/>
          <w:bCs/>
          <w:sz w:val="20"/>
          <w:szCs w:val="20"/>
        </w:rPr>
      </w:pPr>
      <w:r w:rsidRPr="00345EE6">
        <w:rPr>
          <w:rFonts w:ascii="Cambria" w:hAnsi="Cambria"/>
          <w:i/>
          <w:iCs/>
          <w:sz w:val="20"/>
          <w:szCs w:val="20"/>
          <w:lang w:val="fr-FR"/>
        </w:rPr>
        <w:br w:type="page"/>
      </w:r>
      <w:proofErr w:type="gramStart"/>
      <w:r w:rsidRPr="00345EE6">
        <w:rPr>
          <w:rFonts w:ascii="Cambria" w:hAnsi="Cambria"/>
          <w:b/>
          <w:bCs/>
          <w:sz w:val="20"/>
          <w:szCs w:val="20"/>
        </w:rPr>
        <w:lastRenderedPageBreak/>
        <w:t>Original :</w:t>
      </w:r>
      <w:proofErr w:type="gramEnd"/>
      <w:r w:rsidRPr="00345EE6">
        <w:rPr>
          <w:rFonts w:ascii="Cambria" w:hAnsi="Cambria"/>
          <w:b/>
          <w:bCs/>
          <w:sz w:val="20"/>
          <w:szCs w:val="20"/>
        </w:rPr>
        <w:t xml:space="preserve"> </w:t>
      </w:r>
      <w:proofErr w:type="spellStart"/>
      <w:r w:rsidR="008C7F50" w:rsidRPr="00345EE6">
        <w:rPr>
          <w:rFonts w:ascii="Cambria" w:hAnsi="Cambria"/>
          <w:b/>
          <w:bCs/>
          <w:sz w:val="20"/>
          <w:szCs w:val="20"/>
        </w:rPr>
        <w:t>anglais</w:t>
      </w:r>
      <w:proofErr w:type="spellEnd"/>
    </w:p>
    <w:p w14:paraId="0536C6EA" w14:textId="77777777" w:rsidR="008C7F50" w:rsidRPr="00345EE6" w:rsidRDefault="008C7F50" w:rsidP="008C7F50">
      <w:pPr>
        <w:tabs>
          <w:tab w:val="left" w:pos="340"/>
        </w:tabs>
        <w:ind w:firstLine="340"/>
        <w:jc w:val="right"/>
        <w:rPr>
          <w:rFonts w:ascii="Cambria" w:hAnsi="Cambria"/>
          <w:b/>
          <w:bCs/>
          <w:sz w:val="20"/>
          <w:szCs w:val="20"/>
        </w:rPr>
      </w:pPr>
    </w:p>
    <w:p w14:paraId="2179C1FF" w14:textId="77777777" w:rsidR="00FF6DC3" w:rsidRPr="00345EE6" w:rsidRDefault="00105DF6" w:rsidP="00105DF6">
      <w:pPr>
        <w:widowControl w:val="0"/>
        <w:autoSpaceDE w:val="0"/>
        <w:autoSpaceDN w:val="0"/>
        <w:jc w:val="center"/>
        <w:rPr>
          <w:rFonts w:ascii="Cambria" w:hAnsi="Cambria"/>
          <w:b/>
          <w:bCs/>
          <w:sz w:val="20"/>
          <w:szCs w:val="20"/>
          <w:lang w:val="fr-FR"/>
        </w:rPr>
      </w:pPr>
      <w:r w:rsidRPr="00345EE6">
        <w:rPr>
          <w:rFonts w:ascii="Cambria" w:hAnsi="Cambria"/>
          <w:b/>
          <w:bCs/>
          <w:sz w:val="20"/>
          <w:szCs w:val="20"/>
          <w:lang w:val="fr-FR"/>
        </w:rPr>
        <w:t xml:space="preserve">Note explicative </w:t>
      </w:r>
      <w:r w:rsidR="00FF6DC3" w:rsidRPr="00345EE6">
        <w:rPr>
          <w:rFonts w:ascii="Cambria" w:hAnsi="Cambria"/>
          <w:b/>
          <w:bCs/>
          <w:sz w:val="20"/>
          <w:szCs w:val="20"/>
          <w:lang w:val="fr-FR"/>
        </w:rPr>
        <w:t>concernant le</w:t>
      </w:r>
    </w:p>
    <w:p w14:paraId="571415F2" w14:textId="77777777" w:rsidR="00105DF6" w:rsidRPr="00345EE6" w:rsidRDefault="00FF6DC3" w:rsidP="00105DF6">
      <w:pPr>
        <w:widowControl w:val="0"/>
        <w:autoSpaceDE w:val="0"/>
        <w:autoSpaceDN w:val="0"/>
        <w:jc w:val="center"/>
        <w:rPr>
          <w:rFonts w:ascii="Cambria" w:hAnsi="Cambria"/>
          <w:b/>
          <w:bCs/>
          <w:sz w:val="20"/>
          <w:szCs w:val="20"/>
          <w:lang w:val="fr-FR"/>
        </w:rPr>
      </w:pPr>
      <w:r w:rsidRPr="00345EE6">
        <w:rPr>
          <w:rFonts w:ascii="Cambria" w:hAnsi="Cambria"/>
          <w:b/>
          <w:bCs/>
          <w:sz w:val="20"/>
          <w:szCs w:val="20"/>
          <w:lang w:val="fr-FR"/>
        </w:rPr>
        <w:t>Projet de Recommandation de l’ICCAT amendant la Rec. 06-13 concernant des mesures commerciales</w:t>
      </w:r>
    </w:p>
    <w:p w14:paraId="389ADB9A" w14:textId="77777777" w:rsidR="00105DF6" w:rsidRPr="00345EE6" w:rsidRDefault="00105DF6" w:rsidP="00105DF6">
      <w:pPr>
        <w:widowControl w:val="0"/>
        <w:autoSpaceDE w:val="0"/>
        <w:autoSpaceDN w:val="0"/>
        <w:jc w:val="both"/>
        <w:rPr>
          <w:rFonts w:ascii="Cambria" w:hAnsi="Cambria"/>
          <w:sz w:val="20"/>
          <w:szCs w:val="20"/>
          <w:lang w:val="fr-FR"/>
        </w:rPr>
      </w:pPr>
    </w:p>
    <w:p w14:paraId="27E771FF" w14:textId="77777777" w:rsidR="00FF6DC3" w:rsidRPr="00345EE6" w:rsidRDefault="00FF6DC3" w:rsidP="00FF6DC3">
      <w:pPr>
        <w:spacing w:line="233" w:lineRule="auto"/>
        <w:contextualSpacing/>
        <w:jc w:val="center"/>
        <w:rPr>
          <w:rFonts w:ascii="Cambria" w:hAnsi="Cambria"/>
          <w:i/>
          <w:sz w:val="20"/>
          <w:szCs w:val="20"/>
          <w:lang w:val="fr-FR"/>
        </w:rPr>
      </w:pPr>
      <w:r w:rsidRPr="00345EE6">
        <w:rPr>
          <w:rFonts w:ascii="Cambria" w:hAnsi="Cambria"/>
          <w:i/>
          <w:sz w:val="20"/>
          <w:szCs w:val="20"/>
          <w:lang w:val="fr-FR"/>
        </w:rPr>
        <w:t>(Proposition soumise par l’Union européenne)</w:t>
      </w:r>
    </w:p>
    <w:p w14:paraId="750D0F50" w14:textId="77777777" w:rsidR="00FF6DC3" w:rsidRPr="00345EE6" w:rsidRDefault="00FF6DC3" w:rsidP="00105DF6">
      <w:pPr>
        <w:widowControl w:val="0"/>
        <w:autoSpaceDE w:val="0"/>
        <w:autoSpaceDN w:val="0"/>
        <w:jc w:val="both"/>
        <w:rPr>
          <w:rFonts w:ascii="Cambria" w:hAnsi="Cambria"/>
          <w:sz w:val="20"/>
          <w:szCs w:val="20"/>
          <w:lang w:val="fr-FR"/>
        </w:rPr>
      </w:pPr>
    </w:p>
    <w:p w14:paraId="11115B70" w14:textId="77777777" w:rsidR="00FF6DC3" w:rsidRPr="00345EE6" w:rsidRDefault="00FF6DC3" w:rsidP="00105DF6">
      <w:pPr>
        <w:widowControl w:val="0"/>
        <w:autoSpaceDE w:val="0"/>
        <w:autoSpaceDN w:val="0"/>
        <w:jc w:val="both"/>
        <w:rPr>
          <w:rFonts w:ascii="Cambria" w:hAnsi="Cambria"/>
          <w:sz w:val="20"/>
          <w:szCs w:val="20"/>
          <w:lang w:val="fr-FR"/>
        </w:rPr>
      </w:pPr>
    </w:p>
    <w:p w14:paraId="61ED9667" w14:textId="77777777" w:rsidR="00105DF6" w:rsidRPr="00345EE6" w:rsidRDefault="00105DF6" w:rsidP="00105DF6">
      <w:pPr>
        <w:widowControl w:val="0"/>
        <w:autoSpaceDE w:val="0"/>
        <w:autoSpaceDN w:val="0"/>
        <w:jc w:val="both"/>
        <w:rPr>
          <w:rFonts w:ascii="Cambria" w:hAnsi="Cambria"/>
          <w:sz w:val="20"/>
          <w:szCs w:val="20"/>
          <w:lang w:val="fr-FR"/>
        </w:rPr>
      </w:pPr>
      <w:r w:rsidRPr="00345EE6">
        <w:rPr>
          <w:rFonts w:ascii="Cambria" w:hAnsi="Cambria"/>
          <w:sz w:val="20"/>
          <w:szCs w:val="20"/>
          <w:lang w:val="fr-FR"/>
        </w:rPr>
        <w:t>Le suivi des quantités d'espèces de l’ICCAT qui sont commercialisées est un pilier fondamental d'un contrôle efficace, notamment en ce qui concerne l'utilisation des quotas alloués.</w:t>
      </w:r>
    </w:p>
    <w:p w14:paraId="72AFC887" w14:textId="77777777" w:rsidR="00105DF6" w:rsidRPr="00345EE6" w:rsidRDefault="00105DF6" w:rsidP="00105DF6">
      <w:pPr>
        <w:widowControl w:val="0"/>
        <w:autoSpaceDE w:val="0"/>
        <w:autoSpaceDN w:val="0"/>
        <w:jc w:val="both"/>
        <w:rPr>
          <w:rFonts w:ascii="Cambria" w:hAnsi="Cambria"/>
          <w:sz w:val="20"/>
          <w:szCs w:val="20"/>
          <w:lang w:val="fr-FR"/>
        </w:rPr>
      </w:pPr>
    </w:p>
    <w:p w14:paraId="5CACDE73" w14:textId="77777777" w:rsidR="00105DF6" w:rsidRPr="00345EE6" w:rsidRDefault="00105DF6" w:rsidP="00105DF6">
      <w:pPr>
        <w:widowControl w:val="0"/>
        <w:autoSpaceDE w:val="0"/>
        <w:autoSpaceDN w:val="0"/>
        <w:jc w:val="both"/>
        <w:rPr>
          <w:rFonts w:ascii="Cambria" w:hAnsi="Cambria"/>
          <w:sz w:val="20"/>
          <w:szCs w:val="20"/>
          <w:lang w:val="fr-FR"/>
        </w:rPr>
      </w:pPr>
      <w:r w:rsidRPr="00345EE6">
        <w:rPr>
          <w:rFonts w:ascii="Cambria" w:hAnsi="Cambria"/>
          <w:sz w:val="20"/>
          <w:szCs w:val="20"/>
          <w:lang w:val="fr-FR"/>
        </w:rPr>
        <w:t>L'UE propose un amendement au paragraphe 1 de la Recommandation 06-13 concernant les mesures commerciales, en adaptant une Recommandation qui est devenue partiellement obsolète, par le biais d'une simple obligation de déclaration qui entraîne une charge réduite mais peut avoir un impact important pour un contrôle plus efficace.</w:t>
      </w:r>
    </w:p>
    <w:p w14:paraId="6EDEC1E8" w14:textId="77777777" w:rsidR="00105DF6" w:rsidRPr="00345EE6" w:rsidRDefault="00105DF6" w:rsidP="00105DF6">
      <w:pPr>
        <w:widowControl w:val="0"/>
        <w:autoSpaceDE w:val="0"/>
        <w:autoSpaceDN w:val="0"/>
        <w:rPr>
          <w:rFonts w:ascii="Cambria" w:hAnsi="Cambria"/>
          <w:b/>
          <w:bCs/>
          <w:szCs w:val="20"/>
          <w:lang w:val="fr-FR"/>
        </w:rPr>
      </w:pPr>
    </w:p>
    <w:p w14:paraId="72C1E334" w14:textId="77777777" w:rsidR="00FF6DC3" w:rsidRPr="00345EE6" w:rsidRDefault="00105DF6" w:rsidP="00960454">
      <w:pPr>
        <w:widowControl w:val="0"/>
        <w:autoSpaceDE w:val="0"/>
        <w:autoSpaceDN w:val="0"/>
        <w:jc w:val="center"/>
        <w:rPr>
          <w:rFonts w:ascii="Cambria" w:hAnsi="Cambria"/>
          <w:b/>
          <w:sz w:val="20"/>
          <w:szCs w:val="20"/>
          <w:lang w:val="fr-FR"/>
        </w:rPr>
      </w:pPr>
      <w:r w:rsidRPr="00345EE6">
        <w:rPr>
          <w:rFonts w:ascii="Cambria" w:hAnsi="Cambria"/>
          <w:i/>
          <w:iCs/>
          <w:sz w:val="20"/>
          <w:szCs w:val="20"/>
          <w:lang w:val="fr-FR"/>
        </w:rPr>
        <w:br w:type="page"/>
      </w:r>
      <w:r w:rsidR="00FF6DC3" w:rsidRPr="00345EE6">
        <w:rPr>
          <w:rFonts w:ascii="Cambria" w:hAnsi="Cambria"/>
          <w:b/>
          <w:sz w:val="20"/>
          <w:szCs w:val="20"/>
          <w:u w:val="single"/>
          <w:lang w:val="fr-FR"/>
        </w:rPr>
        <w:lastRenderedPageBreak/>
        <w:t>Projet de</w:t>
      </w:r>
      <w:r w:rsidR="00FF6DC3" w:rsidRPr="00345EE6">
        <w:rPr>
          <w:rFonts w:ascii="Cambria" w:hAnsi="Cambria"/>
          <w:b/>
          <w:sz w:val="20"/>
          <w:szCs w:val="20"/>
          <w:lang w:val="fr-FR"/>
        </w:rPr>
        <w:t xml:space="preserve"> Recommandation de l’ICCAT </w:t>
      </w:r>
      <w:r w:rsidR="00FF6DC3" w:rsidRPr="00345EE6">
        <w:rPr>
          <w:rFonts w:ascii="Cambria" w:hAnsi="Cambria"/>
          <w:b/>
          <w:sz w:val="20"/>
          <w:szCs w:val="20"/>
          <w:u w:val="single"/>
          <w:lang w:val="fr-FR"/>
        </w:rPr>
        <w:t>amendant la Rec. 06-13</w:t>
      </w:r>
    </w:p>
    <w:p w14:paraId="133640E6" w14:textId="77777777" w:rsidR="00FF6DC3" w:rsidRPr="00345EE6" w:rsidRDefault="00FF6DC3" w:rsidP="00FF6DC3">
      <w:pPr>
        <w:tabs>
          <w:tab w:val="left" w:pos="340"/>
        </w:tabs>
        <w:jc w:val="center"/>
        <w:rPr>
          <w:rFonts w:ascii="Cambria" w:hAnsi="Cambria"/>
          <w:b/>
          <w:sz w:val="20"/>
          <w:szCs w:val="20"/>
          <w:lang w:val="fr-FR"/>
        </w:rPr>
      </w:pPr>
      <w:r w:rsidRPr="00345EE6">
        <w:rPr>
          <w:rFonts w:ascii="Cambria" w:hAnsi="Cambria"/>
          <w:b/>
          <w:sz w:val="20"/>
          <w:szCs w:val="20"/>
          <w:lang w:val="fr-FR"/>
        </w:rPr>
        <w:t>concernant des mesures commerciales</w:t>
      </w:r>
    </w:p>
    <w:p w14:paraId="23646689" w14:textId="77777777" w:rsidR="00FF6DC3" w:rsidRPr="00345EE6" w:rsidRDefault="00FF6DC3" w:rsidP="00FF6DC3">
      <w:pPr>
        <w:spacing w:line="233" w:lineRule="auto"/>
        <w:contextualSpacing/>
        <w:jc w:val="center"/>
        <w:rPr>
          <w:rFonts w:ascii="Cambria" w:hAnsi="Cambria"/>
          <w:i/>
          <w:sz w:val="20"/>
          <w:szCs w:val="20"/>
          <w:lang w:val="fr-FR"/>
        </w:rPr>
      </w:pPr>
      <w:r w:rsidRPr="00345EE6">
        <w:rPr>
          <w:rFonts w:ascii="Cambria" w:hAnsi="Cambria"/>
          <w:i/>
          <w:sz w:val="20"/>
          <w:szCs w:val="20"/>
          <w:lang w:val="fr-FR"/>
        </w:rPr>
        <w:t>(Proposition soumise par l’Union européenne)</w:t>
      </w:r>
    </w:p>
    <w:p w14:paraId="5DBE6B56" w14:textId="77777777" w:rsidR="00FF2327" w:rsidRPr="00345EE6" w:rsidRDefault="00FF2327" w:rsidP="00EF3B4A">
      <w:pPr>
        <w:tabs>
          <w:tab w:val="left" w:pos="340"/>
        </w:tabs>
        <w:ind w:firstLine="340"/>
        <w:jc w:val="both"/>
        <w:rPr>
          <w:rFonts w:ascii="Cambria" w:hAnsi="Cambria"/>
          <w:i/>
          <w:iCs/>
          <w:sz w:val="20"/>
          <w:szCs w:val="20"/>
          <w:lang w:val="fr-FR"/>
        </w:rPr>
      </w:pPr>
    </w:p>
    <w:p w14:paraId="6D28ACB6" w14:textId="77777777" w:rsidR="00EF3B4A" w:rsidRPr="00345EE6" w:rsidRDefault="00EF3B4A" w:rsidP="00660269">
      <w:pPr>
        <w:ind w:firstLine="426"/>
        <w:jc w:val="both"/>
        <w:rPr>
          <w:rFonts w:ascii="Cambria" w:hAnsi="Cambria"/>
          <w:sz w:val="20"/>
          <w:szCs w:val="20"/>
          <w:lang w:val="fr-FR"/>
        </w:rPr>
      </w:pPr>
      <w:r w:rsidRPr="00345EE6">
        <w:rPr>
          <w:rFonts w:ascii="Cambria" w:hAnsi="Cambria"/>
          <w:i/>
          <w:iCs/>
          <w:sz w:val="20"/>
          <w:szCs w:val="20"/>
          <w:lang w:val="fr-FR"/>
        </w:rPr>
        <w:t>NOTANT</w:t>
      </w:r>
      <w:r w:rsidRPr="00345EE6">
        <w:rPr>
          <w:rFonts w:ascii="Cambria" w:hAnsi="Cambria"/>
          <w:sz w:val="20"/>
          <w:szCs w:val="20"/>
          <w:lang w:val="fr-FR"/>
        </w:rPr>
        <w:t xml:space="preserve"> que l’objectif de l’ICCAT est de maintenir les populations de thonidés et d’espèces apparentées dans l’Atlantique à des niveaux qui permettront des ponctions correspondant à la Production Maximale Equilibrée ;</w:t>
      </w:r>
    </w:p>
    <w:p w14:paraId="4C76C697" w14:textId="77777777" w:rsidR="00EF3B4A" w:rsidRPr="00345EE6" w:rsidRDefault="00EF3B4A" w:rsidP="00660269">
      <w:pPr>
        <w:ind w:firstLine="426"/>
        <w:jc w:val="both"/>
        <w:rPr>
          <w:rFonts w:ascii="Cambria" w:hAnsi="Cambria"/>
          <w:sz w:val="20"/>
          <w:szCs w:val="20"/>
          <w:lang w:val="fr-FR"/>
        </w:rPr>
      </w:pPr>
    </w:p>
    <w:p w14:paraId="03AD6E18" w14:textId="77777777" w:rsidR="00EF3B4A" w:rsidRPr="00345EE6" w:rsidRDefault="00660269" w:rsidP="00660269">
      <w:pPr>
        <w:ind w:firstLine="426"/>
        <w:jc w:val="both"/>
        <w:rPr>
          <w:rFonts w:ascii="Cambria" w:hAnsi="Cambria"/>
          <w:sz w:val="20"/>
          <w:szCs w:val="20"/>
          <w:lang w:val="fr-FR"/>
        </w:rPr>
      </w:pPr>
      <w:r w:rsidRPr="00345EE6">
        <w:rPr>
          <w:rFonts w:ascii="Cambria" w:hAnsi="Cambria"/>
          <w:i/>
          <w:iCs/>
          <w:sz w:val="20"/>
          <w:szCs w:val="20"/>
          <w:lang w:val="fr-FR"/>
        </w:rPr>
        <w:t>É</w:t>
      </w:r>
      <w:r w:rsidR="00EF3B4A" w:rsidRPr="00345EE6">
        <w:rPr>
          <w:rFonts w:ascii="Cambria" w:hAnsi="Cambria"/>
          <w:i/>
          <w:iCs/>
          <w:sz w:val="20"/>
          <w:szCs w:val="20"/>
          <w:lang w:val="fr-FR"/>
        </w:rPr>
        <w:t>TANT DONNÉ</w:t>
      </w:r>
      <w:r w:rsidR="00EF3B4A" w:rsidRPr="00345EE6">
        <w:rPr>
          <w:rFonts w:ascii="Cambria" w:hAnsi="Cambria"/>
          <w:sz w:val="20"/>
          <w:szCs w:val="20"/>
          <w:lang w:val="fr-FR"/>
        </w:rPr>
        <w:t xml:space="preserve"> que des mesures sont nécessaires pour garantir l’efficacité des objectifs de l’ICCAT ;</w:t>
      </w:r>
    </w:p>
    <w:p w14:paraId="2F653D07" w14:textId="77777777" w:rsidR="00EF3B4A" w:rsidRPr="00345EE6" w:rsidRDefault="00EF3B4A" w:rsidP="00660269">
      <w:pPr>
        <w:ind w:firstLine="426"/>
        <w:jc w:val="both"/>
        <w:rPr>
          <w:rFonts w:ascii="Cambria" w:hAnsi="Cambria"/>
          <w:sz w:val="20"/>
          <w:szCs w:val="20"/>
          <w:lang w:val="fr-FR"/>
        </w:rPr>
      </w:pPr>
    </w:p>
    <w:p w14:paraId="59E2F2C2" w14:textId="77777777" w:rsidR="00EF3B4A" w:rsidRPr="00345EE6" w:rsidRDefault="00EF3B4A" w:rsidP="00660269">
      <w:pPr>
        <w:ind w:firstLine="426"/>
        <w:jc w:val="both"/>
        <w:rPr>
          <w:rFonts w:ascii="Cambria" w:hAnsi="Cambria"/>
          <w:sz w:val="20"/>
          <w:szCs w:val="20"/>
          <w:lang w:val="fr-FR"/>
        </w:rPr>
      </w:pPr>
      <w:r w:rsidRPr="00345EE6">
        <w:rPr>
          <w:rFonts w:ascii="Cambria" w:hAnsi="Cambria"/>
          <w:i/>
          <w:iCs/>
          <w:sz w:val="20"/>
          <w:szCs w:val="20"/>
          <w:lang w:val="fr-FR"/>
        </w:rPr>
        <w:t>COMPTE TENU</w:t>
      </w:r>
      <w:r w:rsidRPr="00345EE6">
        <w:rPr>
          <w:rFonts w:ascii="Cambria" w:hAnsi="Cambria"/>
          <w:sz w:val="20"/>
          <w:szCs w:val="20"/>
          <w:lang w:val="fr-FR"/>
        </w:rPr>
        <w:t xml:space="preserve"> de l’obligation de toutes les Parties contractantes et Parties, Entités ou Entités de pêche non-contractantes coopérantes (dénommées ci-après « CPC ») de respecter les mesures de conservation et de gestion de l’ICCAT ;</w:t>
      </w:r>
    </w:p>
    <w:p w14:paraId="7287E5AC" w14:textId="77777777" w:rsidR="00EF3B4A" w:rsidRPr="00345EE6" w:rsidRDefault="00EF3B4A" w:rsidP="00660269">
      <w:pPr>
        <w:ind w:firstLine="426"/>
        <w:jc w:val="both"/>
        <w:rPr>
          <w:rFonts w:ascii="Cambria" w:hAnsi="Cambria"/>
          <w:sz w:val="20"/>
          <w:szCs w:val="20"/>
          <w:lang w:val="fr-FR"/>
        </w:rPr>
      </w:pPr>
    </w:p>
    <w:p w14:paraId="6282F896" w14:textId="77777777" w:rsidR="00EF3B4A" w:rsidRPr="00345EE6" w:rsidRDefault="00EF3B4A" w:rsidP="00660269">
      <w:pPr>
        <w:ind w:firstLine="426"/>
        <w:jc w:val="both"/>
        <w:rPr>
          <w:rFonts w:ascii="Cambria" w:hAnsi="Cambria"/>
          <w:sz w:val="20"/>
          <w:szCs w:val="20"/>
          <w:lang w:val="fr-FR"/>
        </w:rPr>
      </w:pPr>
      <w:r w:rsidRPr="00345EE6">
        <w:rPr>
          <w:rFonts w:ascii="Cambria" w:hAnsi="Cambria"/>
          <w:i/>
          <w:iCs/>
          <w:sz w:val="20"/>
          <w:szCs w:val="20"/>
          <w:lang w:val="fr-FR"/>
        </w:rPr>
        <w:t>CONSCIENTE</w:t>
      </w:r>
      <w:r w:rsidRPr="00345EE6">
        <w:rPr>
          <w:rFonts w:ascii="Cambria" w:hAnsi="Cambria"/>
          <w:sz w:val="20"/>
          <w:szCs w:val="20"/>
          <w:lang w:val="fr-FR"/>
        </w:rPr>
        <w:t xml:space="preserve"> de la nécessité des efforts soutenus déployés par les CPC pour assurer l’exécution des mesures de conservation et de gestion de l’ICCAT, et de la nécessité d’encourager les Parties, Entités ou Entités de pêche non-contractantes (dénommées ci-après « NCP ») à respecter ces mesures ;</w:t>
      </w:r>
    </w:p>
    <w:p w14:paraId="55876B22" w14:textId="77777777" w:rsidR="00EF3B4A" w:rsidRPr="00345EE6" w:rsidRDefault="00EF3B4A" w:rsidP="00660269">
      <w:pPr>
        <w:ind w:firstLine="426"/>
        <w:jc w:val="both"/>
        <w:rPr>
          <w:rFonts w:ascii="Cambria" w:hAnsi="Cambria"/>
          <w:sz w:val="20"/>
          <w:szCs w:val="20"/>
          <w:lang w:val="fr-FR"/>
        </w:rPr>
      </w:pPr>
    </w:p>
    <w:p w14:paraId="4725CC9F" w14:textId="77777777" w:rsidR="00EF3B4A" w:rsidRPr="00345EE6" w:rsidRDefault="00EF3B4A" w:rsidP="00660269">
      <w:pPr>
        <w:pStyle w:val="BodyText3"/>
        <w:spacing w:after="0"/>
        <w:ind w:firstLine="426"/>
        <w:jc w:val="both"/>
        <w:rPr>
          <w:rFonts w:ascii="Cambria" w:hAnsi="Cambria"/>
          <w:bCs/>
          <w:sz w:val="20"/>
          <w:szCs w:val="20"/>
          <w:lang w:val="fr-FR"/>
        </w:rPr>
      </w:pPr>
      <w:r w:rsidRPr="00345EE6">
        <w:rPr>
          <w:rFonts w:ascii="Cambria" w:hAnsi="Cambria"/>
          <w:bCs/>
          <w:i/>
          <w:iCs/>
          <w:sz w:val="20"/>
          <w:szCs w:val="20"/>
          <w:lang w:val="fr-FR"/>
        </w:rPr>
        <w:t>CONSTATANT</w:t>
      </w:r>
      <w:r w:rsidRPr="00345EE6">
        <w:rPr>
          <w:rFonts w:ascii="Cambria" w:hAnsi="Cambria"/>
          <w:bCs/>
          <w:sz w:val="20"/>
          <w:szCs w:val="20"/>
          <w:lang w:val="fr-FR"/>
        </w:rPr>
        <w:t xml:space="preserve"> que des mesures commerciales restrictives ne devraient être mises en œuvre qu’en dernier ressort, lorsque d’autres mesures se sont révélées inefficaces pour prévenir, contrecarrer et éliminer tout acte ou toute omission affaiblissant l’efficacité des mesures de conservation et de gestion de l’ICCAT</w:t>
      </w:r>
      <w:r w:rsidR="00660269" w:rsidRPr="00345EE6">
        <w:rPr>
          <w:rFonts w:ascii="Cambria" w:hAnsi="Cambria"/>
          <w:bCs/>
          <w:sz w:val="20"/>
          <w:szCs w:val="20"/>
          <w:lang w:val="fr-FR"/>
        </w:rPr>
        <w:t> ;</w:t>
      </w:r>
    </w:p>
    <w:p w14:paraId="1027BE5D" w14:textId="77777777" w:rsidR="00EF3B4A" w:rsidRPr="00345EE6" w:rsidRDefault="00EF3B4A" w:rsidP="00660269">
      <w:pPr>
        <w:pStyle w:val="BodyText3"/>
        <w:spacing w:after="0"/>
        <w:ind w:firstLine="426"/>
        <w:jc w:val="both"/>
        <w:rPr>
          <w:rFonts w:ascii="Cambria" w:hAnsi="Cambria"/>
          <w:b/>
          <w:bCs/>
          <w:sz w:val="20"/>
          <w:szCs w:val="20"/>
          <w:lang w:val="fr-FR"/>
        </w:rPr>
      </w:pPr>
    </w:p>
    <w:p w14:paraId="5FBEBE04" w14:textId="77777777" w:rsidR="00EF3B4A" w:rsidRPr="00345EE6" w:rsidRDefault="00EF3B4A" w:rsidP="00660269">
      <w:pPr>
        <w:pStyle w:val="Closing"/>
        <w:ind w:firstLine="426"/>
        <w:jc w:val="both"/>
        <w:rPr>
          <w:rFonts w:ascii="Cambria" w:hAnsi="Cambria"/>
          <w:sz w:val="20"/>
          <w:szCs w:val="20"/>
          <w:lang w:val="fr-FR"/>
        </w:rPr>
      </w:pPr>
      <w:r w:rsidRPr="00345EE6">
        <w:rPr>
          <w:rFonts w:ascii="Cambria" w:hAnsi="Cambria"/>
          <w:i/>
          <w:iCs/>
          <w:sz w:val="20"/>
          <w:szCs w:val="20"/>
          <w:lang w:val="fr-FR"/>
        </w:rPr>
        <w:t>CONSTATANT</w:t>
      </w:r>
      <w:r w:rsidRPr="00345EE6">
        <w:rPr>
          <w:rFonts w:ascii="Cambria" w:eastAsia="Times New Roman" w:hAnsi="Cambria"/>
          <w:i/>
          <w:iCs/>
          <w:spacing w:val="0"/>
          <w:kern w:val="0"/>
          <w:sz w:val="20"/>
          <w:szCs w:val="20"/>
          <w:lang w:val="fr-FR" w:eastAsia="en-US"/>
        </w:rPr>
        <w:t xml:space="preserve"> </w:t>
      </w:r>
      <w:r w:rsidRPr="00345EE6">
        <w:rPr>
          <w:rFonts w:ascii="Cambria" w:hAnsi="Cambria"/>
          <w:i/>
          <w:iCs/>
          <w:sz w:val="20"/>
          <w:szCs w:val="20"/>
          <w:lang w:val="fr-FR"/>
        </w:rPr>
        <w:t xml:space="preserve">ÉGALEMENT </w:t>
      </w:r>
      <w:r w:rsidRPr="00345EE6">
        <w:rPr>
          <w:rFonts w:ascii="Cambria" w:hAnsi="Cambria"/>
          <w:sz w:val="20"/>
          <w:szCs w:val="20"/>
          <w:lang w:val="fr-FR"/>
        </w:rPr>
        <w:t>que des mesures commerciales restrictives devraient être adoptées et mises en oeuvre conformément au droit international, y compris aux principes, droits et obligations établis dans les Accords de l’Organisation Mondiale du Commerce (OMC), de manière équitable, transparente et non discriminatoire</w:t>
      </w:r>
      <w:r w:rsidR="00660269" w:rsidRPr="00345EE6">
        <w:rPr>
          <w:rFonts w:ascii="Cambria" w:hAnsi="Cambria"/>
          <w:sz w:val="20"/>
          <w:szCs w:val="20"/>
          <w:lang w:val="fr-FR"/>
        </w:rPr>
        <w:t> ;</w:t>
      </w:r>
    </w:p>
    <w:p w14:paraId="338C7D31" w14:textId="77777777" w:rsidR="00EF3B4A" w:rsidRPr="00345EE6" w:rsidRDefault="00EF3B4A" w:rsidP="009E7AA4">
      <w:pPr>
        <w:pStyle w:val="Closing"/>
        <w:tabs>
          <w:tab w:val="left" w:pos="340"/>
        </w:tabs>
        <w:jc w:val="both"/>
        <w:rPr>
          <w:rFonts w:ascii="Cambria" w:hAnsi="Cambria"/>
          <w:sz w:val="20"/>
          <w:szCs w:val="20"/>
          <w:lang w:val="fr-FR"/>
        </w:rPr>
      </w:pPr>
    </w:p>
    <w:p w14:paraId="2FAB7D32" w14:textId="77777777" w:rsidR="00EF3B4A" w:rsidRPr="00345EE6" w:rsidRDefault="00EF3B4A" w:rsidP="009E7AA4">
      <w:pPr>
        <w:pStyle w:val="Header"/>
        <w:tabs>
          <w:tab w:val="left" w:pos="340"/>
        </w:tabs>
        <w:jc w:val="center"/>
        <w:rPr>
          <w:rFonts w:ascii="Cambria" w:hAnsi="Cambria"/>
          <w:sz w:val="20"/>
          <w:szCs w:val="20"/>
          <w:lang w:val="fr-FR"/>
        </w:rPr>
      </w:pPr>
      <w:r w:rsidRPr="00345EE6">
        <w:rPr>
          <w:rFonts w:ascii="Cambria" w:hAnsi="Cambria"/>
          <w:sz w:val="20"/>
          <w:szCs w:val="20"/>
          <w:lang w:val="fr-FR"/>
        </w:rPr>
        <w:t>LA COMMISSION INTERNATIONALE POUR LA CONSERVATION</w:t>
      </w:r>
    </w:p>
    <w:p w14:paraId="60EEAA13" w14:textId="77777777" w:rsidR="00EF3B4A" w:rsidRPr="00345EE6" w:rsidRDefault="00EF3B4A" w:rsidP="009E7AA4">
      <w:pPr>
        <w:tabs>
          <w:tab w:val="left" w:pos="340"/>
        </w:tabs>
        <w:jc w:val="center"/>
        <w:rPr>
          <w:rFonts w:ascii="Cambria" w:hAnsi="Cambria"/>
          <w:sz w:val="20"/>
          <w:szCs w:val="20"/>
          <w:lang w:val="fr-FR"/>
        </w:rPr>
      </w:pPr>
      <w:r w:rsidRPr="00345EE6">
        <w:rPr>
          <w:rFonts w:ascii="Cambria" w:hAnsi="Cambria"/>
          <w:sz w:val="20"/>
          <w:szCs w:val="20"/>
          <w:lang w:val="fr-FR"/>
        </w:rPr>
        <w:t xml:space="preserve">DES THONIDÉS DE L’ATLANTIQUE (ICCAT) </w:t>
      </w:r>
      <w:r w:rsidR="005574DC" w:rsidRPr="00345EE6">
        <w:rPr>
          <w:rFonts w:ascii="Cambria" w:hAnsi="Cambria"/>
          <w:sz w:val="20"/>
          <w:szCs w:val="20"/>
          <w:lang w:val="fr-FR"/>
        </w:rPr>
        <w:t>RECOMMANDE</w:t>
      </w:r>
      <w:r w:rsidR="00AE4250" w:rsidRPr="00345EE6">
        <w:rPr>
          <w:rFonts w:ascii="Cambria" w:hAnsi="Cambria"/>
          <w:sz w:val="20"/>
          <w:szCs w:val="20"/>
          <w:lang w:val="fr-FR"/>
        </w:rPr>
        <w:t xml:space="preserve"> </w:t>
      </w:r>
      <w:r w:rsidRPr="00345EE6">
        <w:rPr>
          <w:rFonts w:ascii="Cambria" w:hAnsi="Cambria"/>
          <w:sz w:val="20"/>
          <w:szCs w:val="20"/>
          <w:lang w:val="fr-FR"/>
        </w:rPr>
        <w:t>:</w:t>
      </w:r>
    </w:p>
    <w:p w14:paraId="3EFF7C9C" w14:textId="77777777" w:rsidR="00EE41F3" w:rsidRPr="00345EE6" w:rsidRDefault="00EE41F3" w:rsidP="00EE41F3">
      <w:pPr>
        <w:tabs>
          <w:tab w:val="left" w:pos="340"/>
        </w:tabs>
        <w:jc w:val="both"/>
        <w:rPr>
          <w:rFonts w:ascii="Cambria" w:hAnsi="Cambria"/>
          <w:sz w:val="20"/>
          <w:szCs w:val="20"/>
          <w:lang w:val="fr-FR"/>
        </w:rPr>
      </w:pPr>
    </w:p>
    <w:p w14:paraId="6A5C411D" w14:textId="77777777" w:rsidR="00EE41F3" w:rsidRPr="00345EE6" w:rsidRDefault="00EE41F3" w:rsidP="00EE41F3">
      <w:pPr>
        <w:numPr>
          <w:ilvl w:val="0"/>
          <w:numId w:val="15"/>
        </w:numPr>
        <w:ind w:left="426" w:hanging="426"/>
        <w:jc w:val="both"/>
        <w:rPr>
          <w:rFonts w:ascii="Cambria" w:hAnsi="Cambria"/>
          <w:sz w:val="20"/>
          <w:szCs w:val="20"/>
          <w:lang w:val="fr-FR"/>
        </w:rPr>
      </w:pPr>
      <w:r w:rsidRPr="00345EE6">
        <w:rPr>
          <w:rFonts w:ascii="Cambria" w:hAnsi="Cambria"/>
          <w:sz w:val="20"/>
          <w:szCs w:val="20"/>
          <w:u w:val="single"/>
          <w:lang w:val="fr-FR"/>
        </w:rPr>
        <w:t xml:space="preserve">À partir </w:t>
      </w:r>
      <w:r w:rsidR="008C7F50" w:rsidRPr="00345EE6">
        <w:rPr>
          <w:rFonts w:ascii="Cambria" w:hAnsi="Cambria"/>
          <w:sz w:val="20"/>
          <w:szCs w:val="20"/>
          <w:u w:val="single"/>
          <w:lang w:val="fr-FR"/>
        </w:rPr>
        <w:t xml:space="preserve">de </w:t>
      </w:r>
      <w:r w:rsidRPr="00345EE6">
        <w:rPr>
          <w:rFonts w:ascii="Cambria" w:hAnsi="Cambria"/>
          <w:sz w:val="20"/>
          <w:szCs w:val="20"/>
          <w:u w:val="single"/>
          <w:lang w:val="fr-FR"/>
        </w:rPr>
        <w:t>2027, les Parties contractantes, Parties non contractantes coopérantes, Entités ou Entités de pêche (ci-après dénommées « CPC ») important des espèces et/ou des produits de la pêche relevant de l’ICCAT, ou dans les ports desquelles ces produits sont débarqués, devront, au plus tard le 15 septembre de chaque année, soumettre à la Commission un rapport couvrant la période comprise entre le 1er janvier et le 31 décembre de l'année précédente. Ce rapport devra spécifier, par espèce et par CPC de capture, les quantités d'espèces relevant de l’ICCAT capturées dans la zone de la Convention, et devra contenir les informations suivantes</w:t>
      </w:r>
      <w:r w:rsidR="008C7F50" w:rsidRPr="00345EE6">
        <w:rPr>
          <w:rFonts w:ascii="Cambria" w:hAnsi="Cambria"/>
          <w:sz w:val="20"/>
          <w:szCs w:val="20"/>
          <w:u w:val="single"/>
          <w:lang w:val="fr-FR"/>
        </w:rPr>
        <w:t> :</w:t>
      </w:r>
    </w:p>
    <w:p w14:paraId="703AEA92" w14:textId="77777777" w:rsidR="00EE41F3" w:rsidRPr="00345EE6" w:rsidRDefault="00EE41F3" w:rsidP="00EE41F3">
      <w:pPr>
        <w:tabs>
          <w:tab w:val="left" w:pos="340"/>
        </w:tabs>
        <w:jc w:val="both"/>
        <w:rPr>
          <w:rFonts w:ascii="Cambria" w:hAnsi="Cambria"/>
          <w:sz w:val="20"/>
          <w:szCs w:val="20"/>
          <w:lang w:val="fr-FR"/>
        </w:rPr>
      </w:pPr>
    </w:p>
    <w:p w14:paraId="1F45D89B" w14:textId="77777777" w:rsidR="00EE41F3" w:rsidRPr="00345EE6" w:rsidRDefault="00EE41F3" w:rsidP="00EE41F3">
      <w:pPr>
        <w:numPr>
          <w:ilvl w:val="0"/>
          <w:numId w:val="16"/>
        </w:numPr>
        <w:ind w:left="851" w:hanging="425"/>
        <w:jc w:val="both"/>
        <w:rPr>
          <w:rFonts w:ascii="Cambria" w:hAnsi="Cambria"/>
          <w:sz w:val="20"/>
          <w:szCs w:val="20"/>
          <w:lang w:val="fr-FR"/>
        </w:rPr>
      </w:pPr>
      <w:r w:rsidRPr="00345EE6">
        <w:rPr>
          <w:rFonts w:ascii="Cambria" w:hAnsi="Cambria"/>
          <w:sz w:val="20"/>
          <w:szCs w:val="20"/>
          <w:lang w:val="fr-FR"/>
        </w:rPr>
        <w:t xml:space="preserve">les espèces (de thonidés et espèces apparentées) des produits, </w:t>
      </w:r>
    </w:p>
    <w:p w14:paraId="559365A2" w14:textId="77777777" w:rsidR="00EE41F3" w:rsidRPr="00345EE6" w:rsidRDefault="00EE41F3" w:rsidP="00EE41F3">
      <w:pPr>
        <w:numPr>
          <w:ilvl w:val="0"/>
          <w:numId w:val="16"/>
        </w:numPr>
        <w:ind w:left="851" w:hanging="425"/>
        <w:jc w:val="both"/>
        <w:rPr>
          <w:rFonts w:ascii="Cambria" w:hAnsi="Cambria"/>
          <w:sz w:val="20"/>
          <w:szCs w:val="20"/>
          <w:lang w:val="fr-FR"/>
        </w:rPr>
      </w:pPr>
      <w:r w:rsidRPr="00345EE6">
        <w:rPr>
          <w:rFonts w:ascii="Cambria" w:hAnsi="Cambria"/>
          <w:sz w:val="20"/>
          <w:szCs w:val="20"/>
          <w:lang w:val="fr-FR"/>
        </w:rPr>
        <w:t xml:space="preserve">les zones de capture (Atlantique </w:t>
      </w:r>
      <w:r w:rsidRPr="00345EE6">
        <w:rPr>
          <w:rFonts w:ascii="Cambria" w:hAnsi="Cambria"/>
          <w:sz w:val="20"/>
          <w:szCs w:val="20"/>
          <w:u w:val="single"/>
          <w:lang w:val="fr-FR"/>
        </w:rPr>
        <w:t>Nord</w:t>
      </w:r>
      <w:r w:rsidRPr="00345EE6">
        <w:rPr>
          <w:rFonts w:ascii="Cambria" w:hAnsi="Cambria"/>
          <w:sz w:val="20"/>
          <w:szCs w:val="20"/>
          <w:lang w:val="fr-FR"/>
        </w:rPr>
        <w:t>,</w:t>
      </w:r>
      <w:r w:rsidRPr="00345EE6">
        <w:rPr>
          <w:rFonts w:ascii="Cambria" w:hAnsi="Cambria"/>
          <w:sz w:val="20"/>
          <w:szCs w:val="20"/>
          <w:u w:val="single"/>
          <w:lang w:val="fr-FR"/>
        </w:rPr>
        <w:t xml:space="preserve"> Atlantique Sud,</w:t>
      </w:r>
      <w:r w:rsidRPr="00345EE6">
        <w:rPr>
          <w:rFonts w:ascii="Cambria" w:hAnsi="Cambria"/>
          <w:sz w:val="20"/>
          <w:szCs w:val="20"/>
          <w:lang w:val="fr-FR"/>
        </w:rPr>
        <w:t xml:space="preserve"> mer Méditerranée, </w:t>
      </w:r>
      <w:r w:rsidRPr="00345EE6">
        <w:rPr>
          <w:rFonts w:ascii="Cambria" w:hAnsi="Cambria"/>
          <w:sz w:val="20"/>
          <w:szCs w:val="20"/>
          <w:u w:val="single"/>
          <w:lang w:val="fr-FR"/>
        </w:rPr>
        <w:t>Atlantique Est/Ouest pour le thon rouge</w:t>
      </w:r>
      <w:r w:rsidRPr="00345EE6">
        <w:rPr>
          <w:rFonts w:ascii="Cambria" w:hAnsi="Cambria"/>
          <w:sz w:val="20"/>
          <w:szCs w:val="20"/>
          <w:lang w:val="fr-FR"/>
        </w:rPr>
        <w:t xml:space="preserve">), </w:t>
      </w:r>
    </w:p>
    <w:p w14:paraId="12AEE1F4" w14:textId="77777777" w:rsidR="00EE41F3" w:rsidRPr="00345EE6" w:rsidRDefault="00EE41F3" w:rsidP="00EE41F3">
      <w:pPr>
        <w:numPr>
          <w:ilvl w:val="0"/>
          <w:numId w:val="16"/>
        </w:numPr>
        <w:ind w:left="851" w:hanging="425"/>
        <w:jc w:val="both"/>
        <w:rPr>
          <w:rFonts w:ascii="Cambria" w:hAnsi="Cambria"/>
          <w:sz w:val="20"/>
          <w:szCs w:val="20"/>
          <w:lang w:val="fr-FR"/>
        </w:rPr>
      </w:pPr>
      <w:r w:rsidRPr="00345EE6">
        <w:rPr>
          <w:rFonts w:ascii="Cambria" w:hAnsi="Cambria"/>
          <w:sz w:val="20"/>
          <w:szCs w:val="20"/>
          <w:lang w:val="fr-FR"/>
        </w:rPr>
        <w:t xml:space="preserve">le poids du produit par type de produit, </w:t>
      </w:r>
    </w:p>
    <w:p w14:paraId="5A1F08E8" w14:textId="77777777" w:rsidR="00EE41F3" w:rsidRPr="00345EE6" w:rsidRDefault="008C7F50" w:rsidP="00EE41F3">
      <w:pPr>
        <w:numPr>
          <w:ilvl w:val="0"/>
          <w:numId w:val="16"/>
        </w:numPr>
        <w:ind w:left="851" w:hanging="425"/>
        <w:jc w:val="both"/>
        <w:rPr>
          <w:rFonts w:ascii="Cambria" w:hAnsi="Cambria"/>
          <w:sz w:val="20"/>
          <w:szCs w:val="20"/>
          <w:lang w:val="fr-FR"/>
        </w:rPr>
      </w:pPr>
      <w:r w:rsidRPr="00345EE6">
        <w:rPr>
          <w:rFonts w:ascii="Cambria" w:hAnsi="Cambria"/>
          <w:sz w:val="20"/>
          <w:szCs w:val="20"/>
          <w:u w:val="single"/>
          <w:lang w:val="fr-FR"/>
        </w:rPr>
        <w:t>l</w:t>
      </w:r>
      <w:r w:rsidR="00EE41F3" w:rsidRPr="00345EE6">
        <w:rPr>
          <w:rFonts w:ascii="Cambria" w:hAnsi="Cambria"/>
          <w:sz w:val="20"/>
          <w:szCs w:val="20"/>
          <w:u w:val="single"/>
          <w:lang w:val="fr-FR"/>
        </w:rPr>
        <w:t>a CPC qui a capturé le</w:t>
      </w:r>
      <w:r w:rsidRPr="00345EE6">
        <w:rPr>
          <w:rFonts w:ascii="Cambria" w:hAnsi="Cambria"/>
          <w:sz w:val="20"/>
          <w:szCs w:val="20"/>
          <w:u w:val="single"/>
          <w:lang w:val="fr-FR"/>
        </w:rPr>
        <w:t>s</w:t>
      </w:r>
      <w:r w:rsidR="00EE41F3" w:rsidRPr="00345EE6">
        <w:rPr>
          <w:rFonts w:ascii="Cambria" w:hAnsi="Cambria"/>
          <w:sz w:val="20"/>
          <w:szCs w:val="20"/>
          <w:u w:val="single"/>
          <w:lang w:val="fr-FR"/>
        </w:rPr>
        <w:t xml:space="preserve"> poisson</w:t>
      </w:r>
      <w:r w:rsidRPr="00345EE6">
        <w:rPr>
          <w:rFonts w:ascii="Cambria" w:hAnsi="Cambria"/>
          <w:sz w:val="20"/>
          <w:szCs w:val="20"/>
          <w:u w:val="single"/>
          <w:lang w:val="fr-FR"/>
        </w:rPr>
        <w:t>s</w:t>
      </w:r>
      <w:r w:rsidR="00EE41F3" w:rsidRPr="00345EE6">
        <w:rPr>
          <w:rFonts w:ascii="Cambria" w:hAnsi="Cambria"/>
          <w:sz w:val="20"/>
          <w:szCs w:val="20"/>
          <w:u w:val="single"/>
          <w:lang w:val="fr-FR"/>
        </w:rPr>
        <w:t>,</w:t>
      </w:r>
    </w:p>
    <w:p w14:paraId="73A5A01E" w14:textId="77777777" w:rsidR="00EE41F3" w:rsidRPr="00345EE6" w:rsidRDefault="00EE41F3" w:rsidP="00EE41F3">
      <w:pPr>
        <w:numPr>
          <w:ilvl w:val="0"/>
          <w:numId w:val="16"/>
        </w:numPr>
        <w:ind w:left="851" w:hanging="425"/>
        <w:jc w:val="both"/>
        <w:rPr>
          <w:rFonts w:ascii="Cambria" w:hAnsi="Cambria"/>
          <w:sz w:val="20"/>
          <w:szCs w:val="20"/>
          <w:u w:val="single"/>
          <w:lang w:val="fr-FR"/>
        </w:rPr>
      </w:pPr>
      <w:r w:rsidRPr="00345EE6">
        <w:rPr>
          <w:rFonts w:ascii="Cambria" w:hAnsi="Cambria"/>
          <w:sz w:val="20"/>
          <w:szCs w:val="20"/>
          <w:u w:val="single"/>
          <w:lang w:val="fr-FR"/>
        </w:rPr>
        <w:t xml:space="preserve">la date (année) à laquelle les captures ont été effectuées. </w:t>
      </w:r>
    </w:p>
    <w:p w14:paraId="33FC980F" w14:textId="77777777" w:rsidR="00EE41F3" w:rsidRPr="00345EE6" w:rsidRDefault="00EE41F3" w:rsidP="00EE41F3">
      <w:pPr>
        <w:tabs>
          <w:tab w:val="left" w:pos="340"/>
        </w:tabs>
        <w:jc w:val="both"/>
        <w:rPr>
          <w:rFonts w:ascii="Cambria" w:hAnsi="Cambria"/>
          <w:sz w:val="20"/>
          <w:szCs w:val="20"/>
          <w:u w:val="single"/>
          <w:lang w:val="fr-FR"/>
        </w:rPr>
      </w:pPr>
    </w:p>
    <w:p w14:paraId="7C624658" w14:textId="77777777" w:rsidR="00EE41F3" w:rsidRPr="00345EE6" w:rsidRDefault="00EE41F3" w:rsidP="00EE41F3">
      <w:pPr>
        <w:tabs>
          <w:tab w:val="left" w:pos="340"/>
        </w:tabs>
        <w:jc w:val="both"/>
        <w:rPr>
          <w:rFonts w:ascii="Cambria" w:hAnsi="Cambria"/>
          <w:sz w:val="20"/>
          <w:szCs w:val="20"/>
          <w:u w:val="single"/>
          <w:lang w:val="fr-FR"/>
        </w:rPr>
      </w:pPr>
      <w:r w:rsidRPr="00345EE6">
        <w:rPr>
          <w:rFonts w:ascii="Cambria" w:hAnsi="Cambria"/>
          <w:sz w:val="20"/>
          <w:szCs w:val="20"/>
          <w:u w:val="single"/>
          <w:lang w:val="fr-FR"/>
        </w:rPr>
        <w:t>Lorsque les produits de l’ICCAT importés constituent une réexportation, il conviendra de l'indiquer expressément en précisant le pays d'origine.</w:t>
      </w:r>
    </w:p>
    <w:p w14:paraId="6131A86F" w14:textId="77777777" w:rsidR="00EF3B4A" w:rsidRPr="00345EE6" w:rsidRDefault="00EF3B4A" w:rsidP="009E7AA4">
      <w:pPr>
        <w:tabs>
          <w:tab w:val="left" w:pos="340"/>
        </w:tabs>
        <w:jc w:val="both"/>
        <w:rPr>
          <w:rFonts w:ascii="Cambria" w:hAnsi="Cambria"/>
          <w:sz w:val="20"/>
          <w:szCs w:val="20"/>
          <w:lang w:val="fr-FR"/>
        </w:rPr>
      </w:pPr>
    </w:p>
    <w:p w14:paraId="49179DF0" w14:textId="77777777" w:rsidR="00EF3B4A" w:rsidRPr="00345EE6" w:rsidRDefault="00EF3B4A" w:rsidP="009E7AA4">
      <w:pPr>
        <w:tabs>
          <w:tab w:val="left" w:pos="360"/>
        </w:tabs>
        <w:ind w:left="720" w:hanging="720"/>
        <w:jc w:val="both"/>
        <w:rPr>
          <w:rFonts w:ascii="Cambria" w:hAnsi="Cambria"/>
          <w:sz w:val="20"/>
          <w:szCs w:val="20"/>
          <w:lang w:val="fr-FR"/>
        </w:rPr>
      </w:pPr>
      <w:r w:rsidRPr="00345EE6">
        <w:rPr>
          <w:rFonts w:ascii="Cambria" w:hAnsi="Cambria"/>
          <w:sz w:val="20"/>
          <w:szCs w:val="20"/>
          <w:lang w:val="fr-FR"/>
        </w:rPr>
        <w:t>2.</w:t>
      </w:r>
      <w:r w:rsidRPr="00345EE6">
        <w:rPr>
          <w:rFonts w:ascii="Cambria" w:hAnsi="Cambria"/>
          <w:sz w:val="20"/>
          <w:szCs w:val="20"/>
          <w:lang w:val="fr-FR"/>
        </w:rPr>
        <w:tab/>
        <w:t>a)</w:t>
      </w:r>
      <w:r w:rsidRPr="00345EE6">
        <w:rPr>
          <w:rFonts w:ascii="Cambria" w:hAnsi="Cambria"/>
          <w:sz w:val="20"/>
          <w:szCs w:val="20"/>
          <w:lang w:val="fr-FR"/>
        </w:rPr>
        <w:tab/>
        <w:t>La Commission devra, par le biais du Comité d’Application des Mesures de Conservation et de Gestion (dénommé ci-après « Comité d’Application ») ou du Groupe de travail Permanent sur l’Amélioration des Statistiques et des Mesures de conservation de l’ICCAT (dénommé ci-après « PWG ») identifier tous les ans :</w:t>
      </w:r>
    </w:p>
    <w:p w14:paraId="2A12E471" w14:textId="77777777" w:rsidR="00EF3B4A" w:rsidRPr="00345EE6" w:rsidRDefault="00EF3B4A" w:rsidP="009E7AA4">
      <w:pPr>
        <w:tabs>
          <w:tab w:val="left" w:pos="340"/>
        </w:tabs>
        <w:jc w:val="both"/>
        <w:rPr>
          <w:rFonts w:ascii="Cambria" w:hAnsi="Cambria"/>
          <w:sz w:val="20"/>
          <w:szCs w:val="20"/>
          <w:lang w:val="fr-FR"/>
        </w:rPr>
      </w:pPr>
    </w:p>
    <w:p w14:paraId="31D29E3D" w14:textId="77777777" w:rsidR="00EF3B4A" w:rsidRPr="00345EE6" w:rsidRDefault="00EF3B4A" w:rsidP="00F27271">
      <w:pPr>
        <w:pStyle w:val="BodyTextIndent3"/>
        <w:spacing w:after="0"/>
        <w:ind w:left="1276" w:hanging="425"/>
        <w:jc w:val="both"/>
        <w:rPr>
          <w:rFonts w:ascii="Cambria" w:hAnsi="Cambria"/>
          <w:sz w:val="20"/>
          <w:szCs w:val="20"/>
          <w:lang w:val="fr-FR"/>
        </w:rPr>
      </w:pPr>
      <w:r w:rsidRPr="00345EE6">
        <w:rPr>
          <w:rFonts w:ascii="Cambria" w:hAnsi="Cambria"/>
          <w:sz w:val="20"/>
          <w:szCs w:val="20"/>
          <w:lang w:val="fr-FR"/>
        </w:rPr>
        <w:t xml:space="preserve">i) </w:t>
      </w:r>
      <w:r w:rsidRPr="00345EE6">
        <w:rPr>
          <w:rFonts w:ascii="Cambria" w:hAnsi="Cambria"/>
          <w:sz w:val="20"/>
          <w:szCs w:val="20"/>
          <w:lang w:val="fr-FR"/>
        </w:rPr>
        <w:tab/>
        <w:t>Les CPC qui n’ont pas rempli leurs obligations dans le cadre de la Convention ICCAT en ce qui concerne les mesures de conservation et de gestion de l’ICCAT, notamment, en ne prenant pas les mesures ou en n’exerçant pas de contrôle efficace pour garantir le respect des mesures de conservation et de gestion de l’ICCAT par les navires battant leur pavillon</w:t>
      </w:r>
      <w:r w:rsidR="007C32FB" w:rsidRPr="00345EE6">
        <w:rPr>
          <w:rFonts w:ascii="Cambria" w:hAnsi="Cambria"/>
          <w:sz w:val="20"/>
          <w:szCs w:val="20"/>
          <w:lang w:val="fr-FR"/>
        </w:rPr>
        <w:t xml:space="preserve"> </w:t>
      </w:r>
      <w:r w:rsidR="008A5D3A" w:rsidRPr="00345EE6">
        <w:rPr>
          <w:rFonts w:ascii="Cambria" w:hAnsi="Cambria"/>
          <w:sz w:val="20"/>
          <w:szCs w:val="20"/>
          <w:lang w:val="fr-FR"/>
        </w:rPr>
        <w:t>ou l</w:t>
      </w:r>
      <w:r w:rsidR="00E54C00" w:rsidRPr="00345EE6">
        <w:rPr>
          <w:rFonts w:ascii="Cambria" w:hAnsi="Cambria"/>
          <w:sz w:val="20"/>
          <w:szCs w:val="20"/>
          <w:lang w:val="fr-FR"/>
        </w:rPr>
        <w:t xml:space="preserve">es établissements d’engraissement relevant de leur juridiction </w:t>
      </w:r>
      <w:r w:rsidRPr="00345EE6">
        <w:rPr>
          <w:rFonts w:ascii="Cambria" w:hAnsi="Cambria"/>
          <w:sz w:val="20"/>
          <w:szCs w:val="20"/>
          <w:lang w:val="fr-FR"/>
        </w:rPr>
        <w:t>; et/ou</w:t>
      </w:r>
    </w:p>
    <w:p w14:paraId="780D662B" w14:textId="77777777" w:rsidR="00EF3B4A" w:rsidRPr="00345EE6" w:rsidRDefault="008C7F50" w:rsidP="00F27271">
      <w:pPr>
        <w:pStyle w:val="BodyTextIndent3"/>
        <w:spacing w:after="0"/>
        <w:ind w:left="1276" w:hanging="425"/>
        <w:jc w:val="both"/>
        <w:rPr>
          <w:rFonts w:ascii="Cambria" w:hAnsi="Cambria"/>
          <w:sz w:val="20"/>
          <w:szCs w:val="20"/>
          <w:lang w:val="fr-FR"/>
        </w:rPr>
      </w:pPr>
      <w:r w:rsidRPr="00345EE6">
        <w:rPr>
          <w:rFonts w:ascii="Cambria" w:hAnsi="Cambria"/>
          <w:sz w:val="20"/>
          <w:szCs w:val="20"/>
          <w:lang w:val="fr-FR"/>
        </w:rPr>
        <w:br w:type="page"/>
      </w:r>
      <w:r w:rsidR="00EF3B4A" w:rsidRPr="00345EE6">
        <w:rPr>
          <w:rFonts w:ascii="Cambria" w:hAnsi="Cambria"/>
          <w:sz w:val="20"/>
          <w:szCs w:val="20"/>
          <w:lang w:val="fr-FR"/>
        </w:rPr>
        <w:t xml:space="preserve">ii) </w:t>
      </w:r>
      <w:r w:rsidR="00EF3B4A" w:rsidRPr="00345EE6">
        <w:rPr>
          <w:rFonts w:ascii="Cambria" w:hAnsi="Cambria"/>
          <w:sz w:val="20"/>
          <w:szCs w:val="20"/>
          <w:lang w:val="fr-FR"/>
        </w:rPr>
        <w:tab/>
        <w:t xml:space="preserve">Les NCP qui n’ont pas rempli leurs obligations dans le cadre du droit international en vue de coopérer avec l’ICCAT pour la conservation et la gestion des thonidés et des espèces apparentées, notamment, en ne prenant pas les mesures ou en n’exerçant pas de contrôle efficace pour s’assurer que leurs navires </w:t>
      </w:r>
      <w:r w:rsidR="000A6BBD" w:rsidRPr="00345EE6">
        <w:rPr>
          <w:rFonts w:ascii="Cambria" w:hAnsi="Cambria"/>
          <w:sz w:val="20"/>
          <w:szCs w:val="20"/>
          <w:lang w:val="fr-FR"/>
        </w:rPr>
        <w:t>ou leurs établissements d’engraissement</w:t>
      </w:r>
      <w:r w:rsidR="00FB5BA6" w:rsidRPr="00345EE6">
        <w:rPr>
          <w:rFonts w:ascii="Cambria" w:hAnsi="Cambria"/>
          <w:sz w:val="20"/>
          <w:szCs w:val="20"/>
          <w:lang w:val="fr-FR"/>
        </w:rPr>
        <w:t xml:space="preserve">, </w:t>
      </w:r>
      <w:r w:rsidR="00EF3B4A" w:rsidRPr="00345EE6">
        <w:rPr>
          <w:rFonts w:ascii="Cambria" w:hAnsi="Cambria"/>
          <w:sz w:val="20"/>
          <w:szCs w:val="20"/>
          <w:lang w:val="fr-FR"/>
        </w:rPr>
        <w:t>ne prennent pas part à des activités qui portent atteinte à l’efficacité des mesures de conservation et de gestion de l’ICCAT.</w:t>
      </w:r>
    </w:p>
    <w:p w14:paraId="351581EC" w14:textId="77777777" w:rsidR="00EF3B4A" w:rsidRPr="00345EE6" w:rsidRDefault="00EF3B4A" w:rsidP="009E7AA4">
      <w:pPr>
        <w:tabs>
          <w:tab w:val="left" w:pos="340"/>
        </w:tabs>
        <w:ind w:left="567"/>
        <w:jc w:val="both"/>
        <w:rPr>
          <w:rFonts w:ascii="Cambria" w:hAnsi="Cambria"/>
          <w:sz w:val="20"/>
          <w:szCs w:val="20"/>
          <w:lang w:val="fr-FR"/>
        </w:rPr>
      </w:pPr>
    </w:p>
    <w:p w14:paraId="15260FC8" w14:textId="77777777" w:rsidR="00EF3B4A" w:rsidRPr="00345EE6" w:rsidRDefault="00EF3B4A" w:rsidP="009E7AA4">
      <w:pPr>
        <w:tabs>
          <w:tab w:val="left" w:pos="340"/>
        </w:tabs>
        <w:ind w:left="680" w:hanging="340"/>
        <w:jc w:val="both"/>
        <w:rPr>
          <w:rFonts w:ascii="Cambria" w:hAnsi="Cambria"/>
          <w:sz w:val="20"/>
          <w:szCs w:val="20"/>
          <w:lang w:val="fr-FR"/>
        </w:rPr>
      </w:pPr>
      <w:r w:rsidRPr="00345EE6">
        <w:rPr>
          <w:rFonts w:ascii="Cambria" w:hAnsi="Cambria"/>
          <w:sz w:val="20"/>
          <w:szCs w:val="20"/>
          <w:lang w:val="fr-FR"/>
        </w:rPr>
        <w:t>b)</w:t>
      </w:r>
      <w:r w:rsidRPr="00345EE6">
        <w:rPr>
          <w:rFonts w:ascii="Cambria" w:hAnsi="Cambria"/>
          <w:sz w:val="20"/>
          <w:szCs w:val="20"/>
          <w:lang w:val="fr-FR"/>
        </w:rPr>
        <w:tab/>
        <w:t xml:space="preserve">Ces identifications devraient se baser sur un examen de toute l’information soumise conformément au Paragraphe 1 ou, selon le cas, toute autre information pertinente telle que : les données de capture compilées par la Commission, l’information commerciale sur ces espèces obtenue d’après les statistiques nationales, </w:t>
      </w:r>
      <w:r w:rsidR="000A2185" w:rsidRPr="00345EE6">
        <w:rPr>
          <w:rFonts w:ascii="Cambria" w:hAnsi="Cambria"/>
          <w:sz w:val="20"/>
          <w:szCs w:val="20"/>
          <w:lang w:val="fr-FR"/>
        </w:rPr>
        <w:t xml:space="preserve">le Programme ICCAT de Documentation des captures de thon rouge, </w:t>
      </w:r>
      <w:r w:rsidRPr="00345EE6">
        <w:rPr>
          <w:rFonts w:ascii="Cambria" w:hAnsi="Cambria"/>
          <w:sz w:val="20"/>
          <w:szCs w:val="20"/>
          <w:lang w:val="fr-FR"/>
        </w:rPr>
        <w:t>le</w:t>
      </w:r>
      <w:r w:rsidR="000A2185" w:rsidRPr="00345EE6">
        <w:rPr>
          <w:rFonts w:ascii="Cambria" w:hAnsi="Cambria"/>
          <w:sz w:val="20"/>
          <w:szCs w:val="20"/>
          <w:lang w:val="fr-FR"/>
        </w:rPr>
        <w:t>s</w:t>
      </w:r>
      <w:r w:rsidRPr="00345EE6">
        <w:rPr>
          <w:rFonts w:ascii="Cambria" w:hAnsi="Cambria"/>
          <w:sz w:val="20"/>
          <w:szCs w:val="20"/>
          <w:lang w:val="fr-FR"/>
        </w:rPr>
        <w:t xml:space="preserve"> programme</w:t>
      </w:r>
      <w:r w:rsidR="000A2185" w:rsidRPr="00345EE6">
        <w:rPr>
          <w:rFonts w:ascii="Cambria" w:hAnsi="Cambria"/>
          <w:sz w:val="20"/>
          <w:szCs w:val="20"/>
          <w:lang w:val="fr-FR"/>
        </w:rPr>
        <w:t>s</w:t>
      </w:r>
      <w:r w:rsidRPr="00345EE6">
        <w:rPr>
          <w:rFonts w:ascii="Cambria" w:hAnsi="Cambria"/>
          <w:sz w:val="20"/>
          <w:szCs w:val="20"/>
          <w:lang w:val="fr-FR"/>
        </w:rPr>
        <w:t xml:space="preserve"> de Documents Statistiques ICCAT</w:t>
      </w:r>
      <w:r w:rsidR="000A2185" w:rsidRPr="00345EE6">
        <w:rPr>
          <w:rFonts w:ascii="Cambria" w:hAnsi="Cambria"/>
          <w:sz w:val="20"/>
          <w:szCs w:val="20"/>
          <w:lang w:val="fr-FR"/>
        </w:rPr>
        <w:t xml:space="preserve"> pour le thon obèse et l’espadon ; l</w:t>
      </w:r>
      <w:r w:rsidR="00992BD3" w:rsidRPr="00345EE6">
        <w:rPr>
          <w:rFonts w:ascii="Cambria" w:hAnsi="Cambria"/>
          <w:sz w:val="20"/>
          <w:szCs w:val="20"/>
          <w:lang w:val="fr-FR"/>
        </w:rPr>
        <w:t>a</w:t>
      </w:r>
      <w:r w:rsidR="000A2185" w:rsidRPr="00345EE6">
        <w:rPr>
          <w:rFonts w:ascii="Cambria" w:hAnsi="Cambria"/>
          <w:sz w:val="20"/>
          <w:szCs w:val="20"/>
          <w:lang w:val="fr-FR"/>
        </w:rPr>
        <w:t xml:space="preserve"> liste</w:t>
      </w:r>
      <w:r w:rsidRPr="00345EE6">
        <w:rPr>
          <w:rFonts w:ascii="Cambria" w:hAnsi="Cambria"/>
          <w:sz w:val="20"/>
          <w:szCs w:val="20"/>
          <w:lang w:val="fr-FR"/>
        </w:rPr>
        <w:t xml:space="preserve"> des </w:t>
      </w:r>
      <w:r w:rsidR="000A2185" w:rsidRPr="00345EE6">
        <w:rPr>
          <w:rFonts w:ascii="Cambria" w:hAnsi="Cambria"/>
          <w:sz w:val="20"/>
          <w:szCs w:val="20"/>
          <w:lang w:val="fr-FR"/>
        </w:rPr>
        <w:t xml:space="preserve">navires </w:t>
      </w:r>
      <w:r w:rsidRPr="00345EE6">
        <w:rPr>
          <w:rFonts w:ascii="Cambria" w:hAnsi="Cambria"/>
          <w:sz w:val="20"/>
          <w:szCs w:val="20"/>
          <w:lang w:val="fr-FR"/>
        </w:rPr>
        <w:t xml:space="preserve">IUU adoptée par l’ICCAT, ainsi que toute autre information </w:t>
      </w:r>
      <w:r w:rsidR="000A2185" w:rsidRPr="00345EE6">
        <w:rPr>
          <w:rFonts w:ascii="Cambria" w:hAnsi="Cambria"/>
          <w:sz w:val="20"/>
          <w:szCs w:val="20"/>
          <w:lang w:val="fr-FR"/>
        </w:rPr>
        <w:t>pertinente.</w:t>
      </w:r>
    </w:p>
    <w:p w14:paraId="70382559" w14:textId="77777777" w:rsidR="00EF3B4A" w:rsidRPr="00345EE6" w:rsidRDefault="00EF3B4A" w:rsidP="009E7AA4">
      <w:pPr>
        <w:tabs>
          <w:tab w:val="left" w:pos="340"/>
        </w:tabs>
        <w:jc w:val="both"/>
        <w:rPr>
          <w:rFonts w:ascii="Cambria" w:hAnsi="Cambria"/>
          <w:sz w:val="20"/>
          <w:szCs w:val="20"/>
          <w:lang w:val="fr-FR"/>
        </w:rPr>
      </w:pPr>
    </w:p>
    <w:p w14:paraId="34FDC24A" w14:textId="77777777" w:rsidR="00EF3B4A" w:rsidRPr="00345EE6" w:rsidRDefault="00EF3B4A" w:rsidP="009E7AA4">
      <w:pPr>
        <w:pStyle w:val="BodyTextIndent3"/>
        <w:tabs>
          <w:tab w:val="left" w:pos="340"/>
        </w:tabs>
        <w:spacing w:after="0"/>
        <w:ind w:left="680" w:hanging="340"/>
        <w:jc w:val="both"/>
        <w:rPr>
          <w:rFonts w:ascii="Cambria" w:hAnsi="Cambria"/>
          <w:sz w:val="20"/>
          <w:szCs w:val="20"/>
          <w:lang w:val="fr-FR"/>
        </w:rPr>
      </w:pPr>
      <w:r w:rsidRPr="00345EE6">
        <w:rPr>
          <w:rFonts w:ascii="Cambria" w:hAnsi="Cambria"/>
          <w:sz w:val="20"/>
          <w:szCs w:val="20"/>
          <w:lang w:val="fr-FR"/>
        </w:rPr>
        <w:t>c)</w:t>
      </w:r>
      <w:r w:rsidRPr="00345EE6">
        <w:rPr>
          <w:rFonts w:ascii="Cambria" w:hAnsi="Cambria"/>
          <w:sz w:val="20"/>
          <w:szCs w:val="20"/>
          <w:lang w:val="fr-FR"/>
        </w:rPr>
        <w:tab/>
        <w:t xml:space="preserve">En décidant de procéder, ou non, à l’identification, le Comité d’Application ou le PWG devrait tenir compte de tout </w:t>
      </w:r>
      <w:r w:rsidR="005574DC" w:rsidRPr="00345EE6">
        <w:rPr>
          <w:rFonts w:ascii="Cambria" w:hAnsi="Cambria"/>
          <w:sz w:val="20"/>
          <w:szCs w:val="20"/>
          <w:lang w:val="fr-FR"/>
        </w:rPr>
        <w:t>élément</w:t>
      </w:r>
      <w:r w:rsidRPr="00345EE6">
        <w:rPr>
          <w:rFonts w:ascii="Cambria" w:hAnsi="Cambria"/>
          <w:sz w:val="20"/>
          <w:szCs w:val="20"/>
          <w:lang w:val="fr-FR"/>
        </w:rPr>
        <w:t xml:space="preserve"> pertinent, y compris l’historique, la nature, les circonstances, l’ampleur et la gravité de l’acte ou de l’omission susceptible d’avoir affaibli l’efficacité des mesures de conservation et de gestion de l’ICCAT.</w:t>
      </w:r>
    </w:p>
    <w:p w14:paraId="06136D93" w14:textId="77777777" w:rsidR="009E7AA4" w:rsidRPr="00345EE6" w:rsidRDefault="009E7AA4" w:rsidP="009E7AA4">
      <w:pPr>
        <w:pStyle w:val="BodyTextIndent3"/>
        <w:tabs>
          <w:tab w:val="left" w:pos="340"/>
        </w:tabs>
        <w:spacing w:after="0"/>
        <w:ind w:left="680" w:hanging="340"/>
        <w:jc w:val="both"/>
        <w:rPr>
          <w:rFonts w:ascii="Cambria" w:hAnsi="Cambria"/>
          <w:sz w:val="20"/>
          <w:szCs w:val="20"/>
          <w:lang w:val="fr-FR"/>
        </w:rPr>
      </w:pPr>
    </w:p>
    <w:p w14:paraId="325F47F7" w14:textId="77777777" w:rsidR="009E7AA4" w:rsidRPr="00345EE6" w:rsidRDefault="00EF3B4A" w:rsidP="009E7AA4">
      <w:pPr>
        <w:tabs>
          <w:tab w:val="left" w:pos="340"/>
        </w:tabs>
        <w:ind w:left="340" w:hanging="340"/>
        <w:jc w:val="both"/>
        <w:rPr>
          <w:rFonts w:ascii="Cambria" w:hAnsi="Cambria"/>
          <w:sz w:val="20"/>
          <w:szCs w:val="20"/>
          <w:lang w:val="fr-FR"/>
        </w:rPr>
      </w:pPr>
      <w:r w:rsidRPr="00345EE6">
        <w:rPr>
          <w:rFonts w:ascii="Cambria" w:hAnsi="Cambria"/>
          <w:sz w:val="20"/>
          <w:szCs w:val="20"/>
          <w:lang w:val="fr-FR"/>
        </w:rPr>
        <w:t>3.</w:t>
      </w:r>
      <w:r w:rsidRPr="00345EE6">
        <w:rPr>
          <w:rFonts w:ascii="Cambria" w:hAnsi="Cambria"/>
          <w:sz w:val="20"/>
          <w:szCs w:val="20"/>
          <w:lang w:val="fr-FR"/>
        </w:rPr>
        <w:tab/>
        <w:t xml:space="preserve">La Commission devrait demander aux CPC et NCP concernées de rectifier l’acte ou l’omission identifié(e) au Paragraphe 2 de sorte à ne pas affaiblir l’efficacité des mesures de conservation et de gestion de l’ICCAT. </w:t>
      </w:r>
    </w:p>
    <w:p w14:paraId="0C58A4FA" w14:textId="77777777" w:rsidR="009E7AA4" w:rsidRPr="00345EE6" w:rsidRDefault="009E7AA4" w:rsidP="009E7AA4">
      <w:pPr>
        <w:tabs>
          <w:tab w:val="left" w:pos="340"/>
        </w:tabs>
        <w:ind w:left="340" w:hanging="340"/>
        <w:jc w:val="both"/>
        <w:rPr>
          <w:rFonts w:ascii="Cambria" w:hAnsi="Cambria"/>
          <w:sz w:val="20"/>
          <w:szCs w:val="20"/>
          <w:lang w:val="fr-FR"/>
        </w:rPr>
      </w:pPr>
    </w:p>
    <w:p w14:paraId="3FBDC0EB" w14:textId="77777777" w:rsidR="00EF3B4A" w:rsidRPr="00345EE6" w:rsidRDefault="009E7AA4" w:rsidP="009E7AA4">
      <w:pPr>
        <w:tabs>
          <w:tab w:val="left" w:pos="340"/>
        </w:tabs>
        <w:ind w:left="340" w:hanging="340"/>
        <w:jc w:val="both"/>
        <w:rPr>
          <w:rFonts w:ascii="Cambria" w:hAnsi="Cambria"/>
          <w:sz w:val="20"/>
          <w:szCs w:val="20"/>
          <w:lang w:val="fr-FR"/>
        </w:rPr>
      </w:pPr>
      <w:r w:rsidRPr="00345EE6">
        <w:rPr>
          <w:rFonts w:ascii="Cambria" w:hAnsi="Cambria"/>
          <w:sz w:val="20"/>
          <w:szCs w:val="20"/>
          <w:lang w:val="fr-FR"/>
        </w:rPr>
        <w:tab/>
      </w:r>
      <w:r w:rsidR="00EF3B4A" w:rsidRPr="00345EE6">
        <w:rPr>
          <w:rFonts w:ascii="Cambria" w:hAnsi="Cambria"/>
          <w:sz w:val="20"/>
          <w:szCs w:val="20"/>
          <w:lang w:val="fr-FR"/>
        </w:rPr>
        <w:t>La Commission devrait notifier aux CPC et NCP identifiées ce qui suit :</w:t>
      </w:r>
    </w:p>
    <w:p w14:paraId="6D9ED6C1" w14:textId="77777777" w:rsidR="00EF3B4A" w:rsidRPr="00345EE6" w:rsidRDefault="00EF3B4A" w:rsidP="009E7AA4">
      <w:pPr>
        <w:tabs>
          <w:tab w:val="left" w:pos="340"/>
        </w:tabs>
        <w:ind w:left="680" w:hanging="340"/>
        <w:jc w:val="both"/>
        <w:rPr>
          <w:rFonts w:ascii="Cambria" w:hAnsi="Cambria"/>
          <w:sz w:val="20"/>
          <w:szCs w:val="20"/>
          <w:lang w:val="fr-FR"/>
        </w:rPr>
      </w:pPr>
    </w:p>
    <w:p w14:paraId="01A18CB9" w14:textId="77777777" w:rsidR="00EF3B4A" w:rsidRPr="00345EE6" w:rsidRDefault="00EF3B4A" w:rsidP="00EE41F3">
      <w:pPr>
        <w:numPr>
          <w:ilvl w:val="0"/>
          <w:numId w:val="6"/>
        </w:numPr>
        <w:tabs>
          <w:tab w:val="clear" w:pos="700"/>
        </w:tabs>
        <w:ind w:left="1276" w:hanging="425"/>
        <w:jc w:val="both"/>
        <w:rPr>
          <w:rFonts w:ascii="Cambria" w:hAnsi="Cambria"/>
          <w:sz w:val="20"/>
          <w:szCs w:val="20"/>
          <w:lang w:val="fr-FR"/>
        </w:rPr>
      </w:pPr>
      <w:r w:rsidRPr="00345EE6">
        <w:rPr>
          <w:rFonts w:ascii="Cambria" w:hAnsi="Cambria"/>
          <w:sz w:val="20"/>
          <w:szCs w:val="20"/>
          <w:lang w:val="fr-FR"/>
        </w:rPr>
        <w:t>le(s) motif(s) de l’identification avec toute preuve disponible à l’appui ;</w:t>
      </w:r>
    </w:p>
    <w:p w14:paraId="2DA04A2F" w14:textId="77777777" w:rsidR="00EF3B4A" w:rsidRPr="00345EE6" w:rsidRDefault="00EF3B4A" w:rsidP="00EE41F3">
      <w:pPr>
        <w:pStyle w:val="BodyText"/>
        <w:spacing w:after="0"/>
        <w:ind w:left="1276" w:hanging="425"/>
        <w:jc w:val="both"/>
        <w:rPr>
          <w:rFonts w:ascii="Cambria" w:hAnsi="Cambria"/>
          <w:sz w:val="20"/>
          <w:szCs w:val="20"/>
          <w:lang w:val="fr-FR"/>
        </w:rPr>
      </w:pPr>
      <w:r w:rsidRPr="00345EE6">
        <w:rPr>
          <w:rFonts w:ascii="Cambria" w:hAnsi="Cambria"/>
          <w:sz w:val="20"/>
          <w:szCs w:val="20"/>
          <w:lang w:val="fr-FR"/>
        </w:rPr>
        <w:t>b)</w:t>
      </w:r>
      <w:r w:rsidRPr="00345EE6">
        <w:rPr>
          <w:rFonts w:ascii="Cambria" w:hAnsi="Cambria"/>
          <w:sz w:val="20"/>
          <w:szCs w:val="20"/>
          <w:lang w:val="fr-FR"/>
        </w:rPr>
        <w:tab/>
        <w:t>l’occasion de répondre, par écrit, à la Commission au moins 30 jours avant la réunion annuelle de la Commission, en ce qui concerne la décision sur l’identification et toute autre information pertinente, par exemple, des preuves réfutant l’identification ou, s’il y a lieu, un plan d’action aux fins d’amélioration et les mesures qui ont été prises pour rectifier la situation ; et</w:t>
      </w:r>
    </w:p>
    <w:p w14:paraId="794AB0A8" w14:textId="77777777" w:rsidR="00EF3B4A" w:rsidRPr="00345EE6" w:rsidRDefault="00EF3B4A" w:rsidP="00EE41F3">
      <w:pPr>
        <w:pStyle w:val="BodyText"/>
        <w:spacing w:after="0"/>
        <w:ind w:left="1276" w:hanging="425"/>
        <w:jc w:val="both"/>
        <w:rPr>
          <w:rFonts w:ascii="Cambria" w:hAnsi="Cambria"/>
          <w:sz w:val="20"/>
          <w:szCs w:val="20"/>
          <w:lang w:val="fr-FR"/>
        </w:rPr>
      </w:pPr>
      <w:r w:rsidRPr="00345EE6">
        <w:rPr>
          <w:rFonts w:ascii="Cambria" w:hAnsi="Cambria"/>
          <w:sz w:val="20"/>
          <w:szCs w:val="20"/>
          <w:lang w:val="fr-FR"/>
        </w:rPr>
        <w:t>c)</w:t>
      </w:r>
      <w:r w:rsidRPr="00345EE6">
        <w:rPr>
          <w:rFonts w:ascii="Cambria" w:hAnsi="Cambria"/>
          <w:sz w:val="20"/>
          <w:szCs w:val="20"/>
          <w:lang w:val="fr-FR"/>
        </w:rPr>
        <w:tab/>
        <w:t>dans le cas d’une NCP, une invitation à participer, en qualité d’observateur, à la réunion annuelle où la question sera examinée.</w:t>
      </w:r>
    </w:p>
    <w:p w14:paraId="41682297" w14:textId="77777777" w:rsidR="009E7AA4" w:rsidRPr="00345EE6" w:rsidRDefault="009E7AA4" w:rsidP="009E7AA4">
      <w:pPr>
        <w:tabs>
          <w:tab w:val="left" w:pos="340"/>
        </w:tabs>
        <w:ind w:left="340" w:hanging="340"/>
        <w:jc w:val="both"/>
        <w:rPr>
          <w:rFonts w:ascii="Cambria" w:hAnsi="Cambria"/>
          <w:sz w:val="20"/>
          <w:szCs w:val="20"/>
          <w:lang w:val="fr-FR"/>
        </w:rPr>
      </w:pPr>
    </w:p>
    <w:p w14:paraId="5303DF55" w14:textId="77777777" w:rsidR="00EF3B4A" w:rsidRPr="00345EE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4.</w:t>
      </w:r>
      <w:r w:rsidRPr="00345EE6">
        <w:rPr>
          <w:rFonts w:ascii="Cambria" w:hAnsi="Cambria"/>
          <w:sz w:val="20"/>
          <w:szCs w:val="20"/>
          <w:lang w:val="fr-FR"/>
        </w:rPr>
        <w:tab/>
        <w:t>Les CPC sont encouragées, conjointement et individuellement, à demander aux CPC/NCP concernées de rectifier l’acte ou l’omission identifié(e) au Paragraphe 2 de façon à ne pas nuire à l’efficacité des mesures de conservation et de gestion de l’ICCAT.</w:t>
      </w:r>
    </w:p>
    <w:p w14:paraId="569BAFF8" w14:textId="77777777" w:rsidR="00EF3B4A" w:rsidRPr="00345EE6" w:rsidRDefault="00EF3B4A" w:rsidP="009E7AA4">
      <w:pPr>
        <w:tabs>
          <w:tab w:val="left" w:pos="340"/>
        </w:tabs>
        <w:ind w:left="540" w:hanging="540"/>
        <w:jc w:val="both"/>
        <w:rPr>
          <w:rFonts w:ascii="Cambria" w:hAnsi="Cambria"/>
          <w:sz w:val="20"/>
          <w:szCs w:val="20"/>
          <w:lang w:val="fr-FR"/>
        </w:rPr>
      </w:pPr>
    </w:p>
    <w:p w14:paraId="2DBAB31B" w14:textId="77777777" w:rsidR="00EF3B4A" w:rsidRPr="00345EE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5.</w:t>
      </w:r>
      <w:r w:rsidRPr="00345EE6">
        <w:rPr>
          <w:rFonts w:ascii="Cambria" w:hAnsi="Cambria"/>
          <w:sz w:val="20"/>
          <w:szCs w:val="20"/>
          <w:lang w:val="fr-FR"/>
        </w:rPr>
        <w:tab/>
        <w:t xml:space="preserve">Le Secrétaire exécutif devrait, </w:t>
      </w:r>
      <w:r w:rsidR="007C32FB" w:rsidRPr="00345EE6">
        <w:rPr>
          <w:rFonts w:ascii="Cambria" w:hAnsi="Cambria"/>
          <w:sz w:val="20"/>
          <w:szCs w:val="20"/>
          <w:lang w:val="fr-FR"/>
        </w:rPr>
        <w:t>par divers moyens de communication</w:t>
      </w:r>
      <w:r w:rsidRPr="00345EE6">
        <w:rPr>
          <w:rFonts w:ascii="Cambria" w:hAnsi="Cambria"/>
          <w:sz w:val="20"/>
          <w:szCs w:val="20"/>
          <w:lang w:val="fr-FR"/>
        </w:rPr>
        <w:t>,</w:t>
      </w:r>
      <w:r w:rsidR="0029083C" w:rsidRPr="00345EE6">
        <w:rPr>
          <w:rFonts w:ascii="Cambria" w:hAnsi="Cambria"/>
          <w:sz w:val="20"/>
          <w:szCs w:val="20"/>
          <w:lang w:val="fr-FR"/>
        </w:rPr>
        <w:t xml:space="preserve"> </w:t>
      </w:r>
      <w:r w:rsidR="007C32FB" w:rsidRPr="00345EE6">
        <w:rPr>
          <w:rFonts w:ascii="Cambria" w:hAnsi="Cambria"/>
          <w:sz w:val="20"/>
          <w:szCs w:val="20"/>
          <w:lang w:val="fr-FR"/>
        </w:rPr>
        <w:t xml:space="preserve">transmettre, </w:t>
      </w:r>
      <w:r w:rsidR="0029083C" w:rsidRPr="00345EE6">
        <w:rPr>
          <w:rFonts w:ascii="Cambria" w:hAnsi="Cambria"/>
          <w:sz w:val="20"/>
          <w:szCs w:val="20"/>
          <w:lang w:val="fr-FR"/>
        </w:rPr>
        <w:t>dans les 10 jours ouvrables suivant l’approbation du rapport du Comité d’Application ou du PWG,</w:t>
      </w:r>
      <w:r w:rsidRPr="00345EE6">
        <w:rPr>
          <w:rFonts w:ascii="Cambria" w:hAnsi="Cambria"/>
          <w:sz w:val="20"/>
          <w:szCs w:val="20"/>
          <w:lang w:val="fr-FR"/>
        </w:rPr>
        <w:t xml:space="preserve"> la demande de la Commission aux CPC ou NCP identifiées. Le Secrétaire exécutif devrait chercher à obtenir la confirmation des CPC ou NCP que celles-ci ont reçu la notification.</w:t>
      </w:r>
    </w:p>
    <w:p w14:paraId="6E75EFDE" w14:textId="77777777" w:rsidR="00EF3B4A" w:rsidRPr="00345EE6" w:rsidRDefault="00EF3B4A" w:rsidP="009E7AA4">
      <w:pPr>
        <w:tabs>
          <w:tab w:val="left" w:pos="340"/>
        </w:tabs>
        <w:ind w:left="540" w:hanging="540"/>
        <w:jc w:val="both"/>
        <w:rPr>
          <w:rFonts w:ascii="Cambria" w:hAnsi="Cambria"/>
          <w:sz w:val="20"/>
          <w:szCs w:val="20"/>
          <w:lang w:val="fr-FR"/>
        </w:rPr>
      </w:pPr>
    </w:p>
    <w:p w14:paraId="3D80086A" w14:textId="77777777" w:rsidR="00EF3B4A" w:rsidRPr="00345EE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6.</w:t>
      </w:r>
      <w:r w:rsidRPr="00345EE6">
        <w:rPr>
          <w:rFonts w:ascii="Cambria" w:hAnsi="Cambria"/>
          <w:sz w:val="20"/>
          <w:szCs w:val="20"/>
          <w:lang w:val="fr-FR"/>
        </w:rPr>
        <w:tab/>
        <w:t>Le Comité d’Application ou le PWG devrait évaluer la réponse des CPC ou NCP, avec toute nouvelle information, et proposer à la Commission de se prononcer sur l’une des actions suivantes :</w:t>
      </w:r>
    </w:p>
    <w:p w14:paraId="73CFB295" w14:textId="77777777" w:rsidR="00EF3B4A" w:rsidRPr="00345EE6" w:rsidRDefault="00EF3B4A" w:rsidP="009E7AA4">
      <w:pPr>
        <w:tabs>
          <w:tab w:val="left" w:pos="340"/>
        </w:tabs>
        <w:jc w:val="both"/>
        <w:rPr>
          <w:rFonts w:ascii="Cambria" w:hAnsi="Cambria"/>
          <w:sz w:val="20"/>
          <w:szCs w:val="20"/>
          <w:lang w:val="fr-FR"/>
        </w:rPr>
      </w:pPr>
    </w:p>
    <w:p w14:paraId="0202E370" w14:textId="77777777" w:rsidR="00EF3B4A" w:rsidRPr="00345EE6" w:rsidRDefault="00EF3B4A" w:rsidP="00EE41F3">
      <w:pPr>
        <w:pStyle w:val="BodyText"/>
        <w:spacing w:after="0"/>
        <w:ind w:left="1276" w:hanging="425"/>
        <w:jc w:val="both"/>
        <w:rPr>
          <w:rFonts w:ascii="Cambria" w:hAnsi="Cambria"/>
          <w:sz w:val="20"/>
          <w:szCs w:val="20"/>
          <w:lang w:val="fr-FR"/>
        </w:rPr>
      </w:pPr>
      <w:r w:rsidRPr="00345EE6">
        <w:rPr>
          <w:rFonts w:ascii="Cambria" w:hAnsi="Cambria"/>
          <w:sz w:val="20"/>
          <w:szCs w:val="20"/>
          <w:lang w:val="fr-FR"/>
        </w:rPr>
        <w:t>a)</w:t>
      </w:r>
      <w:r w:rsidRPr="00345EE6">
        <w:rPr>
          <w:rFonts w:ascii="Cambria" w:hAnsi="Cambria"/>
          <w:sz w:val="20"/>
          <w:szCs w:val="20"/>
          <w:lang w:val="fr-FR"/>
        </w:rPr>
        <w:tab/>
        <w:t>la révocation de l’identification ;</w:t>
      </w:r>
    </w:p>
    <w:p w14:paraId="43DBE2FB" w14:textId="77777777" w:rsidR="00EF3B4A" w:rsidRPr="00345EE6" w:rsidRDefault="00EF3B4A" w:rsidP="00EE41F3">
      <w:pPr>
        <w:pStyle w:val="BodyText"/>
        <w:spacing w:after="0"/>
        <w:ind w:left="1276" w:hanging="425"/>
        <w:jc w:val="both"/>
        <w:rPr>
          <w:rFonts w:ascii="Cambria" w:hAnsi="Cambria"/>
          <w:sz w:val="20"/>
          <w:szCs w:val="20"/>
          <w:lang w:val="fr-FR"/>
        </w:rPr>
      </w:pPr>
      <w:r w:rsidRPr="00345EE6">
        <w:rPr>
          <w:rFonts w:ascii="Cambria" w:hAnsi="Cambria"/>
          <w:sz w:val="20"/>
          <w:szCs w:val="20"/>
          <w:lang w:val="fr-FR"/>
        </w:rPr>
        <w:t>b)</w:t>
      </w:r>
      <w:r w:rsidRPr="00345EE6">
        <w:rPr>
          <w:rFonts w:ascii="Cambria" w:hAnsi="Cambria"/>
          <w:sz w:val="20"/>
          <w:szCs w:val="20"/>
          <w:lang w:val="fr-FR"/>
        </w:rPr>
        <w:tab/>
        <w:t xml:space="preserve">le maintien du statut d’identification de la CPC ou NCP ; </w:t>
      </w:r>
      <w:proofErr w:type="gramStart"/>
      <w:r w:rsidRPr="00345EE6">
        <w:rPr>
          <w:rFonts w:ascii="Cambria" w:hAnsi="Cambria"/>
          <w:sz w:val="20"/>
          <w:szCs w:val="20"/>
          <w:lang w:val="fr-FR"/>
        </w:rPr>
        <w:t>ou</w:t>
      </w:r>
      <w:proofErr w:type="gramEnd"/>
    </w:p>
    <w:p w14:paraId="659F7FDD" w14:textId="77777777" w:rsidR="00EF3B4A" w:rsidRPr="00345EE6" w:rsidRDefault="00EF3B4A" w:rsidP="00EE41F3">
      <w:pPr>
        <w:pStyle w:val="BodyText"/>
        <w:spacing w:after="0"/>
        <w:ind w:left="1276" w:hanging="425"/>
        <w:jc w:val="both"/>
        <w:rPr>
          <w:rFonts w:ascii="Cambria" w:hAnsi="Cambria"/>
          <w:sz w:val="20"/>
          <w:szCs w:val="20"/>
          <w:lang w:val="fr-FR"/>
        </w:rPr>
      </w:pPr>
      <w:r w:rsidRPr="00345EE6">
        <w:rPr>
          <w:rFonts w:ascii="Cambria" w:hAnsi="Cambria"/>
          <w:sz w:val="20"/>
          <w:szCs w:val="20"/>
          <w:lang w:val="fr-FR"/>
        </w:rPr>
        <w:t>c)</w:t>
      </w:r>
      <w:r w:rsidRPr="00345EE6">
        <w:rPr>
          <w:rFonts w:ascii="Cambria" w:hAnsi="Cambria"/>
          <w:sz w:val="20"/>
          <w:szCs w:val="20"/>
          <w:lang w:val="fr-FR"/>
        </w:rPr>
        <w:tab/>
        <w:t>l’adoption de mesures commerciales restrictives non-discriminatoires.</w:t>
      </w:r>
    </w:p>
    <w:p w14:paraId="32F93979" w14:textId="77777777" w:rsidR="0089776C" w:rsidRPr="00345EE6" w:rsidRDefault="0089776C" w:rsidP="009E7AA4">
      <w:pPr>
        <w:tabs>
          <w:tab w:val="left" w:pos="340"/>
        </w:tabs>
        <w:ind w:left="340"/>
        <w:jc w:val="both"/>
        <w:rPr>
          <w:rFonts w:ascii="Cambria" w:hAnsi="Cambria"/>
          <w:sz w:val="20"/>
          <w:szCs w:val="20"/>
          <w:lang w:val="fr-FR"/>
        </w:rPr>
      </w:pPr>
    </w:p>
    <w:p w14:paraId="1E1E97EC" w14:textId="77777777" w:rsidR="0029083C" w:rsidRPr="00345EE6" w:rsidRDefault="0029083C" w:rsidP="009E7AA4">
      <w:pPr>
        <w:tabs>
          <w:tab w:val="left" w:pos="340"/>
        </w:tabs>
        <w:ind w:left="340"/>
        <w:jc w:val="both"/>
        <w:rPr>
          <w:rFonts w:ascii="Cambria" w:hAnsi="Cambria"/>
          <w:sz w:val="20"/>
          <w:szCs w:val="20"/>
          <w:lang w:val="fr-FR"/>
        </w:rPr>
      </w:pPr>
      <w:r w:rsidRPr="00345EE6">
        <w:rPr>
          <w:rFonts w:ascii="Cambria" w:hAnsi="Cambria"/>
          <w:sz w:val="20"/>
          <w:szCs w:val="20"/>
          <w:lang w:val="fr-FR"/>
        </w:rPr>
        <w:t xml:space="preserve">L’absence de réponse des CPC/NCP concernées, dans les délais prévus, ne devra pas empêcher la Commission </w:t>
      </w:r>
      <w:r w:rsidR="00BC7030" w:rsidRPr="00345EE6">
        <w:rPr>
          <w:rFonts w:ascii="Cambria" w:hAnsi="Cambria"/>
          <w:sz w:val="20"/>
          <w:szCs w:val="20"/>
          <w:lang w:val="fr-FR"/>
        </w:rPr>
        <w:t>d’entreprendre des actions</w:t>
      </w:r>
      <w:r w:rsidRPr="00345EE6">
        <w:rPr>
          <w:rFonts w:ascii="Cambria" w:hAnsi="Cambria"/>
          <w:sz w:val="20"/>
          <w:szCs w:val="20"/>
          <w:lang w:val="fr-FR"/>
        </w:rPr>
        <w:t>.</w:t>
      </w:r>
    </w:p>
    <w:p w14:paraId="16B6FEB8" w14:textId="77777777" w:rsidR="00EF3B4A" w:rsidRPr="00345EE6" w:rsidRDefault="00EE41F3" w:rsidP="009E7AA4">
      <w:pPr>
        <w:tabs>
          <w:tab w:val="left" w:pos="340"/>
        </w:tabs>
        <w:ind w:left="340"/>
        <w:jc w:val="both"/>
        <w:rPr>
          <w:rFonts w:ascii="Cambria" w:hAnsi="Cambria"/>
          <w:sz w:val="20"/>
          <w:szCs w:val="20"/>
          <w:lang w:val="fr-FR"/>
        </w:rPr>
      </w:pPr>
      <w:r w:rsidRPr="00345EE6">
        <w:rPr>
          <w:rFonts w:ascii="Cambria" w:hAnsi="Cambria"/>
          <w:sz w:val="20"/>
          <w:szCs w:val="20"/>
          <w:lang w:val="fr-FR"/>
        </w:rPr>
        <w:br w:type="page"/>
      </w:r>
      <w:r w:rsidR="00EF3B4A" w:rsidRPr="00345EE6">
        <w:rPr>
          <w:rFonts w:ascii="Cambria" w:hAnsi="Cambria"/>
          <w:sz w:val="20"/>
          <w:szCs w:val="20"/>
          <w:lang w:val="fr-FR"/>
        </w:rPr>
        <w:t xml:space="preserve">Dans le cas des CPC, des mesures telles que la réduction des quotas ou des limites de capture existants devraient être mises en œuvre dans toute la mesure du possible avant </w:t>
      </w:r>
      <w:r w:rsidR="001B3DC0" w:rsidRPr="00345EE6">
        <w:rPr>
          <w:rFonts w:ascii="Cambria" w:hAnsi="Cambria"/>
          <w:sz w:val="20"/>
          <w:szCs w:val="20"/>
          <w:lang w:val="fr-FR"/>
        </w:rPr>
        <w:t>que ne soit envisagée</w:t>
      </w:r>
      <w:r w:rsidR="00EF3B4A" w:rsidRPr="00345EE6">
        <w:rPr>
          <w:rFonts w:ascii="Cambria" w:hAnsi="Cambria"/>
          <w:sz w:val="20"/>
          <w:szCs w:val="20"/>
          <w:lang w:val="fr-FR"/>
        </w:rPr>
        <w:t xml:space="preserve"> l’application de mesures commerciales restrictives. Les mesures commerciales ne devraient être envisagées que si ces actions se sont avérées infructueuses ou ne seraient pas efficaces.</w:t>
      </w:r>
    </w:p>
    <w:p w14:paraId="0556A559" w14:textId="77777777" w:rsidR="00EF3B4A" w:rsidRPr="00345EE6" w:rsidRDefault="00EF3B4A" w:rsidP="009E7AA4">
      <w:pPr>
        <w:tabs>
          <w:tab w:val="left" w:pos="340"/>
        </w:tabs>
        <w:ind w:left="720"/>
        <w:jc w:val="both"/>
        <w:rPr>
          <w:rFonts w:ascii="Cambria" w:hAnsi="Cambria"/>
          <w:sz w:val="20"/>
          <w:szCs w:val="20"/>
          <w:lang w:val="fr-FR"/>
        </w:rPr>
      </w:pPr>
    </w:p>
    <w:p w14:paraId="68120C44" w14:textId="77777777" w:rsidR="00EF3B4A" w:rsidRPr="00345EE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7.</w:t>
      </w:r>
      <w:r w:rsidRPr="00345EE6">
        <w:rPr>
          <w:rFonts w:ascii="Cambria" w:hAnsi="Cambria"/>
          <w:sz w:val="20"/>
          <w:szCs w:val="20"/>
          <w:lang w:val="fr-FR"/>
        </w:rPr>
        <w:tab/>
        <w:t>Si la Commission décide d’entreprendre l’action décrite au Paragraphe 6 c), elle devrait recommander aux Parties contractantes, aux termes de l’Article VIII de la Convention, de prendre des mesures commerciales restrictives non-discriminatoires, conformément à leurs obligations internationales. La Commission devra notifier aux CPC et aux NCP concernées la décision et les raisons sous-jacentes conformément aux procédures stipulées au Paragraphe 5.</w:t>
      </w:r>
    </w:p>
    <w:p w14:paraId="176D6ABE" w14:textId="77777777" w:rsidR="00EF3B4A" w:rsidRPr="00345EE6" w:rsidRDefault="00EF3B4A" w:rsidP="009E7AA4">
      <w:pPr>
        <w:tabs>
          <w:tab w:val="left" w:pos="340"/>
        </w:tabs>
        <w:ind w:left="340" w:hanging="340"/>
        <w:jc w:val="both"/>
        <w:rPr>
          <w:rFonts w:ascii="Cambria" w:hAnsi="Cambria"/>
          <w:sz w:val="20"/>
          <w:szCs w:val="20"/>
          <w:lang w:val="fr-FR"/>
        </w:rPr>
      </w:pPr>
    </w:p>
    <w:p w14:paraId="5BA4ACED" w14:textId="77777777" w:rsidR="00EF3B4A" w:rsidRPr="00345EE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8.</w:t>
      </w:r>
      <w:r w:rsidRPr="00345EE6">
        <w:rPr>
          <w:rFonts w:ascii="Cambria" w:hAnsi="Cambria"/>
          <w:sz w:val="20"/>
          <w:szCs w:val="20"/>
          <w:lang w:val="fr-FR"/>
        </w:rPr>
        <w:tab/>
        <w:t>Les CPC devr</w:t>
      </w:r>
      <w:r w:rsidR="0029083C" w:rsidRPr="00345EE6">
        <w:rPr>
          <w:rFonts w:ascii="Cambria" w:hAnsi="Cambria"/>
          <w:sz w:val="20"/>
          <w:szCs w:val="20"/>
          <w:lang w:val="fr-FR"/>
        </w:rPr>
        <w:t>o</w:t>
      </w:r>
      <w:r w:rsidRPr="00345EE6">
        <w:rPr>
          <w:rFonts w:ascii="Cambria" w:hAnsi="Cambria"/>
          <w:sz w:val="20"/>
          <w:szCs w:val="20"/>
          <w:lang w:val="fr-FR"/>
        </w:rPr>
        <w:t>nt informer la Commission de toutes les mesures prises pour mettre en œuvre les mesures commerciales restrictives non-discriminatoires adoptées en vertu du Paragraphe 7.</w:t>
      </w:r>
    </w:p>
    <w:p w14:paraId="578AD8E3" w14:textId="77777777" w:rsidR="00EF3B4A" w:rsidRPr="00345EE6" w:rsidRDefault="00EF3B4A" w:rsidP="00EE41F3">
      <w:pPr>
        <w:ind w:left="426" w:hanging="426"/>
        <w:jc w:val="both"/>
        <w:rPr>
          <w:rFonts w:ascii="Cambria" w:hAnsi="Cambria"/>
          <w:sz w:val="20"/>
          <w:szCs w:val="20"/>
          <w:lang w:val="fr-FR"/>
        </w:rPr>
      </w:pPr>
    </w:p>
    <w:p w14:paraId="04AF5FAD" w14:textId="77777777" w:rsidR="002448EF" w:rsidRPr="00345EE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9.</w:t>
      </w:r>
      <w:r w:rsidRPr="00345EE6">
        <w:rPr>
          <w:rFonts w:ascii="Cambria" w:hAnsi="Cambria"/>
          <w:sz w:val="20"/>
          <w:szCs w:val="20"/>
          <w:lang w:val="fr-FR"/>
        </w:rPr>
        <w:tab/>
        <w:t xml:space="preserve">Pour que la Commission puisse recommander la levée des mesures commerciales restrictives, le Comité d’Application ou le PWG devra examiner, tous les ans, toutes les mesures commerciales restrictives adoptées conformément au Paragraphe 7. Si cet examen indique que la situation a été rectifiée, le Comité d’Application ou le PWG devra recommander à la Commission la levée des mesures commerciales restrictives non-discriminatoires. </w:t>
      </w:r>
    </w:p>
    <w:p w14:paraId="56F60FD7" w14:textId="77777777" w:rsidR="002448EF" w:rsidRPr="00345EE6" w:rsidRDefault="002448EF" w:rsidP="009E7AA4">
      <w:pPr>
        <w:tabs>
          <w:tab w:val="left" w:pos="340"/>
        </w:tabs>
        <w:ind w:left="340" w:hanging="340"/>
        <w:jc w:val="both"/>
        <w:rPr>
          <w:rFonts w:ascii="Cambria" w:hAnsi="Cambria"/>
          <w:sz w:val="20"/>
          <w:szCs w:val="20"/>
          <w:lang w:val="fr-FR"/>
        </w:rPr>
      </w:pPr>
    </w:p>
    <w:p w14:paraId="38CA9A73" w14:textId="77777777" w:rsidR="00EF3B4A" w:rsidRPr="00345EE6" w:rsidRDefault="00EF3B4A" w:rsidP="00EE41F3">
      <w:pPr>
        <w:ind w:left="426"/>
        <w:jc w:val="both"/>
        <w:rPr>
          <w:rFonts w:ascii="Cambria" w:hAnsi="Cambria"/>
          <w:sz w:val="20"/>
          <w:szCs w:val="20"/>
          <w:lang w:val="fr-FR"/>
        </w:rPr>
      </w:pPr>
      <w:r w:rsidRPr="00345EE6">
        <w:rPr>
          <w:rFonts w:ascii="Cambria" w:hAnsi="Cambria"/>
          <w:sz w:val="20"/>
          <w:szCs w:val="20"/>
          <w:lang w:val="fr-FR"/>
        </w:rPr>
        <w:t>Ces décisions devraient aussi prendre en compte la question de savoir si les CPC et/ou NCP concernées ont pris des mesures concrètes à même d’améliorer durablement la situation.</w:t>
      </w:r>
    </w:p>
    <w:p w14:paraId="4F940478" w14:textId="77777777" w:rsidR="00EF3B4A" w:rsidRPr="00345EE6" w:rsidRDefault="00EF3B4A" w:rsidP="009E7AA4">
      <w:pPr>
        <w:tabs>
          <w:tab w:val="left" w:pos="340"/>
        </w:tabs>
        <w:ind w:left="720"/>
        <w:jc w:val="both"/>
        <w:rPr>
          <w:rFonts w:ascii="Cambria" w:hAnsi="Cambria"/>
          <w:sz w:val="20"/>
          <w:szCs w:val="20"/>
          <w:lang w:val="fr-FR"/>
        </w:rPr>
      </w:pPr>
    </w:p>
    <w:p w14:paraId="7C7C4F80" w14:textId="77777777" w:rsidR="0029083C" w:rsidRPr="00345EE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10.</w:t>
      </w:r>
      <w:r w:rsidRPr="00345EE6">
        <w:rPr>
          <w:rFonts w:ascii="Cambria" w:hAnsi="Cambria"/>
          <w:sz w:val="20"/>
          <w:szCs w:val="20"/>
          <w:lang w:val="fr-FR"/>
        </w:rPr>
        <w:tab/>
        <w:t xml:space="preserve">Lorsque des circonstances exceptionnelles le justifient ou lorsque l’information disponible indique clairement que, malgré la levée des mesures commerciales restrictives, la CPC ou NCP concernée continue à nuire à l’efficacité des mesures de conservation et de gestion de l’ICCAT, la Commission pourra immédiatement décider de la mesure à prendre, y compris, selon le cas, l’imposition de mesures commerciales restrictives conformément au Paragraphe 7. </w:t>
      </w:r>
    </w:p>
    <w:p w14:paraId="4802CE85" w14:textId="77777777" w:rsidR="0029083C" w:rsidRPr="00345EE6" w:rsidRDefault="0029083C" w:rsidP="009E7AA4">
      <w:pPr>
        <w:pStyle w:val="BodyTextIndent"/>
        <w:tabs>
          <w:tab w:val="left" w:pos="360"/>
        </w:tabs>
        <w:spacing w:line="240" w:lineRule="auto"/>
        <w:ind w:left="340" w:hanging="340"/>
        <w:jc w:val="both"/>
        <w:rPr>
          <w:rFonts w:ascii="Cambria" w:hAnsi="Cambria"/>
          <w:sz w:val="20"/>
          <w:szCs w:val="20"/>
          <w:lang w:val="fr-FR"/>
        </w:rPr>
      </w:pPr>
    </w:p>
    <w:p w14:paraId="2EB9A93F" w14:textId="77777777" w:rsidR="00EF3B4A" w:rsidRPr="00345EE6" w:rsidRDefault="00EF3B4A" w:rsidP="00EE41F3">
      <w:pPr>
        <w:ind w:left="426"/>
        <w:jc w:val="both"/>
        <w:rPr>
          <w:rFonts w:ascii="Cambria" w:hAnsi="Cambria"/>
          <w:sz w:val="20"/>
          <w:szCs w:val="20"/>
          <w:lang w:val="fr-FR"/>
        </w:rPr>
      </w:pPr>
      <w:r w:rsidRPr="00345EE6">
        <w:rPr>
          <w:rFonts w:ascii="Cambria" w:hAnsi="Cambria"/>
          <w:sz w:val="20"/>
          <w:szCs w:val="20"/>
          <w:lang w:val="fr-FR"/>
        </w:rPr>
        <w:t>Avant de prendre une telle décision, la Commission devra</w:t>
      </w:r>
      <w:r w:rsidR="0029083C" w:rsidRPr="00345EE6">
        <w:rPr>
          <w:rFonts w:ascii="Cambria" w:hAnsi="Cambria"/>
          <w:sz w:val="20"/>
          <w:szCs w:val="20"/>
          <w:lang w:val="fr-FR"/>
        </w:rPr>
        <w:t xml:space="preserve"> d</w:t>
      </w:r>
      <w:r w:rsidRPr="00345EE6">
        <w:rPr>
          <w:rFonts w:ascii="Cambria" w:hAnsi="Cambria"/>
          <w:sz w:val="20"/>
          <w:szCs w:val="20"/>
          <w:lang w:val="fr-FR"/>
        </w:rPr>
        <w:t>emander à la CPC ou NCP concernée de mettre un terme à son acte délictueux et devra donner à la CPC ou à la NCP une opportunité raisonnable de répondre.</w:t>
      </w:r>
    </w:p>
    <w:p w14:paraId="239EA311" w14:textId="77777777" w:rsidR="00EF3B4A" w:rsidRPr="00345EE6" w:rsidRDefault="00EF3B4A" w:rsidP="009E7AA4">
      <w:pPr>
        <w:tabs>
          <w:tab w:val="left" w:pos="340"/>
        </w:tabs>
        <w:ind w:left="720"/>
        <w:jc w:val="both"/>
        <w:rPr>
          <w:rFonts w:ascii="Cambria" w:hAnsi="Cambria"/>
          <w:sz w:val="20"/>
          <w:szCs w:val="20"/>
          <w:lang w:val="fr-FR"/>
        </w:rPr>
      </w:pPr>
    </w:p>
    <w:p w14:paraId="17E27A1A" w14:textId="77777777" w:rsidR="00EF3B4A" w:rsidRPr="00345EE6" w:rsidRDefault="00EF3B4A" w:rsidP="00660269">
      <w:pPr>
        <w:ind w:left="426" w:hanging="426"/>
        <w:jc w:val="both"/>
        <w:rPr>
          <w:rFonts w:ascii="Cambria" w:hAnsi="Cambria"/>
          <w:sz w:val="20"/>
          <w:szCs w:val="20"/>
          <w:lang w:val="fr-FR"/>
        </w:rPr>
      </w:pPr>
      <w:r w:rsidRPr="00345EE6">
        <w:rPr>
          <w:rFonts w:ascii="Cambria" w:hAnsi="Cambria"/>
          <w:sz w:val="20"/>
          <w:szCs w:val="20"/>
          <w:lang w:val="fr-FR"/>
        </w:rPr>
        <w:t>11.</w:t>
      </w:r>
      <w:r w:rsidRPr="00345EE6">
        <w:rPr>
          <w:rFonts w:ascii="Cambria" w:hAnsi="Cambria"/>
          <w:sz w:val="20"/>
          <w:szCs w:val="20"/>
          <w:lang w:val="fr-FR"/>
        </w:rPr>
        <w:tab/>
        <w:t xml:space="preserve">La Commission devra établir, tous les ans, une liste des CPC et NCP qui ont fait l’objet de mesures commerciales restrictives conformément au Paragraphe 7 et, en ce qui concerne les </w:t>
      </w:r>
      <w:r w:rsidR="00ED74D5" w:rsidRPr="00345EE6">
        <w:rPr>
          <w:rFonts w:ascii="Cambria" w:hAnsi="Cambria"/>
          <w:sz w:val="20"/>
          <w:szCs w:val="20"/>
          <w:lang w:val="fr-FR"/>
        </w:rPr>
        <w:t>NCP</w:t>
      </w:r>
      <w:r w:rsidRPr="00345EE6">
        <w:rPr>
          <w:rFonts w:ascii="Cambria" w:hAnsi="Cambria"/>
          <w:sz w:val="20"/>
          <w:szCs w:val="20"/>
          <w:lang w:val="fr-FR"/>
        </w:rPr>
        <w:t>, qui sont considérées comme des Parties non-contractantes non-coopérantes à l’ICCAT.</w:t>
      </w:r>
    </w:p>
    <w:p w14:paraId="6672F064" w14:textId="77777777" w:rsidR="00EF3B4A" w:rsidRPr="00345EE6" w:rsidRDefault="00EF3B4A" w:rsidP="00EE41F3">
      <w:pPr>
        <w:pStyle w:val="BodyTextIndent2"/>
        <w:tabs>
          <w:tab w:val="left" w:pos="340"/>
        </w:tabs>
        <w:spacing w:after="0" w:line="240" w:lineRule="auto"/>
        <w:ind w:left="0"/>
        <w:jc w:val="both"/>
        <w:rPr>
          <w:rFonts w:ascii="Cambria" w:hAnsi="Cambria"/>
          <w:sz w:val="20"/>
          <w:szCs w:val="20"/>
          <w:lang w:val="fr-FR"/>
        </w:rPr>
      </w:pPr>
    </w:p>
    <w:p w14:paraId="627D07F7" w14:textId="7CBA16FA" w:rsidR="00EF3B4A" w:rsidRPr="00105DF6" w:rsidRDefault="00EF3B4A" w:rsidP="00EE41F3">
      <w:pPr>
        <w:ind w:left="426" w:hanging="426"/>
        <w:jc w:val="both"/>
        <w:rPr>
          <w:rFonts w:ascii="Cambria" w:hAnsi="Cambria"/>
          <w:sz w:val="20"/>
          <w:szCs w:val="20"/>
          <w:lang w:val="fr-FR"/>
        </w:rPr>
      </w:pPr>
      <w:r w:rsidRPr="00345EE6">
        <w:rPr>
          <w:rFonts w:ascii="Cambria" w:hAnsi="Cambria"/>
          <w:sz w:val="20"/>
          <w:szCs w:val="20"/>
          <w:lang w:val="fr-FR"/>
        </w:rPr>
        <w:t>12.</w:t>
      </w:r>
      <w:r w:rsidRPr="00345EE6">
        <w:rPr>
          <w:rFonts w:ascii="Cambria" w:hAnsi="Cambria"/>
          <w:sz w:val="20"/>
          <w:szCs w:val="20"/>
          <w:lang w:val="fr-FR"/>
        </w:rPr>
        <w:tab/>
        <w:t>La</w:t>
      </w:r>
      <w:r w:rsidR="0029083C" w:rsidRPr="00345EE6">
        <w:rPr>
          <w:rFonts w:ascii="Cambria" w:hAnsi="Cambria"/>
          <w:sz w:val="20"/>
          <w:szCs w:val="20"/>
          <w:lang w:val="fr-FR"/>
        </w:rPr>
        <w:t xml:space="preserve"> </w:t>
      </w:r>
      <w:r w:rsidR="008C7F50" w:rsidRPr="00345EE6">
        <w:rPr>
          <w:rFonts w:ascii="Cambria" w:hAnsi="Cambria"/>
          <w:bCs/>
          <w:i/>
          <w:iCs/>
          <w:sz w:val="20"/>
          <w:szCs w:val="20"/>
          <w:u w:val="single"/>
          <w:lang w:val="fr-FR"/>
        </w:rPr>
        <w:t>Recommandation de l’ICCAT concernant des mesures commerciales</w:t>
      </w:r>
      <w:r w:rsidR="008C7F50" w:rsidRPr="00345EE6">
        <w:rPr>
          <w:rFonts w:ascii="Cambria" w:hAnsi="Cambria"/>
          <w:bCs/>
          <w:sz w:val="20"/>
          <w:szCs w:val="20"/>
          <w:u w:val="single"/>
          <w:lang w:val="fr-FR"/>
        </w:rPr>
        <w:t xml:space="preserve"> (Rec. 06-13)</w:t>
      </w:r>
      <w:r w:rsidR="008C7F50" w:rsidRPr="00345EE6">
        <w:rPr>
          <w:rFonts w:ascii="Cambria" w:hAnsi="Cambria"/>
          <w:bCs/>
          <w:color w:val="FF0000"/>
          <w:sz w:val="20"/>
          <w:szCs w:val="20"/>
          <w:lang w:val="fr-FR"/>
        </w:rPr>
        <w:t xml:space="preserve"> </w:t>
      </w:r>
      <w:r w:rsidR="00D67F62" w:rsidRPr="00345EE6">
        <w:rPr>
          <w:rFonts w:ascii="Cambria" w:hAnsi="Cambria"/>
          <w:sz w:val="20"/>
          <w:szCs w:val="20"/>
          <w:lang w:val="fr-FR"/>
        </w:rPr>
        <w:t xml:space="preserve">est révoquée et remplacée par la présente </w:t>
      </w:r>
      <w:r w:rsidR="00345EE6" w:rsidRPr="00345EE6">
        <w:rPr>
          <w:rFonts w:ascii="Cambria" w:hAnsi="Cambria"/>
          <w:sz w:val="20"/>
          <w:szCs w:val="20"/>
          <w:lang w:val="fr-FR"/>
        </w:rPr>
        <w:t>Recommandation</w:t>
      </w:r>
      <w:r w:rsidR="00D67F62" w:rsidRPr="00345EE6">
        <w:rPr>
          <w:rFonts w:ascii="Cambria" w:hAnsi="Cambria"/>
          <w:sz w:val="20"/>
          <w:szCs w:val="20"/>
          <w:lang w:val="fr-FR"/>
        </w:rPr>
        <w:t>.</w:t>
      </w:r>
      <w:r w:rsidR="00DD2D8F" w:rsidRPr="00345EE6">
        <w:rPr>
          <w:rFonts w:ascii="Cambria" w:hAnsi="Cambria"/>
          <w:sz w:val="20"/>
          <w:szCs w:val="20"/>
          <w:lang w:val="fr-FR"/>
        </w:rPr>
        <w:t xml:space="preserve"> Aux fins du présent </w:t>
      </w:r>
      <w:r w:rsidR="008C7F50" w:rsidRPr="00345EE6">
        <w:rPr>
          <w:rFonts w:ascii="Cambria" w:hAnsi="Cambria"/>
          <w:sz w:val="20"/>
          <w:szCs w:val="20"/>
          <w:lang w:val="fr-FR"/>
        </w:rPr>
        <w:t>p</w:t>
      </w:r>
      <w:r w:rsidR="00DD2D8F" w:rsidRPr="00345EE6">
        <w:rPr>
          <w:rFonts w:ascii="Cambria" w:hAnsi="Cambria"/>
          <w:sz w:val="20"/>
          <w:szCs w:val="20"/>
          <w:lang w:val="fr-FR"/>
        </w:rPr>
        <w:t xml:space="preserve">aragraphe, les CPC et NCP qui sont frappées de sanctions en vertu de </w:t>
      </w:r>
      <w:r w:rsidR="00C80711" w:rsidRPr="00345EE6">
        <w:rPr>
          <w:rFonts w:ascii="Cambria" w:hAnsi="Cambria"/>
          <w:sz w:val="20"/>
          <w:szCs w:val="20"/>
          <w:lang w:val="fr-FR"/>
        </w:rPr>
        <w:t xml:space="preserve">la </w:t>
      </w:r>
      <w:r w:rsidR="008C7F50" w:rsidRPr="00345EE6">
        <w:rPr>
          <w:rFonts w:ascii="Cambria" w:hAnsi="Cambria"/>
          <w:sz w:val="20"/>
          <w:szCs w:val="20"/>
          <w:u w:val="single"/>
          <w:lang w:val="fr-FR"/>
        </w:rPr>
        <w:t>Recommandation 06</w:t>
      </w:r>
      <w:r w:rsidR="00C80711" w:rsidRPr="00345EE6">
        <w:rPr>
          <w:rFonts w:ascii="Cambria" w:hAnsi="Cambria"/>
          <w:sz w:val="20"/>
          <w:szCs w:val="20"/>
          <w:u w:val="single"/>
          <w:lang w:val="fr-FR"/>
        </w:rPr>
        <w:t>-</w:t>
      </w:r>
      <w:r w:rsidR="008C7F50" w:rsidRPr="00345EE6">
        <w:rPr>
          <w:rFonts w:ascii="Cambria" w:hAnsi="Cambria"/>
          <w:sz w:val="20"/>
          <w:szCs w:val="20"/>
          <w:u w:val="single"/>
          <w:lang w:val="fr-FR"/>
        </w:rPr>
        <w:t>13</w:t>
      </w:r>
      <w:r w:rsidR="00C80711" w:rsidRPr="00345EE6">
        <w:rPr>
          <w:rFonts w:ascii="Cambria" w:hAnsi="Cambria"/>
          <w:sz w:val="20"/>
          <w:szCs w:val="20"/>
          <w:lang w:val="fr-FR"/>
        </w:rPr>
        <w:t xml:space="preserve"> </w:t>
      </w:r>
      <w:r w:rsidR="00DD2D8F" w:rsidRPr="00345EE6">
        <w:rPr>
          <w:rFonts w:ascii="Cambria" w:hAnsi="Cambria"/>
          <w:sz w:val="20"/>
          <w:szCs w:val="20"/>
          <w:lang w:val="fr-FR"/>
        </w:rPr>
        <w:t xml:space="preserve">sont considérées comme sanctionnées en vertu de la présente </w:t>
      </w:r>
      <w:r w:rsidR="008C7F50" w:rsidRPr="00345EE6">
        <w:rPr>
          <w:rFonts w:ascii="Cambria" w:hAnsi="Cambria"/>
          <w:sz w:val="20"/>
          <w:szCs w:val="20"/>
          <w:lang w:val="fr-FR"/>
        </w:rPr>
        <w:t>Recommandation</w:t>
      </w:r>
      <w:r w:rsidR="00DD2D8F" w:rsidRPr="00345EE6">
        <w:rPr>
          <w:rFonts w:ascii="Cambria" w:hAnsi="Cambria"/>
          <w:sz w:val="20"/>
          <w:szCs w:val="20"/>
          <w:lang w:val="fr-FR"/>
        </w:rPr>
        <w:t>, sous réserve que ceci n’entraîne pas un niveau de sanction plus élevé que celui qui leur est déjà imposé.</w:t>
      </w:r>
    </w:p>
    <w:p w14:paraId="71A76E30" w14:textId="77777777" w:rsidR="00561174" w:rsidRPr="00105DF6" w:rsidRDefault="00561174" w:rsidP="009E7AA4">
      <w:pPr>
        <w:rPr>
          <w:rFonts w:ascii="Cambria" w:eastAsia="Batang" w:hAnsi="Cambria"/>
          <w:sz w:val="20"/>
          <w:szCs w:val="20"/>
          <w:lang w:val="fr-FR"/>
        </w:rPr>
      </w:pPr>
    </w:p>
    <w:sectPr w:rsidR="00561174" w:rsidRPr="00105DF6">
      <w:headerReference w:type="default" r:id="rId7"/>
      <w:footerReference w:type="even" r:id="rId8"/>
      <w:footerReference w:type="default" r:id="rId9"/>
      <w:footnotePr>
        <w:numFmt w:val="chicago"/>
      </w:footnotePr>
      <w:pgSz w:w="11906" w:h="16838" w:code="9"/>
      <w:pgMar w:top="1418" w:right="1531"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BB86" w14:textId="77777777" w:rsidR="008C1CA1" w:rsidRDefault="008C1CA1">
      <w:r>
        <w:separator/>
      </w:r>
    </w:p>
  </w:endnote>
  <w:endnote w:type="continuationSeparator" w:id="0">
    <w:p w14:paraId="4D2DA88B" w14:textId="77777777" w:rsidR="008C1CA1" w:rsidRDefault="008C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948C" w14:textId="77777777" w:rsidR="00C26AFB" w:rsidRDefault="00C26AFB" w:rsidP="001578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B99314" w14:textId="77777777" w:rsidR="00C26AFB" w:rsidRDefault="00C26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929E" w14:textId="77777777" w:rsidR="00C26AFB" w:rsidRPr="00EE41F3" w:rsidRDefault="00EE41F3" w:rsidP="00EE41F3">
    <w:pPr>
      <w:tabs>
        <w:tab w:val="center" w:pos="4535"/>
        <w:tab w:val="center" w:pos="4680"/>
        <w:tab w:val="left" w:pos="6150"/>
        <w:tab w:val="right" w:pos="9360"/>
      </w:tabs>
      <w:jc w:val="center"/>
      <w:rPr>
        <w:rFonts w:ascii="Cambria" w:hAnsi="Cambria"/>
        <w:sz w:val="20"/>
        <w:szCs w:val="20"/>
      </w:rPr>
    </w:pPr>
    <w:r w:rsidRPr="00EE41F3">
      <w:rPr>
        <w:rFonts w:ascii="Cambria" w:eastAsia="Calibri" w:hAnsi="Cambria" w:cs="Calibri"/>
        <w:sz w:val="20"/>
        <w:szCs w:val="20"/>
      </w:rPr>
      <w:fldChar w:fldCharType="begin"/>
    </w:r>
    <w:r w:rsidRPr="00EE41F3">
      <w:rPr>
        <w:rFonts w:ascii="Cambria" w:eastAsia="Calibri" w:hAnsi="Cambria" w:cs="Calibri"/>
        <w:sz w:val="20"/>
        <w:szCs w:val="20"/>
      </w:rPr>
      <w:instrText xml:space="preserve"> PAGE </w:instrText>
    </w:r>
    <w:r w:rsidRPr="00EE41F3">
      <w:rPr>
        <w:rFonts w:ascii="Cambria" w:eastAsia="Calibri" w:hAnsi="Cambria" w:cs="Calibri"/>
        <w:sz w:val="20"/>
        <w:szCs w:val="20"/>
      </w:rPr>
      <w:fldChar w:fldCharType="separate"/>
    </w:r>
    <w:r w:rsidRPr="00EE41F3">
      <w:rPr>
        <w:rFonts w:ascii="Cambria" w:eastAsia="Calibri" w:hAnsi="Cambria" w:cs="Calibri"/>
        <w:sz w:val="20"/>
        <w:szCs w:val="20"/>
      </w:rPr>
      <w:t>3</w:t>
    </w:r>
    <w:r w:rsidRPr="00EE41F3">
      <w:rPr>
        <w:rFonts w:ascii="Cambria" w:eastAsia="Calibri" w:hAnsi="Cambria" w:cs="Calibri"/>
        <w:sz w:val="20"/>
        <w:szCs w:val="20"/>
      </w:rPr>
      <w:fldChar w:fldCharType="end"/>
    </w:r>
    <w:r w:rsidRPr="00EE41F3">
      <w:rPr>
        <w:rFonts w:ascii="Cambria" w:eastAsia="Calibri" w:hAnsi="Cambria" w:cs="Calibri"/>
        <w:sz w:val="20"/>
        <w:szCs w:val="20"/>
      </w:rPr>
      <w:t xml:space="preserve"> / </w:t>
    </w:r>
    <w:r w:rsidRPr="00EE41F3">
      <w:rPr>
        <w:rFonts w:ascii="Cambria" w:eastAsia="Calibri" w:hAnsi="Cambria" w:cs="Calibri"/>
        <w:sz w:val="20"/>
        <w:szCs w:val="20"/>
      </w:rPr>
      <w:fldChar w:fldCharType="begin"/>
    </w:r>
    <w:r w:rsidRPr="00EE41F3">
      <w:rPr>
        <w:rFonts w:ascii="Cambria" w:eastAsia="Calibri" w:hAnsi="Cambria" w:cs="Calibri"/>
        <w:sz w:val="20"/>
        <w:szCs w:val="20"/>
      </w:rPr>
      <w:instrText xml:space="preserve"> NUMPAGES  </w:instrText>
    </w:r>
    <w:r w:rsidRPr="00EE41F3">
      <w:rPr>
        <w:rFonts w:ascii="Cambria" w:eastAsia="Calibri" w:hAnsi="Cambria" w:cs="Calibri"/>
        <w:sz w:val="20"/>
        <w:szCs w:val="20"/>
      </w:rPr>
      <w:fldChar w:fldCharType="separate"/>
    </w:r>
    <w:r w:rsidRPr="00EE41F3">
      <w:rPr>
        <w:rFonts w:ascii="Cambria" w:eastAsia="Calibri" w:hAnsi="Cambria" w:cs="Calibri"/>
        <w:sz w:val="20"/>
        <w:szCs w:val="20"/>
      </w:rPr>
      <w:t>5</w:t>
    </w:r>
    <w:r w:rsidRPr="00EE41F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B587" w14:textId="77777777" w:rsidR="008C1CA1" w:rsidRDefault="008C1CA1">
      <w:r>
        <w:separator/>
      </w:r>
    </w:p>
  </w:footnote>
  <w:footnote w:type="continuationSeparator" w:id="0">
    <w:p w14:paraId="64A0E65A" w14:textId="77777777" w:rsidR="008C1CA1" w:rsidRDefault="008C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05BA" w14:textId="77777777" w:rsidR="00105DF6" w:rsidRPr="00793F38" w:rsidRDefault="00105DF6" w:rsidP="00105DF6">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PWG_420/2025</w:t>
    </w:r>
  </w:p>
  <w:p w14:paraId="5658653E" w14:textId="77777777" w:rsidR="00105DF6" w:rsidRPr="00105DF6" w:rsidRDefault="00105DF6" w:rsidP="00105DF6">
    <w:pPr>
      <w:tabs>
        <w:tab w:val="left" w:pos="7320"/>
      </w:tabs>
      <w:spacing w:line="240" w:lineRule="exact"/>
      <w:jc w:val="right"/>
      <w:rPr>
        <w:rFonts w:ascii="Cambria" w:hAnsi="Cambria"/>
        <w:b/>
        <w:bCs/>
        <w:sz w:val="16"/>
        <w:szCs w:val="16"/>
      </w:rPr>
    </w:pPr>
    <w:r w:rsidRPr="00793F38">
      <w:rPr>
        <w:rFonts w:ascii="Cambria" w:hAnsi="Cambria"/>
        <w:b/>
        <w:sz w:val="16"/>
        <w:lang w:val="fr-FR"/>
      </w:rPr>
      <w:fldChar w:fldCharType="begin"/>
    </w:r>
    <w:r w:rsidRPr="00793F38">
      <w:rPr>
        <w:rFonts w:ascii="Cambria" w:hAnsi="Cambria"/>
        <w:b/>
        <w:sz w:val="16"/>
      </w:rPr>
      <w:instrText xml:space="preserve"> TIME \@ "dd/MM/yyyy H:mm" </w:instrText>
    </w:r>
    <w:r w:rsidRPr="00793F38">
      <w:rPr>
        <w:rFonts w:ascii="Cambria" w:hAnsi="Cambria"/>
        <w:b/>
        <w:sz w:val="16"/>
        <w:lang w:val="fr-FR"/>
      </w:rPr>
      <w:fldChar w:fldCharType="separate"/>
    </w:r>
    <w:r w:rsidR="00345EE6">
      <w:rPr>
        <w:rFonts w:ascii="Cambria" w:hAnsi="Cambria"/>
        <w:b/>
        <w:noProof/>
        <w:sz w:val="16"/>
      </w:rPr>
      <w:t>21/10/2025 12:19</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1D5625D6"/>
    <w:multiLevelType w:val="hybridMultilevel"/>
    <w:tmpl w:val="72689620"/>
    <w:lvl w:ilvl="0" w:tplc="B2422A12">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D33F5E"/>
    <w:multiLevelType w:val="hybridMultilevel"/>
    <w:tmpl w:val="7046CC0E"/>
    <w:lvl w:ilvl="0" w:tplc="E480C21C">
      <w:start w:val="1"/>
      <w:numFmt w:val="lowerLetter"/>
      <w:lvlText w:val="%1)"/>
      <w:lvlJc w:val="left"/>
      <w:pPr>
        <w:ind w:left="108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60F1D8B"/>
    <w:multiLevelType w:val="hybridMultilevel"/>
    <w:tmpl w:val="46A4694E"/>
    <w:lvl w:ilvl="0" w:tplc="8ABA836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E346F5"/>
    <w:multiLevelType w:val="hybridMultilevel"/>
    <w:tmpl w:val="26AAC2DE"/>
    <w:lvl w:ilvl="0" w:tplc="14D20646">
      <w:start w:val="3"/>
      <w:numFmt w:val="lowerRoman"/>
      <w:lvlText w:val="%1)"/>
      <w:lvlJc w:val="left"/>
      <w:pPr>
        <w:tabs>
          <w:tab w:val="num" w:pos="1437"/>
        </w:tabs>
        <w:ind w:left="1437" w:hanging="72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5"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3CC806E1"/>
    <w:multiLevelType w:val="hybridMultilevel"/>
    <w:tmpl w:val="0756E844"/>
    <w:lvl w:ilvl="0" w:tplc="F5F8EBF8">
      <w:start w:val="1"/>
      <w:numFmt w:val="lowerRoman"/>
      <w:lvlText w:val="%1)"/>
      <w:lvlJc w:val="left"/>
      <w:pPr>
        <w:tabs>
          <w:tab w:val="num" w:pos="1437"/>
        </w:tabs>
        <w:ind w:left="1437" w:hanging="720"/>
      </w:pPr>
      <w:rPr>
        <w:rFonts w:hint="default"/>
      </w:rPr>
    </w:lvl>
    <w:lvl w:ilvl="1" w:tplc="04090019">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3FE45B44"/>
    <w:multiLevelType w:val="hybridMultilevel"/>
    <w:tmpl w:val="CE760C98"/>
    <w:lvl w:ilvl="0" w:tplc="D1948FB6">
      <w:start w:val="1"/>
      <w:numFmt w:val="lowerRoman"/>
      <w:lvlText w:val="%1)"/>
      <w:lvlJc w:val="left"/>
      <w:pPr>
        <w:tabs>
          <w:tab w:val="num" w:pos="1437"/>
        </w:tabs>
        <w:ind w:left="1437" w:hanging="72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8"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5AA2466C"/>
    <w:multiLevelType w:val="hybridMultilevel"/>
    <w:tmpl w:val="C16CF3F0"/>
    <w:lvl w:ilvl="0" w:tplc="8794E1E6">
      <w:start w:val="5"/>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61007FFE"/>
    <w:multiLevelType w:val="hybridMultilevel"/>
    <w:tmpl w:val="0E52E6AC"/>
    <w:lvl w:ilvl="0" w:tplc="B1BCE8AE">
      <w:start w:val="5"/>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15:restartNumberingAfterBreak="0">
    <w:nsid w:val="66B209AB"/>
    <w:multiLevelType w:val="hybridMultilevel"/>
    <w:tmpl w:val="571638A0"/>
    <w:lvl w:ilvl="0" w:tplc="D6565F10">
      <w:start w:val="5"/>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6AD422BC"/>
    <w:multiLevelType w:val="hybridMultilevel"/>
    <w:tmpl w:val="73BEBA4C"/>
    <w:lvl w:ilvl="0" w:tplc="098EFBEA">
      <w:start w:val="1"/>
      <w:numFmt w:val="decimal"/>
      <w:lvlText w:val="%1."/>
      <w:lvlJc w:val="left"/>
      <w:pPr>
        <w:ind w:left="360"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6776A502">
      <w:start w:val="1"/>
      <w:numFmt w:val="lowerLetter"/>
      <w:lvlText w:val="%2)"/>
      <w:lvlJc w:val="left"/>
      <w:pPr>
        <w:ind w:left="108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2" w:tplc="9BB4EC3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0AA5FF0">
      <w:start w:val="1"/>
      <w:numFmt w:val="decimal"/>
      <w:lvlText w:val="%4"/>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A30A142">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446C6FA">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AC0A948">
      <w:start w:val="1"/>
      <w:numFmt w:val="decimal"/>
      <w:lvlText w:val="%7"/>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ECE93FC">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6525BCE">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6D0F28EF"/>
    <w:multiLevelType w:val="hybridMultilevel"/>
    <w:tmpl w:val="D1847564"/>
    <w:lvl w:ilvl="0" w:tplc="B16066BC">
      <w:start w:val="1"/>
      <w:numFmt w:val="lowerLetter"/>
      <w:lvlText w:val="%1)"/>
      <w:lvlJc w:val="left"/>
      <w:pPr>
        <w:tabs>
          <w:tab w:val="num" w:pos="700"/>
        </w:tabs>
        <w:ind w:left="700" w:hanging="360"/>
      </w:pPr>
      <w:rPr>
        <w:rFonts w:hint="default"/>
      </w:rPr>
    </w:lvl>
    <w:lvl w:ilvl="1" w:tplc="04090003" w:tentative="1">
      <w:start w:val="1"/>
      <w:numFmt w:val="lowerLetter"/>
      <w:lvlText w:val="%2."/>
      <w:lvlJc w:val="left"/>
      <w:pPr>
        <w:tabs>
          <w:tab w:val="num" w:pos="1420"/>
        </w:tabs>
        <w:ind w:left="1420" w:hanging="360"/>
      </w:pPr>
    </w:lvl>
    <w:lvl w:ilvl="2" w:tplc="04090005" w:tentative="1">
      <w:start w:val="1"/>
      <w:numFmt w:val="lowerRoman"/>
      <w:lvlText w:val="%3."/>
      <w:lvlJc w:val="right"/>
      <w:pPr>
        <w:tabs>
          <w:tab w:val="num" w:pos="2140"/>
        </w:tabs>
        <w:ind w:left="2140" w:hanging="180"/>
      </w:pPr>
    </w:lvl>
    <w:lvl w:ilvl="3" w:tplc="04090001" w:tentative="1">
      <w:start w:val="1"/>
      <w:numFmt w:val="decimal"/>
      <w:lvlText w:val="%4."/>
      <w:lvlJc w:val="left"/>
      <w:pPr>
        <w:tabs>
          <w:tab w:val="num" w:pos="2860"/>
        </w:tabs>
        <w:ind w:left="2860" w:hanging="360"/>
      </w:pPr>
    </w:lvl>
    <w:lvl w:ilvl="4" w:tplc="04090003" w:tentative="1">
      <w:start w:val="1"/>
      <w:numFmt w:val="lowerLetter"/>
      <w:lvlText w:val="%5."/>
      <w:lvlJc w:val="left"/>
      <w:pPr>
        <w:tabs>
          <w:tab w:val="num" w:pos="3580"/>
        </w:tabs>
        <w:ind w:left="3580" w:hanging="360"/>
      </w:pPr>
    </w:lvl>
    <w:lvl w:ilvl="5" w:tplc="04090005" w:tentative="1">
      <w:start w:val="1"/>
      <w:numFmt w:val="lowerRoman"/>
      <w:lvlText w:val="%6."/>
      <w:lvlJc w:val="right"/>
      <w:pPr>
        <w:tabs>
          <w:tab w:val="num" w:pos="4300"/>
        </w:tabs>
        <w:ind w:left="4300" w:hanging="180"/>
      </w:pPr>
    </w:lvl>
    <w:lvl w:ilvl="6" w:tplc="04090001" w:tentative="1">
      <w:start w:val="1"/>
      <w:numFmt w:val="decimal"/>
      <w:lvlText w:val="%7."/>
      <w:lvlJc w:val="left"/>
      <w:pPr>
        <w:tabs>
          <w:tab w:val="num" w:pos="5020"/>
        </w:tabs>
        <w:ind w:left="5020" w:hanging="360"/>
      </w:pPr>
    </w:lvl>
    <w:lvl w:ilvl="7" w:tplc="04090003" w:tentative="1">
      <w:start w:val="1"/>
      <w:numFmt w:val="lowerLetter"/>
      <w:lvlText w:val="%8."/>
      <w:lvlJc w:val="left"/>
      <w:pPr>
        <w:tabs>
          <w:tab w:val="num" w:pos="5740"/>
        </w:tabs>
        <w:ind w:left="5740" w:hanging="360"/>
      </w:pPr>
    </w:lvl>
    <w:lvl w:ilvl="8" w:tplc="04090005" w:tentative="1">
      <w:start w:val="1"/>
      <w:numFmt w:val="lowerRoman"/>
      <w:lvlText w:val="%9."/>
      <w:lvlJc w:val="right"/>
      <w:pPr>
        <w:tabs>
          <w:tab w:val="num" w:pos="6460"/>
        </w:tabs>
        <w:ind w:left="6460" w:hanging="180"/>
      </w:pPr>
    </w:lvl>
  </w:abstractNum>
  <w:abstractNum w:abstractNumId="14" w15:restartNumberingAfterBreak="0">
    <w:nsid w:val="799219CD"/>
    <w:multiLevelType w:val="hybridMultilevel"/>
    <w:tmpl w:val="54B642A0"/>
    <w:lvl w:ilvl="0" w:tplc="03704034">
      <w:start w:val="5"/>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075110">
    <w:abstractNumId w:val="1"/>
  </w:num>
  <w:num w:numId="2" w16cid:durableId="409927889">
    <w:abstractNumId w:val="0"/>
  </w:num>
  <w:num w:numId="3" w16cid:durableId="70204523">
    <w:abstractNumId w:val="8"/>
  </w:num>
  <w:num w:numId="4" w16cid:durableId="450586927">
    <w:abstractNumId w:val="5"/>
  </w:num>
  <w:num w:numId="5" w16cid:durableId="2092309667">
    <w:abstractNumId w:val="3"/>
  </w:num>
  <w:num w:numId="6" w16cid:durableId="1483429887">
    <w:abstractNumId w:val="13"/>
  </w:num>
  <w:num w:numId="7" w16cid:durableId="205875790">
    <w:abstractNumId w:val="6"/>
  </w:num>
  <w:num w:numId="8" w16cid:durableId="66271520">
    <w:abstractNumId w:val="10"/>
  </w:num>
  <w:num w:numId="9" w16cid:durableId="1181622991">
    <w:abstractNumId w:val="11"/>
  </w:num>
  <w:num w:numId="10" w16cid:durableId="227542077">
    <w:abstractNumId w:val="9"/>
  </w:num>
  <w:num w:numId="11" w16cid:durableId="883559125">
    <w:abstractNumId w:val="14"/>
  </w:num>
  <w:num w:numId="12" w16cid:durableId="988217656">
    <w:abstractNumId w:val="7"/>
  </w:num>
  <w:num w:numId="13" w16cid:durableId="1833372628">
    <w:abstractNumId w:val="4"/>
  </w:num>
  <w:num w:numId="14" w16cid:durableId="2091851800">
    <w:abstractNumId w:val="15"/>
  </w:num>
  <w:num w:numId="15" w16cid:durableId="2055883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626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numFmt w:val="chicago"/>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E4E"/>
    <w:rsid w:val="0005606E"/>
    <w:rsid w:val="0006283C"/>
    <w:rsid w:val="00086880"/>
    <w:rsid w:val="000A2185"/>
    <w:rsid w:val="000A23C6"/>
    <w:rsid w:val="000A6BBD"/>
    <w:rsid w:val="00105DF6"/>
    <w:rsid w:val="001455B9"/>
    <w:rsid w:val="0015566A"/>
    <w:rsid w:val="001578A9"/>
    <w:rsid w:val="00162DBF"/>
    <w:rsid w:val="001668F8"/>
    <w:rsid w:val="001A5242"/>
    <w:rsid w:val="001B3DC0"/>
    <w:rsid w:val="00204B73"/>
    <w:rsid w:val="002448EF"/>
    <w:rsid w:val="0026260A"/>
    <w:rsid w:val="0029083C"/>
    <w:rsid w:val="003278F9"/>
    <w:rsid w:val="0033558F"/>
    <w:rsid w:val="00345EE6"/>
    <w:rsid w:val="003A2ECF"/>
    <w:rsid w:val="003D60DF"/>
    <w:rsid w:val="00422A51"/>
    <w:rsid w:val="004278D0"/>
    <w:rsid w:val="004429F7"/>
    <w:rsid w:val="00460C8F"/>
    <w:rsid w:val="004F73BB"/>
    <w:rsid w:val="005063B4"/>
    <w:rsid w:val="005574DC"/>
    <w:rsid w:val="00561174"/>
    <w:rsid w:val="005C77A6"/>
    <w:rsid w:val="00616EB5"/>
    <w:rsid w:val="00660269"/>
    <w:rsid w:val="0066348B"/>
    <w:rsid w:val="006D2FCC"/>
    <w:rsid w:val="006F7B37"/>
    <w:rsid w:val="00712C13"/>
    <w:rsid w:val="007232F7"/>
    <w:rsid w:val="0075073A"/>
    <w:rsid w:val="007B5683"/>
    <w:rsid w:val="007C32FB"/>
    <w:rsid w:val="007E2DAA"/>
    <w:rsid w:val="008620F5"/>
    <w:rsid w:val="0089776C"/>
    <w:rsid w:val="008A27A8"/>
    <w:rsid w:val="008A5D3A"/>
    <w:rsid w:val="008C1CA1"/>
    <w:rsid w:val="008C35D8"/>
    <w:rsid w:val="008C793D"/>
    <w:rsid w:val="008C7F50"/>
    <w:rsid w:val="008E30F5"/>
    <w:rsid w:val="008F7128"/>
    <w:rsid w:val="00934F03"/>
    <w:rsid w:val="00940340"/>
    <w:rsid w:val="00960454"/>
    <w:rsid w:val="00977EB6"/>
    <w:rsid w:val="00992BD3"/>
    <w:rsid w:val="009930D2"/>
    <w:rsid w:val="009B544A"/>
    <w:rsid w:val="009E7AA4"/>
    <w:rsid w:val="009F023E"/>
    <w:rsid w:val="00A42F16"/>
    <w:rsid w:val="00A867F7"/>
    <w:rsid w:val="00AE045D"/>
    <w:rsid w:val="00AE4250"/>
    <w:rsid w:val="00B720D6"/>
    <w:rsid w:val="00BA4704"/>
    <w:rsid w:val="00BC7030"/>
    <w:rsid w:val="00C26AFB"/>
    <w:rsid w:val="00C31C7A"/>
    <w:rsid w:val="00C42C9A"/>
    <w:rsid w:val="00C604AE"/>
    <w:rsid w:val="00C65F33"/>
    <w:rsid w:val="00C80711"/>
    <w:rsid w:val="00CB2D8A"/>
    <w:rsid w:val="00D67F62"/>
    <w:rsid w:val="00DB2E4E"/>
    <w:rsid w:val="00DC73F7"/>
    <w:rsid w:val="00DD2D8F"/>
    <w:rsid w:val="00E37B80"/>
    <w:rsid w:val="00E54C00"/>
    <w:rsid w:val="00E62417"/>
    <w:rsid w:val="00E95123"/>
    <w:rsid w:val="00EB23C8"/>
    <w:rsid w:val="00EB51DE"/>
    <w:rsid w:val="00EB7026"/>
    <w:rsid w:val="00ED74D5"/>
    <w:rsid w:val="00EE31AA"/>
    <w:rsid w:val="00EE41F3"/>
    <w:rsid w:val="00EE75F5"/>
    <w:rsid w:val="00EF3B4A"/>
    <w:rsid w:val="00F2101A"/>
    <w:rsid w:val="00F27271"/>
    <w:rsid w:val="00F73A74"/>
    <w:rsid w:val="00F83FC7"/>
    <w:rsid w:val="00FA1C1E"/>
    <w:rsid w:val="00FB5BA6"/>
    <w:rsid w:val="00FF2327"/>
    <w:rsid w:val="00FF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9E822A"/>
  <w15:chartTrackingRefBased/>
  <w15:docId w15:val="{4B7F648C-752B-41A1-B682-87654C47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style>
  <w:style w:type="paragraph" w:styleId="BodyText">
    <w:name w:val="Body Text"/>
    <w:basedOn w:val="Normal"/>
    <w:rsid w:val="00EF3B4A"/>
    <w:pPr>
      <w:spacing w:after="120"/>
    </w:pPr>
  </w:style>
  <w:style w:type="paragraph" w:styleId="BodyTextIndent2">
    <w:name w:val="Body Text Indent 2"/>
    <w:basedOn w:val="Normal"/>
    <w:rsid w:val="00EF3B4A"/>
    <w:pPr>
      <w:spacing w:after="120" w:line="480" w:lineRule="auto"/>
      <w:ind w:left="360"/>
    </w:pPr>
  </w:style>
  <w:style w:type="paragraph" w:styleId="BodyText3">
    <w:name w:val="Body Text 3"/>
    <w:basedOn w:val="Normal"/>
    <w:rsid w:val="00EF3B4A"/>
    <w:pPr>
      <w:spacing w:after="120"/>
    </w:pPr>
    <w:rPr>
      <w:sz w:val="16"/>
      <w:szCs w:val="16"/>
    </w:rPr>
  </w:style>
  <w:style w:type="paragraph" w:styleId="BodyTextIndent3">
    <w:name w:val="Body Text Indent 3"/>
    <w:basedOn w:val="Normal"/>
    <w:rsid w:val="00EF3B4A"/>
    <w:pPr>
      <w:spacing w:after="120"/>
      <w:ind w:left="360"/>
    </w:pPr>
    <w:rPr>
      <w:sz w:val="16"/>
      <w:szCs w:val="16"/>
    </w:rPr>
  </w:style>
  <w:style w:type="paragraph" w:styleId="Closing">
    <w:name w:val="Closing"/>
    <w:basedOn w:val="Normal"/>
    <w:rsid w:val="00EF3B4A"/>
    <w:pPr>
      <w:widowControl w:val="0"/>
      <w:jc w:val="right"/>
    </w:pPr>
    <w:rPr>
      <w:rFonts w:ascii="Century" w:eastAsia="MS Mincho" w:hAnsi="Century"/>
      <w:spacing w:val="4"/>
      <w:kern w:val="2"/>
      <w:sz w:val="21"/>
      <w:lang w:eastAsia="ja-JP"/>
    </w:rPr>
  </w:style>
  <w:style w:type="paragraph" w:styleId="BalloonText">
    <w:name w:val="Balloon Text"/>
    <w:basedOn w:val="Normal"/>
    <w:semiHidden/>
    <w:rsid w:val="00AE045D"/>
    <w:rPr>
      <w:rFonts w:ascii="Tahoma" w:hAnsi="Tahoma" w:cs="Tahoma"/>
      <w:sz w:val="16"/>
      <w:szCs w:val="16"/>
    </w:rPr>
  </w:style>
  <w:style w:type="paragraph" w:styleId="FootnoteText">
    <w:name w:val="footnote text"/>
    <w:basedOn w:val="Normal"/>
    <w:semiHidden/>
    <w:rsid w:val="001455B9"/>
    <w:rPr>
      <w:sz w:val="20"/>
      <w:szCs w:val="20"/>
    </w:rPr>
  </w:style>
  <w:style w:type="character" w:styleId="FootnoteReference">
    <w:name w:val="footnote reference"/>
    <w:semiHidden/>
    <w:rsid w:val="001455B9"/>
    <w:rPr>
      <w:vertAlign w:val="superscript"/>
    </w:rPr>
  </w:style>
  <w:style w:type="table" w:styleId="TableGrid">
    <w:name w:val="Table Grid"/>
    <w:basedOn w:val="TableNormal"/>
    <w:rsid w:val="00F73A7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05DF6"/>
    <w:pPr>
      <w:widowControl w:val="0"/>
      <w:autoSpaceDE w:val="0"/>
      <w:autoSpaceDN w:val="0"/>
      <w:ind w:left="318" w:hanging="233"/>
    </w:pPr>
    <w:rPr>
      <w:rFonts w:ascii="Cambria" w:eastAsia="Cambria" w:hAnsi="Cambria" w:cs="Cambria"/>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TENTATIVE AGENDA, STANDING COMMITTEE ON RESEARCH &amp; STATISTICS (SCRS)</vt:lpstr>
    </vt:vector>
  </TitlesOfParts>
  <Company>ICCAT</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 STANDING COMMITTEE ON RESEARCH &amp; STATISTICS (SCRS)</dc:title>
  <dc:subject/>
  <dc:creator>Phil Seidita</dc:creator>
  <cp:keywords/>
  <dc:description/>
  <cp:lastModifiedBy>Dorothee Pinet</cp:lastModifiedBy>
  <cp:revision>2</cp:revision>
  <cp:lastPrinted>2006-12-04T10:35:00Z</cp:lastPrinted>
  <dcterms:created xsi:type="dcterms:W3CDTF">2025-10-21T10:21:00Z</dcterms:created>
  <dcterms:modified xsi:type="dcterms:W3CDTF">2025-10-21T10:21:00Z</dcterms:modified>
</cp:coreProperties>
</file>