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D8DE" w14:textId="77777777" w:rsidR="00CA4FDF" w:rsidRPr="00026AFD" w:rsidRDefault="00CA4FDF" w:rsidP="00CA4FDF">
      <w:pPr>
        <w:jc w:val="center"/>
        <w:rPr>
          <w:b/>
          <w:szCs w:val="20"/>
        </w:rPr>
      </w:pPr>
      <w:r w:rsidRPr="00026AFD">
        <w:rPr>
          <w:b/>
          <w:szCs w:val="20"/>
        </w:rPr>
        <w:t>Page de garde accompagnant les nouvelles propositions</w:t>
      </w:r>
    </w:p>
    <w:p w14:paraId="6C257A03" w14:textId="77777777" w:rsidR="00CA4FDF" w:rsidRPr="00026AFD" w:rsidRDefault="00CA4FDF" w:rsidP="00CA4FDF">
      <w:pPr>
        <w:jc w:val="center"/>
        <w:rPr>
          <w:b/>
          <w:bCs/>
          <w:i/>
          <w:iCs/>
          <w:szCs w:val="20"/>
        </w:rPr>
      </w:pPr>
    </w:p>
    <w:p w14:paraId="74C6BC39" w14:textId="77777777" w:rsidR="00CA4FDF" w:rsidRPr="00026AFD" w:rsidRDefault="00CA4FDF" w:rsidP="00CA4FDF">
      <w:pPr>
        <w:jc w:val="center"/>
        <w:rPr>
          <w:i/>
          <w:iCs/>
          <w:szCs w:val="20"/>
        </w:rPr>
      </w:pPr>
      <w:r w:rsidRPr="00026AFD">
        <w:rPr>
          <w:i/>
          <w:szCs w:val="20"/>
        </w:rPr>
        <w:t>(Document présenté par l’Union européenne)</w:t>
      </w:r>
    </w:p>
    <w:p w14:paraId="504086CE" w14:textId="77777777" w:rsidR="00CA4FDF" w:rsidRPr="00026AFD" w:rsidRDefault="00CA4FDF" w:rsidP="00CA4FDF">
      <w:pPr>
        <w:widowControl w:val="0"/>
        <w:autoSpaceDE w:val="0"/>
        <w:autoSpaceDN w:val="0"/>
        <w:spacing w:after="0" w:line="240" w:lineRule="auto"/>
        <w:ind w:left="0" w:right="0" w:firstLine="0"/>
        <w:rPr>
          <w:b/>
          <w:bCs/>
          <w:color w:val="auto"/>
          <w:kern w:val="0"/>
          <w:szCs w:val="20"/>
          <w:lang w:eastAsia="en-US"/>
          <w14:ligatures w14:val="none"/>
        </w:rPr>
      </w:pPr>
    </w:p>
    <w:p w14:paraId="5680792E" w14:textId="77777777" w:rsidR="00CA4FDF" w:rsidRPr="00026AFD" w:rsidRDefault="00CA4FDF" w:rsidP="00CA4FDF">
      <w:pPr>
        <w:widowControl w:val="0"/>
        <w:autoSpaceDE w:val="0"/>
        <w:autoSpaceDN w:val="0"/>
        <w:spacing w:after="0" w:line="240" w:lineRule="auto"/>
        <w:ind w:left="0" w:right="0" w:firstLine="0"/>
        <w:rPr>
          <w:b/>
          <w:bCs/>
          <w:color w:val="EE0000"/>
          <w:spacing w:val="-2"/>
          <w:kern w:val="0"/>
          <w:szCs w:val="20"/>
          <w14:ligatures w14:val="none"/>
        </w:rPr>
      </w:pPr>
      <w:r w:rsidRPr="00026AFD">
        <w:rPr>
          <w:b/>
          <w:color w:val="auto"/>
          <w:szCs w:val="20"/>
        </w:rPr>
        <w:t xml:space="preserve">Titre de la proposition de projet de Recommandation/Résolution : </w:t>
      </w:r>
      <w:r w:rsidRPr="00026AFD">
        <w:rPr>
          <w:color w:val="EE0000"/>
          <w:szCs w:val="20"/>
        </w:rPr>
        <w:t>Projet de recommandation de l’ICCAT concernant l’établissement d’un registre ICCAT de navires de 20 mètres ou plus de longueur hors-tout autorisés à opérer dans la zone de la Convention</w:t>
      </w:r>
    </w:p>
    <w:p w14:paraId="19B5CC94" w14:textId="77777777" w:rsidR="00CA4FDF" w:rsidRPr="00026AFD" w:rsidRDefault="00CA4FDF" w:rsidP="00CA4FDF">
      <w:pPr>
        <w:widowControl w:val="0"/>
        <w:autoSpaceDE w:val="0"/>
        <w:autoSpaceDN w:val="0"/>
        <w:spacing w:after="0" w:line="240" w:lineRule="auto"/>
        <w:ind w:left="318" w:right="0" w:firstLine="0"/>
        <w:rPr>
          <w:color w:val="auto"/>
          <w:kern w:val="0"/>
          <w:szCs w:val="20"/>
          <w:lang w:eastAsia="en-US"/>
          <w14:ligatures w14:val="none"/>
        </w:rPr>
      </w:pPr>
    </w:p>
    <w:p w14:paraId="6E760EB2" w14:textId="77777777" w:rsidR="00CA4FDF" w:rsidRPr="00026AFD" w:rsidRDefault="00CA4FDF" w:rsidP="00CA4FDF">
      <w:pPr>
        <w:widowControl w:val="0"/>
        <w:autoSpaceDE w:val="0"/>
        <w:autoSpaceDN w:val="0"/>
        <w:spacing w:after="0" w:line="240" w:lineRule="auto"/>
        <w:ind w:left="0" w:right="0" w:firstLine="0"/>
        <w:rPr>
          <w:color w:val="EE0000"/>
          <w:kern w:val="0"/>
          <w:szCs w:val="20"/>
          <w14:ligatures w14:val="none"/>
        </w:rPr>
      </w:pPr>
      <w:r w:rsidRPr="00026AFD">
        <w:rPr>
          <w:b/>
          <w:color w:val="auto"/>
          <w:szCs w:val="20"/>
        </w:rPr>
        <w:t xml:space="preserve">Titre de la ou des Recommandations ou Résolutions en vigueur traitant des mêmes questions ou de questions connexes : </w:t>
      </w:r>
      <w:r w:rsidRPr="00026AFD">
        <w:rPr>
          <w:i/>
          <w:iCs/>
          <w:color w:val="EE0000"/>
          <w:szCs w:val="20"/>
        </w:rPr>
        <w:t>Recommandation de l’ICCAT amendant la Recommandation 13-13 concernant l’établissement d’un registre ICCAT de navires de 20 mètres ou plus de longueur hors-tout autorisés à opérer dans la zone de la Convention</w:t>
      </w:r>
      <w:r w:rsidRPr="00026AFD">
        <w:rPr>
          <w:color w:val="EE0000"/>
          <w:szCs w:val="20"/>
        </w:rPr>
        <w:t xml:space="preserve"> (Rec. 21-14)</w:t>
      </w:r>
    </w:p>
    <w:p w14:paraId="31C78927" w14:textId="77777777" w:rsidR="00CA4FDF" w:rsidRPr="00026AFD"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4EE57CED" w14:textId="77777777" w:rsidR="00CA4FDF" w:rsidRPr="00026AFD" w:rsidRDefault="00CA4FDF" w:rsidP="00CA4FDF">
      <w:pPr>
        <w:widowControl w:val="0"/>
        <w:numPr>
          <w:ilvl w:val="0"/>
          <w:numId w:val="1"/>
        </w:numPr>
        <w:autoSpaceDE w:val="0"/>
        <w:autoSpaceDN w:val="0"/>
        <w:spacing w:after="0" w:line="240" w:lineRule="auto"/>
        <w:ind w:left="426" w:right="0" w:hanging="426"/>
        <w:jc w:val="left"/>
        <w:rPr>
          <w:color w:val="auto"/>
          <w:kern w:val="0"/>
          <w:szCs w:val="20"/>
          <w14:ligatures w14:val="none"/>
        </w:rPr>
      </w:pPr>
      <w:r w:rsidRPr="00026AFD">
        <w:rPr>
          <w:color w:val="auto"/>
          <w:szCs w:val="20"/>
        </w:rPr>
        <w:t xml:space="preserve">Cela crée-t-il de nouvelles </w:t>
      </w:r>
      <w:r w:rsidRPr="00026AFD">
        <w:rPr>
          <w:b/>
          <w:color w:val="auto"/>
          <w:szCs w:val="20"/>
        </w:rPr>
        <w:t xml:space="preserve">obligations de déclaration </w:t>
      </w:r>
      <w:r w:rsidRPr="00026AFD">
        <w:rPr>
          <w:color w:val="auto"/>
          <w:szCs w:val="20"/>
        </w:rPr>
        <w:t xml:space="preserve">pour les CPC ?     </w:t>
      </w:r>
      <w:r w:rsidRPr="00026AFD">
        <w:rPr>
          <w:color w:val="EE0000"/>
          <w:szCs w:val="20"/>
        </w:rPr>
        <w:t xml:space="preserve">Oui </w:t>
      </w:r>
      <w:sdt>
        <w:sdtPr>
          <w:rPr>
            <w:color w:val="EE0000"/>
            <w:spacing w:val="-2"/>
            <w:kern w:val="0"/>
            <w:szCs w:val="20"/>
            <w14:ligatures w14:val="none"/>
          </w:rPr>
          <w:id w:val="1464841621"/>
          <w14:checkbox>
            <w14:checked w14:val="1"/>
            <w14:checkedState w14:val="2612" w14:font="MS Gothic"/>
            <w14:uncheckedState w14:val="2610" w14:font="MS Gothic"/>
          </w14:checkbox>
        </w:sdtPr>
        <w:sdtEndPr/>
        <w:sdtContent>
          <w:r w:rsidRPr="00026AFD">
            <w:rPr>
              <w:rFonts w:ascii="Segoe UI Symbol" w:eastAsia="MS Gothic" w:hAnsi="Segoe UI Symbol" w:cs="Segoe UI Symbol"/>
              <w:color w:val="EE0000"/>
              <w:spacing w:val="-2"/>
              <w:kern w:val="0"/>
              <w:szCs w:val="20"/>
              <w:lang w:eastAsia="en-US"/>
              <w14:ligatures w14:val="none"/>
            </w:rPr>
            <w:t>☒</w:t>
          </w:r>
        </w:sdtContent>
      </w:sdt>
      <w:r w:rsidRPr="00026AFD">
        <w:rPr>
          <w:color w:val="EE0000"/>
          <w:szCs w:val="20"/>
        </w:rPr>
        <w:tab/>
      </w:r>
      <w:r w:rsidRPr="00026AFD">
        <w:rPr>
          <w:color w:val="auto"/>
          <w:szCs w:val="20"/>
        </w:rPr>
        <w:tab/>
        <w:t xml:space="preserve">Non </w:t>
      </w:r>
      <w:sdt>
        <w:sdtPr>
          <w:rPr>
            <w:color w:val="auto"/>
            <w:spacing w:val="-2"/>
            <w:kern w:val="0"/>
            <w:szCs w:val="20"/>
            <w14:ligatures w14:val="none"/>
          </w:rPr>
          <w:id w:val="639617195"/>
          <w14:checkbox>
            <w14:checked w14:val="0"/>
            <w14:checkedState w14:val="2612" w14:font="MS Gothic"/>
            <w14:uncheckedState w14:val="2610" w14:font="MS Gothic"/>
          </w14:checkbox>
        </w:sdtPr>
        <w:sdtEndPr/>
        <w:sdtContent>
          <w:r w:rsidRPr="00026AFD">
            <w:rPr>
              <w:rFonts w:ascii="Segoe UI Symbol" w:eastAsia="MS Gothic" w:hAnsi="Segoe UI Symbol" w:cs="Segoe UI Symbol"/>
              <w:color w:val="auto"/>
              <w:spacing w:val="-2"/>
              <w:kern w:val="0"/>
              <w:szCs w:val="20"/>
              <w:lang w:eastAsia="en-US"/>
              <w14:ligatures w14:val="none"/>
            </w:rPr>
            <w:t>☐</w:t>
          </w:r>
        </w:sdtContent>
      </w:sdt>
    </w:p>
    <w:p w14:paraId="54F66F2E" w14:textId="77777777" w:rsidR="00CA4FDF" w:rsidRPr="00026AFD" w:rsidRDefault="00CA4FDF" w:rsidP="00CA4FDF">
      <w:pPr>
        <w:widowControl w:val="0"/>
        <w:autoSpaceDE w:val="0"/>
        <w:autoSpaceDN w:val="0"/>
        <w:spacing w:after="0" w:line="240" w:lineRule="auto"/>
        <w:ind w:left="0" w:right="0" w:firstLine="0"/>
        <w:jc w:val="left"/>
        <w:rPr>
          <w:color w:val="auto"/>
          <w:kern w:val="0"/>
          <w:szCs w:val="20"/>
          <w:lang w:eastAsia="en-US"/>
          <w14:ligatures w14:val="none"/>
        </w:rPr>
      </w:pPr>
    </w:p>
    <w:p w14:paraId="0D1424CF" w14:textId="77777777" w:rsidR="00CA4FDF" w:rsidRPr="00026AFD" w:rsidRDefault="00CA4FDF" w:rsidP="00CA4FDF">
      <w:pPr>
        <w:widowControl w:val="0"/>
        <w:autoSpaceDE w:val="0"/>
        <w:autoSpaceDN w:val="0"/>
        <w:spacing w:after="0" w:line="240" w:lineRule="auto"/>
        <w:ind w:left="426" w:right="0" w:firstLine="0"/>
        <w:rPr>
          <w:color w:val="auto"/>
          <w:spacing w:val="-2"/>
          <w:kern w:val="0"/>
          <w:szCs w:val="20"/>
          <w14:ligatures w14:val="none"/>
        </w:rPr>
      </w:pPr>
      <w:r w:rsidRPr="00026AFD">
        <w:rPr>
          <w:color w:val="auto"/>
          <w:szCs w:val="20"/>
        </w:rPr>
        <w:t xml:space="preserve">Brève description de la ou des nouvelle(s) obligation(s) de déclaration : </w:t>
      </w:r>
    </w:p>
    <w:p w14:paraId="58D4DEA8" w14:textId="77777777" w:rsidR="00CA4FDF" w:rsidRPr="00026AFD" w:rsidRDefault="00CA4FDF" w:rsidP="00CA4FDF">
      <w:pPr>
        <w:widowControl w:val="0"/>
        <w:autoSpaceDE w:val="0"/>
        <w:autoSpaceDN w:val="0"/>
        <w:spacing w:after="0" w:line="240" w:lineRule="auto"/>
        <w:ind w:left="426" w:right="0" w:firstLine="0"/>
        <w:rPr>
          <w:color w:val="auto"/>
          <w:spacing w:val="-2"/>
          <w:kern w:val="0"/>
          <w:szCs w:val="20"/>
          <w:lang w:eastAsia="en-US"/>
          <w14:ligatures w14:val="none"/>
        </w:rPr>
      </w:pPr>
    </w:p>
    <w:p w14:paraId="796EBB7A" w14:textId="77777777" w:rsidR="00CA4FDF" w:rsidRPr="00026AFD"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026AFD">
        <w:rPr>
          <w:color w:val="EE0000"/>
          <w:szCs w:val="20"/>
        </w:rPr>
        <w:t>Obligation de déclarer toutes les importations d'espèces et/ou de produits de la pêche relevant de l'ICCAT, en plus de la déclaration de tous les débarquements d'espèces relevant de l'ICCAT dans les ports des CPC (paragraphe 12).</w:t>
      </w:r>
    </w:p>
    <w:p w14:paraId="281B3F78" w14:textId="77777777" w:rsidR="00CA4FDF" w:rsidRPr="00026AFD" w:rsidRDefault="00CA4FDF" w:rsidP="00CA4FDF">
      <w:pPr>
        <w:widowControl w:val="0"/>
        <w:autoSpaceDE w:val="0"/>
        <w:autoSpaceDN w:val="0"/>
        <w:spacing w:after="0" w:line="240" w:lineRule="auto"/>
        <w:ind w:left="318" w:right="0" w:firstLine="0"/>
        <w:jc w:val="left"/>
        <w:rPr>
          <w:color w:val="auto"/>
          <w:kern w:val="0"/>
          <w:szCs w:val="20"/>
          <w:lang w:eastAsia="en-US"/>
          <w14:ligatures w14:val="none"/>
        </w:rPr>
      </w:pPr>
    </w:p>
    <w:p w14:paraId="385E93B8" w14:textId="77777777" w:rsidR="00CA4FDF" w:rsidRPr="00026AFD" w:rsidRDefault="00CA4FDF" w:rsidP="00CA4FDF">
      <w:pPr>
        <w:widowControl w:val="0"/>
        <w:numPr>
          <w:ilvl w:val="0"/>
          <w:numId w:val="1"/>
        </w:numPr>
        <w:autoSpaceDE w:val="0"/>
        <w:autoSpaceDN w:val="0"/>
        <w:spacing w:after="0" w:line="240" w:lineRule="auto"/>
        <w:ind w:left="426" w:right="0" w:hanging="426"/>
        <w:jc w:val="left"/>
        <w:rPr>
          <w:color w:val="EE0000"/>
          <w:kern w:val="0"/>
          <w:szCs w:val="20"/>
          <w14:ligatures w14:val="none"/>
        </w:rPr>
      </w:pPr>
      <w:r w:rsidRPr="00026AFD">
        <w:rPr>
          <w:color w:val="auto"/>
          <w:szCs w:val="20"/>
        </w:rPr>
        <w:t xml:space="preserve">Cela nécessite-t-il une contribution ou un </w:t>
      </w:r>
      <w:r w:rsidRPr="00026AFD">
        <w:rPr>
          <w:b/>
          <w:color w:val="auto"/>
          <w:szCs w:val="20"/>
        </w:rPr>
        <w:t>travail</w:t>
      </w:r>
      <w:r w:rsidRPr="00026AFD">
        <w:rPr>
          <w:color w:val="auto"/>
          <w:szCs w:val="20"/>
        </w:rPr>
        <w:t xml:space="preserve"> supplémentaire </w:t>
      </w:r>
      <w:r w:rsidRPr="00026AFD">
        <w:rPr>
          <w:b/>
          <w:color w:val="auto"/>
          <w:szCs w:val="20"/>
        </w:rPr>
        <w:t>de la part du SCRS</w:t>
      </w:r>
      <w:r w:rsidRPr="00026AFD">
        <w:rPr>
          <w:color w:val="auto"/>
          <w:szCs w:val="20"/>
        </w:rPr>
        <w:t xml:space="preserve"> ?    </w:t>
      </w:r>
      <w:r w:rsidRPr="00026AFD">
        <w:rPr>
          <w:szCs w:val="20"/>
        </w:rPr>
        <w:t>Oui</w:t>
      </w:r>
      <w:r w:rsidRPr="00026AFD">
        <w:rPr>
          <w:color w:val="auto"/>
          <w:szCs w:val="20"/>
        </w:rPr>
        <w:t xml:space="preserve"> </w:t>
      </w:r>
      <w:sdt>
        <w:sdtPr>
          <w:rPr>
            <w:color w:val="auto"/>
            <w:spacing w:val="-2"/>
            <w:kern w:val="0"/>
            <w:szCs w:val="20"/>
            <w14:ligatures w14:val="none"/>
          </w:rPr>
          <w:id w:val="1086880314"/>
          <w14:checkbox>
            <w14:checked w14:val="0"/>
            <w14:checkedState w14:val="2612" w14:font="MS Gothic"/>
            <w14:uncheckedState w14:val="2610" w14:font="MS Gothic"/>
          </w14:checkbox>
        </w:sdtPr>
        <w:sdtEndPr/>
        <w:sdtContent>
          <w:r w:rsidRPr="00026AFD">
            <w:rPr>
              <w:rFonts w:ascii="Segoe UI Symbol" w:eastAsia="MS Gothic" w:hAnsi="Segoe UI Symbol" w:cs="Segoe UI Symbol"/>
              <w:color w:val="auto"/>
              <w:spacing w:val="-2"/>
              <w:kern w:val="0"/>
              <w:szCs w:val="20"/>
              <w:lang w:val="en-US" w:eastAsia="en-US"/>
              <w14:ligatures w14:val="none"/>
            </w:rPr>
            <w:t>☐</w:t>
          </w:r>
        </w:sdtContent>
      </w:sdt>
      <w:r w:rsidRPr="00026AFD">
        <w:rPr>
          <w:color w:val="auto"/>
          <w:szCs w:val="20"/>
        </w:rPr>
        <w:tab/>
      </w:r>
      <w:r w:rsidRPr="00026AFD">
        <w:rPr>
          <w:color w:val="EE0000"/>
          <w:szCs w:val="20"/>
        </w:rPr>
        <w:t xml:space="preserve">Non </w:t>
      </w:r>
      <w:sdt>
        <w:sdtPr>
          <w:rPr>
            <w:color w:val="EE0000"/>
            <w:spacing w:val="-2"/>
            <w:kern w:val="0"/>
            <w:szCs w:val="20"/>
            <w14:ligatures w14:val="none"/>
          </w:rPr>
          <w:id w:val="589740991"/>
          <w14:checkbox>
            <w14:checked w14:val="1"/>
            <w14:checkedState w14:val="2612" w14:font="MS Gothic"/>
            <w14:uncheckedState w14:val="2610" w14:font="MS Gothic"/>
          </w14:checkbox>
        </w:sdtPr>
        <w:sdtEndPr/>
        <w:sdtContent>
          <w:r w:rsidRPr="00026AFD">
            <w:rPr>
              <w:rFonts w:ascii="Segoe UI Symbol" w:eastAsia="MS Gothic" w:hAnsi="Segoe UI Symbol" w:cs="Segoe UI Symbol"/>
              <w:color w:val="EE0000"/>
              <w:spacing w:val="-2"/>
              <w:kern w:val="0"/>
              <w:szCs w:val="20"/>
              <w:lang w:val="en-US" w:eastAsia="en-US"/>
              <w14:ligatures w14:val="none"/>
            </w:rPr>
            <w:t>☒</w:t>
          </w:r>
        </w:sdtContent>
      </w:sdt>
    </w:p>
    <w:p w14:paraId="1F55CB5E" w14:textId="77777777" w:rsidR="00CA4FDF" w:rsidRPr="00026AFD" w:rsidRDefault="00CA4FDF" w:rsidP="00CA4FDF">
      <w:pPr>
        <w:widowControl w:val="0"/>
        <w:autoSpaceDE w:val="0"/>
        <w:autoSpaceDN w:val="0"/>
        <w:spacing w:after="0" w:line="240" w:lineRule="auto"/>
        <w:ind w:left="360" w:right="0" w:firstLine="0"/>
        <w:jc w:val="left"/>
        <w:rPr>
          <w:color w:val="auto"/>
          <w:kern w:val="0"/>
          <w:szCs w:val="20"/>
          <w:lang w:val="en-US" w:eastAsia="en-US"/>
          <w14:ligatures w14:val="none"/>
        </w:rPr>
      </w:pPr>
    </w:p>
    <w:p w14:paraId="3967A09A" w14:textId="77777777" w:rsidR="00CA4FDF" w:rsidRPr="00026AFD" w:rsidRDefault="00CA4FDF" w:rsidP="00CA4FDF">
      <w:pPr>
        <w:widowControl w:val="0"/>
        <w:autoSpaceDE w:val="0"/>
        <w:autoSpaceDN w:val="0"/>
        <w:spacing w:after="0" w:line="240" w:lineRule="auto"/>
        <w:ind w:left="360" w:right="0" w:firstLine="66"/>
        <w:rPr>
          <w:color w:val="auto"/>
          <w:kern w:val="0"/>
          <w:szCs w:val="20"/>
          <w14:ligatures w14:val="none"/>
        </w:rPr>
      </w:pPr>
      <w:r w:rsidRPr="00026AFD">
        <w:rPr>
          <w:szCs w:val="20"/>
        </w:rPr>
        <w:t xml:space="preserve">Ce travail est-il déjà inclus dans le plan de travail actuel du SCRS ? </w:t>
      </w:r>
      <w:r w:rsidRPr="00026AFD">
        <w:rPr>
          <w:color w:val="auto"/>
          <w:szCs w:val="20"/>
        </w:rPr>
        <w:t xml:space="preserve">Oui </w:t>
      </w:r>
      <w:sdt>
        <w:sdtPr>
          <w:rPr>
            <w:color w:val="auto"/>
            <w:spacing w:val="-2"/>
            <w:kern w:val="0"/>
            <w:szCs w:val="20"/>
            <w14:ligatures w14:val="none"/>
          </w:rPr>
          <w:id w:val="1978033326"/>
          <w14:checkbox>
            <w14:checked w14:val="0"/>
            <w14:checkedState w14:val="2612" w14:font="MS Gothic"/>
            <w14:uncheckedState w14:val="2610" w14:font="MS Gothic"/>
          </w14:checkbox>
        </w:sdtPr>
        <w:sdtEndPr/>
        <w:sdtContent>
          <w:r w:rsidRPr="00026AFD">
            <w:rPr>
              <w:rFonts w:ascii="Segoe UI Symbol" w:eastAsia="MS Gothic" w:hAnsi="Segoe UI Symbol" w:cs="Segoe UI Symbol"/>
              <w:color w:val="auto"/>
              <w:spacing w:val="-2"/>
              <w:kern w:val="0"/>
              <w:szCs w:val="20"/>
              <w:lang w:eastAsia="en-US"/>
              <w14:ligatures w14:val="none"/>
            </w:rPr>
            <w:t>☐</w:t>
          </w:r>
        </w:sdtContent>
      </w:sdt>
      <w:r w:rsidRPr="00026AFD">
        <w:rPr>
          <w:szCs w:val="20"/>
        </w:rPr>
        <w:tab/>
        <w:t xml:space="preserve">Non </w:t>
      </w:r>
      <w:sdt>
        <w:sdtPr>
          <w:rPr>
            <w:color w:val="auto"/>
            <w:spacing w:val="-2"/>
            <w:kern w:val="0"/>
            <w:szCs w:val="20"/>
            <w14:ligatures w14:val="none"/>
          </w:rPr>
          <w:id w:val="-1095398863"/>
          <w14:checkbox>
            <w14:checked w14:val="0"/>
            <w14:checkedState w14:val="2612" w14:font="MS Gothic"/>
            <w14:uncheckedState w14:val="2610" w14:font="MS Gothic"/>
          </w14:checkbox>
        </w:sdtPr>
        <w:sdtEndPr/>
        <w:sdtContent>
          <w:r w:rsidRPr="00026AFD">
            <w:rPr>
              <w:rFonts w:ascii="Segoe UI Symbol" w:eastAsia="MS Gothic" w:hAnsi="Segoe UI Symbol" w:cs="Segoe UI Symbol"/>
              <w:color w:val="auto"/>
              <w:spacing w:val="-2"/>
              <w:kern w:val="0"/>
              <w:szCs w:val="20"/>
              <w:lang w:eastAsia="en-US"/>
              <w14:ligatures w14:val="none"/>
            </w:rPr>
            <w:t>☐</w:t>
          </w:r>
        </w:sdtContent>
      </w:sdt>
    </w:p>
    <w:p w14:paraId="57890A69" w14:textId="77777777" w:rsidR="00CA4FDF" w:rsidRPr="00026AFD" w:rsidRDefault="00CA4FDF" w:rsidP="00CA4FDF">
      <w:pPr>
        <w:widowControl w:val="0"/>
        <w:autoSpaceDE w:val="0"/>
        <w:autoSpaceDN w:val="0"/>
        <w:spacing w:after="0" w:line="240" w:lineRule="auto"/>
        <w:ind w:left="360" w:right="0" w:firstLine="66"/>
        <w:rPr>
          <w:color w:val="auto"/>
          <w:kern w:val="0"/>
          <w:szCs w:val="20"/>
          <w:lang w:eastAsia="en-US"/>
          <w14:ligatures w14:val="none"/>
        </w:rPr>
      </w:pPr>
    </w:p>
    <w:p w14:paraId="3F614F83" w14:textId="77777777" w:rsidR="00CA4FDF" w:rsidRPr="00026AFD" w:rsidRDefault="00CA4FDF" w:rsidP="00CA4FDF">
      <w:pPr>
        <w:widowControl w:val="0"/>
        <w:autoSpaceDE w:val="0"/>
        <w:autoSpaceDN w:val="0"/>
        <w:spacing w:after="0" w:line="240" w:lineRule="auto"/>
        <w:ind w:left="360" w:right="0" w:firstLine="66"/>
        <w:rPr>
          <w:color w:val="auto"/>
          <w:kern w:val="0"/>
          <w:szCs w:val="20"/>
          <w14:ligatures w14:val="none"/>
        </w:rPr>
      </w:pPr>
      <w:r w:rsidRPr="00026AFD">
        <w:rPr>
          <w:color w:val="auto"/>
          <w:szCs w:val="20"/>
        </w:rPr>
        <w:t>Brève description des nouveaux travaux scientifiques requis (évaluation des stocks, analyse, consultant externe) :</w:t>
      </w:r>
    </w:p>
    <w:p w14:paraId="1334279D" w14:textId="77777777" w:rsidR="00CA4FDF" w:rsidRPr="00026AFD" w:rsidRDefault="00CA4FDF" w:rsidP="00CA4FDF">
      <w:pPr>
        <w:widowControl w:val="0"/>
        <w:autoSpaceDE w:val="0"/>
        <w:autoSpaceDN w:val="0"/>
        <w:spacing w:after="0" w:line="240" w:lineRule="auto"/>
        <w:ind w:left="0" w:right="0" w:firstLine="0"/>
        <w:jc w:val="left"/>
        <w:rPr>
          <w:color w:val="auto"/>
          <w:kern w:val="0"/>
          <w:szCs w:val="20"/>
          <w:lang w:eastAsia="en-US"/>
          <w14:ligatures w14:val="none"/>
        </w:rPr>
      </w:pPr>
    </w:p>
    <w:p w14:paraId="2F3D35AA" w14:textId="77777777" w:rsidR="00902579" w:rsidRPr="00026AFD" w:rsidRDefault="00CA4FDF" w:rsidP="00CA4FDF">
      <w:pPr>
        <w:widowControl w:val="0"/>
        <w:numPr>
          <w:ilvl w:val="0"/>
          <w:numId w:val="1"/>
        </w:numPr>
        <w:autoSpaceDE w:val="0"/>
        <w:autoSpaceDN w:val="0"/>
        <w:spacing w:after="0" w:line="240" w:lineRule="auto"/>
        <w:ind w:left="426" w:right="0" w:hanging="426"/>
        <w:jc w:val="left"/>
        <w:rPr>
          <w:color w:val="EE0000"/>
          <w:kern w:val="0"/>
          <w:szCs w:val="20"/>
          <w14:ligatures w14:val="none"/>
        </w:rPr>
      </w:pPr>
      <w:r w:rsidRPr="00026AFD">
        <w:rPr>
          <w:color w:val="auto"/>
          <w:szCs w:val="20"/>
        </w:rPr>
        <w:t xml:space="preserve">Cela implique-t-il la création d'un </w:t>
      </w:r>
      <w:r w:rsidRPr="00026AFD">
        <w:rPr>
          <w:b/>
          <w:color w:val="auto"/>
          <w:szCs w:val="20"/>
        </w:rPr>
        <w:t xml:space="preserve">nouveau groupe de travail ou d'un processus intersessions </w:t>
      </w:r>
      <w:r w:rsidRPr="00026AFD">
        <w:rPr>
          <w:color w:val="auto"/>
          <w:szCs w:val="20"/>
        </w:rPr>
        <w:t xml:space="preserve">?    </w:t>
      </w:r>
    </w:p>
    <w:p w14:paraId="52E06F67" w14:textId="44273586" w:rsidR="00CA4FDF" w:rsidRPr="00026AFD" w:rsidRDefault="00CA4FDF" w:rsidP="00902579">
      <w:pPr>
        <w:widowControl w:val="0"/>
        <w:autoSpaceDE w:val="0"/>
        <w:autoSpaceDN w:val="0"/>
        <w:spacing w:after="0" w:line="240" w:lineRule="auto"/>
        <w:ind w:left="426" w:right="0" w:firstLine="0"/>
        <w:jc w:val="left"/>
        <w:rPr>
          <w:color w:val="EE0000"/>
          <w:kern w:val="0"/>
          <w:szCs w:val="20"/>
          <w14:ligatures w14:val="none"/>
        </w:rPr>
      </w:pPr>
      <w:r w:rsidRPr="00026AFD">
        <w:rPr>
          <w:szCs w:val="20"/>
        </w:rPr>
        <w:t>Oui</w:t>
      </w:r>
      <w:r w:rsidRPr="00026AFD">
        <w:rPr>
          <w:color w:val="auto"/>
          <w:szCs w:val="20"/>
        </w:rPr>
        <w:t xml:space="preserve"> </w:t>
      </w:r>
      <w:sdt>
        <w:sdtPr>
          <w:rPr>
            <w:color w:val="auto"/>
            <w:spacing w:val="-2"/>
            <w:kern w:val="0"/>
            <w:szCs w:val="20"/>
            <w14:ligatures w14:val="none"/>
          </w:rPr>
          <w:id w:val="1274368336"/>
          <w14:checkbox>
            <w14:checked w14:val="0"/>
            <w14:checkedState w14:val="2612" w14:font="MS Gothic"/>
            <w14:uncheckedState w14:val="2610" w14:font="MS Gothic"/>
          </w14:checkbox>
        </w:sdtPr>
        <w:sdtEndPr/>
        <w:sdtContent>
          <w:r w:rsidRPr="00026AFD">
            <w:rPr>
              <w:rFonts w:ascii="Segoe UI Symbol" w:eastAsia="MS Gothic" w:hAnsi="Segoe UI Symbol" w:cs="Segoe UI Symbol"/>
              <w:color w:val="auto"/>
              <w:spacing w:val="-2"/>
              <w:kern w:val="0"/>
              <w:szCs w:val="20"/>
              <w:lang w:val="en-US" w:eastAsia="en-US"/>
              <w14:ligatures w14:val="none"/>
            </w:rPr>
            <w:t>☐</w:t>
          </w:r>
        </w:sdtContent>
      </w:sdt>
      <w:r w:rsidRPr="00026AFD">
        <w:rPr>
          <w:color w:val="EE0000"/>
          <w:szCs w:val="20"/>
        </w:rPr>
        <w:t xml:space="preserve">      Non </w:t>
      </w:r>
      <w:sdt>
        <w:sdtPr>
          <w:rPr>
            <w:color w:val="EE0000"/>
            <w:spacing w:val="-2"/>
            <w:kern w:val="0"/>
            <w:szCs w:val="20"/>
            <w14:ligatures w14:val="none"/>
          </w:rPr>
          <w:id w:val="-1044510242"/>
          <w14:checkbox>
            <w14:checked w14:val="1"/>
            <w14:checkedState w14:val="2612" w14:font="MS Gothic"/>
            <w14:uncheckedState w14:val="2610" w14:font="MS Gothic"/>
          </w14:checkbox>
        </w:sdtPr>
        <w:sdtEndPr/>
        <w:sdtContent>
          <w:r w:rsidRPr="00026AFD">
            <w:rPr>
              <w:rFonts w:ascii="Segoe UI Symbol" w:eastAsia="MS Gothic" w:hAnsi="Segoe UI Symbol" w:cs="Segoe UI Symbol"/>
              <w:color w:val="EE0000"/>
              <w:spacing w:val="-2"/>
              <w:kern w:val="0"/>
              <w:szCs w:val="20"/>
              <w:lang w:val="en-US" w:eastAsia="en-US"/>
              <w14:ligatures w14:val="none"/>
            </w:rPr>
            <w:t>☒</w:t>
          </w:r>
        </w:sdtContent>
      </w:sdt>
    </w:p>
    <w:p w14:paraId="071E9332" w14:textId="77777777" w:rsidR="00CA4FDF" w:rsidRPr="00026AFD" w:rsidRDefault="00CA4FDF" w:rsidP="00CA4FDF">
      <w:pPr>
        <w:widowControl w:val="0"/>
        <w:autoSpaceDE w:val="0"/>
        <w:autoSpaceDN w:val="0"/>
        <w:spacing w:after="0" w:line="240" w:lineRule="auto"/>
        <w:ind w:left="0" w:right="0" w:firstLine="0"/>
        <w:jc w:val="left"/>
        <w:rPr>
          <w:color w:val="auto"/>
          <w:kern w:val="0"/>
          <w:szCs w:val="20"/>
          <w:lang w:val="en-US" w:eastAsia="en-US"/>
          <w14:ligatures w14:val="none"/>
        </w:rPr>
      </w:pPr>
    </w:p>
    <w:p w14:paraId="3B01914C" w14:textId="77777777" w:rsidR="00CA4FDF" w:rsidRPr="00026AFD" w:rsidRDefault="00CA4FDF" w:rsidP="00CA4FDF">
      <w:pPr>
        <w:widowControl w:val="0"/>
        <w:numPr>
          <w:ilvl w:val="0"/>
          <w:numId w:val="1"/>
        </w:numPr>
        <w:autoSpaceDE w:val="0"/>
        <w:autoSpaceDN w:val="0"/>
        <w:spacing w:after="0" w:line="240" w:lineRule="auto"/>
        <w:ind w:left="426" w:right="0" w:hanging="426"/>
        <w:jc w:val="left"/>
        <w:rPr>
          <w:color w:val="auto"/>
          <w:kern w:val="0"/>
          <w:szCs w:val="20"/>
          <w14:ligatures w14:val="none"/>
        </w:rPr>
      </w:pPr>
      <w:r w:rsidRPr="00026AFD">
        <w:rPr>
          <w:color w:val="auto"/>
          <w:szCs w:val="20"/>
        </w:rPr>
        <w:t xml:space="preserve">Cela nécessite-t-il un nouveau </w:t>
      </w:r>
      <w:r w:rsidRPr="00026AFD">
        <w:rPr>
          <w:b/>
          <w:color w:val="auto"/>
          <w:szCs w:val="20"/>
        </w:rPr>
        <w:t xml:space="preserve">programme ou des activités supplémentaires à gérer par le Secrétariat </w:t>
      </w:r>
      <w:r w:rsidRPr="00026AFD">
        <w:rPr>
          <w:color w:val="auto"/>
          <w:szCs w:val="20"/>
        </w:rPr>
        <w:t xml:space="preserve">?  </w:t>
      </w:r>
    </w:p>
    <w:p w14:paraId="462FE9ED" w14:textId="77777777" w:rsidR="00CA4FDF" w:rsidRPr="00026AFD" w:rsidRDefault="00CA4FDF" w:rsidP="00CA4FDF">
      <w:pPr>
        <w:widowControl w:val="0"/>
        <w:autoSpaceDE w:val="0"/>
        <w:autoSpaceDN w:val="0"/>
        <w:spacing w:after="0" w:line="240" w:lineRule="auto"/>
        <w:ind w:left="426" w:right="0" w:firstLine="0"/>
        <w:jc w:val="left"/>
        <w:rPr>
          <w:color w:val="auto"/>
          <w:spacing w:val="-2"/>
          <w:kern w:val="0"/>
          <w:szCs w:val="20"/>
          <w:lang w:eastAsia="en-US"/>
          <w14:ligatures w14:val="none"/>
        </w:rPr>
      </w:pPr>
    </w:p>
    <w:p w14:paraId="372DF05B" w14:textId="77777777" w:rsidR="00CA4FDF" w:rsidRPr="00026AFD" w:rsidRDefault="00CA4FDF" w:rsidP="00CA4FDF">
      <w:pPr>
        <w:widowControl w:val="0"/>
        <w:autoSpaceDE w:val="0"/>
        <w:autoSpaceDN w:val="0"/>
        <w:spacing w:after="0" w:line="240" w:lineRule="auto"/>
        <w:ind w:left="426" w:right="0" w:firstLine="0"/>
        <w:jc w:val="left"/>
        <w:rPr>
          <w:color w:val="auto"/>
          <w:kern w:val="0"/>
          <w:szCs w:val="20"/>
          <w14:ligatures w14:val="none"/>
        </w:rPr>
      </w:pPr>
      <w:r w:rsidRPr="00026AFD">
        <w:rPr>
          <w:color w:val="EE0000"/>
          <w:szCs w:val="20"/>
        </w:rPr>
        <w:t xml:space="preserve">Oui </w:t>
      </w:r>
      <w:sdt>
        <w:sdtPr>
          <w:rPr>
            <w:color w:val="EE0000"/>
            <w:spacing w:val="-2"/>
            <w:kern w:val="0"/>
            <w:szCs w:val="20"/>
            <w14:ligatures w14:val="none"/>
          </w:rPr>
          <w:id w:val="-1173796209"/>
          <w14:checkbox>
            <w14:checked w14:val="1"/>
            <w14:checkedState w14:val="2612" w14:font="MS Gothic"/>
            <w14:uncheckedState w14:val="2610" w14:font="MS Gothic"/>
          </w14:checkbox>
        </w:sdtPr>
        <w:sdtEndPr/>
        <w:sdtContent>
          <w:r w:rsidRPr="00026AFD">
            <w:rPr>
              <w:rFonts w:ascii="Segoe UI Symbol" w:eastAsia="MS Gothic" w:hAnsi="Segoe UI Symbol" w:cs="Segoe UI Symbol"/>
              <w:color w:val="EE0000"/>
              <w:spacing w:val="-2"/>
              <w:kern w:val="0"/>
              <w:szCs w:val="20"/>
              <w:lang w:eastAsia="en-US"/>
              <w14:ligatures w14:val="none"/>
            </w:rPr>
            <w:t>☒</w:t>
          </w:r>
        </w:sdtContent>
      </w:sdt>
      <w:r w:rsidRPr="00026AFD">
        <w:rPr>
          <w:color w:val="EE0000"/>
          <w:szCs w:val="20"/>
        </w:rPr>
        <w:t xml:space="preserve"> </w:t>
      </w:r>
      <w:r w:rsidRPr="00026AFD">
        <w:rPr>
          <w:color w:val="auto"/>
          <w:szCs w:val="20"/>
        </w:rPr>
        <w:tab/>
        <w:t xml:space="preserve">Non </w:t>
      </w:r>
      <w:sdt>
        <w:sdtPr>
          <w:rPr>
            <w:color w:val="auto"/>
            <w:spacing w:val="-2"/>
            <w:kern w:val="0"/>
            <w:szCs w:val="20"/>
            <w14:ligatures w14:val="none"/>
          </w:rPr>
          <w:id w:val="-1654676687"/>
          <w14:checkbox>
            <w14:checked w14:val="0"/>
            <w14:checkedState w14:val="2612" w14:font="MS Gothic"/>
            <w14:uncheckedState w14:val="2610" w14:font="MS Gothic"/>
          </w14:checkbox>
        </w:sdtPr>
        <w:sdtEndPr/>
        <w:sdtContent>
          <w:r w:rsidRPr="00026AFD">
            <w:rPr>
              <w:rFonts w:ascii="Segoe UI Symbol" w:eastAsia="MS Gothic" w:hAnsi="Segoe UI Symbol" w:cs="Segoe UI Symbol"/>
              <w:color w:val="auto"/>
              <w:spacing w:val="-2"/>
              <w:kern w:val="0"/>
              <w:szCs w:val="20"/>
              <w:lang w:eastAsia="en-US"/>
              <w14:ligatures w14:val="none"/>
            </w:rPr>
            <w:t>☐</w:t>
          </w:r>
        </w:sdtContent>
      </w:sdt>
    </w:p>
    <w:p w14:paraId="786AA2EE" w14:textId="77777777" w:rsidR="00CA4FDF" w:rsidRPr="00026AFD" w:rsidRDefault="00CA4FDF" w:rsidP="00CA4FDF">
      <w:pPr>
        <w:widowControl w:val="0"/>
        <w:autoSpaceDE w:val="0"/>
        <w:autoSpaceDN w:val="0"/>
        <w:spacing w:after="0" w:line="240" w:lineRule="auto"/>
        <w:ind w:left="318" w:right="0" w:firstLine="0"/>
        <w:jc w:val="left"/>
        <w:rPr>
          <w:color w:val="auto"/>
          <w:kern w:val="0"/>
          <w:szCs w:val="20"/>
          <w:lang w:eastAsia="en-US"/>
          <w14:ligatures w14:val="none"/>
        </w:rPr>
      </w:pPr>
    </w:p>
    <w:p w14:paraId="2DF9766E" w14:textId="77777777" w:rsidR="00CA4FDF" w:rsidRPr="00026AFD" w:rsidRDefault="00CA4FDF" w:rsidP="00CA4FDF">
      <w:pPr>
        <w:widowControl w:val="0"/>
        <w:autoSpaceDE w:val="0"/>
        <w:autoSpaceDN w:val="0"/>
        <w:spacing w:after="0" w:line="240" w:lineRule="auto"/>
        <w:ind w:left="426" w:right="0" w:firstLine="0"/>
        <w:rPr>
          <w:color w:val="auto"/>
          <w:spacing w:val="-2"/>
          <w:kern w:val="0"/>
          <w:szCs w:val="20"/>
          <w14:ligatures w14:val="none"/>
        </w:rPr>
      </w:pPr>
      <w:r w:rsidRPr="00026AFD">
        <w:rPr>
          <w:color w:val="auto"/>
          <w:szCs w:val="20"/>
        </w:rPr>
        <w:t>Brève description du nouveau travail requis pour le Secrétariat :</w:t>
      </w:r>
    </w:p>
    <w:p w14:paraId="56411813" w14:textId="77777777" w:rsidR="00CA4FDF" w:rsidRPr="00026AFD" w:rsidRDefault="00CA4FDF" w:rsidP="00CA4FDF">
      <w:pPr>
        <w:widowControl w:val="0"/>
        <w:autoSpaceDE w:val="0"/>
        <w:autoSpaceDN w:val="0"/>
        <w:spacing w:after="0" w:line="240" w:lineRule="auto"/>
        <w:ind w:left="426" w:right="0" w:firstLine="0"/>
        <w:rPr>
          <w:color w:val="auto"/>
          <w:spacing w:val="-2"/>
          <w:kern w:val="0"/>
          <w:szCs w:val="20"/>
          <w:lang w:eastAsia="en-US"/>
          <w14:ligatures w14:val="none"/>
        </w:rPr>
      </w:pPr>
    </w:p>
    <w:p w14:paraId="1A4580FF" w14:textId="5146909E" w:rsidR="00CA4FDF" w:rsidRPr="00026AFD"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026AFD">
        <w:rPr>
          <w:color w:val="EE0000"/>
          <w:szCs w:val="20"/>
        </w:rPr>
        <w:t xml:space="preserve">Le Secrétariat devra créer le modèle pour déclarer la liste des navires actifs. Cela permettrait de réduire la charge de travail du Secrétariat et des CPC </w:t>
      </w:r>
      <w:r w:rsidR="001613F7" w:rsidRPr="00026AFD">
        <w:rPr>
          <w:color w:val="EE0000"/>
          <w:szCs w:val="20"/>
        </w:rPr>
        <w:t>au moyen</w:t>
      </w:r>
      <w:r w:rsidRPr="00026AFD">
        <w:rPr>
          <w:color w:val="EE0000"/>
          <w:szCs w:val="20"/>
        </w:rPr>
        <w:t xml:space="preserve"> de </w:t>
      </w:r>
      <w:r w:rsidR="00A04439" w:rsidRPr="00026AFD">
        <w:rPr>
          <w:color w:val="EE0000"/>
          <w:szCs w:val="20"/>
        </w:rPr>
        <w:t xml:space="preserve">la déclaration d’informations </w:t>
      </w:r>
      <w:r w:rsidRPr="00026AFD">
        <w:rPr>
          <w:color w:val="EE0000"/>
          <w:szCs w:val="20"/>
        </w:rPr>
        <w:t xml:space="preserve">sur l'IOMS et en utilisant le modèle CP-01 déjà existant. </w:t>
      </w:r>
    </w:p>
    <w:p w14:paraId="77728648" w14:textId="77777777" w:rsidR="00CA4FDF" w:rsidRPr="00026AFD" w:rsidRDefault="00CA4FDF" w:rsidP="00CA4FDF">
      <w:pPr>
        <w:widowControl w:val="0"/>
        <w:autoSpaceDE w:val="0"/>
        <w:autoSpaceDN w:val="0"/>
        <w:spacing w:after="0" w:line="240" w:lineRule="auto"/>
        <w:ind w:left="426" w:right="0" w:firstLine="0"/>
        <w:rPr>
          <w:color w:val="EE0000"/>
          <w:spacing w:val="-2"/>
          <w:kern w:val="0"/>
          <w:szCs w:val="20"/>
          <w:lang w:eastAsia="en-US"/>
          <w14:ligatures w14:val="none"/>
        </w:rPr>
      </w:pPr>
    </w:p>
    <w:p w14:paraId="7F967B94" w14:textId="77777777" w:rsidR="00CA4FDF" w:rsidRPr="00026AFD"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026AFD">
        <w:rPr>
          <w:color w:val="EE0000"/>
          <w:szCs w:val="20"/>
        </w:rPr>
        <w:t xml:space="preserve">Chaque année, pour le SCRS et le COC, il sera également demandé au Secrétariat de produire un document de travail concernant le niveau des navires actifs dans la zone de la Convention. </w:t>
      </w:r>
    </w:p>
    <w:p w14:paraId="4B0FCDAF" w14:textId="77777777" w:rsidR="00CA4FDF" w:rsidRPr="00026AFD" w:rsidRDefault="00CA4FDF" w:rsidP="00CA4FDF">
      <w:pPr>
        <w:widowControl w:val="0"/>
        <w:autoSpaceDE w:val="0"/>
        <w:autoSpaceDN w:val="0"/>
        <w:spacing w:after="0" w:line="240" w:lineRule="auto"/>
        <w:ind w:left="0" w:right="0" w:firstLine="0"/>
        <w:rPr>
          <w:color w:val="EE0000"/>
          <w:spacing w:val="-2"/>
          <w:kern w:val="0"/>
          <w:szCs w:val="20"/>
          <w:lang w:eastAsia="en-US"/>
          <w14:ligatures w14:val="none"/>
        </w:rPr>
      </w:pPr>
    </w:p>
    <w:p w14:paraId="34DBE48F" w14:textId="77777777" w:rsidR="00AD4300" w:rsidRPr="00026AFD" w:rsidRDefault="00CA4FDF" w:rsidP="00CA4FDF">
      <w:pPr>
        <w:widowControl w:val="0"/>
        <w:numPr>
          <w:ilvl w:val="0"/>
          <w:numId w:val="1"/>
        </w:numPr>
        <w:autoSpaceDE w:val="0"/>
        <w:autoSpaceDN w:val="0"/>
        <w:spacing w:after="0" w:line="240" w:lineRule="auto"/>
        <w:ind w:left="426" w:right="0" w:hanging="426"/>
        <w:rPr>
          <w:color w:val="EE0000"/>
          <w:spacing w:val="-2"/>
          <w:kern w:val="0"/>
          <w:szCs w:val="20"/>
          <w14:ligatures w14:val="none"/>
        </w:rPr>
      </w:pPr>
      <w:r w:rsidRPr="00026AFD">
        <w:rPr>
          <w:szCs w:val="20"/>
        </w:rPr>
        <w:t xml:space="preserve">Quel est le calendrier proposé pour la mise en œuvre, et existe-t-il des calendriers spécifiques différents pour certaines CPC, pêcheries, régions, etc. ? </w:t>
      </w:r>
      <w:r w:rsidRPr="00026AFD">
        <w:rPr>
          <w:color w:val="auto"/>
          <w:szCs w:val="20"/>
        </w:rPr>
        <w:t xml:space="preserve"> </w:t>
      </w:r>
    </w:p>
    <w:p w14:paraId="7DF56AA7" w14:textId="77777777" w:rsidR="00AD4300" w:rsidRPr="00026AFD" w:rsidRDefault="00AD4300" w:rsidP="00AD4300">
      <w:pPr>
        <w:widowControl w:val="0"/>
        <w:autoSpaceDE w:val="0"/>
        <w:autoSpaceDN w:val="0"/>
        <w:spacing w:after="0" w:line="240" w:lineRule="auto"/>
        <w:ind w:left="426" w:right="0" w:firstLine="0"/>
        <w:rPr>
          <w:color w:val="EE0000"/>
          <w:spacing w:val="-2"/>
          <w:kern w:val="0"/>
          <w:szCs w:val="20"/>
          <w14:ligatures w14:val="none"/>
        </w:rPr>
      </w:pPr>
    </w:p>
    <w:p w14:paraId="38528239" w14:textId="2B8AB1B5" w:rsidR="00CA4FDF" w:rsidRPr="00026AFD" w:rsidRDefault="00AD4300" w:rsidP="00AD4300">
      <w:pPr>
        <w:widowControl w:val="0"/>
        <w:autoSpaceDE w:val="0"/>
        <w:autoSpaceDN w:val="0"/>
        <w:spacing w:after="0" w:line="240" w:lineRule="auto"/>
        <w:ind w:left="426" w:right="0" w:firstLine="0"/>
        <w:rPr>
          <w:color w:val="EE0000"/>
          <w:spacing w:val="-2"/>
          <w:kern w:val="0"/>
          <w:szCs w:val="20"/>
          <w14:ligatures w14:val="none"/>
        </w:rPr>
      </w:pPr>
      <w:r w:rsidRPr="00026AFD">
        <w:rPr>
          <w:color w:val="EE0000"/>
          <w:szCs w:val="20"/>
        </w:rPr>
        <w:t>L</w:t>
      </w:r>
      <w:r w:rsidR="00CA4FDF" w:rsidRPr="00026AFD">
        <w:rPr>
          <w:color w:val="EE0000"/>
          <w:szCs w:val="20"/>
        </w:rPr>
        <w:t>a nouvelle obligation sera effective à partir de l'entrée en vigueur de</w:t>
      </w:r>
      <w:r w:rsidR="00E30F5B" w:rsidRPr="00026AFD">
        <w:rPr>
          <w:color w:val="EE0000"/>
          <w:szCs w:val="20"/>
        </w:rPr>
        <w:t xml:space="preserve"> la</w:t>
      </w:r>
      <w:r w:rsidR="00CA4FDF" w:rsidRPr="00026AFD">
        <w:rPr>
          <w:color w:val="EE0000"/>
          <w:szCs w:val="20"/>
        </w:rPr>
        <w:t xml:space="preserve"> CMM, mais la première fois que l'obligation de déclaration sera remplie par la CPC sera le 15 septembre 2026 pour les navires actifs en </w:t>
      </w:r>
      <w:r w:rsidR="000C3B9D" w:rsidRPr="00026AFD">
        <w:rPr>
          <w:color w:val="EE0000"/>
          <w:szCs w:val="20"/>
        </w:rPr>
        <w:t>2025.</w:t>
      </w:r>
      <w:r w:rsidR="00CA4FDF" w:rsidRPr="00026AFD">
        <w:rPr>
          <w:color w:val="EE0000"/>
          <w:szCs w:val="20"/>
        </w:rPr>
        <w:t xml:space="preserve"> </w:t>
      </w:r>
    </w:p>
    <w:p w14:paraId="505AA1C4" w14:textId="77777777" w:rsidR="00CA4FDF" w:rsidRPr="00026AFD" w:rsidRDefault="00CA4FDF" w:rsidP="00CA4FDF">
      <w:pPr>
        <w:widowControl w:val="0"/>
        <w:autoSpaceDE w:val="0"/>
        <w:autoSpaceDN w:val="0"/>
        <w:spacing w:after="0" w:line="240" w:lineRule="auto"/>
        <w:ind w:left="0" w:right="0" w:firstLine="0"/>
        <w:rPr>
          <w:color w:val="auto"/>
          <w:spacing w:val="-2"/>
          <w:kern w:val="0"/>
          <w:szCs w:val="20"/>
          <w:lang w:eastAsia="en-US"/>
          <w14:ligatures w14:val="none"/>
        </w:rPr>
      </w:pPr>
    </w:p>
    <w:p w14:paraId="3FFCCCF8" w14:textId="77777777" w:rsidR="00CA4FDF" w:rsidRPr="00026AFD" w:rsidRDefault="00CA4FDF" w:rsidP="00CA4FDF">
      <w:pPr>
        <w:widowControl w:val="0"/>
        <w:numPr>
          <w:ilvl w:val="0"/>
          <w:numId w:val="1"/>
        </w:numPr>
        <w:autoSpaceDE w:val="0"/>
        <w:autoSpaceDN w:val="0"/>
        <w:spacing w:after="0" w:line="240" w:lineRule="auto"/>
        <w:ind w:left="426" w:right="0" w:hanging="426"/>
        <w:rPr>
          <w:color w:val="EE0000"/>
          <w:spacing w:val="-2"/>
          <w:kern w:val="0"/>
          <w:szCs w:val="20"/>
          <w14:ligatures w14:val="none"/>
        </w:rPr>
      </w:pPr>
      <w:r w:rsidRPr="00026AFD">
        <w:rPr>
          <w:szCs w:val="20"/>
        </w:rPr>
        <w:t xml:space="preserve">Existe-t-il d'autres informations pertinentes concernant les implications de la proposition en termes de ressources et de charge de travail ? </w:t>
      </w:r>
      <w:r w:rsidRPr="00026AFD">
        <w:rPr>
          <w:color w:val="EE0000"/>
          <w:szCs w:val="20"/>
        </w:rPr>
        <w:t>Aucune</w:t>
      </w:r>
    </w:p>
    <w:p w14:paraId="33D9AF56" w14:textId="3C3D90CD" w:rsidR="00CA4FDF" w:rsidRPr="00026AFD" w:rsidRDefault="00902579" w:rsidP="00CA4FDF">
      <w:pPr>
        <w:widowControl w:val="0"/>
        <w:autoSpaceDE w:val="0"/>
        <w:autoSpaceDN w:val="0"/>
        <w:spacing w:after="0" w:line="240" w:lineRule="auto"/>
        <w:ind w:left="0" w:right="0" w:firstLine="0"/>
        <w:jc w:val="right"/>
        <w:rPr>
          <w:b/>
          <w:bCs/>
          <w:color w:val="auto"/>
          <w:spacing w:val="-2"/>
          <w:kern w:val="0"/>
          <w:szCs w:val="20"/>
          <w14:ligatures w14:val="none"/>
        </w:rPr>
      </w:pPr>
      <w:r w:rsidRPr="00026AFD">
        <w:rPr>
          <w:b/>
          <w:color w:val="auto"/>
          <w:szCs w:val="20"/>
        </w:rPr>
        <w:lastRenderedPageBreak/>
        <w:t>Original :</w:t>
      </w:r>
      <w:r w:rsidR="00CA4FDF" w:rsidRPr="00026AFD">
        <w:rPr>
          <w:b/>
          <w:color w:val="auto"/>
          <w:szCs w:val="20"/>
        </w:rPr>
        <w:t xml:space="preserve"> </w:t>
      </w:r>
      <w:r w:rsidR="00CA4FDF" w:rsidRPr="00026AFD">
        <w:rPr>
          <w:b/>
          <w:bCs/>
          <w:color w:val="auto"/>
          <w:szCs w:val="20"/>
        </w:rPr>
        <w:t>anglais</w:t>
      </w:r>
      <w:r w:rsidR="00CA4FDF" w:rsidRPr="00026AFD">
        <w:rPr>
          <w:b/>
          <w:color w:val="auto"/>
          <w:szCs w:val="20"/>
        </w:rPr>
        <w:t xml:space="preserve"> </w:t>
      </w:r>
    </w:p>
    <w:p w14:paraId="41284A89" w14:textId="77777777" w:rsidR="00CA4FDF" w:rsidRPr="00026AFD" w:rsidRDefault="00CA4FDF" w:rsidP="00CA4FDF">
      <w:pPr>
        <w:widowControl w:val="0"/>
        <w:autoSpaceDE w:val="0"/>
        <w:autoSpaceDN w:val="0"/>
        <w:spacing w:after="0" w:line="240" w:lineRule="auto"/>
        <w:ind w:left="0" w:right="0" w:firstLine="0"/>
        <w:jc w:val="right"/>
        <w:rPr>
          <w:b/>
          <w:bCs/>
          <w:color w:val="EE0000"/>
          <w:spacing w:val="-2"/>
          <w:kern w:val="0"/>
          <w:szCs w:val="20"/>
          <w:lang w:val="en-US" w:eastAsia="en-US"/>
          <w14:ligatures w14:val="none"/>
        </w:rPr>
      </w:pPr>
    </w:p>
    <w:p w14:paraId="41C050DF" w14:textId="77777777" w:rsidR="00CA4FDF" w:rsidRPr="00026AFD" w:rsidRDefault="00CA4FDF" w:rsidP="00242C26">
      <w:pPr>
        <w:widowControl w:val="0"/>
        <w:autoSpaceDE w:val="0"/>
        <w:autoSpaceDN w:val="0"/>
        <w:spacing w:after="0" w:line="240" w:lineRule="auto"/>
        <w:ind w:left="0" w:right="0" w:firstLine="0"/>
        <w:jc w:val="center"/>
        <w:rPr>
          <w:b/>
          <w:bCs/>
          <w:color w:val="auto"/>
          <w:spacing w:val="-2"/>
          <w:kern w:val="0"/>
          <w:szCs w:val="20"/>
          <w14:ligatures w14:val="none"/>
        </w:rPr>
      </w:pPr>
      <w:r w:rsidRPr="00026AFD">
        <w:rPr>
          <w:b/>
          <w:color w:val="auto"/>
          <w:szCs w:val="20"/>
        </w:rPr>
        <w:t>Note explicative sur le projet de recommandation de l’ICCAT concernant l’établissement d’un registre ICCAT de navires de 20 mètres ou plus de longueur hors-tout autorisés à opérer dans la zone de la Convention</w:t>
      </w:r>
    </w:p>
    <w:p w14:paraId="09EB5275" w14:textId="77777777" w:rsidR="00CA4FDF" w:rsidRPr="00026AFD" w:rsidRDefault="00CA4FDF" w:rsidP="00CA4FDF">
      <w:pPr>
        <w:jc w:val="center"/>
        <w:rPr>
          <w:i/>
          <w:iCs/>
          <w:szCs w:val="20"/>
        </w:rPr>
      </w:pPr>
    </w:p>
    <w:p w14:paraId="23C70502" w14:textId="77777777" w:rsidR="00CA4FDF" w:rsidRPr="00026AFD" w:rsidRDefault="00CA4FDF" w:rsidP="00CA4FDF">
      <w:pPr>
        <w:jc w:val="center"/>
        <w:rPr>
          <w:i/>
          <w:iCs/>
          <w:szCs w:val="20"/>
        </w:rPr>
      </w:pPr>
      <w:r w:rsidRPr="00026AFD">
        <w:rPr>
          <w:i/>
          <w:szCs w:val="20"/>
        </w:rPr>
        <w:t>(Document présenté par l’Union européenne)</w:t>
      </w:r>
    </w:p>
    <w:p w14:paraId="20342D5F" w14:textId="77777777" w:rsidR="00CA4FDF" w:rsidRPr="00026AFD" w:rsidRDefault="00CA4FDF" w:rsidP="00CA4FDF">
      <w:pPr>
        <w:widowControl w:val="0"/>
        <w:autoSpaceDE w:val="0"/>
        <w:autoSpaceDN w:val="0"/>
        <w:spacing w:after="0" w:line="240" w:lineRule="auto"/>
        <w:ind w:left="0" w:right="0" w:firstLine="0"/>
        <w:rPr>
          <w:b/>
          <w:bCs/>
          <w:color w:val="auto"/>
          <w:kern w:val="0"/>
          <w:szCs w:val="20"/>
          <w:lang w:eastAsia="en-US"/>
          <w14:ligatures w14:val="none"/>
        </w:rPr>
      </w:pPr>
    </w:p>
    <w:p w14:paraId="0CBD5EDF" w14:textId="050B6405" w:rsidR="00CA4FDF" w:rsidRPr="00026AFD" w:rsidRDefault="00CA4FDF" w:rsidP="00CA4FDF">
      <w:pPr>
        <w:widowControl w:val="0"/>
        <w:autoSpaceDE w:val="0"/>
        <w:autoSpaceDN w:val="0"/>
        <w:spacing w:after="0" w:line="240" w:lineRule="auto"/>
        <w:ind w:left="0" w:right="0" w:firstLine="0"/>
        <w:rPr>
          <w:color w:val="auto"/>
          <w:kern w:val="0"/>
          <w:szCs w:val="20"/>
          <w14:ligatures w14:val="none"/>
        </w:rPr>
      </w:pPr>
      <w:r w:rsidRPr="00026AFD">
        <w:rPr>
          <w:color w:val="auto"/>
          <w:szCs w:val="20"/>
        </w:rPr>
        <w:t xml:space="preserve">Les navires inscrits au registre des navires de l’ICCAT constituent la liste la plus complète des navires autorisés à pêcher, à retenir à bord, à transborder ou à débarquer les espèces </w:t>
      </w:r>
      <w:r w:rsidR="00AF0699" w:rsidRPr="00026AFD">
        <w:rPr>
          <w:color w:val="auto"/>
          <w:szCs w:val="20"/>
        </w:rPr>
        <w:t>relevant de</w:t>
      </w:r>
      <w:r w:rsidRPr="00026AFD">
        <w:rPr>
          <w:color w:val="auto"/>
          <w:szCs w:val="20"/>
        </w:rPr>
        <w:t xml:space="preserve"> l’ICCAT. Toutefois, cette liste ne constitue pas une liste fermée des navires participant aux pêcheries thonières dans l'Atlantique.</w:t>
      </w:r>
    </w:p>
    <w:p w14:paraId="57ED3DD1" w14:textId="77777777" w:rsidR="00CA4FDF" w:rsidRPr="00026AFD"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43696C98" w14:textId="6CEF283C" w:rsidR="00CA4FDF" w:rsidRPr="00026AFD" w:rsidRDefault="00CA4FDF" w:rsidP="00CA4FDF">
      <w:pPr>
        <w:widowControl w:val="0"/>
        <w:autoSpaceDE w:val="0"/>
        <w:autoSpaceDN w:val="0"/>
        <w:spacing w:after="0" w:line="240" w:lineRule="auto"/>
        <w:ind w:left="0" w:right="0" w:firstLine="0"/>
        <w:rPr>
          <w:color w:val="auto"/>
          <w:kern w:val="0"/>
          <w:szCs w:val="20"/>
          <w14:ligatures w14:val="none"/>
        </w:rPr>
      </w:pPr>
      <w:r w:rsidRPr="00026AFD">
        <w:rPr>
          <w:color w:val="auto"/>
          <w:szCs w:val="20"/>
        </w:rPr>
        <w:t xml:space="preserve">L'introduction de l'obligation de déclarer les navires ayant exercé des activités de pêche au cours de l'année précédente permettrait à l’ICCAT de dresser un tableau plus complet et plus précis de l'effort de pêche et des activités de pêche dans la zone de la Convention. Cela permettrait à l’ICCAT de vérifier et de recouper plus efficacement diverses informations, telles que la couverture effective </w:t>
      </w:r>
      <w:r w:rsidR="0001576E" w:rsidRPr="00026AFD">
        <w:rPr>
          <w:color w:val="auto"/>
          <w:szCs w:val="20"/>
        </w:rPr>
        <w:t>d</w:t>
      </w:r>
      <w:r w:rsidRPr="00026AFD">
        <w:rPr>
          <w:color w:val="auto"/>
          <w:szCs w:val="20"/>
        </w:rPr>
        <w:t xml:space="preserve">es observateurs ou l'évolution de l'effort et des modes de pêche. </w:t>
      </w:r>
    </w:p>
    <w:p w14:paraId="3E77CBC0" w14:textId="77777777" w:rsidR="00CA4FDF" w:rsidRPr="00026AFD"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14D05800" w14:textId="268443C6" w:rsidR="00CA4FDF" w:rsidRPr="00026AFD" w:rsidRDefault="00CA4FDF" w:rsidP="00CA4FDF">
      <w:pPr>
        <w:widowControl w:val="0"/>
        <w:autoSpaceDE w:val="0"/>
        <w:autoSpaceDN w:val="0"/>
        <w:spacing w:after="0" w:line="240" w:lineRule="auto"/>
        <w:ind w:left="0" w:right="0" w:firstLine="0"/>
        <w:rPr>
          <w:color w:val="auto"/>
          <w:kern w:val="0"/>
          <w:szCs w:val="20"/>
          <w14:ligatures w14:val="none"/>
        </w:rPr>
      </w:pPr>
      <w:r w:rsidRPr="00026AFD">
        <w:rPr>
          <w:color w:val="auto"/>
          <w:szCs w:val="20"/>
        </w:rPr>
        <w:t>Bien qu'il n'y ait pas encore d'obligation à l’ICCAT de fournir une liste des navires actifs, cette disposition existe depuis plus de dix ans à la Commission interaméricaine du thon tropical (IATTC), à la Commission des thons de l'océan Indien (CTOI) et à la Commission des pêches du Pacifique occidental et central (</w:t>
      </w:r>
      <w:r w:rsidR="009B1011" w:rsidRPr="00026AFD">
        <w:rPr>
          <w:color w:val="auto"/>
          <w:szCs w:val="20"/>
        </w:rPr>
        <w:t>WCPFC</w:t>
      </w:r>
      <w:r w:rsidRPr="00026AFD">
        <w:rPr>
          <w:color w:val="auto"/>
          <w:szCs w:val="20"/>
        </w:rPr>
        <w:t>) et s'est avérée être un support essentiel pour l'adoption de décisions éclairées.</w:t>
      </w:r>
    </w:p>
    <w:p w14:paraId="17CCA3E9" w14:textId="77777777" w:rsidR="00CA4FDF" w:rsidRPr="00026AFD" w:rsidRDefault="00CA4FDF" w:rsidP="00CA4FDF">
      <w:pPr>
        <w:spacing w:after="160" w:line="278" w:lineRule="auto"/>
        <w:ind w:left="0" w:right="0" w:firstLine="0"/>
        <w:jc w:val="left"/>
        <w:rPr>
          <w:i/>
          <w:color w:val="auto"/>
          <w:szCs w:val="20"/>
        </w:rPr>
      </w:pPr>
      <w:r w:rsidRPr="00026AFD">
        <w:rPr>
          <w:szCs w:val="20"/>
        </w:rPr>
        <w:br w:type="page"/>
      </w:r>
    </w:p>
    <w:p w14:paraId="5BEAB9D1" w14:textId="77777777" w:rsidR="000C3B9D" w:rsidRPr="00026AFD" w:rsidRDefault="000C3B9D" w:rsidP="000C3B9D">
      <w:pPr>
        <w:widowControl w:val="0"/>
        <w:autoSpaceDE w:val="0"/>
        <w:autoSpaceDN w:val="0"/>
        <w:spacing w:after="0" w:line="240" w:lineRule="auto"/>
        <w:ind w:left="0" w:right="0" w:firstLine="0"/>
        <w:jc w:val="right"/>
        <w:rPr>
          <w:b/>
          <w:bCs/>
          <w:color w:val="auto"/>
          <w:spacing w:val="-2"/>
          <w:kern w:val="0"/>
          <w:szCs w:val="20"/>
          <w14:ligatures w14:val="none"/>
        </w:rPr>
      </w:pPr>
      <w:r w:rsidRPr="00026AFD">
        <w:rPr>
          <w:b/>
          <w:color w:val="auto"/>
          <w:szCs w:val="20"/>
        </w:rPr>
        <w:lastRenderedPageBreak/>
        <w:t xml:space="preserve">Original : </w:t>
      </w:r>
      <w:r w:rsidRPr="00026AFD">
        <w:rPr>
          <w:b/>
          <w:bCs/>
          <w:color w:val="auto"/>
          <w:szCs w:val="20"/>
        </w:rPr>
        <w:t>anglais</w:t>
      </w:r>
      <w:r w:rsidRPr="00026AFD">
        <w:rPr>
          <w:b/>
          <w:color w:val="auto"/>
          <w:szCs w:val="20"/>
        </w:rPr>
        <w:t xml:space="preserve"> </w:t>
      </w:r>
    </w:p>
    <w:p w14:paraId="01D177BA" w14:textId="77777777" w:rsidR="000C3B9D" w:rsidRPr="00026AFD" w:rsidRDefault="000C3B9D" w:rsidP="007A6789">
      <w:pPr>
        <w:widowControl w:val="0"/>
        <w:autoSpaceDE w:val="0"/>
        <w:autoSpaceDN w:val="0"/>
        <w:spacing w:after="0" w:line="240" w:lineRule="auto"/>
        <w:ind w:left="0" w:right="0" w:firstLine="0"/>
        <w:jc w:val="center"/>
        <w:rPr>
          <w:b/>
          <w:color w:val="auto"/>
          <w:szCs w:val="20"/>
        </w:rPr>
      </w:pPr>
    </w:p>
    <w:p w14:paraId="2EC1BDE6" w14:textId="02B8AD00" w:rsidR="007A6789" w:rsidRPr="00026AFD" w:rsidRDefault="007A6789" w:rsidP="007A6789">
      <w:pPr>
        <w:widowControl w:val="0"/>
        <w:autoSpaceDE w:val="0"/>
        <w:autoSpaceDN w:val="0"/>
        <w:spacing w:after="0" w:line="240" w:lineRule="auto"/>
        <w:ind w:left="0" w:right="0" w:firstLine="0"/>
        <w:jc w:val="center"/>
        <w:rPr>
          <w:b/>
          <w:bCs/>
          <w:color w:val="auto"/>
          <w:spacing w:val="-2"/>
          <w:kern w:val="0"/>
          <w:szCs w:val="20"/>
          <w14:ligatures w14:val="none"/>
        </w:rPr>
      </w:pPr>
      <w:r w:rsidRPr="00026AFD">
        <w:rPr>
          <w:b/>
          <w:color w:val="auto"/>
          <w:szCs w:val="20"/>
        </w:rPr>
        <w:t>Projet de recommandation de l’ICCAT concernant l’établissement d’un registre ICCAT de navires de 20 mètres ou plus de longueur hors-tout autorisés à opérer dans la zone de la Convention</w:t>
      </w:r>
    </w:p>
    <w:p w14:paraId="599EF24D" w14:textId="77777777" w:rsidR="007A6789" w:rsidRPr="00026AFD" w:rsidRDefault="007A6789" w:rsidP="007A6789">
      <w:pPr>
        <w:jc w:val="center"/>
        <w:rPr>
          <w:i/>
          <w:iCs/>
          <w:szCs w:val="20"/>
        </w:rPr>
      </w:pPr>
    </w:p>
    <w:p w14:paraId="41C25455" w14:textId="77777777" w:rsidR="007A6789" w:rsidRPr="00026AFD" w:rsidRDefault="007A6789" w:rsidP="007A6789">
      <w:pPr>
        <w:jc w:val="center"/>
        <w:rPr>
          <w:i/>
          <w:iCs/>
          <w:szCs w:val="20"/>
        </w:rPr>
      </w:pPr>
      <w:r w:rsidRPr="00026AFD">
        <w:rPr>
          <w:i/>
          <w:szCs w:val="20"/>
        </w:rPr>
        <w:t>(Document présenté par l’Union européenne)</w:t>
      </w:r>
    </w:p>
    <w:p w14:paraId="005A96CC" w14:textId="77777777" w:rsidR="00CA4FDF" w:rsidRPr="00026AFD" w:rsidRDefault="00CA4FDF">
      <w:pPr>
        <w:rPr>
          <w:szCs w:val="20"/>
        </w:rPr>
      </w:pPr>
    </w:p>
    <w:p w14:paraId="3DEB3523" w14:textId="77777777" w:rsidR="00AB1CAE" w:rsidRPr="00026AFD" w:rsidRDefault="00AB1CAE" w:rsidP="00AB1CAE">
      <w:pPr>
        <w:spacing w:after="0" w:line="240" w:lineRule="auto"/>
        <w:ind w:left="0" w:right="0" w:firstLine="426"/>
        <w:rPr>
          <w:rFonts w:eastAsia="Times New Roman" w:cs="Times New Roman"/>
          <w:snapToGrid w:val="0"/>
          <w:color w:val="auto"/>
          <w:kern w:val="0"/>
          <w:szCs w:val="20"/>
          <w:lang w:eastAsia="es-ES"/>
          <w14:ligatures w14:val="none"/>
        </w:rPr>
      </w:pPr>
      <w:r w:rsidRPr="00026AFD">
        <w:rPr>
          <w:rFonts w:eastAsia="Times New Roman" w:cs="Times New Roman"/>
          <w:i/>
          <w:noProof/>
          <w:snapToGrid w:val="0"/>
          <w:color w:val="auto"/>
          <w:kern w:val="0"/>
          <w:szCs w:val="20"/>
          <w:lang w:eastAsia="es-ES"/>
          <w14:ligatures w14:val="none"/>
        </w:rPr>
        <w:t>RAPPELANT</w:t>
      </w:r>
      <w:r w:rsidRPr="00026AFD">
        <w:rPr>
          <w:rFonts w:eastAsia="Times New Roman" w:cs="Times New Roman"/>
          <w:noProof/>
          <w:snapToGrid w:val="0"/>
          <w:color w:val="auto"/>
          <w:kern w:val="0"/>
          <w:szCs w:val="20"/>
          <w:lang w:eastAsia="es-ES"/>
          <w14:ligatures w14:val="none"/>
        </w:rPr>
        <w:t xml:space="preserve"> que l’ICCAT a adopté, lors de sa réunion de 2000, une </w:t>
      </w:r>
      <w:r w:rsidRPr="00026AFD">
        <w:rPr>
          <w:rFonts w:eastAsia="Times New Roman" w:cs="Times New Roman"/>
          <w:i/>
          <w:noProof/>
          <w:snapToGrid w:val="0"/>
          <w:color w:val="auto"/>
          <w:kern w:val="0"/>
          <w:szCs w:val="20"/>
          <w:lang w:eastAsia="es-ES"/>
          <w14:ligatures w14:val="none"/>
        </w:rPr>
        <w:t>Recommandation de l’ICCAT concernant l’immatriculation des bateaux pêchant des thonidés et des espèces voisines dans la zone de la Convention et l’échange d’information les concernant</w:t>
      </w:r>
      <w:r w:rsidRPr="00026AFD">
        <w:rPr>
          <w:rFonts w:eastAsia="Times New Roman" w:cs="Times New Roman"/>
          <w:noProof/>
          <w:snapToGrid w:val="0"/>
          <w:color w:val="auto"/>
          <w:kern w:val="0"/>
          <w:szCs w:val="20"/>
          <w:lang w:eastAsia="es-ES"/>
          <w14:ligatures w14:val="none"/>
        </w:rPr>
        <w:t xml:space="preserve"> (Rec.</w:t>
      </w:r>
      <w:r w:rsidRPr="00026AFD">
        <w:rPr>
          <w:rFonts w:eastAsia="Times New Roman" w:cs="Times New Roman"/>
          <w:snapToGrid w:val="0"/>
          <w:color w:val="auto"/>
          <w:kern w:val="0"/>
          <w:szCs w:val="20"/>
          <w:lang w:eastAsia="es-ES"/>
          <w14:ligatures w14:val="none"/>
        </w:rPr>
        <w:t xml:space="preserve"> 00-17)</w:t>
      </w:r>
      <w:r w:rsidRPr="00026AFD">
        <w:rPr>
          <w:rFonts w:eastAsia="Times New Roman" w:cs="Times New Roman"/>
          <w:i/>
          <w:snapToGrid w:val="0"/>
          <w:color w:val="auto"/>
          <w:kern w:val="0"/>
          <w:szCs w:val="20"/>
          <w:lang w:eastAsia="es-ES"/>
          <w14:ligatures w14:val="none"/>
        </w:rPr>
        <w:t> </w:t>
      </w:r>
      <w:r w:rsidRPr="00026AFD">
        <w:rPr>
          <w:rFonts w:eastAsia="Times New Roman" w:cs="Times New Roman"/>
          <w:snapToGrid w:val="0"/>
          <w:color w:val="auto"/>
          <w:kern w:val="0"/>
          <w:szCs w:val="20"/>
          <w:lang w:eastAsia="es-ES"/>
          <w14:ligatures w14:val="none"/>
        </w:rPr>
        <w:t>;</w:t>
      </w:r>
    </w:p>
    <w:p w14:paraId="1BEEEA1B" w14:textId="77777777" w:rsidR="007A6789" w:rsidRPr="00026AFD" w:rsidRDefault="007A6789">
      <w:pPr>
        <w:rPr>
          <w:szCs w:val="20"/>
        </w:rPr>
      </w:pPr>
    </w:p>
    <w:p w14:paraId="6CC17765" w14:textId="77777777" w:rsidR="005C1CF1" w:rsidRPr="00026AFD" w:rsidRDefault="005C1CF1" w:rsidP="005C1CF1">
      <w:r w:rsidRPr="00026AFD">
        <w:t>[…]</w:t>
      </w:r>
    </w:p>
    <w:p w14:paraId="5E9F6A9F" w14:textId="77777777" w:rsidR="000B7326" w:rsidRPr="00026AFD" w:rsidRDefault="000B7326" w:rsidP="000B7326">
      <w:r w:rsidRPr="00026AFD">
        <w:t>[…]</w:t>
      </w:r>
    </w:p>
    <w:p w14:paraId="7D7C8280" w14:textId="77777777" w:rsidR="000B7326" w:rsidRPr="00026AFD" w:rsidRDefault="000B7326" w:rsidP="000B7326">
      <w:r w:rsidRPr="00026AFD">
        <w:t>[…]</w:t>
      </w:r>
    </w:p>
    <w:p w14:paraId="4BCCEA5A" w14:textId="77777777" w:rsidR="008D2E53" w:rsidRPr="00026AFD" w:rsidRDefault="008D2E53">
      <w:pPr>
        <w:rPr>
          <w:szCs w:val="20"/>
        </w:rPr>
      </w:pPr>
    </w:p>
    <w:p w14:paraId="6A2E6E24" w14:textId="551BF2AC" w:rsidR="00312D1E" w:rsidRPr="00026AFD"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r w:rsidRPr="00026AFD">
        <w:rPr>
          <w:rFonts w:eastAsia="Times New Roman" w:cs="Times New Roman"/>
          <w:i/>
          <w:noProof/>
          <w:snapToGrid w:val="0"/>
          <w:color w:val="auto"/>
          <w:kern w:val="0"/>
          <w:szCs w:val="20"/>
          <w:lang w:eastAsia="es-ES"/>
          <w14:ligatures w14:val="none"/>
        </w:rPr>
        <w:t>RAPPELANT</w:t>
      </w:r>
      <w:r w:rsidRPr="00026AFD">
        <w:rPr>
          <w:rFonts w:eastAsia="Times New Roman" w:cs="Times New Roman"/>
          <w:i/>
          <w:iCs/>
          <w:noProof/>
          <w:snapToGrid w:val="0"/>
          <w:color w:val="auto"/>
          <w:kern w:val="0"/>
          <w:szCs w:val="20"/>
          <w:lang w:eastAsia="es-ES"/>
          <w14:ligatures w14:val="none"/>
        </w:rPr>
        <w:t xml:space="preserve"> </w:t>
      </w:r>
      <w:r w:rsidRPr="00026AFD">
        <w:rPr>
          <w:rFonts w:eastAsia="Times New Roman" w:cs="Times New Roman"/>
          <w:i/>
          <w:iCs/>
          <w:noProof/>
          <w:snapToGrid w:val="0"/>
          <w:color w:val="auto"/>
          <w:kern w:val="0"/>
          <w:szCs w:val="20"/>
          <w:u w:val="single"/>
          <w:lang w:eastAsia="es-ES"/>
          <w14:ligatures w14:val="none"/>
        </w:rPr>
        <w:t>EN OUTRE</w:t>
      </w:r>
      <w:r w:rsidRPr="00026AFD">
        <w:rPr>
          <w:rFonts w:eastAsia="Times New Roman" w:cs="Times New Roman"/>
          <w:noProof/>
          <w:snapToGrid w:val="0"/>
          <w:color w:val="auto"/>
          <w:kern w:val="0"/>
          <w:szCs w:val="20"/>
          <w:u w:val="single"/>
          <w:lang w:eastAsia="es-ES"/>
          <w14:ligatures w14:val="none"/>
        </w:rPr>
        <w:t xml:space="preserve"> </w:t>
      </w:r>
      <w:r w:rsidRPr="00026AFD">
        <w:rPr>
          <w:rFonts w:eastAsia="Times New Roman" w:cs="Times New Roman"/>
          <w:noProof/>
          <w:snapToGrid w:val="0"/>
          <w:color w:val="auto"/>
          <w:kern w:val="0"/>
          <w:szCs w:val="20"/>
          <w:lang w:eastAsia="es-ES"/>
          <w14:ligatures w14:val="none"/>
        </w:rPr>
        <w:t>que le Conseil de la FAO a adopté, le 23 juin 2001, un Plan d’action international (IPOA) visant à prévenir, contrecarrer et éliminer la pêche illicite, non déclarée et non réglementée, que ce plan stipule que l’organisme régional de gestion des pêches devrait prendre des mesures afin de renforcer et de développer des moyens novateurs, en conformité avec le droit international, tendant à prévenir, contrecarrer et éliminer la pêche IUU et notamment à établir des registres des navires habilités à pêcher et des registres de navires s’adonnant à la pêche IUU ;</w:t>
      </w:r>
    </w:p>
    <w:p w14:paraId="12445C8F" w14:textId="77777777" w:rsidR="00312D1E" w:rsidRPr="00026AFD"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p>
    <w:p w14:paraId="639F88A1" w14:textId="77777777" w:rsidR="00312D1E" w:rsidRPr="00026AFD"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r w:rsidRPr="00026AFD">
        <w:rPr>
          <w:rFonts w:eastAsia="Times New Roman" w:cs="Times New Roman"/>
          <w:i/>
          <w:noProof/>
          <w:snapToGrid w:val="0"/>
          <w:color w:val="auto"/>
          <w:kern w:val="0"/>
          <w:szCs w:val="20"/>
          <w:lang w:eastAsia="es-ES"/>
          <w14:ligatures w14:val="none"/>
        </w:rPr>
        <w:t>RAPPELANT ÉGALEMENT</w:t>
      </w:r>
      <w:r w:rsidRPr="00026AFD">
        <w:rPr>
          <w:rFonts w:eastAsia="Times New Roman" w:cs="Times New Roman"/>
          <w:noProof/>
          <w:snapToGrid w:val="0"/>
          <w:color w:val="auto"/>
          <w:kern w:val="0"/>
          <w:szCs w:val="20"/>
          <w:lang w:eastAsia="es-ES"/>
          <w14:ligatures w14:val="none"/>
        </w:rPr>
        <w:t xml:space="preserve"> que la Commission en 2002, a établi un Registre ICCAT de navires de 24 mètres ou plus de longueur hors-tout, et que, en 2009, la Commission a élargi la liste afin d’inclure tous les navires de 20 mètres ou plus de longueur hors-tout ;</w:t>
      </w:r>
    </w:p>
    <w:p w14:paraId="00265821" w14:textId="77777777" w:rsidR="00312D1E" w:rsidRPr="00026AFD" w:rsidRDefault="00312D1E">
      <w:pPr>
        <w:rPr>
          <w:szCs w:val="20"/>
        </w:rPr>
      </w:pPr>
    </w:p>
    <w:p w14:paraId="02743FA3" w14:textId="77777777" w:rsidR="008D2E53" w:rsidRPr="00026AFD" w:rsidRDefault="008D2E53" w:rsidP="008D2E53">
      <w:r w:rsidRPr="00026AFD">
        <w:t xml:space="preserve">[…] </w:t>
      </w:r>
    </w:p>
    <w:p w14:paraId="06944DAB" w14:textId="77777777" w:rsidR="008D2E53" w:rsidRPr="00026AFD" w:rsidRDefault="008D2E53">
      <w:pPr>
        <w:rPr>
          <w:szCs w:val="20"/>
        </w:rPr>
      </w:pPr>
    </w:p>
    <w:p w14:paraId="32AC12B1" w14:textId="77777777" w:rsidR="006F0745" w:rsidRPr="00026AFD" w:rsidRDefault="006F0745" w:rsidP="006F0745">
      <w:pPr>
        <w:spacing w:after="0" w:line="240" w:lineRule="auto"/>
        <w:ind w:left="0" w:right="59" w:firstLine="426"/>
        <w:rPr>
          <w:rFonts w:eastAsia="Times New Roman" w:cs="Times New Roman"/>
          <w:color w:val="auto"/>
          <w:kern w:val="0"/>
          <w:szCs w:val="20"/>
          <w:lang w:eastAsia="en-US"/>
          <w14:ligatures w14:val="none"/>
        </w:rPr>
      </w:pPr>
      <w:r w:rsidRPr="00026AFD">
        <w:rPr>
          <w:rFonts w:eastAsia="Times New Roman" w:cs="Times New Roman"/>
          <w:i/>
          <w:iCs/>
          <w:color w:val="auto"/>
          <w:kern w:val="0"/>
          <w:szCs w:val="20"/>
          <w:lang w:eastAsia="en-US"/>
          <w14:ligatures w14:val="none"/>
        </w:rPr>
        <w:t>RECONNAISSANT</w:t>
      </w:r>
      <w:r w:rsidRPr="00026AFD">
        <w:rPr>
          <w:rFonts w:eastAsia="Times New Roman" w:cs="Times New Roman"/>
          <w:color w:val="auto"/>
          <w:kern w:val="0"/>
          <w:szCs w:val="20"/>
          <w:lang w:eastAsia="en-US"/>
          <w14:ligatures w14:val="none"/>
        </w:rPr>
        <w:t xml:space="preserve"> qu’en 2017, l'Organisation maritime internationale (OMI) a adopté la résolution A.1117(30), qui étend les critères d'éligibilité au numéro OMI à tous les navires de pêche in-bord motorisés, y compris ceux en bois, d’une longueur hors-tout égale ou supérieure à 12 mètres qui sont autorisés à être exploités en dehors des eaux relevant de la juridiction nationale de l'État du pavillon ;</w:t>
      </w:r>
    </w:p>
    <w:p w14:paraId="0E55E666" w14:textId="77777777" w:rsidR="006F0745" w:rsidRPr="00026AFD" w:rsidRDefault="006F0745" w:rsidP="006F0745">
      <w:pPr>
        <w:spacing w:after="0" w:line="240" w:lineRule="auto"/>
        <w:ind w:left="0" w:right="0" w:firstLine="426"/>
        <w:jc w:val="left"/>
        <w:rPr>
          <w:rFonts w:eastAsia="Times New Roman" w:cs="Times New Roman"/>
          <w:color w:val="auto"/>
          <w:kern w:val="0"/>
          <w:szCs w:val="20"/>
          <w:lang w:eastAsia="en-US"/>
          <w14:ligatures w14:val="none"/>
        </w:rPr>
      </w:pPr>
    </w:p>
    <w:p w14:paraId="10747F38" w14:textId="77777777" w:rsidR="006F0745" w:rsidRPr="00026AFD" w:rsidRDefault="006F0745" w:rsidP="006F0745">
      <w:pPr>
        <w:spacing w:after="0" w:line="240" w:lineRule="auto"/>
        <w:ind w:left="0" w:right="0" w:firstLine="426"/>
        <w:rPr>
          <w:rFonts w:eastAsia="Times New Roman" w:cs="Times New Roman"/>
          <w:snapToGrid w:val="0"/>
          <w:color w:val="auto"/>
          <w:kern w:val="0"/>
          <w:szCs w:val="20"/>
          <w:lang w:eastAsia="es-ES"/>
          <w14:ligatures w14:val="none"/>
        </w:rPr>
      </w:pPr>
      <w:r w:rsidRPr="00026AFD">
        <w:rPr>
          <w:rFonts w:eastAsia="Times New Roman" w:cs="Times New Roman"/>
          <w:i/>
          <w:noProof/>
          <w:snapToGrid w:val="0"/>
          <w:color w:val="auto"/>
          <w:kern w:val="0"/>
          <w:szCs w:val="20"/>
          <w:lang w:eastAsia="es-ES"/>
          <w14:ligatures w14:val="none"/>
        </w:rPr>
        <w:t xml:space="preserve">RECONNAISSANT </w:t>
      </w:r>
      <w:r w:rsidRPr="00026AFD">
        <w:rPr>
          <w:rFonts w:eastAsia="Times New Roman" w:cs="Times New Roman"/>
          <w:noProof/>
          <w:snapToGrid w:val="0"/>
          <w:color w:val="auto"/>
          <w:kern w:val="0"/>
          <w:szCs w:val="20"/>
          <w:lang w:eastAsia="es-ES"/>
          <w14:ligatures w14:val="none"/>
        </w:rPr>
        <w:t>l'utilité et le caractère pratique de l'utilisation de numéros OMI comme identifiant unique des navires de pêche (UVI) ;</w:t>
      </w:r>
    </w:p>
    <w:p w14:paraId="0BB6C244" w14:textId="77777777" w:rsidR="008D2E53" w:rsidRPr="00026AFD" w:rsidRDefault="008D2E53">
      <w:pPr>
        <w:rPr>
          <w:szCs w:val="20"/>
        </w:rPr>
      </w:pPr>
    </w:p>
    <w:p w14:paraId="64E2CC95" w14:textId="77777777" w:rsidR="00363370" w:rsidRPr="00026AFD" w:rsidRDefault="00363370" w:rsidP="00363370">
      <w:pPr>
        <w:ind w:left="0" w:firstLine="567"/>
        <w:rPr>
          <w:iCs/>
          <w:u w:val="single"/>
        </w:rPr>
      </w:pPr>
      <w:r w:rsidRPr="00026AFD">
        <w:rPr>
          <w:i/>
          <w:u w:val="single"/>
        </w:rPr>
        <w:t xml:space="preserve">RECONNAISSANT EN OUTRE </w:t>
      </w:r>
      <w:r w:rsidRPr="00026AFD">
        <w:rPr>
          <w:iCs/>
          <w:u w:val="single"/>
        </w:rPr>
        <w:t xml:space="preserve">la valeur ajoutée de l'identification des navires actifs à des fins de surveillance et à des fins scientifiques ; </w:t>
      </w:r>
    </w:p>
    <w:p w14:paraId="6BCF653D" w14:textId="77777777" w:rsidR="00363370" w:rsidRPr="00026AFD" w:rsidRDefault="00363370" w:rsidP="00363370">
      <w:pPr>
        <w:rPr>
          <w:i/>
          <w:u w:val="single"/>
        </w:rPr>
      </w:pPr>
    </w:p>
    <w:p w14:paraId="0E6BD1B2" w14:textId="2B9A4FCA" w:rsidR="00363370" w:rsidRPr="00026AFD" w:rsidRDefault="00363370" w:rsidP="00363370">
      <w:pPr>
        <w:ind w:left="0" w:firstLine="567"/>
        <w:rPr>
          <w:rFonts w:asciiTheme="minorHAnsi" w:eastAsiaTheme="minorEastAsia" w:hAnsiTheme="minorHAnsi" w:cs="Times New Roman"/>
          <w:i/>
          <w:iCs/>
          <w:color w:val="auto"/>
          <w:sz w:val="24"/>
          <w:szCs w:val="22"/>
          <w:u w:val="single"/>
          <w14:ligatures w14:val="none"/>
        </w:rPr>
      </w:pPr>
      <w:r w:rsidRPr="00026AFD">
        <w:rPr>
          <w:i/>
          <w:u w:val="single"/>
        </w:rPr>
        <w:t xml:space="preserve">NOTANT </w:t>
      </w:r>
      <w:r w:rsidRPr="00026AFD">
        <w:rPr>
          <w:iCs/>
          <w:u w:val="single"/>
        </w:rPr>
        <w:t>le paragraphe 32 de la</w:t>
      </w:r>
      <w:r w:rsidRPr="00026AFD">
        <w:rPr>
          <w:i/>
          <w:u w:val="single"/>
        </w:rPr>
        <w:t xml:space="preserve"> Recommandation de l’ICCAT sur un programme pluriannuel de conservation et de gestion pour les thonidés tropicaux </w:t>
      </w:r>
      <w:r w:rsidRPr="00026AFD">
        <w:rPr>
          <w:iCs/>
          <w:u w:val="single"/>
        </w:rPr>
        <w:t>(Rec. 16-01) et les paragraphes 67 et 68 de la</w:t>
      </w:r>
      <w:r w:rsidRPr="00026AFD">
        <w:rPr>
          <w:i/>
          <w:u w:val="single"/>
        </w:rPr>
        <w:t xml:space="preserve"> Recommandation de l’ICCAT amendant la Recommandation 22-08 établissant un plan pluriannuel de gestion du thon rouge dans l’Atlantique Est et la Méditerranée </w:t>
      </w:r>
      <w:r w:rsidRPr="00026AFD">
        <w:rPr>
          <w:iCs/>
          <w:u w:val="single"/>
        </w:rPr>
        <w:t>(Rec. 24-05) établissant une liste partielle des navires actifs</w:t>
      </w:r>
      <w:r w:rsidR="00487635" w:rsidRPr="00026AFD">
        <w:rPr>
          <w:iCs/>
          <w:u w:val="single"/>
        </w:rPr>
        <w:t> </w:t>
      </w:r>
      <w:r w:rsidRPr="00026AFD">
        <w:rPr>
          <w:iCs/>
          <w:u w:val="single"/>
        </w:rPr>
        <w:t>;</w:t>
      </w:r>
      <w:r w:rsidRPr="00026AFD">
        <w:rPr>
          <w:i/>
          <w:u w:val="single"/>
        </w:rPr>
        <w:t xml:space="preserve">  </w:t>
      </w:r>
    </w:p>
    <w:p w14:paraId="595848F1" w14:textId="77777777" w:rsidR="00363370" w:rsidRPr="00026AFD" w:rsidRDefault="00363370" w:rsidP="00363370">
      <w:pPr>
        <w:ind w:left="0" w:firstLine="567"/>
        <w:rPr>
          <w:i/>
          <w:iCs/>
          <w:u w:val="single"/>
        </w:rPr>
      </w:pPr>
    </w:p>
    <w:p w14:paraId="2AF336FE" w14:textId="59F3D0F2" w:rsidR="00363370" w:rsidRPr="00026AFD" w:rsidRDefault="00363370" w:rsidP="00363370">
      <w:pPr>
        <w:ind w:left="0" w:firstLine="567"/>
        <w:rPr>
          <w:iCs/>
          <w:u w:val="single"/>
        </w:rPr>
      </w:pPr>
      <w:r w:rsidRPr="00026AFD">
        <w:rPr>
          <w:i/>
          <w:u w:val="single"/>
        </w:rPr>
        <w:t xml:space="preserve">RECONNAISSANT </w:t>
      </w:r>
      <w:r w:rsidRPr="00026AFD">
        <w:rPr>
          <w:iCs/>
          <w:u w:val="single"/>
        </w:rPr>
        <w:t xml:space="preserve">l'importance d'adapter la flottille de pêche aux stocks disponibles et aux possibilités de pêche afin d'éviter la surcapacité et de limiter le risque de surexploitation des stocks ; et  </w:t>
      </w:r>
    </w:p>
    <w:p w14:paraId="4F918843" w14:textId="77777777" w:rsidR="00363370" w:rsidRPr="00026AFD" w:rsidRDefault="00363370" w:rsidP="00363370">
      <w:pPr>
        <w:ind w:left="0" w:firstLine="567"/>
        <w:rPr>
          <w:i/>
          <w:u w:val="single"/>
        </w:rPr>
      </w:pPr>
    </w:p>
    <w:p w14:paraId="1D2551F3" w14:textId="79A3C893" w:rsidR="00363370" w:rsidRPr="00026AFD" w:rsidRDefault="00363370" w:rsidP="00363370">
      <w:pPr>
        <w:ind w:left="0" w:firstLine="567"/>
        <w:rPr>
          <w:i/>
          <w:iCs/>
          <w:u w:val="single"/>
        </w:rPr>
      </w:pPr>
      <w:r w:rsidRPr="00026AFD">
        <w:rPr>
          <w:i/>
          <w:u w:val="single"/>
        </w:rPr>
        <w:t xml:space="preserve">NOTANT </w:t>
      </w:r>
      <w:r w:rsidRPr="00026AFD">
        <w:rPr>
          <w:iCs/>
          <w:u w:val="single"/>
        </w:rPr>
        <w:t>que le paragraphe 14 de la</w:t>
      </w:r>
      <w:r w:rsidRPr="00026AFD">
        <w:rPr>
          <w:i/>
          <w:u w:val="single"/>
        </w:rPr>
        <w:t xml:space="preserve"> Recommandation de l’ICCAT amendant la Recommandation 22-08 établissant un plan pluriannuel de gestion du thon rouge dans l’Atlantique Est et la Méditerranée </w:t>
      </w:r>
      <w:r w:rsidRPr="00026AFD">
        <w:rPr>
          <w:iCs/>
          <w:u w:val="single"/>
        </w:rPr>
        <w:t>(Rec. 24-05)</w:t>
      </w:r>
      <w:r w:rsidRPr="00026AFD">
        <w:rPr>
          <w:i/>
          <w:u w:val="single"/>
        </w:rPr>
        <w:t xml:space="preserve"> </w:t>
      </w:r>
      <w:r w:rsidRPr="00026AFD">
        <w:rPr>
          <w:iCs/>
          <w:u w:val="single"/>
        </w:rPr>
        <w:t>appelle à adapter la capacité de pêche aux possibilités de pêche ;</w:t>
      </w:r>
      <w:r w:rsidRPr="00026AFD">
        <w:rPr>
          <w:i/>
          <w:u w:val="single"/>
        </w:rPr>
        <w:t xml:space="preserve">  </w:t>
      </w:r>
    </w:p>
    <w:p w14:paraId="3BC5A86D" w14:textId="77777777" w:rsidR="00363370" w:rsidRPr="00026AFD" w:rsidRDefault="00363370" w:rsidP="00363370"/>
    <w:p w14:paraId="61CF0A0C" w14:textId="77777777" w:rsidR="000D0005" w:rsidRPr="00026AFD" w:rsidRDefault="000D0005" w:rsidP="00363370"/>
    <w:p w14:paraId="650EEDEE" w14:textId="77777777" w:rsidR="00411918" w:rsidRPr="00026AFD" w:rsidRDefault="00411918">
      <w:pPr>
        <w:spacing w:after="160" w:line="278" w:lineRule="auto"/>
        <w:ind w:left="0" w:right="0" w:firstLine="0"/>
        <w:jc w:val="left"/>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br w:type="page"/>
      </w:r>
    </w:p>
    <w:p w14:paraId="49DE7625" w14:textId="5707E5FD" w:rsidR="000D0005" w:rsidRPr="00026AFD" w:rsidRDefault="000D0005" w:rsidP="000D0005">
      <w:pPr>
        <w:spacing w:after="0" w:line="240" w:lineRule="auto"/>
        <w:ind w:left="0" w:right="0" w:firstLine="0"/>
        <w:jc w:val="center"/>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LA COMMISSION INTERNATIONALE POUR LA CONSERVATION</w:t>
      </w:r>
    </w:p>
    <w:p w14:paraId="76675004" w14:textId="77777777" w:rsidR="000D0005" w:rsidRPr="00026AFD" w:rsidRDefault="000D0005" w:rsidP="000D0005">
      <w:pPr>
        <w:spacing w:after="0" w:line="240" w:lineRule="auto"/>
        <w:ind w:left="0" w:right="0" w:firstLine="0"/>
        <w:jc w:val="center"/>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DES THONIDÉS DE L’ATLANTIQUE (ICCAT) RECOMMANDE CE QUI SUIT :</w:t>
      </w:r>
    </w:p>
    <w:p w14:paraId="74759CD7"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5F0ED9D1" w14:textId="77777777" w:rsidR="000D0005" w:rsidRPr="00026AFD" w:rsidRDefault="000D0005" w:rsidP="000D0005">
      <w:pPr>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026AFD">
        <w:rPr>
          <w:rFonts w:eastAsia="Times New Roman" w:cs="Times New Roman"/>
          <w:snapToGrid w:val="0"/>
          <w:color w:val="auto"/>
          <w:kern w:val="0"/>
          <w:szCs w:val="20"/>
          <w:lang w:eastAsia="es-ES"/>
          <w14:ligatures w14:val="none"/>
        </w:rPr>
        <w:t>1.</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 xml:space="preserve">La Commission devra établir et maintenir un registre ICCAT des navires de pêche mesurant 20 mètres ou plus de longueur hors-tout (ci-après dénommés « grands navires de pêche » ou « LSFV ») habilités à pêcher des </w:t>
      </w:r>
      <w:r w:rsidRPr="00026AFD">
        <w:rPr>
          <w:rFonts w:eastAsia="Times New Roman" w:cs="Times New Roman"/>
          <w:color w:val="auto"/>
          <w:kern w:val="0"/>
          <w:szCs w:val="20"/>
          <w:lang w:eastAsia="en-US"/>
          <w14:ligatures w14:val="none"/>
        </w:rPr>
        <w:t>thonidés</w:t>
      </w:r>
      <w:r w:rsidRPr="00026AFD">
        <w:rPr>
          <w:rFonts w:eastAsia="Times New Roman" w:cs="Times New Roman"/>
          <w:noProof/>
          <w:snapToGrid w:val="0"/>
          <w:color w:val="auto"/>
          <w:kern w:val="0"/>
          <w:szCs w:val="20"/>
          <w:lang w:eastAsia="es-ES"/>
          <w14:ligatures w14:val="none"/>
        </w:rPr>
        <w:t xml:space="preserve"> et des espèces apparentées dans la zone de la Convention.</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Aux fins de la présente Recommandation, les LSFV ne figurant pas dans ce registre sont considérés comme n’étant pas habilités à pêcher, retenir à bord, transborder ou débarquer des thonidés ou des espèces apparentées ou bien des espèces capturées en association avec ces espèces.</w:t>
      </w:r>
    </w:p>
    <w:p w14:paraId="57C70E8D" w14:textId="5EC158AE" w:rsidR="000D0005" w:rsidRPr="00026AFD" w:rsidRDefault="000D0005" w:rsidP="000D0005">
      <w:pPr>
        <w:spacing w:after="0" w:line="240" w:lineRule="auto"/>
        <w:ind w:left="0" w:right="0" w:firstLine="0"/>
        <w:jc w:val="left"/>
        <w:rPr>
          <w:rFonts w:eastAsia="Times New Roman" w:cs="Times New Roman"/>
          <w:snapToGrid w:val="0"/>
          <w:color w:val="auto"/>
          <w:kern w:val="0"/>
          <w:szCs w:val="20"/>
          <w:lang w:eastAsia="es-ES"/>
          <w14:ligatures w14:val="none"/>
        </w:rPr>
      </w:pPr>
    </w:p>
    <w:p w14:paraId="0A861915"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026AFD">
        <w:rPr>
          <w:rFonts w:eastAsia="Times New Roman" w:cs="Times New Roman"/>
          <w:snapToGrid w:val="0"/>
          <w:color w:val="auto"/>
          <w:kern w:val="0"/>
          <w:szCs w:val="20"/>
          <w:lang w:eastAsia="es-ES"/>
          <w14:ligatures w14:val="none"/>
        </w:rPr>
        <w:t>2.</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 xml:space="preserve">Chaque CPC devra soumettre au Secrétaire exécutif de l’ICCAT la liste de ses LSFV habilités à opérer dans la </w:t>
      </w:r>
      <w:r w:rsidRPr="00026AFD">
        <w:rPr>
          <w:rFonts w:eastAsia="Times New Roman" w:cs="Times New Roman"/>
          <w:color w:val="auto"/>
          <w:kern w:val="0"/>
          <w:szCs w:val="20"/>
          <w:lang w:eastAsia="en-US"/>
          <w14:ligatures w14:val="none"/>
        </w:rPr>
        <w:t>zone</w:t>
      </w:r>
      <w:r w:rsidRPr="00026AFD">
        <w:rPr>
          <w:rFonts w:eastAsia="Times New Roman" w:cs="Times New Roman"/>
          <w:noProof/>
          <w:snapToGrid w:val="0"/>
          <w:color w:val="auto"/>
          <w:kern w:val="0"/>
          <w:szCs w:val="20"/>
          <w:lang w:eastAsia="es-ES"/>
          <w14:ligatures w14:val="none"/>
        </w:rPr>
        <w:t xml:space="preserve"> de la Convention.</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La liste initiale et les changements ultérieurs qui y seront apportés devront être soumis par voie électronique, dans un format fourni par le Secrétariat.</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Cette liste devra inclure l’information suivante :</w:t>
      </w:r>
    </w:p>
    <w:p w14:paraId="557CF6A5"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60F04BD"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Nom du navire, numéro d’immatriculation</w:t>
      </w:r>
    </w:p>
    <w:p w14:paraId="7935969B"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Numéro OMI ou LR</w:t>
      </w:r>
      <w:r w:rsidRPr="00026AFD">
        <w:rPr>
          <w:rFonts w:eastAsia="Times New Roman" w:cs="Times New Roman"/>
          <w:color w:val="auto"/>
          <w:kern w:val="0"/>
          <w:szCs w:val="20"/>
          <w:vertAlign w:val="superscript"/>
          <w:lang w:eastAsia="en-US"/>
          <w14:ligatures w14:val="none"/>
        </w:rPr>
        <w:footnoteReference w:customMarkFollows="1" w:id="1"/>
        <w:t>*</w:t>
      </w:r>
      <w:r w:rsidRPr="00026AFD">
        <w:rPr>
          <w:rFonts w:eastAsia="Times New Roman" w:cs="Times New Roman"/>
          <w:color w:val="auto"/>
          <w:kern w:val="0"/>
          <w:szCs w:val="20"/>
          <w:lang w:eastAsia="en-US"/>
          <w14:ligatures w14:val="none"/>
        </w:rPr>
        <w:t xml:space="preserve"> </w:t>
      </w:r>
    </w:p>
    <w:p w14:paraId="17DFB13F"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Nom précédent (le cas échéant)</w:t>
      </w:r>
    </w:p>
    <w:p w14:paraId="7B9F77F4"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Pavillon précédent (le cas échéant)</w:t>
      </w:r>
    </w:p>
    <w:p w14:paraId="2FC9C314"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Informations précédentes sur la radiation d’autres registres (le cas échéant)</w:t>
      </w:r>
    </w:p>
    <w:p w14:paraId="6A4D9E6B"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Indicatif d’appel radio international (le cas échéant)</w:t>
      </w:r>
    </w:p>
    <w:p w14:paraId="3EC36C00"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Type de navire, longueur et tonnes de jauge brute (TJB) ou, si possible, tonnage brut (TB)</w:t>
      </w:r>
    </w:p>
    <w:p w14:paraId="6A1322E0"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Nom et adresse du ou des armateur(s) et opérateur(s)</w:t>
      </w:r>
    </w:p>
    <w:p w14:paraId="7B2DD445"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Engin utilisé</w:t>
      </w:r>
    </w:p>
    <w:p w14:paraId="283566A9" w14:textId="77777777" w:rsidR="000D0005" w:rsidRPr="00026AFD"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Période autorisée pour la pêche et/ou le transbordement.</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Néanmoins, dans aucun cas, la période d’autorisation ne devra pas comprendre de dates antérieures de plus de 45 jours à la date de la présentation de la liste au Secrétariat.</w:t>
      </w:r>
      <w:r w:rsidRPr="00026AFD">
        <w:rPr>
          <w:rFonts w:eastAsia="Times New Roman" w:cs="Times New Roman"/>
          <w:snapToGrid w:val="0"/>
          <w:color w:val="auto"/>
          <w:kern w:val="0"/>
          <w:szCs w:val="20"/>
          <w:lang w:eastAsia="es-ES"/>
          <w14:ligatures w14:val="none"/>
        </w:rPr>
        <w:t xml:space="preserve"> </w:t>
      </w:r>
    </w:p>
    <w:p w14:paraId="23B02428"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767E64D" w14:textId="77777777" w:rsidR="000D0005" w:rsidRPr="00026AFD" w:rsidRDefault="000D0005" w:rsidP="000D0005">
      <w:pPr>
        <w:spacing w:after="0" w:line="240" w:lineRule="auto"/>
        <w:ind w:left="426" w:right="0" w:firstLine="0"/>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Le registre de l’ICCAT devra comporter tous les LSFV soumis aux termes de ce paragraphe.</w:t>
      </w:r>
    </w:p>
    <w:p w14:paraId="27FAF4A9"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188C551" w14:textId="77777777" w:rsidR="000D0005" w:rsidRPr="00026AFD"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026AFD">
        <w:rPr>
          <w:rFonts w:eastAsia="Times New Roman" w:cs="Times New Roman"/>
          <w:snapToGrid w:val="0"/>
          <w:color w:val="auto"/>
          <w:kern w:val="0"/>
          <w:szCs w:val="20"/>
          <w:lang w:eastAsia="es-ES"/>
          <w14:ligatures w14:val="none"/>
        </w:rPr>
        <w:t>3.</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Chaque CPC devra rapidement notifier au Secrétaire exécutif de l’ICCAT tout ajout, toute suppression et/ou toute modification à apporter au registre de l’ICCAT au moment de la survenue de ces changements.</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Les périodes d’autorisation des modifications ou des ajouts ne devront pas comprendre de dates antérieures de plus de 45 jours à la date de la présentation des changements au Secrétariat.</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Le Secrétariat devra radier du registre ICCAT de navires tout navire dont la période d’autorisation est arrivée à échéance.</w:t>
      </w:r>
    </w:p>
    <w:p w14:paraId="5706B108"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6C25C5E"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026AFD">
        <w:rPr>
          <w:rFonts w:eastAsia="Times New Roman" w:cs="Times New Roman"/>
          <w:snapToGrid w:val="0"/>
          <w:color w:val="auto"/>
          <w:kern w:val="0"/>
          <w:szCs w:val="20"/>
          <w:lang w:eastAsia="es-ES"/>
          <w14:ligatures w14:val="none"/>
        </w:rPr>
        <w:t>4.</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Le Secrétaire exécutif de l’ICCAT devra maintenir le registre de l’ICCAT et prendre les mesures visant à assurer la diffusion et la mise à disposition de ce registre par des moyens électroniques, y compris en le publiant sur le site web de l’ICCAT, d’une manière conforme aux exigences de confidentialité signalées par les CPC.</w:t>
      </w:r>
    </w:p>
    <w:p w14:paraId="595E6188"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14D08104" w14:textId="77777777" w:rsidR="000D0005" w:rsidRPr="00026AFD"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5.</w:t>
      </w:r>
      <w:r w:rsidRPr="00026AFD">
        <w:rPr>
          <w:rFonts w:eastAsia="Times New Roman" w:cs="Times New Roman"/>
          <w:noProof/>
          <w:snapToGrid w:val="0"/>
          <w:color w:val="auto"/>
          <w:kern w:val="0"/>
          <w:szCs w:val="20"/>
          <w:lang w:eastAsia="es-ES"/>
          <w14:ligatures w14:val="none"/>
        </w:rPr>
        <w:tab/>
        <w:t>Les CPC de pavillon des navires figurant sur le registre devront :</w:t>
      </w:r>
    </w:p>
    <w:p w14:paraId="1DF22B6E"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E78DE8B" w14:textId="77777777" w:rsidR="000D0005" w:rsidRPr="00026AFD"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a)</w:t>
      </w:r>
      <w:r w:rsidRPr="00026AFD">
        <w:rPr>
          <w:rFonts w:eastAsia="Times New Roman" w:cs="Times New Roman"/>
          <w:noProof/>
          <w:snapToGrid w:val="0"/>
          <w:color w:val="auto"/>
          <w:kern w:val="0"/>
          <w:szCs w:val="20"/>
          <w:lang w:eastAsia="es-ES"/>
          <w14:ligatures w14:val="none"/>
        </w:rPr>
        <w:tab/>
        <w:t>autoriser leurs LSFV à opérer dans la zone de la Convention uniquement si elles sont en mesure de remplir, en ce qui concerne ces navires, les exigences et responsabilités prévues par la Convention et ses mesures de gestion et de conservation,</w:t>
      </w:r>
    </w:p>
    <w:p w14:paraId="2DFE748E" w14:textId="77777777" w:rsidR="000D0005" w:rsidRPr="00026AFD"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b)</w:t>
      </w:r>
      <w:r w:rsidRPr="00026AFD">
        <w:rPr>
          <w:rFonts w:eastAsia="Times New Roman" w:cs="Times New Roman"/>
          <w:noProof/>
          <w:snapToGrid w:val="0"/>
          <w:color w:val="auto"/>
          <w:kern w:val="0"/>
          <w:szCs w:val="20"/>
          <w:lang w:eastAsia="es-ES"/>
          <w14:ligatures w14:val="none"/>
        </w:rPr>
        <w:tab/>
        <w:t>prendre les mesures nécessaires visant à s’assurer que leurs LSFV appliquent toutes les mesures de conservation et de gestion pertinentes de l’ICCAT,</w:t>
      </w:r>
    </w:p>
    <w:p w14:paraId="15CA4162" w14:textId="77777777" w:rsidR="000D0005" w:rsidRPr="00026AFD"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c)</w:t>
      </w:r>
      <w:r w:rsidRPr="00026AFD">
        <w:rPr>
          <w:rFonts w:eastAsia="Times New Roman" w:cs="Times New Roman"/>
          <w:noProof/>
          <w:snapToGrid w:val="0"/>
          <w:color w:val="auto"/>
          <w:kern w:val="0"/>
          <w:szCs w:val="20"/>
          <w:lang w:eastAsia="es-ES"/>
          <w14:ligatures w14:val="none"/>
        </w:rPr>
        <w:tab/>
        <w:t>prendre les mesures nécessaires visant à s’assurer que leurs LSFV figurant sur le registre de l’ICCAT conservent à bord les certificats d’immatriculation des navires valides ainsi que l’autorisation valide de pêcher et/ou de transborder,</w:t>
      </w:r>
    </w:p>
    <w:p w14:paraId="0B3AFF42" w14:textId="77777777" w:rsidR="000D0005" w:rsidRPr="00026AFD"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d)</w:t>
      </w:r>
      <w:r w:rsidRPr="00026AFD">
        <w:rPr>
          <w:rFonts w:eastAsia="Times New Roman" w:cs="Times New Roman"/>
          <w:noProof/>
          <w:snapToGrid w:val="0"/>
          <w:color w:val="auto"/>
          <w:kern w:val="0"/>
          <w:szCs w:val="20"/>
          <w:lang w:eastAsia="es-ES"/>
          <w14:ligatures w14:val="none"/>
        </w:rPr>
        <w:tab/>
        <w:t>garantir que leurs LSFV figurant sur le registre de l’ICCAT n’ont aucun antécédent d’activités de pêche IUU ou que, si ces navires ont de tels antécédents, que les nouveaux armateurs ont fourni suffisamment de pièces justificatives démontrant que les armateurs et opérateurs précédents n'ont plus d'intérêts juridiques, bénéficiaires ou financiers dans ces navires, ni n'exercent de contrôle sur ceux-ci, ou après avoir pris tous les éléments pertinents en considération, que leurs LSFV ne prennent part ni ne sont associés à des activités de pêche IUU,</w:t>
      </w:r>
    </w:p>
    <w:p w14:paraId="715F325B" w14:textId="77777777" w:rsidR="000D0005" w:rsidRPr="00026AFD"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e)</w:t>
      </w:r>
      <w:r w:rsidRPr="00026AFD">
        <w:rPr>
          <w:rFonts w:eastAsia="Times New Roman" w:cs="Times New Roman"/>
          <w:noProof/>
          <w:snapToGrid w:val="0"/>
          <w:color w:val="auto"/>
          <w:kern w:val="0"/>
          <w:szCs w:val="20"/>
          <w:lang w:eastAsia="es-ES"/>
          <w14:ligatures w14:val="none"/>
        </w:rPr>
        <w:tab/>
        <w:t>s’assurer, dans la mesure du possible, dans le cadre de la législation nationale, que les armateurs et opérateurs de leurs LSFV figurant sur le registre de l’ICCAT ne prennent part ni ne sont associés à des activités de pêche de thonidés menées par des LSFV ne figurant pas sur le registre de l’ICCAT dans la zone de la Convention, et</w:t>
      </w:r>
    </w:p>
    <w:p w14:paraId="6C1BD3C7" w14:textId="3A7401C0" w:rsidR="000D0005" w:rsidRPr="00026AFD"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f)</w:t>
      </w:r>
      <w:r w:rsidRPr="00026AFD">
        <w:rPr>
          <w:rFonts w:eastAsia="Times New Roman" w:cs="Times New Roman"/>
          <w:noProof/>
          <w:snapToGrid w:val="0"/>
          <w:color w:val="auto"/>
          <w:kern w:val="0"/>
          <w:szCs w:val="20"/>
          <w:lang w:eastAsia="es-ES"/>
          <w14:ligatures w14:val="none"/>
        </w:rPr>
        <w:tab/>
        <w:t>prendre les mesures nécessaires afin de s’assurer, dans la mesure du possible, dans le cadre de la législation nationale, que les armateurs des LSFV figurant sur le registre de l’ICCAT sont des ressortissants ou des entités juridiques des CPC de pavillon afin que toute mesure punitive ou de contrôle puisse être effectivement prise à leur encontre.</w:t>
      </w:r>
    </w:p>
    <w:p w14:paraId="6BF96934" w14:textId="77777777" w:rsidR="000D0005" w:rsidRPr="00026AFD"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p>
    <w:p w14:paraId="029869EA"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6.</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Les CPC de pavillon devront autoriser leurs LSFV commerciaux à opérer dans la zone de la Convention uniquement si le navire dispose d'un numéro OMI ou d'un numéro suivant la séquence de numérotation de sept chiffres attribué par IHS-Fairplay (numéro LR), le cas échéant.</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noProof/>
          <w:snapToGrid w:val="0"/>
          <w:color w:val="auto"/>
          <w:kern w:val="0"/>
          <w:szCs w:val="20"/>
          <w:lang w:eastAsia="es-ES"/>
          <w14:ligatures w14:val="none"/>
        </w:rPr>
        <w:t>Les navires ne disposant pas de ce numéro ne devront pas être inclus dans le registre de l'ICCAT.</w:t>
      </w:r>
    </w:p>
    <w:p w14:paraId="2C23E9C9"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78CC8B33"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7.</w:t>
      </w:r>
      <w:r w:rsidRPr="00026AFD">
        <w:rPr>
          <w:rFonts w:eastAsia="Times New Roman" w:cs="Times New Roman"/>
          <w:snapToGrid w:val="0"/>
          <w:color w:val="auto"/>
          <w:kern w:val="0"/>
          <w:szCs w:val="20"/>
          <w:lang w:eastAsia="es-ES"/>
          <w14:ligatures w14:val="none"/>
        </w:rPr>
        <w:t xml:space="preserve"> </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Le paragraphe 6 ne devra pas s'appliquer :</w:t>
      </w:r>
    </w:p>
    <w:p w14:paraId="5A0529CC"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13216422" w14:textId="77777777" w:rsidR="000D0005" w:rsidRPr="00026AFD" w:rsidRDefault="000D0005" w:rsidP="00326C14">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a)</w:t>
      </w:r>
      <w:r w:rsidRPr="00026AFD">
        <w:rPr>
          <w:rFonts w:eastAsia="Times New Roman" w:cs="Times New Roman"/>
          <w:noProof/>
          <w:snapToGrid w:val="0"/>
          <w:color w:val="auto"/>
          <w:kern w:val="0"/>
          <w:szCs w:val="20"/>
          <w:lang w:eastAsia="es-ES"/>
          <w14:ligatures w14:val="none"/>
        </w:rPr>
        <w:tab/>
        <w:t>aux LSFV ne pouvant pas obtenir de numéro OMI/LR, pour autant que la CPC de pavillon fournisse une explication de son incapacité à obtenir un numéro OMI/LR dans sa communication d'informations conformément au paragraphe 2.</w:t>
      </w:r>
    </w:p>
    <w:p w14:paraId="030B2AD9" w14:textId="77777777" w:rsidR="000D0005" w:rsidRPr="00026AFD"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b)</w:t>
      </w:r>
      <w:r w:rsidRPr="00026AFD">
        <w:rPr>
          <w:rFonts w:eastAsia="Times New Roman" w:cs="Times New Roman"/>
          <w:noProof/>
          <w:snapToGrid w:val="0"/>
          <w:color w:val="auto"/>
          <w:kern w:val="0"/>
          <w:szCs w:val="20"/>
          <w:lang w:eastAsia="es-ES"/>
          <w14:ligatures w14:val="none"/>
        </w:rPr>
        <w:tab/>
        <w:t>aux LSFV en bois qui ne sont pas autorisés à pêcher en haute mer, pour autant que la CPC de pavillon communique au Secrétariat les LSFV auxquels elle applique cette exception dans la communication d’informations conformément au paragraphe 2.</w:t>
      </w:r>
    </w:p>
    <w:p w14:paraId="5E7766AD"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p>
    <w:p w14:paraId="25AADC42" w14:textId="77777777" w:rsidR="000D0005" w:rsidRPr="00026AFD"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026AFD">
        <w:rPr>
          <w:rFonts w:eastAsia="Times New Roman" w:cs="Times New Roman"/>
          <w:snapToGrid w:val="0"/>
          <w:color w:val="auto"/>
          <w:kern w:val="0"/>
          <w:szCs w:val="20"/>
          <w:lang w:eastAsia="es-ES"/>
          <w14:ligatures w14:val="none"/>
        </w:rPr>
        <w:t>8</w:t>
      </w:r>
      <w:r w:rsidRPr="00026AFD">
        <w:rPr>
          <w:rFonts w:eastAsia="Times New Roman" w:cs="Times New Roman"/>
          <w:noProof/>
          <w:snapToGrid w:val="0"/>
          <w:color w:val="auto"/>
          <w:kern w:val="0"/>
          <w:szCs w:val="20"/>
          <w:lang w:eastAsia="es-ES"/>
          <w14:ligatures w14:val="none"/>
        </w:rPr>
        <w:t>.</w:t>
      </w:r>
      <w:r w:rsidRPr="00026AFD">
        <w:rPr>
          <w:rFonts w:eastAsia="Times New Roman" w:cs="Times New Roman"/>
          <w:noProof/>
          <w:snapToGrid w:val="0"/>
          <w:color w:val="auto"/>
          <w:kern w:val="0"/>
          <w:szCs w:val="20"/>
          <w:lang w:eastAsia="es-ES"/>
          <w14:ligatures w14:val="none"/>
        </w:rPr>
        <w:tab/>
        <w:t>Les CPC devront examiner leurs propres actions et mesures internes prises en vertu du paragraphe 5, y compris les mesures punitives et de sanction, et conformément à la législation nationale relative à la diffusion, présenter les résultats pertinents de cet examen à la Commission lors de sa réunion annuelle. Après considération des rapports des CPC sur les résultats pertinents de ces examens, la Commission devra, le cas échéant, demander aux CPC de pavillon des LSFV figurant sur le registre de l’ICCAT de prendre d’autres mesures en vue d’améliorer l’application, de la part de ces navires, des mesures de conservation et de gestion de l’ICCAT.</w:t>
      </w:r>
    </w:p>
    <w:p w14:paraId="26D09F8D"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2C85BA51" w14:textId="77777777" w:rsidR="000D0005" w:rsidRPr="00026AFD" w:rsidRDefault="000D0005" w:rsidP="000D0005">
      <w:pPr>
        <w:autoSpaceDE w:val="0"/>
        <w:autoSpaceDN w:val="0"/>
        <w:adjustRightInd w:val="0"/>
        <w:spacing w:after="0" w:line="240" w:lineRule="auto"/>
        <w:ind w:left="851" w:right="0" w:hanging="851"/>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 xml:space="preserve">9. </w:t>
      </w:r>
      <w:r w:rsidRPr="00026AFD">
        <w:rPr>
          <w:rFonts w:eastAsia="Times New Roman" w:cs="Times New Roman"/>
          <w:noProof/>
          <w:snapToGrid w:val="0"/>
          <w:color w:val="auto"/>
          <w:kern w:val="0"/>
          <w:szCs w:val="20"/>
          <w:lang w:eastAsia="es-ES"/>
          <w14:ligatures w14:val="none"/>
        </w:rPr>
        <w:tab/>
      </w:r>
    </w:p>
    <w:p w14:paraId="214983F4" w14:textId="77777777" w:rsidR="000D0005" w:rsidRPr="00026AFD"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a)</w:t>
      </w:r>
      <w:r w:rsidRPr="00026AFD">
        <w:rPr>
          <w:rFonts w:eastAsia="Times New Roman" w:cs="Times New Roman"/>
          <w:noProof/>
          <w:snapToGrid w:val="0"/>
          <w:color w:val="auto"/>
          <w:kern w:val="0"/>
          <w:szCs w:val="20"/>
          <w:lang w:eastAsia="es-ES"/>
          <w14:ligatures w14:val="none"/>
        </w:rPr>
        <w:tab/>
        <w:t>Les CPC devront prendre les mesures, dans le cadre de leur législation applicable, afin d’interdire la pêche, la rétention à bord, le transbordement et le débarquement de thonidés et d’espèces apparentées et d’espèces capturées en association avec ces espèces par les LSFV ne figurant pas sur le registre de l’ICCAT.</w:t>
      </w:r>
    </w:p>
    <w:p w14:paraId="1C57E8E8" w14:textId="77777777" w:rsidR="000D0005" w:rsidRPr="00026AFD" w:rsidRDefault="000D0005" w:rsidP="000D0005">
      <w:pPr>
        <w:tabs>
          <w:tab w:val="left" w:pos="340"/>
        </w:tabs>
        <w:spacing w:after="0" w:line="240" w:lineRule="auto"/>
        <w:ind w:left="1077" w:right="0" w:hanging="357"/>
        <w:rPr>
          <w:rFonts w:eastAsia="Times New Roman" w:cs="Times New Roman"/>
          <w:noProof/>
          <w:snapToGrid w:val="0"/>
          <w:color w:val="auto"/>
          <w:kern w:val="0"/>
          <w:szCs w:val="20"/>
          <w:lang w:eastAsia="es-ES"/>
          <w14:ligatures w14:val="none"/>
        </w:rPr>
      </w:pPr>
    </w:p>
    <w:p w14:paraId="738EC7C6" w14:textId="77777777" w:rsidR="000D0005" w:rsidRPr="00026AFD"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b)</w:t>
      </w:r>
      <w:r w:rsidRPr="00026AFD">
        <w:rPr>
          <w:rFonts w:eastAsia="Times New Roman" w:cs="Times New Roman"/>
          <w:noProof/>
          <w:snapToGrid w:val="0"/>
          <w:color w:val="auto"/>
          <w:kern w:val="0"/>
          <w:szCs w:val="20"/>
          <w:lang w:eastAsia="es-ES"/>
          <w14:ligatures w14:val="none"/>
        </w:rPr>
        <w:tab/>
        <w:t>Pour assurer l’efficacité des mesures de conservation et de gestion de l’ICCAT concernant les espèces relevant des Programmes de documents statistiques :</w:t>
      </w:r>
    </w:p>
    <w:p w14:paraId="4792D94F" w14:textId="77777777" w:rsidR="000D0005" w:rsidRPr="00026AFD"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7A79891" w14:textId="77777777" w:rsidR="000D0005" w:rsidRPr="00026AFD" w:rsidRDefault="000D0005" w:rsidP="000D0005">
      <w:pPr>
        <w:spacing w:after="0" w:line="240" w:lineRule="auto"/>
        <w:ind w:left="1276" w:right="0" w:hanging="425"/>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i)</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Les CPC de pavillon, ou si le navire fait l’objet d’un accord d’affrètement, les CPC exportatrices, devront valider les documents statistiques uniquement pour les LSFV figurant sur le registre de l’ICCAT,</w:t>
      </w:r>
    </w:p>
    <w:p w14:paraId="2394EFF5" w14:textId="77777777" w:rsidR="000D0005" w:rsidRPr="00026AFD" w:rsidRDefault="000D0005" w:rsidP="000D0005">
      <w:pPr>
        <w:spacing w:after="0" w:line="240" w:lineRule="auto"/>
        <w:ind w:left="1276" w:right="0" w:hanging="425"/>
        <w:rPr>
          <w:rFonts w:eastAsia="Times New Roman" w:cs="Times New Roman"/>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ii)</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Les CPC devront exiger que les espèces relevant des Programmes de documents statistiques capturées par des LSFV dans la zone de la Convention soient accompagnées, lors de leur importation sur le territoire d’une Partie contractante, par des documents statistiques validés pour ces navires figurant sur le registre de l’ICCAT, et</w:t>
      </w:r>
    </w:p>
    <w:p w14:paraId="23C65875" w14:textId="77777777" w:rsidR="000D0005" w:rsidRPr="00026AFD" w:rsidRDefault="000D0005" w:rsidP="000D0005">
      <w:pPr>
        <w:spacing w:after="0" w:line="240" w:lineRule="auto"/>
        <w:ind w:left="1276"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iii)</w:t>
      </w:r>
      <w:r w:rsidRPr="00026AFD">
        <w:rPr>
          <w:rFonts w:eastAsia="Times New Roman" w:cs="Times New Roman"/>
          <w:snapToGrid w:val="0"/>
          <w:color w:val="auto"/>
          <w:kern w:val="0"/>
          <w:szCs w:val="20"/>
          <w:lang w:eastAsia="es-ES"/>
          <w14:ligatures w14:val="none"/>
        </w:rPr>
        <w:tab/>
      </w:r>
      <w:r w:rsidRPr="00026AFD">
        <w:rPr>
          <w:rFonts w:eastAsia="Times New Roman" w:cs="Times New Roman"/>
          <w:noProof/>
          <w:snapToGrid w:val="0"/>
          <w:color w:val="auto"/>
          <w:kern w:val="0"/>
          <w:szCs w:val="20"/>
          <w:lang w:eastAsia="es-ES"/>
          <w14:ligatures w14:val="none"/>
        </w:rPr>
        <w:t>Les CPC important des espèces relevant des Programmes de documents statistiques devront coopérer avec les États de pavillon des navires à l’effet de garantir que les documents statistiques ne sont pas falsifiés ou ne contiennent pas de fausses informations.</w:t>
      </w:r>
    </w:p>
    <w:p w14:paraId="26301EC1" w14:textId="77777777" w:rsidR="008574E4" w:rsidRPr="00026AFD" w:rsidRDefault="008574E4" w:rsidP="000D0005">
      <w:pPr>
        <w:spacing w:after="0" w:line="240" w:lineRule="auto"/>
        <w:ind w:left="1276" w:right="0" w:hanging="425"/>
        <w:rPr>
          <w:rFonts w:eastAsia="Times New Roman" w:cs="Times New Roman"/>
          <w:snapToGrid w:val="0"/>
          <w:color w:val="auto"/>
          <w:kern w:val="0"/>
          <w:szCs w:val="20"/>
          <w:lang w:eastAsia="es-ES"/>
          <w14:ligatures w14:val="none"/>
        </w:rPr>
      </w:pPr>
    </w:p>
    <w:p w14:paraId="20A88A17"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10.</w:t>
      </w:r>
      <w:r w:rsidRPr="00026AFD">
        <w:rPr>
          <w:rFonts w:eastAsia="Times New Roman" w:cs="Times New Roman"/>
          <w:noProof/>
          <w:snapToGrid w:val="0"/>
          <w:color w:val="auto"/>
          <w:kern w:val="0"/>
          <w:szCs w:val="20"/>
          <w:lang w:eastAsia="es-ES"/>
          <w14:ligatures w14:val="none"/>
        </w:rPr>
        <w:tab/>
        <w:t>Chaque CPC devra notifier au Secrétaire exécutif de l’ICCAT toute information factuelle montrant qu’il existe des motifs raisonnables de soupçonner que des LSFV ne figurant pas sur le registre de l’ICCAT s’adonnent à la pêche et/ou au transbordement de thonidés et d’espèces apparentées et d’espèces capturées en association avec ces espèces dans la zone de la Convention.</w:t>
      </w:r>
    </w:p>
    <w:p w14:paraId="7CC64FFF"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5EF7D9F4" w14:textId="77777777" w:rsidR="000D0005" w:rsidRPr="00026AFD" w:rsidRDefault="000D0005" w:rsidP="000D0005">
      <w:pPr>
        <w:tabs>
          <w:tab w:val="left" w:pos="709"/>
        </w:tabs>
        <w:autoSpaceDE w:val="0"/>
        <w:autoSpaceDN w:val="0"/>
        <w:adjustRightInd w:val="0"/>
        <w:spacing w:after="0" w:line="240" w:lineRule="auto"/>
        <w:ind w:left="993" w:right="0" w:hanging="993"/>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11.</w:t>
      </w:r>
      <w:r w:rsidRPr="00026AFD">
        <w:rPr>
          <w:rFonts w:eastAsia="Times New Roman" w:cs="Times New Roman"/>
          <w:noProof/>
          <w:snapToGrid w:val="0"/>
          <w:color w:val="auto"/>
          <w:kern w:val="0"/>
          <w:szCs w:val="20"/>
          <w:lang w:eastAsia="es-ES"/>
          <w14:ligatures w14:val="none"/>
        </w:rPr>
        <w:tab/>
      </w:r>
    </w:p>
    <w:p w14:paraId="65714A44" w14:textId="77777777" w:rsidR="000D0005" w:rsidRPr="00026AFD"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a)</w:t>
      </w:r>
      <w:r w:rsidRPr="00026AFD">
        <w:rPr>
          <w:rFonts w:eastAsia="Times New Roman" w:cs="Times New Roman"/>
          <w:noProof/>
          <w:snapToGrid w:val="0"/>
          <w:color w:val="auto"/>
          <w:kern w:val="0"/>
          <w:szCs w:val="20"/>
          <w:lang w:eastAsia="es-ES"/>
          <w14:ligatures w14:val="none"/>
        </w:rPr>
        <w:tab/>
        <w:t>Si un navire visé au paragraphe 10 arbore le pavillon d’une CPC, le Secrétaire exécutif devra demander à cette CPC de prendre les mesures nécessaires afin d’empêcher le navire de capturer des thonidés ou des espèces apparentées dans la zone de la Convention.</w:t>
      </w:r>
    </w:p>
    <w:p w14:paraId="463B10BC" w14:textId="77777777" w:rsidR="000D0005" w:rsidRPr="00026AFD"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026AFD">
        <w:rPr>
          <w:rFonts w:eastAsia="Times New Roman" w:cs="Times New Roman"/>
          <w:noProof/>
          <w:snapToGrid w:val="0"/>
          <w:color w:val="auto"/>
          <w:kern w:val="0"/>
          <w:szCs w:val="20"/>
          <w:lang w:eastAsia="es-ES"/>
          <w14:ligatures w14:val="none"/>
        </w:rPr>
        <w:t>b)</w:t>
      </w:r>
      <w:r w:rsidRPr="00026AFD">
        <w:rPr>
          <w:rFonts w:eastAsia="Times New Roman" w:cs="Times New Roman"/>
          <w:noProof/>
          <w:snapToGrid w:val="0"/>
          <w:color w:val="auto"/>
          <w:kern w:val="0"/>
          <w:szCs w:val="20"/>
          <w:lang w:eastAsia="es-ES"/>
          <w14:ligatures w14:val="none"/>
        </w:rPr>
        <w:tab/>
        <w:t>Si le pavillon d’un navire visé au paragraphe 10 ne peut pas être déterminé ou est celui d’une Partie non contractante sans statut de coopérant, le Secrétaire exécutif devra compiler ces informations pour examen futur par la Commission.</w:t>
      </w:r>
    </w:p>
    <w:p w14:paraId="62FDC3B4" w14:textId="77777777" w:rsidR="000D0005" w:rsidRPr="00026AFD"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77A5FCA6" w14:textId="0D6BC881" w:rsidR="00404435" w:rsidRPr="00026AFD" w:rsidRDefault="00404435" w:rsidP="00404435">
      <w:pPr>
        <w:tabs>
          <w:tab w:val="left" w:pos="440"/>
          <w:tab w:val="left" w:pos="660"/>
          <w:tab w:val="left" w:pos="990"/>
        </w:tabs>
        <w:autoSpaceDE w:val="0"/>
        <w:autoSpaceDN w:val="0"/>
        <w:adjustRightInd w:val="0"/>
        <w:spacing w:after="0" w:line="240" w:lineRule="auto"/>
        <w:ind w:left="435" w:right="0" w:hanging="435"/>
        <w:rPr>
          <w:u w:val="single"/>
        </w:rPr>
      </w:pPr>
      <w:r w:rsidRPr="00026AFD">
        <w:rPr>
          <w:rFonts w:eastAsia="Times New Roman" w:cs="Times New Roman"/>
          <w:noProof/>
          <w:snapToGrid w:val="0"/>
          <w:color w:val="auto"/>
          <w:kern w:val="0"/>
          <w:szCs w:val="20"/>
          <w:u w:val="single"/>
          <w:lang w:eastAsia="es-ES"/>
          <w14:ligatures w14:val="none"/>
        </w:rPr>
        <w:t>12.</w:t>
      </w:r>
      <w:r w:rsidRPr="00026AFD">
        <w:rPr>
          <w:rFonts w:eastAsia="Times New Roman" w:cs="Times New Roman"/>
          <w:noProof/>
          <w:snapToGrid w:val="0"/>
          <w:color w:val="auto"/>
          <w:kern w:val="0"/>
          <w:szCs w:val="20"/>
          <w:u w:val="single"/>
          <w:lang w:eastAsia="es-ES"/>
          <w14:ligatures w14:val="none"/>
        </w:rPr>
        <w:tab/>
        <w:t>Avant</w:t>
      </w:r>
      <w:r w:rsidRPr="00026AFD">
        <w:rPr>
          <w:u w:val="single"/>
        </w:rPr>
        <w:t xml:space="preserve"> le 15 septembre de chaque année, chaque CPC devra communiquer au Secrétaire exécutif la liste des navires autorisés battant son pavillon qui ont pêché </w:t>
      </w:r>
      <w:r w:rsidR="00F54ABF" w:rsidRPr="00026AFD">
        <w:rPr>
          <w:u w:val="single"/>
        </w:rPr>
        <w:t xml:space="preserve">activement </w:t>
      </w:r>
      <w:r w:rsidRPr="00026AFD">
        <w:rPr>
          <w:u w:val="single"/>
        </w:rPr>
        <w:t xml:space="preserve">des thonidés et des espèces thonières apparentées dans la zone de la Convention au cours de l’année civile précédente. Le Secrétaire exécutif devra soumettre </w:t>
      </w:r>
      <w:r w:rsidR="00AA0941" w:rsidRPr="00026AFD">
        <w:rPr>
          <w:u w:val="single"/>
        </w:rPr>
        <w:t xml:space="preserve">la </w:t>
      </w:r>
      <w:r w:rsidRPr="00026AFD">
        <w:rPr>
          <w:u w:val="single"/>
        </w:rPr>
        <w:t>liste des navires actifs au Comité d’application et au SCRS.</w:t>
      </w:r>
    </w:p>
    <w:p w14:paraId="7BE082E7" w14:textId="77777777" w:rsidR="006F0745" w:rsidRPr="00026AFD" w:rsidRDefault="006F0745">
      <w:pPr>
        <w:rPr>
          <w:szCs w:val="20"/>
          <w:u w:val="single"/>
        </w:rPr>
      </w:pPr>
    </w:p>
    <w:p w14:paraId="13727F2B" w14:textId="77777777" w:rsidR="00A75498" w:rsidRPr="00A75498" w:rsidRDefault="00D329E1" w:rsidP="00A75498">
      <w:pPr>
        <w:tabs>
          <w:tab w:val="left" w:pos="440"/>
          <w:tab w:val="left" w:pos="660"/>
          <w:tab w:val="left" w:pos="990"/>
        </w:tabs>
        <w:autoSpaceDE w:val="0"/>
        <w:autoSpaceDN w:val="0"/>
        <w:adjustRightInd w:val="0"/>
        <w:ind w:left="435" w:hanging="435"/>
        <w:rPr>
          <w:rFonts w:eastAsia="Times New Roman" w:cs="Times New Roman"/>
          <w:noProof/>
          <w:snapToGrid w:val="0"/>
          <w:color w:val="auto"/>
          <w:kern w:val="0"/>
          <w:szCs w:val="20"/>
          <w:lang w:eastAsia="es-ES"/>
          <w14:ligatures w14:val="none"/>
        </w:rPr>
      </w:pPr>
      <w:r w:rsidRPr="00026AFD">
        <w:t>13.</w:t>
      </w:r>
      <w:r w:rsidRPr="00026AFD">
        <w:tab/>
        <w:t xml:space="preserve">La </w:t>
      </w:r>
      <w:hyperlink r:id="rId7"/>
      <w:r w:rsidRPr="00026AFD">
        <w:rPr>
          <w:i/>
          <w:iCs/>
          <w:u w:val="single"/>
        </w:rPr>
        <w:t>Recommandation de l’ICCAT amendant la Recommandation 13-13 concernant l’établissement d’un registre ICCAT de navires de 20 mètres ou plus de longueur hors-tout autorisés à opérer dans la zone de la Convention</w:t>
      </w:r>
      <w:hyperlink r:id="rId8"/>
      <w:r w:rsidRPr="00026AFD">
        <w:rPr>
          <w:u w:val="single"/>
        </w:rPr>
        <w:t xml:space="preserve"> (Rec. 21-14</w:t>
      </w:r>
      <w:r w:rsidRPr="00026AFD">
        <w:t>)</w:t>
      </w:r>
      <w:r w:rsidR="00A75498" w:rsidRPr="00026AFD">
        <w:t xml:space="preserve"> </w:t>
      </w:r>
      <w:r w:rsidR="00A75498" w:rsidRPr="00026AFD">
        <w:rPr>
          <w:rFonts w:eastAsia="Times New Roman" w:cs="Times New Roman"/>
          <w:noProof/>
          <w:snapToGrid w:val="0"/>
          <w:color w:val="auto"/>
          <w:kern w:val="0"/>
          <w:szCs w:val="20"/>
          <w:lang w:eastAsia="es-ES"/>
          <w14:ligatures w14:val="none"/>
        </w:rPr>
        <w:t xml:space="preserve">est abrogée et remplacée dans son intégralité par la présente Recommandation. </w:t>
      </w:r>
      <w:r w:rsidR="00A75498" w:rsidRPr="00026AFD">
        <w:rPr>
          <w:rFonts w:eastAsia="Times New Roman" w:cs="Times New Roman"/>
          <w:i/>
          <w:iCs/>
          <w:noProof/>
          <w:snapToGrid w:val="0"/>
          <w:color w:val="auto"/>
          <w:kern w:val="0"/>
          <w:szCs w:val="20"/>
          <w:lang w:eastAsia="es-ES"/>
          <w14:ligatures w14:val="none"/>
        </w:rPr>
        <w:t>La Recommandation de l’ICCAT visant à harmoniser et orienter la mise en œuvre des exigences ICCAT d’inscription des navires</w:t>
      </w:r>
      <w:r w:rsidR="00A75498" w:rsidRPr="00026AFD">
        <w:rPr>
          <w:rFonts w:eastAsia="Times New Roman" w:cs="Times New Roman"/>
          <w:noProof/>
          <w:snapToGrid w:val="0"/>
          <w:color w:val="auto"/>
          <w:kern w:val="0"/>
          <w:szCs w:val="20"/>
          <w:lang w:eastAsia="es-ES"/>
          <w14:ligatures w14:val="none"/>
        </w:rPr>
        <w:t xml:space="preserve"> (Rec. 14-10) est remplacée par les dispositions de la présente Recommandation.</w:t>
      </w:r>
    </w:p>
    <w:p w14:paraId="2A854972" w14:textId="77777777" w:rsidR="00A75498" w:rsidRPr="00A75498" w:rsidRDefault="00A75498" w:rsidP="00A75498">
      <w:pPr>
        <w:autoSpaceDE w:val="0"/>
        <w:autoSpaceDN w:val="0"/>
        <w:adjustRightInd w:val="0"/>
        <w:spacing w:after="0" w:line="240" w:lineRule="auto"/>
        <w:ind w:left="0" w:right="0" w:firstLine="0"/>
        <w:jc w:val="left"/>
        <w:rPr>
          <w:rFonts w:eastAsia="Times New Roman" w:cs="Times New Roman"/>
          <w:b/>
          <w:bCs/>
          <w:color w:val="auto"/>
          <w:kern w:val="0"/>
          <w:szCs w:val="20"/>
          <w:lang w:eastAsia="en-US"/>
          <w14:ligatures w14:val="none"/>
        </w:rPr>
      </w:pPr>
    </w:p>
    <w:p w14:paraId="2E8F54A1" w14:textId="565F766D" w:rsidR="00D329E1" w:rsidRDefault="00D329E1" w:rsidP="00D329E1"/>
    <w:p w14:paraId="6A094E05" w14:textId="77777777" w:rsidR="00404435" w:rsidRPr="00404435" w:rsidRDefault="00404435">
      <w:pPr>
        <w:rPr>
          <w:szCs w:val="20"/>
          <w:u w:val="single"/>
        </w:rPr>
      </w:pPr>
    </w:p>
    <w:sectPr w:rsidR="00404435" w:rsidRPr="0040443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4D42" w14:textId="77777777" w:rsidR="00437767" w:rsidRDefault="00437767" w:rsidP="006F48D4">
      <w:pPr>
        <w:spacing w:after="0" w:line="240" w:lineRule="auto"/>
      </w:pPr>
      <w:r>
        <w:separator/>
      </w:r>
    </w:p>
  </w:endnote>
  <w:endnote w:type="continuationSeparator" w:id="0">
    <w:p w14:paraId="78A5969A" w14:textId="77777777" w:rsidR="00437767" w:rsidRDefault="00437767" w:rsidP="006F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2094" w14:textId="77777777" w:rsidR="001A3400" w:rsidRDefault="001058D3" w:rsidP="001A3400">
    <w:pPr>
      <w:pStyle w:val="Footer"/>
      <w:jc w:val="center"/>
    </w:pPr>
    <w:sdt>
      <w:sdtPr>
        <w:rPr>
          <w:rFonts w:ascii="Calibri" w:eastAsia="Yu Mincho" w:hAnsi="Calibri" w:cs="Times New Roman"/>
        </w:rPr>
        <w:id w:val="-60483211"/>
        <w:docPartObj>
          <w:docPartGallery w:val="Page Numbers (Top of Page)"/>
          <w:docPartUnique/>
        </w:docPartObj>
      </w:sdtPr>
      <w:sdtEndPr/>
      <w:sdtContent>
        <w:r w:rsidR="001A3400" w:rsidRPr="00C53753">
          <w:rPr>
            <w:rFonts w:eastAsia="Yu Mincho" w:cs="Times New Roman"/>
          </w:rPr>
          <w:fldChar w:fldCharType="begin"/>
        </w:r>
        <w:r w:rsidR="001A3400" w:rsidRPr="00C53753">
          <w:rPr>
            <w:rFonts w:eastAsia="Yu Mincho" w:cs="Times New Roman"/>
          </w:rPr>
          <w:instrText xml:space="preserve"> PAGE </w:instrText>
        </w:r>
        <w:r w:rsidR="001A3400" w:rsidRPr="00C53753">
          <w:rPr>
            <w:rFonts w:eastAsia="Yu Mincho" w:cs="Times New Roman"/>
          </w:rPr>
          <w:fldChar w:fldCharType="separate"/>
        </w:r>
        <w:r w:rsidR="001A3400">
          <w:rPr>
            <w:rFonts w:eastAsia="Yu Mincho"/>
          </w:rPr>
          <w:t>1</w:t>
        </w:r>
        <w:r w:rsidR="001A3400" w:rsidRPr="00C53753">
          <w:rPr>
            <w:rFonts w:eastAsia="Yu Mincho" w:cs="Times New Roman"/>
          </w:rPr>
          <w:fldChar w:fldCharType="end"/>
        </w:r>
        <w:r w:rsidR="001A3400">
          <w:t xml:space="preserve"> / </w:t>
        </w:r>
        <w:r w:rsidR="001A3400" w:rsidRPr="00C53753">
          <w:rPr>
            <w:rFonts w:eastAsia="Yu Mincho" w:cs="Times New Roman"/>
          </w:rPr>
          <w:fldChar w:fldCharType="begin"/>
        </w:r>
        <w:r w:rsidR="001A3400" w:rsidRPr="00C53753">
          <w:rPr>
            <w:rFonts w:eastAsia="Yu Mincho" w:cs="Times New Roman"/>
          </w:rPr>
          <w:instrText xml:space="preserve"> NUMPAGES  </w:instrText>
        </w:r>
        <w:r w:rsidR="001A3400" w:rsidRPr="00C53753">
          <w:rPr>
            <w:rFonts w:eastAsia="Yu Mincho" w:cs="Times New Roman"/>
          </w:rPr>
          <w:fldChar w:fldCharType="separate"/>
        </w:r>
        <w:r w:rsidR="001A3400">
          <w:rPr>
            <w:rFonts w:eastAsia="Yu Mincho"/>
          </w:rPr>
          <w:t>5</w:t>
        </w:r>
        <w:r w:rsidR="001A3400" w:rsidRPr="00C53753">
          <w:rPr>
            <w:rFonts w:eastAsia="Yu Mincho"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C740" w14:textId="77777777" w:rsidR="00437767" w:rsidRDefault="00437767" w:rsidP="006F48D4">
      <w:pPr>
        <w:spacing w:after="0" w:line="240" w:lineRule="auto"/>
      </w:pPr>
      <w:r>
        <w:separator/>
      </w:r>
    </w:p>
  </w:footnote>
  <w:footnote w:type="continuationSeparator" w:id="0">
    <w:p w14:paraId="573FE52A" w14:textId="77777777" w:rsidR="00437767" w:rsidRDefault="00437767" w:rsidP="006F48D4">
      <w:pPr>
        <w:spacing w:after="0" w:line="240" w:lineRule="auto"/>
      </w:pPr>
      <w:r>
        <w:continuationSeparator/>
      </w:r>
    </w:p>
  </w:footnote>
  <w:footnote w:id="1">
    <w:p w14:paraId="3C49AE34" w14:textId="77777777" w:rsidR="000D0005" w:rsidRPr="000D0005" w:rsidRDefault="000D0005" w:rsidP="000D0005">
      <w:pPr>
        <w:pStyle w:val="FootnoteText"/>
        <w:jc w:val="both"/>
        <w:rPr>
          <w:rFonts w:ascii="Cambria" w:hAnsi="Cambria"/>
          <w:sz w:val="16"/>
          <w:szCs w:val="16"/>
          <w:lang w:val="fr-FR"/>
        </w:rPr>
      </w:pPr>
      <w:r w:rsidRPr="008D3330">
        <w:rPr>
          <w:rStyle w:val="FootnoteReference"/>
          <w:rFonts w:eastAsia="Cambria"/>
          <w:lang w:val="fr-FR"/>
        </w:rPr>
        <w:t>*</w:t>
      </w:r>
      <w:r w:rsidRPr="000D0005">
        <w:rPr>
          <w:rFonts w:ascii="Cambria" w:hAnsi="Cambria"/>
          <w:sz w:val="16"/>
          <w:szCs w:val="16"/>
          <w:lang w:val="fr-FR"/>
        </w:rPr>
        <w:t xml:space="preserve">Tous les LSFV doivent obtenir un numéro OMI ou LR, à moins qu'une exception spécifiée au paragraphe 7 de la présente recommandation ne s'applique.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78D4" w14:textId="77777777" w:rsidR="008E4DE1" w:rsidRPr="00793F38" w:rsidRDefault="008E4DE1" w:rsidP="008E4DE1">
    <w:pPr>
      <w:tabs>
        <w:tab w:val="center" w:pos="4680"/>
        <w:tab w:val="left" w:pos="6520"/>
        <w:tab w:val="right" w:pos="9360"/>
        <w:tab w:val="right" w:pos="14240"/>
      </w:tabs>
      <w:jc w:val="right"/>
      <w:rPr>
        <w:rFonts w:eastAsia="Calibri"/>
        <w:b/>
        <w:bCs/>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Cs w:val="20"/>
      </w:rPr>
      <w:t>PWG</w:t>
    </w:r>
    <w:r w:rsidRPr="00793F38">
      <w:rPr>
        <w:rFonts w:eastAsia="Calibri"/>
        <w:b/>
        <w:bCs/>
        <w:szCs w:val="20"/>
      </w:rPr>
      <w:t>_</w:t>
    </w:r>
    <w:r>
      <w:rPr>
        <w:rFonts w:eastAsia="Calibri"/>
        <w:b/>
        <w:bCs/>
        <w:szCs w:val="20"/>
      </w:rPr>
      <w:t>419</w:t>
    </w:r>
    <w:r w:rsidRPr="00793F38">
      <w:rPr>
        <w:rFonts w:eastAsia="Calibri"/>
        <w:b/>
        <w:bCs/>
        <w:szCs w:val="20"/>
      </w:rPr>
      <w:t>/202</w:t>
    </w:r>
    <w:r>
      <w:rPr>
        <w:rFonts w:eastAsia="Calibri"/>
        <w:b/>
        <w:bCs/>
        <w:szCs w:val="20"/>
      </w:rPr>
      <w:t>5</w:t>
    </w:r>
  </w:p>
  <w:p w14:paraId="36673A87" w14:textId="57BB99D4" w:rsidR="008E4DE1" w:rsidRDefault="008E4DE1" w:rsidP="008E4DE1">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1058D3">
      <w:rPr>
        <w:b/>
        <w:bCs/>
        <w:noProof/>
        <w:sz w:val="16"/>
        <w:szCs w:val="16"/>
        <w:lang w:val="es-ES_tradnl"/>
      </w:rPr>
      <w:t>29/10/2025 8:50</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215DA"/>
    <w:multiLevelType w:val="hybridMultilevel"/>
    <w:tmpl w:val="0CD829EE"/>
    <w:lvl w:ilvl="0" w:tplc="775209A0">
      <w:start w:val="1"/>
      <w:numFmt w:val="bullet"/>
      <w:lvlText w:val="–"/>
      <w:lvlJc w:val="left"/>
      <w:pPr>
        <w:tabs>
          <w:tab w:val="num" w:pos="907"/>
        </w:tabs>
        <w:ind w:left="907" w:hanging="397"/>
      </w:pPr>
      <w:rPr>
        <w:rFonts w:ascii="Times New Roman" w:hAnsi="Times New Roman" w:cs="Times New Roman" w:hint="default"/>
      </w:rPr>
    </w:lvl>
    <w:lvl w:ilvl="1" w:tplc="04090019" w:tentative="1">
      <w:start w:val="1"/>
      <w:numFmt w:val="bullet"/>
      <w:lvlText w:val="o"/>
      <w:lvlJc w:val="left"/>
      <w:pPr>
        <w:tabs>
          <w:tab w:val="num" w:pos="1780"/>
        </w:tabs>
        <w:ind w:left="1780" w:hanging="360"/>
      </w:pPr>
      <w:rPr>
        <w:rFonts w:ascii="Courier New" w:hAnsi="Courier New" w:hint="default"/>
      </w:rPr>
    </w:lvl>
    <w:lvl w:ilvl="2" w:tplc="0409001B" w:tentative="1">
      <w:start w:val="1"/>
      <w:numFmt w:val="bullet"/>
      <w:lvlText w:val=""/>
      <w:lvlJc w:val="left"/>
      <w:pPr>
        <w:tabs>
          <w:tab w:val="num" w:pos="2500"/>
        </w:tabs>
        <w:ind w:left="2500" w:hanging="360"/>
      </w:pPr>
      <w:rPr>
        <w:rFonts w:ascii="Wingdings" w:hAnsi="Wingdings" w:hint="default"/>
      </w:rPr>
    </w:lvl>
    <w:lvl w:ilvl="3" w:tplc="0409000F" w:tentative="1">
      <w:start w:val="1"/>
      <w:numFmt w:val="bullet"/>
      <w:lvlText w:val=""/>
      <w:lvlJc w:val="left"/>
      <w:pPr>
        <w:tabs>
          <w:tab w:val="num" w:pos="3220"/>
        </w:tabs>
        <w:ind w:left="3220" w:hanging="360"/>
      </w:pPr>
      <w:rPr>
        <w:rFonts w:ascii="Symbol" w:hAnsi="Symbol" w:hint="default"/>
      </w:rPr>
    </w:lvl>
    <w:lvl w:ilvl="4" w:tplc="04090019" w:tentative="1">
      <w:start w:val="1"/>
      <w:numFmt w:val="bullet"/>
      <w:lvlText w:val="o"/>
      <w:lvlJc w:val="left"/>
      <w:pPr>
        <w:tabs>
          <w:tab w:val="num" w:pos="3940"/>
        </w:tabs>
        <w:ind w:left="3940" w:hanging="360"/>
      </w:pPr>
      <w:rPr>
        <w:rFonts w:ascii="Courier New" w:hAnsi="Courier New" w:hint="default"/>
      </w:rPr>
    </w:lvl>
    <w:lvl w:ilvl="5" w:tplc="0409001B" w:tentative="1">
      <w:start w:val="1"/>
      <w:numFmt w:val="bullet"/>
      <w:lvlText w:val=""/>
      <w:lvlJc w:val="left"/>
      <w:pPr>
        <w:tabs>
          <w:tab w:val="num" w:pos="4660"/>
        </w:tabs>
        <w:ind w:left="4660" w:hanging="360"/>
      </w:pPr>
      <w:rPr>
        <w:rFonts w:ascii="Wingdings" w:hAnsi="Wingdings" w:hint="default"/>
      </w:rPr>
    </w:lvl>
    <w:lvl w:ilvl="6" w:tplc="0409000F" w:tentative="1">
      <w:start w:val="1"/>
      <w:numFmt w:val="bullet"/>
      <w:lvlText w:val=""/>
      <w:lvlJc w:val="left"/>
      <w:pPr>
        <w:tabs>
          <w:tab w:val="num" w:pos="5380"/>
        </w:tabs>
        <w:ind w:left="5380" w:hanging="360"/>
      </w:pPr>
      <w:rPr>
        <w:rFonts w:ascii="Symbol" w:hAnsi="Symbol" w:hint="default"/>
      </w:rPr>
    </w:lvl>
    <w:lvl w:ilvl="7" w:tplc="04090019" w:tentative="1">
      <w:start w:val="1"/>
      <w:numFmt w:val="bullet"/>
      <w:lvlText w:val="o"/>
      <w:lvlJc w:val="left"/>
      <w:pPr>
        <w:tabs>
          <w:tab w:val="num" w:pos="6100"/>
        </w:tabs>
        <w:ind w:left="6100" w:hanging="360"/>
      </w:pPr>
      <w:rPr>
        <w:rFonts w:ascii="Courier New" w:hAnsi="Courier New" w:hint="default"/>
      </w:rPr>
    </w:lvl>
    <w:lvl w:ilvl="8" w:tplc="0409001B"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1"/>
  </w:num>
  <w:num w:numId="2" w16cid:durableId="126572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DF"/>
    <w:rsid w:val="0001576E"/>
    <w:rsid w:val="00026AFD"/>
    <w:rsid w:val="000B7326"/>
    <w:rsid w:val="000C3B9D"/>
    <w:rsid w:val="000D0005"/>
    <w:rsid w:val="001058D3"/>
    <w:rsid w:val="001212DB"/>
    <w:rsid w:val="0013654F"/>
    <w:rsid w:val="00155695"/>
    <w:rsid w:val="00160B50"/>
    <w:rsid w:val="001613F7"/>
    <w:rsid w:val="001A3400"/>
    <w:rsid w:val="0021569D"/>
    <w:rsid w:val="00242C26"/>
    <w:rsid w:val="00312D1E"/>
    <w:rsid w:val="00326C14"/>
    <w:rsid w:val="00361411"/>
    <w:rsid w:val="00363370"/>
    <w:rsid w:val="003700C3"/>
    <w:rsid w:val="00404435"/>
    <w:rsid w:val="00411918"/>
    <w:rsid w:val="00437767"/>
    <w:rsid w:val="00487635"/>
    <w:rsid w:val="004C42AE"/>
    <w:rsid w:val="005C1CF1"/>
    <w:rsid w:val="006F0745"/>
    <w:rsid w:val="006F48D4"/>
    <w:rsid w:val="0079642E"/>
    <w:rsid w:val="007A2EFC"/>
    <w:rsid w:val="007A6789"/>
    <w:rsid w:val="008572E0"/>
    <w:rsid w:val="008574E4"/>
    <w:rsid w:val="008B24B8"/>
    <w:rsid w:val="008D2E53"/>
    <w:rsid w:val="008E4DE1"/>
    <w:rsid w:val="00902579"/>
    <w:rsid w:val="009B1011"/>
    <w:rsid w:val="00A04439"/>
    <w:rsid w:val="00A579E5"/>
    <w:rsid w:val="00A75498"/>
    <w:rsid w:val="00AA0941"/>
    <w:rsid w:val="00AB1CAE"/>
    <w:rsid w:val="00AD1303"/>
    <w:rsid w:val="00AD4300"/>
    <w:rsid w:val="00AF0699"/>
    <w:rsid w:val="00B735C2"/>
    <w:rsid w:val="00CA4FDF"/>
    <w:rsid w:val="00D329E1"/>
    <w:rsid w:val="00D56C11"/>
    <w:rsid w:val="00E30F5B"/>
    <w:rsid w:val="00E5329F"/>
    <w:rsid w:val="00F54ABF"/>
    <w:rsid w:val="00FE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70E7"/>
  <w15:chartTrackingRefBased/>
  <w15:docId w15:val="{27417338-CD6B-427D-9C0F-AAF15B0B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DF"/>
    <w:pPr>
      <w:spacing w:after="5" w:line="249" w:lineRule="auto"/>
      <w:ind w:left="430" w:right="84" w:hanging="429"/>
      <w:jc w:val="both"/>
    </w:pPr>
    <w:rPr>
      <w:rFonts w:ascii="Cambria" w:eastAsia="Cambria" w:hAnsi="Cambria" w:cs="Cambria"/>
      <w:color w:val="000000"/>
      <w:sz w:val="20"/>
      <w:lang w:eastAsia="en-GB"/>
    </w:rPr>
  </w:style>
  <w:style w:type="paragraph" w:styleId="Heading1">
    <w:name w:val="heading 1"/>
    <w:basedOn w:val="Normal"/>
    <w:next w:val="Normal"/>
    <w:link w:val="Heading1Char"/>
    <w:uiPriority w:val="9"/>
    <w:qFormat/>
    <w:rsid w:val="00CA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FDF"/>
    <w:rPr>
      <w:rFonts w:eastAsiaTheme="majorEastAsia" w:cstheme="majorBidi"/>
      <w:color w:val="272727" w:themeColor="text1" w:themeTint="D8"/>
    </w:rPr>
  </w:style>
  <w:style w:type="paragraph" w:styleId="Title">
    <w:name w:val="Title"/>
    <w:basedOn w:val="Normal"/>
    <w:next w:val="Normal"/>
    <w:link w:val="TitleChar"/>
    <w:uiPriority w:val="10"/>
    <w:qFormat/>
    <w:rsid w:val="00CA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FDF"/>
    <w:pPr>
      <w:numPr>
        <w:ilvl w:val="1"/>
      </w:numPr>
      <w:ind w:left="430" w:hanging="42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FDF"/>
    <w:pPr>
      <w:spacing w:before="160"/>
      <w:jc w:val="center"/>
    </w:pPr>
    <w:rPr>
      <w:i/>
      <w:iCs/>
      <w:color w:val="404040" w:themeColor="text1" w:themeTint="BF"/>
    </w:rPr>
  </w:style>
  <w:style w:type="character" w:customStyle="1" w:styleId="QuoteChar">
    <w:name w:val="Quote Char"/>
    <w:basedOn w:val="DefaultParagraphFont"/>
    <w:link w:val="Quote"/>
    <w:uiPriority w:val="29"/>
    <w:rsid w:val="00CA4FDF"/>
    <w:rPr>
      <w:i/>
      <w:iCs/>
      <w:color w:val="404040" w:themeColor="text1" w:themeTint="BF"/>
    </w:rPr>
  </w:style>
  <w:style w:type="paragraph" w:styleId="ListParagraph">
    <w:name w:val="List Paragraph"/>
    <w:basedOn w:val="Normal"/>
    <w:uiPriority w:val="34"/>
    <w:qFormat/>
    <w:rsid w:val="00CA4FDF"/>
    <w:pPr>
      <w:ind w:left="720"/>
      <w:contextualSpacing/>
    </w:pPr>
  </w:style>
  <w:style w:type="character" w:styleId="IntenseEmphasis">
    <w:name w:val="Intense Emphasis"/>
    <w:basedOn w:val="DefaultParagraphFont"/>
    <w:uiPriority w:val="21"/>
    <w:qFormat/>
    <w:rsid w:val="00CA4FDF"/>
    <w:rPr>
      <w:i/>
      <w:iCs/>
      <w:color w:val="0F4761" w:themeColor="accent1" w:themeShade="BF"/>
    </w:rPr>
  </w:style>
  <w:style w:type="paragraph" w:styleId="IntenseQuote">
    <w:name w:val="Intense Quote"/>
    <w:basedOn w:val="Normal"/>
    <w:next w:val="Normal"/>
    <w:link w:val="IntenseQuoteChar"/>
    <w:uiPriority w:val="30"/>
    <w:qFormat/>
    <w:rsid w:val="00CA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FDF"/>
    <w:rPr>
      <w:i/>
      <w:iCs/>
      <w:color w:val="0F4761" w:themeColor="accent1" w:themeShade="BF"/>
    </w:rPr>
  </w:style>
  <w:style w:type="character" w:styleId="IntenseReference">
    <w:name w:val="Intense Reference"/>
    <w:basedOn w:val="DefaultParagraphFont"/>
    <w:uiPriority w:val="32"/>
    <w:qFormat/>
    <w:rsid w:val="00CA4FDF"/>
    <w:rPr>
      <w:b/>
      <w:bCs/>
      <w:smallCaps/>
      <w:color w:val="0F4761" w:themeColor="accent1" w:themeShade="BF"/>
      <w:spacing w:val="5"/>
    </w:rPr>
  </w:style>
  <w:style w:type="paragraph" w:styleId="Header">
    <w:name w:val="header"/>
    <w:basedOn w:val="Normal"/>
    <w:link w:val="HeaderChar"/>
    <w:uiPriority w:val="99"/>
    <w:unhideWhenUsed/>
    <w:rsid w:val="006F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D4"/>
    <w:rPr>
      <w:rFonts w:ascii="Cambria" w:eastAsia="Cambria" w:hAnsi="Cambria" w:cs="Cambria"/>
      <w:color w:val="000000"/>
      <w:sz w:val="20"/>
      <w:lang w:eastAsia="en-GB"/>
    </w:rPr>
  </w:style>
  <w:style w:type="paragraph" w:styleId="Footer">
    <w:name w:val="footer"/>
    <w:basedOn w:val="Normal"/>
    <w:link w:val="FooterChar"/>
    <w:uiPriority w:val="99"/>
    <w:unhideWhenUsed/>
    <w:rsid w:val="006F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D4"/>
    <w:rPr>
      <w:rFonts w:ascii="Cambria" w:eastAsia="Cambria" w:hAnsi="Cambria" w:cs="Cambria"/>
      <w:color w:val="000000"/>
      <w:sz w:val="20"/>
      <w:lang w:eastAsia="en-GB"/>
    </w:rPr>
  </w:style>
  <w:style w:type="paragraph" w:styleId="FootnoteText">
    <w:name w:val="footnote text"/>
    <w:basedOn w:val="Normal"/>
    <w:link w:val="FootnoteTextChar1"/>
    <w:unhideWhenUsed/>
    <w:rsid w:val="000D0005"/>
    <w:pPr>
      <w:spacing w:after="0" w:line="240" w:lineRule="auto"/>
      <w:ind w:left="0" w:right="0" w:firstLine="0"/>
      <w:jc w:val="left"/>
    </w:pPr>
    <w:rPr>
      <w:rFonts w:ascii="Times New Roman" w:eastAsia="Times New Roman" w:hAnsi="Times New Roman" w:cs="Times New Roman"/>
      <w:color w:val="auto"/>
      <w:kern w:val="0"/>
      <w:szCs w:val="20"/>
      <w:lang w:val="en-US" w:eastAsia="en-US"/>
      <w14:ligatures w14:val="none"/>
    </w:rPr>
  </w:style>
  <w:style w:type="character" w:customStyle="1" w:styleId="FootnoteTextChar">
    <w:name w:val="Footnote Text Char"/>
    <w:basedOn w:val="DefaultParagraphFont"/>
    <w:uiPriority w:val="99"/>
    <w:semiHidden/>
    <w:rsid w:val="000D0005"/>
    <w:rPr>
      <w:rFonts w:ascii="Cambria" w:eastAsia="Cambria" w:hAnsi="Cambria" w:cs="Cambria"/>
      <w:color w:val="000000"/>
      <w:sz w:val="20"/>
      <w:szCs w:val="20"/>
      <w:lang w:eastAsia="en-GB"/>
    </w:rPr>
  </w:style>
  <w:style w:type="character" w:customStyle="1" w:styleId="FootnoteTextChar1">
    <w:name w:val="Footnote Text Char1"/>
    <w:basedOn w:val="DefaultParagraphFont"/>
    <w:link w:val="FootnoteText"/>
    <w:rsid w:val="000D000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nhideWhenUsed/>
    <w:rsid w:val="000D0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3-13-f.pdf" TargetMode="External"/><Relationship Id="rId3" Type="http://schemas.openxmlformats.org/officeDocument/2006/relationships/settings" Target="settings.xml"/><Relationship Id="rId7" Type="http://schemas.openxmlformats.org/officeDocument/2006/relationships/hyperlink" Target="https://www.iccat.int/Documents/Recs/compendiopdf-f/2013-13-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2460</Words>
  <Characters>14028</Characters>
  <Application>Microsoft Office Word</Application>
  <DocSecurity>0</DocSecurity>
  <Lines>116</Lines>
  <Paragraphs>32</Paragraphs>
  <ScaleCrop>false</ScaleCrop>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Christine Peyre</cp:lastModifiedBy>
  <cp:revision>51</cp:revision>
  <dcterms:created xsi:type="dcterms:W3CDTF">2025-10-22T14:33:00Z</dcterms:created>
  <dcterms:modified xsi:type="dcterms:W3CDTF">2025-10-29T07:51:00Z</dcterms:modified>
</cp:coreProperties>
</file>