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DF40" w14:textId="77777777" w:rsidR="001E49CF" w:rsidRDefault="001E49CF" w:rsidP="001E49CF">
      <w:pPr>
        <w:jc w:val="center"/>
        <w:rPr>
          <w:rFonts w:ascii="Cambria" w:eastAsia="Cambria" w:hAnsi="Cambria" w:cs="Cambria"/>
          <w:b/>
          <w:sz w:val="20"/>
        </w:rPr>
      </w:pPr>
      <w:r>
        <w:rPr>
          <w:rFonts w:ascii="Cambria" w:eastAsia="Cambria" w:hAnsi="Cambria" w:cs="Cambria"/>
          <w:b/>
          <w:sz w:val="20"/>
        </w:rPr>
        <w:t>Portada para acompañar nuevas propuestas</w:t>
      </w:r>
    </w:p>
    <w:p w14:paraId="42857DC1" w14:textId="77777777" w:rsidR="001E49CF" w:rsidRDefault="001E49CF" w:rsidP="001E49CF">
      <w:pPr>
        <w:jc w:val="center"/>
        <w:rPr>
          <w:rFonts w:ascii="Cambria" w:eastAsia="Cambria" w:hAnsi="Cambria" w:cs="Cambria"/>
          <w:b/>
          <w:sz w:val="20"/>
        </w:rPr>
      </w:pPr>
    </w:p>
    <w:p w14:paraId="16363759" w14:textId="77777777" w:rsidR="001E49CF" w:rsidRDefault="001E49CF" w:rsidP="001E49CF">
      <w:pPr>
        <w:jc w:val="center"/>
        <w:rPr>
          <w:rFonts w:ascii="Cambria" w:eastAsia="Cambria" w:hAnsi="Cambria" w:cs="Cambria"/>
          <w:bCs/>
          <w:i/>
          <w:iCs/>
          <w:spacing w:val="-2"/>
          <w:sz w:val="20"/>
          <w:szCs w:val="20"/>
        </w:rPr>
      </w:pPr>
      <w:r>
        <w:rPr>
          <w:rFonts w:ascii="Cambria" w:eastAsia="Cambria" w:hAnsi="Cambria" w:cs="Cambria"/>
          <w:bCs/>
          <w:i/>
          <w:iCs/>
          <w:sz w:val="20"/>
        </w:rPr>
        <w:t>(presentado por Estado Unidos)</w:t>
      </w:r>
    </w:p>
    <w:p w14:paraId="38F609D4" w14:textId="25719967" w:rsidR="001E49CF" w:rsidRDefault="001E49CF" w:rsidP="001E49CF">
      <w:pPr>
        <w:widowControl w:val="0"/>
        <w:spacing w:before="470" w:line="240" w:lineRule="auto"/>
        <w:jc w:val="both"/>
        <w:rPr>
          <w:rFonts w:ascii="Cambria" w:eastAsia="Cambria" w:hAnsi="Cambria" w:cs="Cambria"/>
          <w:bCs/>
          <w:i/>
          <w:iCs/>
          <w:color w:val="000000"/>
          <w:sz w:val="20"/>
          <w:szCs w:val="20"/>
        </w:rPr>
      </w:pPr>
      <w:r>
        <w:rPr>
          <w:rFonts w:ascii="Cambria" w:eastAsia="Cambria" w:hAnsi="Cambria" w:cs="Cambria"/>
          <w:b/>
          <w:sz w:val="20"/>
        </w:rPr>
        <w:t>Título de la propuesta de Proyecto de Recomendación/Resolución:</w:t>
      </w:r>
      <w:r>
        <w:rPr>
          <w:rFonts w:ascii="Cambria" w:eastAsia="Cambria" w:hAnsi="Cambria" w:cs="Cambria"/>
          <w:bCs/>
          <w:i/>
          <w:iCs/>
          <w:color w:val="FF0000"/>
          <w:sz w:val="20"/>
        </w:rPr>
        <w:t xml:space="preserve"> </w:t>
      </w:r>
      <w:r w:rsidRPr="001E49CF">
        <w:rPr>
          <w:rFonts w:ascii="Cambria" w:hAnsi="Cambria"/>
          <w:bCs/>
          <w:i/>
          <w:iCs/>
          <w:color w:val="FF0000"/>
          <w:sz w:val="20"/>
          <w:szCs w:val="20"/>
        </w:rPr>
        <w:t>Proyecto de Recomendación de ICCAT sobre acuerdos de fletamento de buques y acuerdos de acceso</w:t>
      </w:r>
    </w:p>
    <w:p w14:paraId="51E3E235" w14:textId="77777777" w:rsidR="001E49CF" w:rsidRDefault="001E49CF" w:rsidP="001E49CF">
      <w:pPr>
        <w:widowControl w:val="0"/>
        <w:autoSpaceDE w:val="0"/>
        <w:autoSpaceDN w:val="0"/>
        <w:spacing w:line="240" w:lineRule="auto"/>
        <w:ind w:left="318"/>
        <w:jc w:val="both"/>
        <w:rPr>
          <w:rFonts w:ascii="Cambria" w:eastAsia="Cambria" w:hAnsi="Cambria" w:cs="Cambria"/>
          <w:sz w:val="20"/>
          <w:szCs w:val="20"/>
        </w:rPr>
      </w:pPr>
    </w:p>
    <w:p w14:paraId="2E69DD14" w14:textId="3116D15A" w:rsidR="001E49CF" w:rsidRDefault="001E49CF" w:rsidP="001E49CF">
      <w:pPr>
        <w:widowControl w:val="0"/>
        <w:autoSpaceDE w:val="0"/>
        <w:autoSpaceDN w:val="0"/>
        <w:spacing w:line="240" w:lineRule="auto"/>
        <w:jc w:val="both"/>
        <w:rPr>
          <w:rFonts w:ascii="Cambria" w:eastAsia="Cambria" w:hAnsi="Cambria" w:cs="Cambria"/>
          <w:b/>
          <w:bCs/>
          <w:sz w:val="20"/>
          <w:szCs w:val="20"/>
        </w:rPr>
      </w:pPr>
      <w:r>
        <w:rPr>
          <w:rFonts w:ascii="Cambria" w:eastAsia="Cambria" w:hAnsi="Cambria" w:cs="Cambria"/>
          <w:b/>
          <w:sz w:val="20"/>
        </w:rPr>
        <w:t xml:space="preserve">Título de la(s) recomendación(es) o resolución(es) actualmente vigente(s) que aborda(n) la misma cuestión o cuestiones relacionadas: </w:t>
      </w:r>
      <w:r w:rsidRPr="001E49CF">
        <w:rPr>
          <w:rFonts w:ascii="Cambria" w:eastAsia="Cambria" w:hAnsi="Cambria" w:cs="Cambria"/>
          <w:bCs/>
          <w:i/>
          <w:iCs/>
          <w:color w:val="FF0000"/>
          <w:sz w:val="20"/>
        </w:rPr>
        <w:t xml:space="preserve">Recomendación de ICCAT sobre fletamento de barcos (Rec. 13-14) y Recomendación de ICCAT sobre acuerdos de acceso (Rec. 14-07) </w:t>
      </w:r>
    </w:p>
    <w:p w14:paraId="2E53093B" w14:textId="77777777" w:rsidR="001E49CF" w:rsidRDefault="001E49CF" w:rsidP="001E49CF">
      <w:pPr>
        <w:widowControl w:val="0"/>
        <w:autoSpaceDE w:val="0"/>
        <w:autoSpaceDN w:val="0"/>
        <w:spacing w:line="240" w:lineRule="auto"/>
        <w:ind w:left="318"/>
        <w:jc w:val="both"/>
        <w:rPr>
          <w:rFonts w:ascii="Cambria" w:eastAsia="Cambria" w:hAnsi="Cambria" w:cs="Cambria"/>
          <w:sz w:val="20"/>
          <w:szCs w:val="20"/>
        </w:rPr>
      </w:pPr>
    </w:p>
    <w:p w14:paraId="4295E26B" w14:textId="77777777" w:rsidR="001E49CF" w:rsidRDefault="001E49CF" w:rsidP="001E49CF">
      <w:pPr>
        <w:widowControl w:val="0"/>
        <w:autoSpaceDE w:val="0"/>
        <w:autoSpaceDN w:val="0"/>
        <w:spacing w:line="240" w:lineRule="auto"/>
        <w:ind w:left="318"/>
        <w:jc w:val="both"/>
        <w:rPr>
          <w:rFonts w:ascii="Cambria" w:eastAsia="Cambria" w:hAnsi="Cambria" w:cs="Cambria"/>
          <w:sz w:val="20"/>
          <w:szCs w:val="20"/>
        </w:rPr>
      </w:pPr>
    </w:p>
    <w:p w14:paraId="0B1BEF60" w14:textId="77777777" w:rsidR="001E49CF" w:rsidRDefault="001E49CF" w:rsidP="001E49CF">
      <w:pPr>
        <w:widowControl w:val="0"/>
        <w:numPr>
          <w:ilvl w:val="0"/>
          <w:numId w:val="4"/>
        </w:numPr>
        <w:autoSpaceDE w:val="0"/>
        <w:autoSpaceDN w:val="0"/>
        <w:spacing w:line="240" w:lineRule="auto"/>
        <w:ind w:left="426" w:hanging="426"/>
        <w:jc w:val="both"/>
        <w:rPr>
          <w:rFonts w:ascii="Cambria" w:eastAsia="Cambria" w:hAnsi="Cambria" w:cs="Cambria"/>
          <w:color w:val="FF0000"/>
          <w:sz w:val="20"/>
          <w:szCs w:val="20"/>
        </w:rPr>
      </w:pPr>
      <w:r>
        <w:rPr>
          <w:rFonts w:ascii="Cambria" w:eastAsia="Cambria" w:hAnsi="Cambria" w:cs="Cambria"/>
          <w:sz w:val="20"/>
        </w:rPr>
        <w:t xml:space="preserve">¿Crea nuevas </w:t>
      </w:r>
      <w:r>
        <w:rPr>
          <w:rFonts w:ascii="Cambria" w:eastAsia="Cambria" w:hAnsi="Cambria" w:cs="Cambria"/>
          <w:b/>
          <w:sz w:val="20"/>
        </w:rPr>
        <w:t xml:space="preserve">obligaciones de comunicación </w:t>
      </w:r>
      <w:r>
        <w:rPr>
          <w:rFonts w:ascii="Cambria" w:eastAsia="Cambria" w:hAnsi="Cambria" w:cs="Cambria"/>
          <w:sz w:val="20"/>
        </w:rPr>
        <w:t xml:space="preserve">para las CPC?     Sí </w:t>
      </w:r>
      <w:sdt>
        <w:sdtPr>
          <w:rPr>
            <w:rFonts w:ascii="Cambria" w:eastAsia="Cambria" w:hAnsi="Cambria" w:cs="Cambria"/>
            <w:sz w:val="20"/>
          </w:rPr>
          <w:id w:val="279852826"/>
          <w14:checkbox>
            <w14:checked w14:val="0"/>
            <w14:checkedState w14:val="2612" w14:font="MS Gothic"/>
            <w14:uncheckedState w14:val="2610" w14:font="MS Gothic"/>
          </w14:checkbox>
        </w:sdtPr>
        <w:sdtEndPr/>
        <w:sdtContent>
          <w:r>
            <w:rPr>
              <w:rFonts w:ascii="MS Gothic" w:eastAsia="MS Gothic" w:hAnsi="MS Gothic" w:cs="Cambria" w:hint="eastAsia"/>
              <w:sz w:val="20"/>
              <w:lang w:val="en-US"/>
            </w:rPr>
            <w:t>☐</w:t>
          </w:r>
        </w:sdtContent>
      </w:sdt>
      <w:r>
        <w:rPr>
          <w:rFonts w:ascii="Cambria" w:eastAsia="Cambria" w:hAnsi="Cambria" w:cs="Cambria"/>
          <w:sz w:val="20"/>
        </w:rPr>
        <w:tab/>
      </w:r>
      <w:r>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068185848"/>
          <w14:checkbox>
            <w14:checked w14:val="1"/>
            <w14:checkedState w14:val="2612" w14:font="MS Gothic"/>
            <w14:uncheckedState w14:val="2610" w14:font="MS Gothic"/>
          </w14:checkbox>
        </w:sdtPr>
        <w:sdtEndPr/>
        <w:sdtContent>
          <w:r>
            <w:rPr>
              <w:rFonts w:ascii="MS Gothic" w:eastAsia="MS Gothic" w:hAnsi="MS Gothic" w:cs="Cambria" w:hint="eastAsia"/>
              <w:color w:val="FF0000"/>
              <w:spacing w:val="-2"/>
              <w:sz w:val="20"/>
              <w:szCs w:val="20"/>
              <w:lang w:val="en-US"/>
            </w:rPr>
            <w:t>☒</w:t>
          </w:r>
        </w:sdtContent>
      </w:sdt>
    </w:p>
    <w:p w14:paraId="49BAFACF" w14:textId="77777777" w:rsidR="001E49CF" w:rsidRDefault="001E49CF" w:rsidP="001E49CF">
      <w:pPr>
        <w:widowControl w:val="0"/>
        <w:autoSpaceDE w:val="0"/>
        <w:autoSpaceDN w:val="0"/>
        <w:spacing w:line="240" w:lineRule="auto"/>
        <w:rPr>
          <w:rFonts w:ascii="Cambria" w:eastAsia="Cambria" w:hAnsi="Cambria" w:cs="Cambria"/>
          <w:sz w:val="20"/>
          <w:szCs w:val="20"/>
        </w:rPr>
      </w:pPr>
    </w:p>
    <w:p w14:paraId="2534B53C" w14:textId="77777777" w:rsidR="001E49CF" w:rsidRDefault="001E49CF" w:rsidP="001E49CF">
      <w:pPr>
        <w:widowControl w:val="0"/>
        <w:autoSpaceDE w:val="0"/>
        <w:autoSpaceDN w:val="0"/>
        <w:spacing w:line="240" w:lineRule="auto"/>
        <w:ind w:left="426"/>
        <w:jc w:val="both"/>
        <w:rPr>
          <w:rFonts w:ascii="Cambria" w:eastAsia="Cambria" w:hAnsi="Cambria" w:cs="Cambria"/>
          <w:sz w:val="20"/>
          <w:szCs w:val="20"/>
        </w:rPr>
      </w:pPr>
      <w:r>
        <w:rPr>
          <w:rFonts w:ascii="Cambria" w:eastAsia="Cambria" w:hAnsi="Cambria" w:cs="Cambria"/>
          <w:sz w:val="20"/>
        </w:rPr>
        <w:t xml:space="preserve">Breve descripción de la(s) nueva(s) obligación(es) de comunicación: </w:t>
      </w:r>
      <w:r>
        <w:rPr>
          <w:rFonts w:ascii="Cambria" w:eastAsia="Cambria" w:hAnsi="Cambria" w:cs="Cambria"/>
          <w:i/>
          <w:iCs/>
          <w:color w:val="FF0000"/>
          <w:sz w:val="20"/>
        </w:rPr>
        <w:t>Ninguna</w:t>
      </w:r>
    </w:p>
    <w:p w14:paraId="7219970F" w14:textId="77777777" w:rsidR="001E49CF" w:rsidRDefault="001E49CF" w:rsidP="001E49CF">
      <w:pPr>
        <w:widowControl w:val="0"/>
        <w:autoSpaceDE w:val="0"/>
        <w:autoSpaceDN w:val="0"/>
        <w:spacing w:line="240" w:lineRule="auto"/>
        <w:rPr>
          <w:rFonts w:ascii="Cambria" w:eastAsia="Cambria" w:hAnsi="Cambria" w:cs="Cambria"/>
          <w:sz w:val="20"/>
          <w:szCs w:val="20"/>
        </w:rPr>
      </w:pPr>
    </w:p>
    <w:p w14:paraId="5AC5199A" w14:textId="77777777" w:rsidR="001E49CF" w:rsidRDefault="001E49CF" w:rsidP="001E49CF">
      <w:pPr>
        <w:widowControl w:val="0"/>
        <w:autoSpaceDE w:val="0"/>
        <w:autoSpaceDN w:val="0"/>
        <w:spacing w:line="240" w:lineRule="auto"/>
        <w:rPr>
          <w:rFonts w:ascii="Cambria" w:eastAsia="Cambria" w:hAnsi="Cambria" w:cs="Cambria"/>
          <w:sz w:val="20"/>
          <w:szCs w:val="20"/>
        </w:rPr>
      </w:pPr>
    </w:p>
    <w:p w14:paraId="3D05DA66" w14:textId="77777777" w:rsidR="001E49CF" w:rsidRDefault="001E49CF" w:rsidP="001E49CF">
      <w:pPr>
        <w:widowControl w:val="0"/>
        <w:numPr>
          <w:ilvl w:val="0"/>
          <w:numId w:val="4"/>
        </w:numPr>
        <w:tabs>
          <w:tab w:val="left" w:pos="6804"/>
        </w:tabs>
        <w:autoSpaceDE w:val="0"/>
        <w:autoSpaceDN w:val="0"/>
        <w:spacing w:line="240" w:lineRule="auto"/>
        <w:ind w:left="426" w:hanging="426"/>
        <w:jc w:val="both"/>
        <w:rPr>
          <w:rFonts w:ascii="Cambria" w:eastAsia="Cambria" w:hAnsi="Cambria" w:cs="Cambria"/>
          <w:sz w:val="20"/>
          <w:szCs w:val="20"/>
        </w:rPr>
      </w:pPr>
      <w:r>
        <w:rPr>
          <w:rFonts w:ascii="Cambria" w:eastAsia="Cambria" w:hAnsi="Cambria" w:cs="Cambria"/>
          <w:sz w:val="20"/>
        </w:rPr>
        <w:t xml:space="preserve">¿Requiere aportaciones o </w:t>
      </w:r>
      <w:r>
        <w:rPr>
          <w:rFonts w:ascii="Cambria" w:eastAsia="Cambria" w:hAnsi="Cambria" w:cs="Cambria"/>
          <w:b/>
          <w:sz w:val="20"/>
        </w:rPr>
        <w:t xml:space="preserve">trabajo </w:t>
      </w:r>
      <w:r>
        <w:rPr>
          <w:rFonts w:ascii="Cambria" w:eastAsia="Cambria" w:hAnsi="Cambria" w:cs="Cambria"/>
          <w:bCs/>
          <w:sz w:val="20"/>
        </w:rPr>
        <w:t>adicional</w:t>
      </w:r>
      <w:r>
        <w:rPr>
          <w:rFonts w:ascii="Cambria" w:eastAsia="Cambria" w:hAnsi="Cambria" w:cs="Cambria"/>
          <w:b/>
          <w:sz w:val="20"/>
        </w:rPr>
        <w:t xml:space="preserve"> por parte del SCRS</w:t>
      </w:r>
      <w:r>
        <w:rPr>
          <w:rFonts w:ascii="Cambria" w:eastAsia="Cambria" w:hAnsi="Cambria" w:cs="Cambria"/>
          <w:sz w:val="20"/>
        </w:rPr>
        <w:t xml:space="preserve">?  Sí </w:t>
      </w:r>
      <w:sdt>
        <w:sdtPr>
          <w:rPr>
            <w:rFonts w:ascii="Cambria" w:eastAsia="Cambria" w:hAnsi="Cambria" w:cs="Cambria"/>
            <w:sz w:val="20"/>
          </w:rPr>
          <w:id w:val="89124157"/>
          <w14:checkbox>
            <w14:checked w14:val="0"/>
            <w14:checkedState w14:val="2612" w14:font="MS Gothic"/>
            <w14:uncheckedState w14:val="2610" w14:font="MS Gothic"/>
          </w14:checkbox>
        </w:sdtPr>
        <w:sdtEndPr/>
        <w:sdtContent>
          <w:r w:rsidRPr="00E7395C">
            <w:rPr>
              <w:rFonts w:ascii="MS Gothic" w:eastAsia="MS Gothic" w:hAnsi="MS Gothic" w:cs="Cambria" w:hint="eastAsia"/>
              <w:sz w:val="20"/>
            </w:rPr>
            <w:t>☐</w:t>
          </w:r>
        </w:sdtContent>
      </w:sdt>
      <w:r>
        <w:rPr>
          <w:rFonts w:ascii="Cambria" w:eastAsia="Cambria" w:hAnsi="Cambria" w:cs="Cambria"/>
          <w:sz w:val="20"/>
        </w:rPr>
        <w:tab/>
      </w:r>
      <w:r>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209718574"/>
          <w14:checkbox>
            <w14:checked w14:val="1"/>
            <w14:checkedState w14:val="2612" w14:font="MS Gothic"/>
            <w14:uncheckedState w14:val="2610" w14:font="MS Gothic"/>
          </w14:checkbox>
        </w:sdtPr>
        <w:sdtEndPr/>
        <w:sdtContent>
          <w:r w:rsidRPr="00E7395C">
            <w:rPr>
              <w:rFonts w:ascii="MS Gothic" w:eastAsia="MS Gothic" w:hAnsi="MS Gothic" w:cs="Cambria" w:hint="eastAsia"/>
              <w:color w:val="FF0000"/>
              <w:spacing w:val="-2"/>
              <w:sz w:val="20"/>
              <w:szCs w:val="20"/>
            </w:rPr>
            <w:t>☒</w:t>
          </w:r>
        </w:sdtContent>
      </w:sdt>
    </w:p>
    <w:p w14:paraId="24983FEA" w14:textId="77777777" w:rsidR="001E49CF" w:rsidRDefault="001E49CF" w:rsidP="001E49CF">
      <w:pPr>
        <w:widowControl w:val="0"/>
        <w:autoSpaceDE w:val="0"/>
        <w:autoSpaceDN w:val="0"/>
        <w:spacing w:line="240" w:lineRule="auto"/>
        <w:ind w:left="360"/>
        <w:rPr>
          <w:rFonts w:ascii="Cambria" w:eastAsia="Cambria" w:hAnsi="Cambria" w:cs="Cambria"/>
          <w:sz w:val="20"/>
          <w:szCs w:val="20"/>
        </w:rPr>
      </w:pPr>
    </w:p>
    <w:p w14:paraId="7FD8CB12" w14:textId="77777777" w:rsidR="001E49CF" w:rsidRDefault="001E49CF" w:rsidP="001E49CF">
      <w:pPr>
        <w:widowControl w:val="0"/>
        <w:tabs>
          <w:tab w:val="left" w:pos="6804"/>
          <w:tab w:val="left" w:pos="7371"/>
        </w:tabs>
        <w:autoSpaceDE w:val="0"/>
        <w:autoSpaceDN w:val="0"/>
        <w:spacing w:line="240" w:lineRule="auto"/>
        <w:ind w:left="360" w:firstLine="66"/>
        <w:jc w:val="both"/>
        <w:rPr>
          <w:rFonts w:ascii="Cambria" w:eastAsia="Cambria" w:hAnsi="Cambria" w:cs="Cambria"/>
          <w:sz w:val="20"/>
          <w:szCs w:val="20"/>
        </w:rPr>
      </w:pPr>
      <w:r>
        <w:rPr>
          <w:rFonts w:ascii="Cambria" w:eastAsia="Cambria" w:hAnsi="Cambria" w:cs="Cambria"/>
          <w:sz w:val="20"/>
        </w:rPr>
        <w:t>¿Está este trabajo ya incluido en el Plan de trabajo actual del SCRS?</w:t>
      </w:r>
      <w:r>
        <w:rPr>
          <w:rFonts w:ascii="Cambria" w:eastAsia="Cambria" w:hAnsi="Cambria" w:cs="Cambria"/>
          <w:sz w:val="20"/>
        </w:rPr>
        <w:tab/>
        <w:t xml:space="preserve">Sí </w:t>
      </w:r>
      <w:sdt>
        <w:sdtPr>
          <w:rPr>
            <w:rFonts w:ascii="Cambria" w:eastAsia="Cambria" w:hAnsi="Cambria" w:cs="Cambria"/>
            <w:sz w:val="20"/>
          </w:rPr>
          <w:id w:val="-1260672485"/>
          <w14:checkbox>
            <w14:checked w14:val="0"/>
            <w14:checkedState w14:val="2612" w14:font="MS Gothic"/>
            <w14:uncheckedState w14:val="2610" w14:font="MS Gothic"/>
          </w14:checkbox>
        </w:sdtPr>
        <w:sdtEndPr/>
        <w:sdtContent>
          <w:r w:rsidRPr="001E49CF">
            <w:rPr>
              <w:rFonts w:ascii="MS Gothic" w:eastAsia="MS Gothic" w:hAnsi="MS Gothic" w:cs="Cambria" w:hint="eastAsia"/>
              <w:sz w:val="20"/>
            </w:rPr>
            <w:t>☐</w:t>
          </w:r>
        </w:sdtContent>
      </w:sdt>
      <w:r>
        <w:rPr>
          <w:rFonts w:ascii="Cambria" w:eastAsia="Cambria" w:hAnsi="Cambria" w:cs="Cambria"/>
          <w:sz w:val="20"/>
        </w:rPr>
        <w:tab/>
      </w:r>
      <w:r>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818388141"/>
          <w14:checkbox>
            <w14:checked w14:val="1"/>
            <w14:checkedState w14:val="2612" w14:font="MS Gothic"/>
            <w14:uncheckedState w14:val="2610" w14:font="MS Gothic"/>
          </w14:checkbox>
        </w:sdtPr>
        <w:sdtEndPr/>
        <w:sdtContent>
          <w:r w:rsidRPr="001E49CF">
            <w:rPr>
              <w:rFonts w:ascii="MS Gothic" w:eastAsia="MS Gothic" w:hAnsi="MS Gothic" w:cs="Cambria" w:hint="eastAsia"/>
              <w:color w:val="FF0000"/>
              <w:spacing w:val="-2"/>
              <w:sz w:val="20"/>
              <w:szCs w:val="20"/>
            </w:rPr>
            <w:t>☒</w:t>
          </w:r>
        </w:sdtContent>
      </w:sdt>
    </w:p>
    <w:p w14:paraId="3AF3744A" w14:textId="77777777" w:rsidR="001E49CF" w:rsidRDefault="001E49CF" w:rsidP="001E49CF">
      <w:pPr>
        <w:widowControl w:val="0"/>
        <w:autoSpaceDE w:val="0"/>
        <w:autoSpaceDN w:val="0"/>
        <w:spacing w:line="240" w:lineRule="auto"/>
        <w:ind w:left="360"/>
        <w:rPr>
          <w:rFonts w:ascii="Cambria" w:eastAsia="Cambria" w:hAnsi="Cambria" w:cs="Cambria"/>
          <w:sz w:val="20"/>
          <w:szCs w:val="20"/>
        </w:rPr>
      </w:pPr>
    </w:p>
    <w:p w14:paraId="28C11360" w14:textId="77777777" w:rsidR="001E49CF" w:rsidRDefault="001E49CF" w:rsidP="001E49CF">
      <w:pPr>
        <w:widowControl w:val="0"/>
        <w:autoSpaceDE w:val="0"/>
        <w:autoSpaceDN w:val="0"/>
        <w:spacing w:line="240" w:lineRule="auto"/>
        <w:ind w:left="360"/>
        <w:jc w:val="both"/>
        <w:rPr>
          <w:rFonts w:ascii="Cambria" w:eastAsia="Cambria" w:hAnsi="Cambria" w:cs="Cambria"/>
          <w:sz w:val="20"/>
          <w:szCs w:val="20"/>
        </w:rPr>
      </w:pPr>
      <w:r>
        <w:rPr>
          <w:rFonts w:ascii="Cambria" w:eastAsia="Cambria" w:hAnsi="Cambria" w:cs="Cambria"/>
          <w:sz w:val="20"/>
        </w:rPr>
        <w:t xml:space="preserve">Breve descripción del nuevo trabajo científico necesario (es decir, evaluación del stock, análisis, consultor externo): </w:t>
      </w:r>
      <w:r>
        <w:rPr>
          <w:rFonts w:ascii="Cambria" w:eastAsia="Cambria" w:hAnsi="Cambria" w:cs="Cambria"/>
          <w:i/>
          <w:iCs/>
          <w:color w:val="FF0000"/>
          <w:sz w:val="20"/>
        </w:rPr>
        <w:t>Ninguno</w:t>
      </w:r>
    </w:p>
    <w:p w14:paraId="12111136" w14:textId="77777777" w:rsidR="001E49CF" w:rsidRDefault="001E49CF" w:rsidP="001E49CF">
      <w:pPr>
        <w:widowControl w:val="0"/>
        <w:autoSpaceDE w:val="0"/>
        <w:autoSpaceDN w:val="0"/>
        <w:spacing w:line="240" w:lineRule="auto"/>
        <w:ind w:left="318"/>
        <w:rPr>
          <w:rFonts w:ascii="Cambria" w:eastAsia="Cambria" w:hAnsi="Cambria" w:cs="Cambria"/>
          <w:sz w:val="20"/>
          <w:szCs w:val="20"/>
        </w:rPr>
      </w:pPr>
    </w:p>
    <w:p w14:paraId="33CDF519" w14:textId="77777777" w:rsidR="001E49CF" w:rsidRDefault="001E49CF" w:rsidP="001E49CF">
      <w:pPr>
        <w:widowControl w:val="0"/>
        <w:autoSpaceDE w:val="0"/>
        <w:autoSpaceDN w:val="0"/>
        <w:spacing w:line="240" w:lineRule="auto"/>
        <w:ind w:left="318"/>
        <w:rPr>
          <w:rFonts w:ascii="Cambria" w:eastAsia="Cambria" w:hAnsi="Cambria" w:cs="Cambria"/>
          <w:sz w:val="20"/>
          <w:szCs w:val="20"/>
        </w:rPr>
      </w:pPr>
    </w:p>
    <w:p w14:paraId="7F40878F" w14:textId="77777777" w:rsidR="001E49CF" w:rsidRDefault="001E49CF" w:rsidP="001E49CF">
      <w:pPr>
        <w:widowControl w:val="0"/>
        <w:numPr>
          <w:ilvl w:val="0"/>
          <w:numId w:val="4"/>
        </w:numPr>
        <w:autoSpaceDE w:val="0"/>
        <w:autoSpaceDN w:val="0"/>
        <w:spacing w:line="240" w:lineRule="auto"/>
        <w:ind w:left="426" w:hanging="426"/>
        <w:jc w:val="both"/>
        <w:rPr>
          <w:rFonts w:ascii="Cambria" w:eastAsia="Cambria" w:hAnsi="Cambria" w:cs="Cambria"/>
          <w:sz w:val="20"/>
          <w:szCs w:val="20"/>
        </w:rPr>
      </w:pPr>
      <w:r>
        <w:rPr>
          <w:rFonts w:ascii="Cambria" w:eastAsia="Cambria" w:hAnsi="Cambria" w:cs="Cambria"/>
          <w:sz w:val="20"/>
        </w:rPr>
        <w:t xml:space="preserve">¿Implica la creación de un </w:t>
      </w:r>
      <w:r>
        <w:rPr>
          <w:rFonts w:ascii="Cambria" w:eastAsia="Cambria" w:hAnsi="Cambria" w:cs="Cambria"/>
          <w:b/>
          <w:sz w:val="20"/>
        </w:rPr>
        <w:t>nuevo grupo de trabajo o proceso intersesiones</w:t>
      </w:r>
      <w:r>
        <w:rPr>
          <w:rFonts w:ascii="Cambria" w:eastAsia="Cambria" w:hAnsi="Cambria" w:cs="Cambria"/>
          <w:sz w:val="20"/>
        </w:rPr>
        <w:t xml:space="preserve">?    Sí </w:t>
      </w:r>
      <w:sdt>
        <w:sdtPr>
          <w:rPr>
            <w:rFonts w:ascii="Cambria" w:eastAsia="Cambria" w:hAnsi="Cambria" w:cs="Cambria"/>
            <w:sz w:val="20"/>
          </w:rPr>
          <w:id w:val="1144702017"/>
          <w14:checkbox>
            <w14:checked w14:val="0"/>
            <w14:checkedState w14:val="2612" w14:font="MS Gothic"/>
            <w14:uncheckedState w14:val="2610" w14:font="MS Gothic"/>
          </w14:checkbox>
        </w:sdtPr>
        <w:sdtEndPr/>
        <w:sdtContent>
          <w:r>
            <w:rPr>
              <w:rFonts w:ascii="MS Gothic" w:eastAsia="MS Gothic" w:hAnsi="MS Gothic" w:cs="Cambria" w:hint="eastAsia"/>
              <w:sz w:val="20"/>
              <w:lang w:val="en-US"/>
            </w:rPr>
            <w:t>☐</w:t>
          </w:r>
        </w:sdtContent>
      </w:sdt>
      <w:r>
        <w:rPr>
          <w:rFonts w:ascii="Cambria" w:eastAsia="Cambria" w:hAnsi="Cambria" w:cs="Cambria"/>
          <w:sz w:val="20"/>
        </w:rPr>
        <w:tab/>
      </w:r>
      <w:r>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655565838"/>
          <w14:checkbox>
            <w14:checked w14:val="1"/>
            <w14:checkedState w14:val="2612" w14:font="MS Gothic"/>
            <w14:uncheckedState w14:val="2610" w14:font="MS Gothic"/>
          </w14:checkbox>
        </w:sdtPr>
        <w:sdtEndPr/>
        <w:sdtContent>
          <w:r>
            <w:rPr>
              <w:rFonts w:ascii="MS Gothic" w:eastAsia="MS Gothic" w:hAnsi="MS Gothic" w:cs="Cambria" w:hint="eastAsia"/>
              <w:color w:val="FF0000"/>
              <w:spacing w:val="-2"/>
              <w:sz w:val="20"/>
              <w:szCs w:val="20"/>
              <w:lang w:val="en-US"/>
            </w:rPr>
            <w:t>☒</w:t>
          </w:r>
        </w:sdtContent>
      </w:sdt>
    </w:p>
    <w:p w14:paraId="699D8417" w14:textId="77777777" w:rsidR="001E49CF" w:rsidRDefault="001E49CF" w:rsidP="001E49CF">
      <w:pPr>
        <w:widowControl w:val="0"/>
        <w:autoSpaceDE w:val="0"/>
        <w:autoSpaceDN w:val="0"/>
        <w:spacing w:line="240" w:lineRule="auto"/>
        <w:ind w:left="318"/>
        <w:rPr>
          <w:rFonts w:ascii="Cambria" w:eastAsia="Cambria" w:hAnsi="Cambria" w:cs="Cambria"/>
          <w:sz w:val="20"/>
          <w:szCs w:val="20"/>
        </w:rPr>
      </w:pPr>
    </w:p>
    <w:p w14:paraId="5AE14C08" w14:textId="77777777" w:rsidR="001E49CF" w:rsidRDefault="001E49CF" w:rsidP="001E49CF">
      <w:pPr>
        <w:widowControl w:val="0"/>
        <w:autoSpaceDE w:val="0"/>
        <w:autoSpaceDN w:val="0"/>
        <w:spacing w:line="240" w:lineRule="auto"/>
        <w:ind w:left="318"/>
        <w:rPr>
          <w:rFonts w:ascii="Cambria" w:eastAsia="Cambria" w:hAnsi="Cambria" w:cs="Cambria"/>
          <w:sz w:val="20"/>
          <w:szCs w:val="20"/>
        </w:rPr>
      </w:pPr>
    </w:p>
    <w:p w14:paraId="102EBB68" w14:textId="77777777" w:rsidR="001E49CF" w:rsidRDefault="001E49CF" w:rsidP="001E49CF">
      <w:pPr>
        <w:widowControl w:val="0"/>
        <w:numPr>
          <w:ilvl w:val="0"/>
          <w:numId w:val="4"/>
        </w:numPr>
        <w:autoSpaceDE w:val="0"/>
        <w:autoSpaceDN w:val="0"/>
        <w:spacing w:line="240" w:lineRule="auto"/>
        <w:ind w:left="426" w:hanging="426"/>
        <w:jc w:val="both"/>
        <w:rPr>
          <w:rFonts w:ascii="Cambria" w:eastAsia="Cambria" w:hAnsi="Cambria" w:cs="Cambria"/>
          <w:sz w:val="20"/>
          <w:szCs w:val="20"/>
        </w:rPr>
      </w:pPr>
      <w:r>
        <w:rPr>
          <w:rFonts w:ascii="Cambria" w:eastAsia="Cambria" w:hAnsi="Cambria" w:cs="Cambria"/>
          <w:sz w:val="20"/>
        </w:rPr>
        <w:t xml:space="preserve">¿Requiere un nuevo </w:t>
      </w:r>
      <w:r>
        <w:rPr>
          <w:rFonts w:ascii="Cambria" w:eastAsia="Cambria" w:hAnsi="Cambria" w:cs="Cambria"/>
          <w:b/>
          <w:sz w:val="20"/>
        </w:rPr>
        <w:t>programa o actividades adicionales que deba gestionar la Secretaría</w:t>
      </w:r>
      <w:r>
        <w:rPr>
          <w:rFonts w:ascii="Cambria" w:eastAsia="Cambria" w:hAnsi="Cambria" w:cs="Cambria"/>
          <w:sz w:val="20"/>
        </w:rPr>
        <w:t xml:space="preserve">?  </w:t>
      </w:r>
    </w:p>
    <w:p w14:paraId="6BD838DB" w14:textId="77777777" w:rsidR="001E49CF" w:rsidRDefault="001E49CF" w:rsidP="001E49CF">
      <w:pPr>
        <w:widowControl w:val="0"/>
        <w:autoSpaceDE w:val="0"/>
        <w:autoSpaceDN w:val="0"/>
        <w:spacing w:line="240" w:lineRule="auto"/>
        <w:ind w:left="426"/>
        <w:rPr>
          <w:rFonts w:ascii="Cambria" w:eastAsia="Cambria" w:hAnsi="Cambria" w:cs="Cambria"/>
          <w:spacing w:val="-2"/>
          <w:sz w:val="20"/>
          <w:szCs w:val="20"/>
        </w:rPr>
      </w:pPr>
    </w:p>
    <w:p w14:paraId="610A0C9D" w14:textId="77777777" w:rsidR="001E49CF" w:rsidRDefault="001E49CF" w:rsidP="001E49CF">
      <w:pPr>
        <w:widowControl w:val="0"/>
        <w:autoSpaceDE w:val="0"/>
        <w:autoSpaceDN w:val="0"/>
        <w:spacing w:line="240" w:lineRule="auto"/>
        <w:ind w:left="318"/>
        <w:rPr>
          <w:rFonts w:ascii="Cambria" w:eastAsia="Cambria" w:hAnsi="Cambria" w:cs="Cambria"/>
          <w:color w:val="FF0000"/>
          <w:spacing w:val="-2"/>
          <w:sz w:val="20"/>
          <w:szCs w:val="20"/>
        </w:rPr>
      </w:pPr>
      <w:r>
        <w:rPr>
          <w:rFonts w:ascii="Cambria" w:eastAsia="Cambria" w:hAnsi="Cambria" w:cs="Cambria"/>
          <w:sz w:val="20"/>
        </w:rPr>
        <w:t xml:space="preserve">   Sí </w:t>
      </w:r>
      <w:sdt>
        <w:sdtPr>
          <w:rPr>
            <w:rFonts w:ascii="Cambria" w:eastAsia="Cambria" w:hAnsi="Cambria" w:cs="Cambria"/>
            <w:sz w:val="20"/>
          </w:rPr>
          <w:id w:val="1536081079"/>
          <w14:checkbox>
            <w14:checked w14:val="0"/>
            <w14:checkedState w14:val="2612" w14:font="MS Gothic"/>
            <w14:uncheckedState w14:val="2610" w14:font="MS Gothic"/>
          </w14:checkbox>
        </w:sdtPr>
        <w:sdtEndPr/>
        <w:sdtContent>
          <w:r w:rsidRPr="001E49CF">
            <w:rPr>
              <w:rFonts w:ascii="MS Gothic" w:eastAsia="MS Gothic" w:hAnsi="MS Gothic" w:cs="Cambria" w:hint="eastAsia"/>
              <w:sz w:val="20"/>
            </w:rPr>
            <w:t>☐</w:t>
          </w:r>
        </w:sdtContent>
      </w:sdt>
      <w:r>
        <w:rPr>
          <w:rFonts w:ascii="Cambria" w:eastAsia="Cambria" w:hAnsi="Cambria" w:cs="Cambria"/>
          <w:sz w:val="20"/>
        </w:rPr>
        <w:tab/>
      </w:r>
      <w:r>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560759300"/>
          <w14:checkbox>
            <w14:checked w14:val="1"/>
            <w14:checkedState w14:val="2612" w14:font="MS Gothic"/>
            <w14:uncheckedState w14:val="2610" w14:font="MS Gothic"/>
          </w14:checkbox>
        </w:sdtPr>
        <w:sdtEndPr/>
        <w:sdtContent>
          <w:r w:rsidRPr="001E49CF">
            <w:rPr>
              <w:rFonts w:ascii="MS Gothic" w:eastAsia="MS Gothic" w:hAnsi="MS Gothic" w:cs="Cambria" w:hint="eastAsia"/>
              <w:color w:val="FF0000"/>
              <w:spacing w:val="-2"/>
              <w:sz w:val="20"/>
              <w:szCs w:val="20"/>
            </w:rPr>
            <w:t>☒</w:t>
          </w:r>
        </w:sdtContent>
      </w:sdt>
    </w:p>
    <w:p w14:paraId="5992C1F8" w14:textId="77777777" w:rsidR="001E49CF" w:rsidRDefault="001E49CF" w:rsidP="001E49CF">
      <w:pPr>
        <w:widowControl w:val="0"/>
        <w:autoSpaceDE w:val="0"/>
        <w:autoSpaceDN w:val="0"/>
        <w:spacing w:line="240" w:lineRule="auto"/>
        <w:ind w:left="318"/>
        <w:rPr>
          <w:rFonts w:ascii="Cambria" w:eastAsia="Cambria" w:hAnsi="Cambria" w:cs="Cambria"/>
          <w:sz w:val="20"/>
          <w:szCs w:val="20"/>
        </w:rPr>
      </w:pPr>
    </w:p>
    <w:p w14:paraId="6E282640" w14:textId="77777777" w:rsidR="001E49CF" w:rsidRDefault="001E49CF" w:rsidP="001E49CF">
      <w:pPr>
        <w:widowControl w:val="0"/>
        <w:autoSpaceDE w:val="0"/>
        <w:autoSpaceDN w:val="0"/>
        <w:spacing w:line="240" w:lineRule="auto"/>
        <w:ind w:left="360" w:firstLine="66"/>
        <w:jc w:val="both"/>
        <w:rPr>
          <w:rFonts w:ascii="Cambria" w:eastAsia="Cambria" w:hAnsi="Cambria" w:cs="Cambria"/>
          <w:spacing w:val="-2"/>
          <w:sz w:val="20"/>
          <w:szCs w:val="20"/>
        </w:rPr>
      </w:pPr>
      <w:r>
        <w:rPr>
          <w:rFonts w:ascii="Cambria" w:eastAsia="Cambria" w:hAnsi="Cambria" w:cs="Cambria"/>
          <w:sz w:val="20"/>
        </w:rPr>
        <w:t xml:space="preserve">Breve descripción del nuevo trabajo necesario de la Secretaría: </w:t>
      </w:r>
      <w:r>
        <w:rPr>
          <w:rFonts w:ascii="Cambria" w:eastAsia="Cambria" w:hAnsi="Cambria" w:cs="Cambria"/>
          <w:i/>
          <w:iCs/>
          <w:color w:val="FF0000"/>
          <w:sz w:val="20"/>
        </w:rPr>
        <w:t>Ninguno</w:t>
      </w:r>
    </w:p>
    <w:p w14:paraId="15505951" w14:textId="77777777" w:rsidR="001E49CF" w:rsidRDefault="001E49CF" w:rsidP="001E49CF">
      <w:pPr>
        <w:widowControl w:val="0"/>
        <w:autoSpaceDE w:val="0"/>
        <w:autoSpaceDN w:val="0"/>
        <w:spacing w:line="240" w:lineRule="auto"/>
        <w:rPr>
          <w:rFonts w:ascii="Cambria" w:eastAsia="Cambria" w:hAnsi="Cambria" w:cs="Cambria"/>
          <w:spacing w:val="-2"/>
          <w:sz w:val="20"/>
          <w:szCs w:val="20"/>
        </w:rPr>
      </w:pPr>
    </w:p>
    <w:p w14:paraId="467F39D7" w14:textId="77777777" w:rsidR="001E49CF" w:rsidRDefault="001E49CF" w:rsidP="001E49CF">
      <w:pPr>
        <w:widowControl w:val="0"/>
        <w:autoSpaceDE w:val="0"/>
        <w:autoSpaceDN w:val="0"/>
        <w:spacing w:line="240" w:lineRule="auto"/>
        <w:rPr>
          <w:rFonts w:ascii="Cambria" w:eastAsia="Cambria" w:hAnsi="Cambria" w:cs="Cambria"/>
          <w:spacing w:val="-2"/>
          <w:sz w:val="20"/>
          <w:szCs w:val="20"/>
        </w:rPr>
      </w:pPr>
    </w:p>
    <w:p w14:paraId="19DAB68A" w14:textId="77777777" w:rsidR="001E49CF" w:rsidRDefault="001E49CF" w:rsidP="001E49CF">
      <w:pPr>
        <w:widowControl w:val="0"/>
        <w:autoSpaceDE w:val="0"/>
        <w:autoSpaceDN w:val="0"/>
        <w:spacing w:line="240" w:lineRule="auto"/>
        <w:rPr>
          <w:rFonts w:ascii="Cambria" w:eastAsia="Cambria" w:hAnsi="Cambria" w:cs="Cambria"/>
          <w:spacing w:val="-2"/>
          <w:sz w:val="20"/>
          <w:szCs w:val="20"/>
        </w:rPr>
      </w:pPr>
    </w:p>
    <w:p w14:paraId="76997FE8" w14:textId="77777777" w:rsidR="001E49CF" w:rsidRDefault="001E49CF" w:rsidP="001E49CF">
      <w:pPr>
        <w:widowControl w:val="0"/>
        <w:numPr>
          <w:ilvl w:val="0"/>
          <w:numId w:val="4"/>
        </w:numPr>
        <w:autoSpaceDE w:val="0"/>
        <w:autoSpaceDN w:val="0"/>
        <w:spacing w:line="240" w:lineRule="auto"/>
        <w:ind w:left="426" w:hanging="426"/>
        <w:jc w:val="both"/>
        <w:rPr>
          <w:rFonts w:ascii="Cambria" w:eastAsia="Cambria" w:hAnsi="Cambria" w:cs="Cambria"/>
          <w:spacing w:val="-2"/>
          <w:sz w:val="20"/>
          <w:szCs w:val="20"/>
        </w:rPr>
      </w:pPr>
      <w:r>
        <w:rPr>
          <w:rFonts w:ascii="Cambria" w:eastAsia="Cambria" w:hAnsi="Cambria" w:cs="Cambria"/>
          <w:sz w:val="20"/>
        </w:rPr>
        <w:t>¿Cuál es el calendario propuesto para la implementación? ¿Existen distintos calendarios específicos para determinadas CPC, pesquerías, regiones, etc.?</w:t>
      </w:r>
    </w:p>
    <w:p w14:paraId="79CCD4D3" w14:textId="77777777" w:rsidR="001E49CF" w:rsidRDefault="001E49CF" w:rsidP="001E49CF">
      <w:pPr>
        <w:widowControl w:val="0"/>
        <w:autoSpaceDE w:val="0"/>
        <w:autoSpaceDN w:val="0"/>
        <w:spacing w:line="240" w:lineRule="auto"/>
        <w:ind w:left="426"/>
        <w:jc w:val="both"/>
        <w:rPr>
          <w:rFonts w:ascii="Cambria" w:eastAsia="Cambria" w:hAnsi="Cambria" w:cs="Cambria"/>
          <w:spacing w:val="-2"/>
          <w:sz w:val="20"/>
          <w:szCs w:val="20"/>
        </w:rPr>
      </w:pPr>
    </w:p>
    <w:p w14:paraId="420D9212" w14:textId="77777777" w:rsidR="001E49CF" w:rsidRDefault="001E49CF" w:rsidP="001E49CF">
      <w:pPr>
        <w:widowControl w:val="0"/>
        <w:autoSpaceDE w:val="0"/>
        <w:autoSpaceDN w:val="0"/>
        <w:spacing w:line="240" w:lineRule="auto"/>
        <w:ind w:left="426"/>
        <w:rPr>
          <w:rFonts w:ascii="Cambria" w:eastAsia="Cambria" w:hAnsi="Cambria" w:cs="Cambria"/>
          <w:i/>
          <w:iCs/>
          <w:color w:val="FF0000"/>
          <w:spacing w:val="-2"/>
          <w:sz w:val="20"/>
          <w:szCs w:val="20"/>
        </w:rPr>
      </w:pPr>
      <w:r>
        <w:rPr>
          <w:rFonts w:ascii="Cambria" w:eastAsia="Cambria" w:hAnsi="Cambria" w:cs="Cambria"/>
          <w:i/>
          <w:iCs/>
          <w:color w:val="FF0000"/>
          <w:spacing w:val="-2"/>
          <w:sz w:val="20"/>
          <w:szCs w:val="20"/>
        </w:rPr>
        <w:t>La medida entraría en vigor seis meses después de la notificación a las CPC, de conformidad con el Convenio de ICCAT.</w:t>
      </w:r>
    </w:p>
    <w:p w14:paraId="1DA99A47" w14:textId="77777777" w:rsidR="001E49CF" w:rsidRDefault="001E49CF" w:rsidP="001E49CF">
      <w:pPr>
        <w:widowControl w:val="0"/>
        <w:autoSpaceDE w:val="0"/>
        <w:autoSpaceDN w:val="0"/>
        <w:spacing w:line="240" w:lineRule="auto"/>
        <w:rPr>
          <w:rFonts w:ascii="Cambria" w:eastAsia="Cambria" w:hAnsi="Cambria" w:cs="Cambria"/>
          <w:b/>
          <w:bCs/>
          <w:spacing w:val="-2"/>
          <w:sz w:val="20"/>
          <w:szCs w:val="20"/>
        </w:rPr>
      </w:pPr>
    </w:p>
    <w:p w14:paraId="0E905230" w14:textId="77777777" w:rsidR="001E49CF" w:rsidRDefault="001E49CF" w:rsidP="001E49CF">
      <w:pPr>
        <w:widowControl w:val="0"/>
        <w:numPr>
          <w:ilvl w:val="0"/>
          <w:numId w:val="4"/>
        </w:numPr>
        <w:autoSpaceDE w:val="0"/>
        <w:autoSpaceDN w:val="0"/>
        <w:spacing w:line="240" w:lineRule="auto"/>
        <w:ind w:left="426" w:hanging="426"/>
        <w:jc w:val="both"/>
        <w:rPr>
          <w:rFonts w:ascii="Cambria" w:eastAsia="Cambria" w:hAnsi="Cambria" w:cs="Cambria"/>
          <w:spacing w:val="-2"/>
          <w:sz w:val="20"/>
          <w:szCs w:val="20"/>
        </w:rPr>
      </w:pPr>
      <w:r>
        <w:rPr>
          <w:rFonts w:ascii="Cambria" w:eastAsia="Cambria" w:hAnsi="Cambria" w:cs="Cambria"/>
          <w:sz w:val="20"/>
        </w:rPr>
        <w:t>¿Hay alguna otra información pertinente sobre las repercusiones de la propuesta en lo referente a los recursos y a la carga de trabajo?</w:t>
      </w:r>
    </w:p>
    <w:p w14:paraId="51ADBE59" w14:textId="77777777" w:rsidR="001E49CF" w:rsidRDefault="001E49CF" w:rsidP="001E49CF">
      <w:pPr>
        <w:widowControl w:val="0"/>
        <w:autoSpaceDE w:val="0"/>
        <w:autoSpaceDN w:val="0"/>
        <w:spacing w:line="240" w:lineRule="auto"/>
        <w:ind w:left="426"/>
        <w:rPr>
          <w:rFonts w:ascii="Cambria" w:eastAsia="Cambria" w:hAnsi="Cambria" w:cs="Cambria"/>
          <w:spacing w:val="-2"/>
          <w:sz w:val="20"/>
          <w:szCs w:val="20"/>
        </w:rPr>
      </w:pPr>
    </w:p>
    <w:p w14:paraId="116C3E0B" w14:textId="77777777" w:rsidR="001E49CF" w:rsidRDefault="001E49CF" w:rsidP="001E49CF">
      <w:pPr>
        <w:widowControl w:val="0"/>
        <w:autoSpaceDE w:val="0"/>
        <w:autoSpaceDN w:val="0"/>
        <w:spacing w:line="240" w:lineRule="auto"/>
        <w:ind w:left="426"/>
        <w:jc w:val="both"/>
        <w:rPr>
          <w:rFonts w:ascii="Cambria" w:eastAsia="Cambria" w:hAnsi="Cambria" w:cs="Cambria"/>
          <w:i/>
          <w:color w:val="FF0000"/>
          <w:sz w:val="20"/>
        </w:rPr>
      </w:pPr>
      <w:r>
        <w:rPr>
          <w:rFonts w:ascii="Cambria" w:eastAsia="Cambria" w:hAnsi="Cambria" w:cs="Cambria"/>
          <w:i/>
          <w:color w:val="FF0000"/>
          <w:sz w:val="20"/>
        </w:rPr>
        <w:t>Ninguna</w:t>
      </w:r>
    </w:p>
    <w:p w14:paraId="0094DA15" w14:textId="77777777" w:rsidR="001E49CF" w:rsidRDefault="001E49CF" w:rsidP="001E49CF">
      <w:pPr>
        <w:widowControl w:val="0"/>
        <w:autoSpaceDE w:val="0"/>
        <w:autoSpaceDN w:val="0"/>
        <w:spacing w:line="240" w:lineRule="auto"/>
        <w:ind w:left="426"/>
        <w:jc w:val="both"/>
        <w:rPr>
          <w:rFonts w:ascii="Cambria" w:eastAsia="Cambria" w:hAnsi="Cambria" w:cs="Cambria"/>
          <w:i/>
          <w:sz w:val="20"/>
        </w:rPr>
      </w:pPr>
    </w:p>
    <w:p w14:paraId="431C6BF8" w14:textId="77777777" w:rsidR="001E49CF" w:rsidRDefault="001E49CF">
      <w:pPr>
        <w:rPr>
          <w:rFonts w:asciiTheme="minorHAnsi" w:hAnsiTheme="minorHAnsi"/>
          <w:sz w:val="20"/>
          <w:szCs w:val="20"/>
        </w:rPr>
      </w:pPr>
      <w:r>
        <w:rPr>
          <w:rFonts w:asciiTheme="minorHAnsi" w:hAnsiTheme="minorHAnsi"/>
          <w:sz w:val="20"/>
          <w:szCs w:val="20"/>
        </w:rPr>
        <w:br w:type="page"/>
      </w:r>
    </w:p>
    <w:p w14:paraId="1B051097" w14:textId="27C831F8" w:rsidR="00E7395C" w:rsidRDefault="00E7395C" w:rsidP="00E7395C">
      <w:pPr>
        <w:spacing w:line="240" w:lineRule="exact"/>
        <w:jc w:val="right"/>
        <w:rPr>
          <w:rFonts w:asciiTheme="minorHAnsi" w:hAnsiTheme="minorHAnsi"/>
          <w:b/>
          <w:sz w:val="20"/>
          <w:szCs w:val="20"/>
        </w:rPr>
      </w:pPr>
      <w:bookmarkStart w:id="0" w:name="_Hlk211597968"/>
      <w:r>
        <w:rPr>
          <w:rFonts w:asciiTheme="minorHAnsi" w:hAnsiTheme="minorHAnsi"/>
          <w:b/>
          <w:sz w:val="20"/>
          <w:szCs w:val="20"/>
        </w:rPr>
        <w:lastRenderedPageBreak/>
        <w:t>Original: inglés</w:t>
      </w:r>
    </w:p>
    <w:p w14:paraId="7AA8B1DD" w14:textId="77777777" w:rsidR="00E7395C" w:rsidRDefault="00E7395C" w:rsidP="00E7395C">
      <w:pPr>
        <w:spacing w:line="240" w:lineRule="exact"/>
        <w:jc w:val="right"/>
        <w:rPr>
          <w:rFonts w:asciiTheme="minorHAnsi" w:hAnsiTheme="minorHAnsi"/>
          <w:b/>
          <w:sz w:val="20"/>
          <w:szCs w:val="20"/>
        </w:rPr>
      </w:pPr>
    </w:p>
    <w:p w14:paraId="11F80866" w14:textId="54715635" w:rsidR="000A1D02" w:rsidRPr="00F70217" w:rsidRDefault="00124B94" w:rsidP="008C5731">
      <w:pPr>
        <w:spacing w:line="240" w:lineRule="exact"/>
        <w:jc w:val="center"/>
        <w:rPr>
          <w:rFonts w:asciiTheme="minorHAnsi" w:hAnsiTheme="minorHAnsi"/>
          <w:b/>
          <w:sz w:val="20"/>
          <w:szCs w:val="20"/>
        </w:rPr>
      </w:pPr>
      <w:r w:rsidRPr="00F70217">
        <w:rPr>
          <w:rFonts w:asciiTheme="minorHAnsi" w:hAnsiTheme="minorHAnsi"/>
          <w:b/>
          <w:sz w:val="20"/>
          <w:szCs w:val="20"/>
        </w:rPr>
        <w:t>Proyecto de Recomendación de ICCAT sobre</w:t>
      </w:r>
      <w:r w:rsidR="00CA44D4" w:rsidRPr="00F70217">
        <w:rPr>
          <w:rFonts w:asciiTheme="minorHAnsi" w:hAnsiTheme="minorHAnsi"/>
          <w:b/>
          <w:sz w:val="20"/>
          <w:szCs w:val="20"/>
        </w:rPr>
        <w:t xml:space="preserve"> acuerdos de</w:t>
      </w:r>
      <w:r w:rsidRPr="00F70217">
        <w:rPr>
          <w:rFonts w:asciiTheme="minorHAnsi" w:hAnsiTheme="minorHAnsi"/>
          <w:b/>
          <w:sz w:val="20"/>
          <w:szCs w:val="20"/>
        </w:rPr>
        <w:t xml:space="preserve"> fletamento </w:t>
      </w:r>
      <w:r w:rsidR="00CA44D4" w:rsidRPr="00F70217">
        <w:rPr>
          <w:rFonts w:asciiTheme="minorHAnsi" w:hAnsiTheme="minorHAnsi"/>
          <w:b/>
          <w:sz w:val="20"/>
          <w:szCs w:val="20"/>
        </w:rPr>
        <w:br/>
      </w:r>
      <w:r w:rsidRPr="00F70217">
        <w:rPr>
          <w:rFonts w:asciiTheme="minorHAnsi" w:hAnsiTheme="minorHAnsi"/>
          <w:b/>
          <w:sz w:val="20"/>
          <w:szCs w:val="20"/>
        </w:rPr>
        <w:t>de buques y acuerdos de acceso</w:t>
      </w:r>
    </w:p>
    <w:bookmarkEnd w:id="0"/>
    <w:p w14:paraId="616AA4A4" w14:textId="77777777" w:rsidR="00CA44D4" w:rsidRPr="00F70217" w:rsidRDefault="00CA44D4" w:rsidP="00CA1049">
      <w:pPr>
        <w:spacing w:line="240" w:lineRule="exact"/>
        <w:jc w:val="center"/>
        <w:rPr>
          <w:rFonts w:asciiTheme="minorHAnsi" w:eastAsia="Times New Roman" w:hAnsiTheme="minorHAnsi" w:cs="Times New Roman"/>
          <w:b/>
          <w:bCs/>
          <w:sz w:val="20"/>
          <w:szCs w:val="20"/>
        </w:rPr>
      </w:pPr>
    </w:p>
    <w:p w14:paraId="11F80867" w14:textId="79472594" w:rsidR="000A1D02" w:rsidRPr="00F70217" w:rsidRDefault="009D63E2" w:rsidP="008D06DF">
      <w:pPr>
        <w:spacing w:line="240" w:lineRule="exact"/>
        <w:jc w:val="center"/>
        <w:rPr>
          <w:rFonts w:asciiTheme="minorHAnsi" w:eastAsia="Times New Roman" w:hAnsiTheme="minorHAnsi" w:cs="Times New Roman"/>
          <w:i/>
          <w:iCs/>
          <w:sz w:val="20"/>
          <w:szCs w:val="20"/>
        </w:rPr>
      </w:pPr>
      <w:r w:rsidRPr="00F70217">
        <w:rPr>
          <w:rFonts w:asciiTheme="minorHAnsi" w:hAnsiTheme="minorHAnsi"/>
          <w:i/>
          <w:iCs/>
          <w:sz w:val="20"/>
          <w:szCs w:val="20"/>
        </w:rPr>
        <w:t>(presentado por Estados Unidos)</w:t>
      </w:r>
    </w:p>
    <w:p w14:paraId="11F80868" w14:textId="77777777" w:rsidR="000A1D02" w:rsidRPr="00F70217" w:rsidRDefault="000A1D02" w:rsidP="008D4142">
      <w:pPr>
        <w:spacing w:line="240" w:lineRule="exact"/>
        <w:ind w:firstLine="284"/>
        <w:jc w:val="both"/>
        <w:rPr>
          <w:rFonts w:asciiTheme="minorHAnsi" w:eastAsia="Times New Roman" w:hAnsiTheme="minorHAnsi" w:cs="Times New Roman"/>
          <w:sz w:val="20"/>
          <w:szCs w:val="20"/>
        </w:rPr>
      </w:pPr>
    </w:p>
    <w:p w14:paraId="11F80869" w14:textId="77777777" w:rsidR="000A1D02" w:rsidRPr="005179FD" w:rsidRDefault="009D63E2" w:rsidP="008D4142">
      <w:pPr>
        <w:spacing w:line="240" w:lineRule="exact"/>
        <w:ind w:firstLine="284"/>
        <w:jc w:val="both"/>
        <w:rPr>
          <w:rFonts w:asciiTheme="minorHAnsi" w:eastAsia="Times New Roman" w:hAnsiTheme="minorHAnsi" w:cs="Times New Roman"/>
          <w:sz w:val="20"/>
          <w:szCs w:val="20"/>
        </w:rPr>
      </w:pPr>
      <w:r w:rsidRPr="00F70217">
        <w:rPr>
          <w:rFonts w:asciiTheme="minorHAnsi" w:hAnsiTheme="minorHAnsi"/>
          <w:i/>
          <w:iCs/>
          <w:sz w:val="20"/>
          <w:szCs w:val="20"/>
        </w:rPr>
        <w:t>RECONOCIENDO</w:t>
      </w:r>
      <w:r w:rsidRPr="00F70217">
        <w:rPr>
          <w:rFonts w:asciiTheme="minorHAnsi" w:hAnsiTheme="minorHAnsi"/>
          <w:sz w:val="20"/>
          <w:szCs w:val="20"/>
        </w:rPr>
        <w:t xml:space="preserve"> que según el Convenio de ICCAT, las Partes contratantes cooperarán para mantener las </w:t>
      </w:r>
      <w:r w:rsidRPr="005179FD">
        <w:rPr>
          <w:rFonts w:asciiTheme="minorHAnsi" w:hAnsiTheme="minorHAnsi"/>
          <w:sz w:val="20"/>
          <w:szCs w:val="20"/>
        </w:rPr>
        <w:t xml:space="preserve">poblaciones de túnidos y especies afines a niveles que permitan la captura máxima sostenible; </w:t>
      </w:r>
    </w:p>
    <w:p w14:paraId="11F8086A" w14:textId="77777777" w:rsidR="000A1D02" w:rsidRPr="005179FD" w:rsidRDefault="000A1D02" w:rsidP="008D4142">
      <w:pPr>
        <w:spacing w:line="240" w:lineRule="exact"/>
        <w:ind w:firstLine="284"/>
        <w:jc w:val="both"/>
        <w:rPr>
          <w:rFonts w:asciiTheme="minorHAnsi" w:eastAsia="Times New Roman" w:hAnsiTheme="minorHAnsi" w:cs="Times New Roman"/>
          <w:sz w:val="20"/>
          <w:szCs w:val="20"/>
        </w:rPr>
      </w:pPr>
    </w:p>
    <w:p w14:paraId="11F8086B" w14:textId="6EDE8879" w:rsidR="000A1D02" w:rsidRPr="005179FD" w:rsidRDefault="009D63E2" w:rsidP="008D4142">
      <w:pPr>
        <w:spacing w:line="240" w:lineRule="exact"/>
        <w:ind w:firstLine="284"/>
        <w:jc w:val="both"/>
        <w:rPr>
          <w:rFonts w:asciiTheme="minorHAnsi" w:eastAsia="Times New Roman" w:hAnsiTheme="minorHAnsi" w:cs="Times New Roman"/>
          <w:sz w:val="20"/>
          <w:szCs w:val="20"/>
        </w:rPr>
      </w:pPr>
      <w:r w:rsidRPr="005179FD">
        <w:rPr>
          <w:rFonts w:asciiTheme="minorHAnsi" w:hAnsiTheme="minorHAnsi"/>
          <w:i/>
          <w:iCs/>
          <w:sz w:val="20"/>
          <w:szCs w:val="20"/>
        </w:rPr>
        <w:t>RECORDANDO</w:t>
      </w:r>
      <w:r w:rsidRPr="005179FD">
        <w:rPr>
          <w:rFonts w:asciiTheme="minorHAnsi" w:hAnsiTheme="minorHAnsi"/>
          <w:sz w:val="20"/>
          <w:szCs w:val="20"/>
        </w:rPr>
        <w:t xml:space="preserve"> que, de acuerdo con el Artículo 92 de la Convención de Naciones</w:t>
      </w:r>
      <w:r w:rsidR="00CA44D4" w:rsidRPr="005179FD">
        <w:rPr>
          <w:rFonts w:asciiTheme="minorHAnsi" w:hAnsiTheme="minorHAnsi"/>
          <w:sz w:val="20"/>
          <w:szCs w:val="20"/>
        </w:rPr>
        <w:t xml:space="preserve"> Unidas</w:t>
      </w:r>
      <w:r w:rsidRPr="005179FD">
        <w:rPr>
          <w:rFonts w:asciiTheme="minorHAnsi" w:hAnsiTheme="minorHAnsi"/>
          <w:sz w:val="20"/>
          <w:szCs w:val="20"/>
        </w:rPr>
        <w:t xml:space="preserve"> sobre el Derecho del Mar, del 10 de diciembre de 1982, los buques deberán navegar bajo pabellón de un solo Estado y deberán estar sujetos a su jurisdicción exclusiva en alta mar, excepto cuando otros instrumentos internacionales pertinentes dispongan lo contrario; </w:t>
      </w:r>
    </w:p>
    <w:p w14:paraId="11F8086C" w14:textId="77777777" w:rsidR="000A1D02" w:rsidRPr="005179FD" w:rsidRDefault="000A1D02" w:rsidP="008D4142">
      <w:pPr>
        <w:spacing w:line="240" w:lineRule="exact"/>
        <w:ind w:firstLine="284"/>
        <w:jc w:val="both"/>
        <w:rPr>
          <w:rFonts w:asciiTheme="minorHAnsi" w:eastAsia="Times New Roman" w:hAnsiTheme="minorHAnsi" w:cs="Times New Roman"/>
          <w:sz w:val="20"/>
          <w:szCs w:val="20"/>
        </w:rPr>
      </w:pPr>
    </w:p>
    <w:p w14:paraId="11F8086D" w14:textId="5518313E" w:rsidR="000A1D02" w:rsidRPr="005179FD" w:rsidRDefault="009D63E2" w:rsidP="008D4142">
      <w:pPr>
        <w:spacing w:line="240" w:lineRule="exact"/>
        <w:ind w:firstLine="284"/>
        <w:jc w:val="both"/>
        <w:rPr>
          <w:rFonts w:asciiTheme="minorHAnsi" w:eastAsia="Times New Roman" w:hAnsiTheme="minorHAnsi" w:cs="Times New Roman"/>
          <w:sz w:val="20"/>
          <w:szCs w:val="20"/>
        </w:rPr>
      </w:pPr>
      <w:r w:rsidRPr="005179FD">
        <w:rPr>
          <w:rFonts w:asciiTheme="minorHAnsi" w:hAnsiTheme="minorHAnsi"/>
          <w:i/>
          <w:sz w:val="20"/>
          <w:szCs w:val="20"/>
        </w:rPr>
        <w:t>CONSCIENTE</w:t>
      </w:r>
      <w:r w:rsidRPr="005179FD">
        <w:rPr>
          <w:rFonts w:asciiTheme="minorHAnsi" w:hAnsiTheme="minorHAnsi"/>
          <w:sz w:val="20"/>
          <w:szCs w:val="20"/>
        </w:rPr>
        <w:t xml:space="preserve"> de los requisitos en materia de comunicación de datos para todas las </w:t>
      </w:r>
      <w:r w:rsidR="005239B3" w:rsidRPr="005179FD">
        <w:rPr>
          <w:rFonts w:asciiTheme="minorHAnsi" w:hAnsiTheme="minorHAnsi"/>
          <w:color w:val="000000"/>
          <w:sz w:val="20"/>
          <w:szCs w:val="20"/>
        </w:rPr>
        <w:t>Partes contratantes y Partes, Entidades y Entidades pesqueras no contratantes colaboradoras (CPC)</w:t>
      </w:r>
      <w:r w:rsidR="005239B3" w:rsidRPr="005179FD">
        <w:rPr>
          <w:rFonts w:asciiTheme="minorHAnsi" w:hAnsiTheme="minorHAnsi"/>
          <w:sz w:val="20"/>
          <w:szCs w:val="20"/>
        </w:rPr>
        <w:t xml:space="preserve"> </w:t>
      </w:r>
      <w:r w:rsidRPr="005179FD">
        <w:rPr>
          <w:rFonts w:asciiTheme="minorHAnsi" w:hAnsiTheme="minorHAnsi"/>
          <w:sz w:val="20"/>
          <w:szCs w:val="20"/>
        </w:rPr>
        <w:t xml:space="preserve">y de la importancia, para el trabajo del SCRS y de la Comisión, de comunicar estadísticas completas; </w:t>
      </w:r>
    </w:p>
    <w:p w14:paraId="11F8086E" w14:textId="77777777" w:rsidR="000A1D02" w:rsidRPr="005179FD" w:rsidRDefault="000A1D02" w:rsidP="008D4142">
      <w:pPr>
        <w:spacing w:line="240" w:lineRule="exact"/>
        <w:ind w:firstLine="284"/>
        <w:jc w:val="both"/>
        <w:rPr>
          <w:rFonts w:asciiTheme="minorHAnsi" w:eastAsia="Times New Roman" w:hAnsiTheme="minorHAnsi" w:cs="Times New Roman"/>
          <w:sz w:val="20"/>
          <w:szCs w:val="20"/>
        </w:rPr>
      </w:pPr>
    </w:p>
    <w:p w14:paraId="11F8086F" w14:textId="77777777" w:rsidR="000A1D02" w:rsidRPr="005179FD" w:rsidRDefault="009D63E2" w:rsidP="008D4142">
      <w:pPr>
        <w:spacing w:line="240" w:lineRule="exact"/>
        <w:ind w:firstLine="284"/>
        <w:jc w:val="both"/>
        <w:rPr>
          <w:rFonts w:asciiTheme="minorHAnsi" w:eastAsia="Times New Roman" w:hAnsiTheme="minorHAnsi" w:cs="Times New Roman"/>
          <w:sz w:val="20"/>
          <w:szCs w:val="20"/>
        </w:rPr>
      </w:pPr>
      <w:r w:rsidRPr="005179FD">
        <w:rPr>
          <w:rFonts w:asciiTheme="minorHAnsi" w:hAnsiTheme="minorHAnsi"/>
          <w:i/>
          <w:iCs/>
          <w:sz w:val="20"/>
          <w:szCs w:val="20"/>
        </w:rPr>
        <w:t>CONSTATANDO</w:t>
      </w:r>
      <w:r w:rsidRPr="005179FD">
        <w:rPr>
          <w:rFonts w:asciiTheme="minorHAnsi" w:hAnsiTheme="minorHAnsi"/>
          <w:sz w:val="20"/>
          <w:szCs w:val="20"/>
        </w:rPr>
        <w:t xml:space="preserve"> la necesidad e interés de todos los Estados en el desarrollo de sus flotas pesqueras para sacar el mayor partido a las oportunidades de pesca de las que disponen de conformidad con las recomendaciones pertinentes de ICCAT; </w:t>
      </w:r>
    </w:p>
    <w:p w14:paraId="11F80870" w14:textId="77777777" w:rsidR="000A1D02" w:rsidRPr="005179FD" w:rsidRDefault="000A1D02" w:rsidP="008D4142">
      <w:pPr>
        <w:spacing w:line="240" w:lineRule="exact"/>
        <w:ind w:firstLine="284"/>
        <w:jc w:val="both"/>
        <w:rPr>
          <w:rFonts w:asciiTheme="minorHAnsi" w:eastAsia="Times New Roman" w:hAnsiTheme="minorHAnsi" w:cs="Times New Roman"/>
          <w:sz w:val="20"/>
          <w:szCs w:val="20"/>
        </w:rPr>
      </w:pPr>
    </w:p>
    <w:p w14:paraId="11F80871" w14:textId="77777777" w:rsidR="000A1D02" w:rsidRPr="005179FD" w:rsidRDefault="009D63E2" w:rsidP="008D4142">
      <w:pPr>
        <w:spacing w:line="240" w:lineRule="exact"/>
        <w:ind w:firstLine="284"/>
        <w:jc w:val="both"/>
        <w:rPr>
          <w:rFonts w:asciiTheme="minorHAnsi" w:eastAsia="Times New Roman" w:hAnsiTheme="minorHAnsi" w:cs="Times New Roman"/>
          <w:sz w:val="20"/>
          <w:szCs w:val="20"/>
        </w:rPr>
      </w:pPr>
      <w:r w:rsidRPr="005179FD">
        <w:rPr>
          <w:rFonts w:asciiTheme="minorHAnsi" w:hAnsiTheme="minorHAnsi"/>
          <w:i/>
          <w:iCs/>
          <w:sz w:val="20"/>
          <w:szCs w:val="20"/>
        </w:rPr>
        <w:t>CONSCIENTE</w:t>
      </w:r>
      <w:r w:rsidRPr="005179FD">
        <w:rPr>
          <w:rFonts w:asciiTheme="minorHAnsi" w:hAnsiTheme="minorHAnsi"/>
          <w:sz w:val="20"/>
          <w:szCs w:val="20"/>
        </w:rPr>
        <w:t xml:space="preserve"> de que, a menos que se regulen adecuadamente, las prácticas de los acuerdos de acceso y de los acuerdos de fletamento podrían socavar gravemente la eficacia de las medidas de conservación y ordenación establecidas por ICCAT; </w:t>
      </w:r>
    </w:p>
    <w:p w14:paraId="11F80872" w14:textId="77777777" w:rsidR="000A1D02" w:rsidRPr="005179FD" w:rsidRDefault="000A1D02" w:rsidP="008D4142">
      <w:pPr>
        <w:spacing w:line="240" w:lineRule="exact"/>
        <w:ind w:firstLine="284"/>
        <w:jc w:val="both"/>
        <w:rPr>
          <w:rFonts w:asciiTheme="minorHAnsi" w:eastAsia="Times New Roman" w:hAnsiTheme="minorHAnsi" w:cs="Times New Roman"/>
          <w:sz w:val="20"/>
          <w:szCs w:val="20"/>
        </w:rPr>
      </w:pPr>
    </w:p>
    <w:p w14:paraId="11F80873" w14:textId="77777777" w:rsidR="000A1D02" w:rsidRPr="005179FD" w:rsidRDefault="009D63E2" w:rsidP="008D4142">
      <w:pPr>
        <w:spacing w:line="240" w:lineRule="exact"/>
        <w:ind w:firstLine="284"/>
        <w:jc w:val="both"/>
        <w:rPr>
          <w:rFonts w:asciiTheme="minorHAnsi" w:eastAsia="Times New Roman" w:hAnsiTheme="minorHAnsi" w:cs="Times New Roman"/>
          <w:sz w:val="20"/>
          <w:szCs w:val="20"/>
        </w:rPr>
      </w:pPr>
      <w:r w:rsidRPr="005179FD">
        <w:rPr>
          <w:rFonts w:asciiTheme="minorHAnsi" w:hAnsiTheme="minorHAnsi"/>
          <w:i/>
          <w:sz w:val="20"/>
          <w:szCs w:val="20"/>
        </w:rPr>
        <w:t>CONSCIENTE</w:t>
      </w:r>
      <w:r w:rsidRPr="005179FD">
        <w:rPr>
          <w:rFonts w:asciiTheme="minorHAnsi" w:hAnsiTheme="minorHAnsi"/>
          <w:sz w:val="20"/>
          <w:szCs w:val="20"/>
        </w:rPr>
        <w:t xml:space="preserve"> de la necesidad de garantizar la transparencia entre las CPC respecto a las condiciones para acceder a las aguas de los Estados costeros, especialmente con miras a facilitar los esfuerzos conjuntos para luchar contra la pesca ilegal, no declarada y no reglamentada; </w:t>
      </w:r>
    </w:p>
    <w:p w14:paraId="11F80874" w14:textId="77777777" w:rsidR="000A1D02" w:rsidRPr="005179FD" w:rsidRDefault="000A1D02" w:rsidP="008D4142">
      <w:pPr>
        <w:spacing w:line="240" w:lineRule="exact"/>
        <w:ind w:firstLine="284"/>
        <w:jc w:val="both"/>
        <w:rPr>
          <w:rFonts w:asciiTheme="minorHAnsi" w:eastAsia="Times New Roman" w:hAnsiTheme="minorHAnsi" w:cs="Times New Roman"/>
          <w:i/>
          <w:iCs/>
          <w:sz w:val="20"/>
          <w:szCs w:val="20"/>
        </w:rPr>
      </w:pPr>
    </w:p>
    <w:p w14:paraId="11F80875" w14:textId="4EABC145" w:rsidR="000A1D02" w:rsidRPr="005179FD" w:rsidRDefault="009D63E2" w:rsidP="008D4142">
      <w:pPr>
        <w:spacing w:line="240" w:lineRule="exact"/>
        <w:ind w:firstLine="284"/>
        <w:jc w:val="both"/>
        <w:rPr>
          <w:rFonts w:asciiTheme="minorHAnsi" w:eastAsia="Times New Roman" w:hAnsiTheme="minorHAnsi" w:cs="Times New Roman"/>
          <w:sz w:val="20"/>
          <w:szCs w:val="20"/>
        </w:rPr>
      </w:pPr>
      <w:r w:rsidRPr="005179FD">
        <w:rPr>
          <w:rFonts w:asciiTheme="minorHAnsi" w:hAnsiTheme="minorHAnsi"/>
          <w:i/>
          <w:iCs/>
          <w:sz w:val="20"/>
          <w:szCs w:val="20"/>
        </w:rPr>
        <w:t>RECORDANDO</w:t>
      </w:r>
      <w:r w:rsidRPr="005179FD">
        <w:rPr>
          <w:rFonts w:asciiTheme="minorHAnsi" w:hAnsiTheme="minorHAnsi"/>
          <w:sz w:val="20"/>
          <w:szCs w:val="20"/>
        </w:rPr>
        <w:t xml:space="preserve"> la </w:t>
      </w:r>
      <w:r w:rsidRPr="005179FD">
        <w:rPr>
          <w:rFonts w:asciiTheme="minorHAnsi" w:hAnsiTheme="minorHAnsi"/>
          <w:i/>
          <w:iCs/>
          <w:sz w:val="20"/>
          <w:szCs w:val="20"/>
        </w:rPr>
        <w:t>Recomendación de ICCAT respecto a los deberes de las Partes contratantes, y Partes, Entidades o Entidades pesqueras no contratantes colaboradoras en relación con sus barcos que pescan en la zona del Convenio ICCA</w:t>
      </w:r>
      <w:r w:rsidRPr="005179FD">
        <w:rPr>
          <w:rFonts w:asciiTheme="minorHAnsi" w:hAnsiTheme="minorHAnsi"/>
          <w:sz w:val="20"/>
          <w:szCs w:val="20"/>
        </w:rPr>
        <w:t>T (Rec. 03-12), que requiere que las CPC garanticen que sus buques no realicen actividades de pesca no autorizadas en las zonas bajo la jurisdicción nacional de otros Estados, mediante la cooperación adecuada con los Estados costeros afectados y otros medid</w:t>
      </w:r>
      <w:r w:rsidR="006E62BC" w:rsidRPr="005179FD">
        <w:rPr>
          <w:rFonts w:asciiTheme="minorHAnsi" w:hAnsiTheme="minorHAnsi"/>
          <w:sz w:val="20"/>
          <w:szCs w:val="20"/>
        </w:rPr>
        <w:t>a</w:t>
      </w:r>
      <w:r w:rsidRPr="005179FD">
        <w:rPr>
          <w:rFonts w:asciiTheme="minorHAnsi" w:hAnsiTheme="minorHAnsi"/>
          <w:sz w:val="20"/>
          <w:szCs w:val="20"/>
        </w:rPr>
        <w:t>s pertinentes disponibles para la CPC del pabellón;</w:t>
      </w:r>
    </w:p>
    <w:p w14:paraId="11F80877" w14:textId="77777777" w:rsidR="000A1D02" w:rsidRPr="005179FD" w:rsidRDefault="000A1D02" w:rsidP="00B61B4B">
      <w:pPr>
        <w:spacing w:line="240" w:lineRule="exact"/>
        <w:jc w:val="both"/>
        <w:rPr>
          <w:rFonts w:asciiTheme="minorHAnsi" w:eastAsia="Times New Roman" w:hAnsiTheme="minorHAnsi" w:cs="Times New Roman"/>
          <w:sz w:val="20"/>
          <w:szCs w:val="20"/>
        </w:rPr>
      </w:pPr>
    </w:p>
    <w:p w14:paraId="11F80878" w14:textId="1CC48F4C" w:rsidR="000A1D02" w:rsidRPr="005179FD" w:rsidRDefault="009D63E2" w:rsidP="00094E8A">
      <w:pPr>
        <w:spacing w:line="240" w:lineRule="exact"/>
        <w:jc w:val="center"/>
        <w:rPr>
          <w:rFonts w:asciiTheme="minorHAnsi" w:eastAsia="Times New Roman" w:hAnsiTheme="minorHAnsi" w:cs="Times New Roman"/>
          <w:sz w:val="20"/>
          <w:szCs w:val="20"/>
        </w:rPr>
      </w:pPr>
      <w:r w:rsidRPr="005179FD">
        <w:rPr>
          <w:rFonts w:asciiTheme="minorHAnsi" w:hAnsiTheme="minorHAnsi"/>
          <w:sz w:val="20"/>
          <w:szCs w:val="20"/>
        </w:rPr>
        <w:t xml:space="preserve">LA COMISIÓN INTERNACIONAL PARA LA CONSERVACIÓN </w:t>
      </w:r>
    </w:p>
    <w:p w14:paraId="11F80879" w14:textId="3BBA200A" w:rsidR="000A1D02" w:rsidRPr="005179FD" w:rsidRDefault="009D63E2" w:rsidP="00094E8A">
      <w:pPr>
        <w:spacing w:line="240" w:lineRule="exact"/>
        <w:jc w:val="center"/>
        <w:rPr>
          <w:rFonts w:asciiTheme="minorHAnsi" w:eastAsia="Times New Roman" w:hAnsiTheme="minorHAnsi" w:cs="Times New Roman"/>
          <w:sz w:val="20"/>
          <w:szCs w:val="20"/>
        </w:rPr>
      </w:pPr>
      <w:r w:rsidRPr="005179FD">
        <w:rPr>
          <w:rFonts w:asciiTheme="minorHAnsi" w:hAnsiTheme="minorHAnsi"/>
          <w:sz w:val="20"/>
          <w:szCs w:val="20"/>
        </w:rPr>
        <w:t>DEL ATÚN ATLÁNTICO (ICCAT) RECOMIENDA LO SIGUIENTE:</w:t>
      </w:r>
    </w:p>
    <w:p w14:paraId="11F8087A" w14:textId="77777777" w:rsidR="000A1D02" w:rsidRPr="005179FD" w:rsidRDefault="000A1D02" w:rsidP="00B61B4B">
      <w:pPr>
        <w:spacing w:line="240" w:lineRule="exact"/>
        <w:jc w:val="both"/>
        <w:rPr>
          <w:rFonts w:asciiTheme="minorHAnsi" w:eastAsia="Times New Roman" w:hAnsiTheme="minorHAnsi" w:cs="Times New Roman"/>
          <w:sz w:val="20"/>
          <w:szCs w:val="20"/>
        </w:rPr>
      </w:pPr>
    </w:p>
    <w:p w14:paraId="11F8087B" w14:textId="77777777" w:rsidR="000A1D02" w:rsidRPr="005179FD" w:rsidRDefault="009D63E2" w:rsidP="00B61B4B">
      <w:pPr>
        <w:spacing w:line="240" w:lineRule="exact"/>
        <w:jc w:val="both"/>
        <w:rPr>
          <w:rFonts w:asciiTheme="minorHAnsi" w:eastAsia="Times New Roman" w:hAnsiTheme="minorHAnsi" w:cs="Times New Roman"/>
          <w:b/>
          <w:sz w:val="20"/>
          <w:szCs w:val="20"/>
        </w:rPr>
      </w:pPr>
      <w:r w:rsidRPr="005179FD">
        <w:rPr>
          <w:rFonts w:asciiTheme="minorHAnsi" w:hAnsiTheme="minorHAnsi"/>
          <w:b/>
          <w:sz w:val="20"/>
          <w:szCs w:val="20"/>
        </w:rPr>
        <w:t xml:space="preserve">Acuerdos de fletamento </w:t>
      </w:r>
    </w:p>
    <w:p w14:paraId="11F8087C" w14:textId="77777777" w:rsidR="000A1D02" w:rsidRPr="005179FD" w:rsidRDefault="000A1D02" w:rsidP="00B61B4B">
      <w:pPr>
        <w:spacing w:line="240" w:lineRule="exact"/>
        <w:jc w:val="both"/>
        <w:rPr>
          <w:rFonts w:asciiTheme="minorHAnsi" w:eastAsia="Times New Roman" w:hAnsiTheme="minorHAnsi" w:cs="Times New Roman"/>
          <w:b/>
          <w:sz w:val="20"/>
          <w:szCs w:val="20"/>
        </w:rPr>
      </w:pPr>
      <w:bookmarkStart w:id="1" w:name="_heading=h.76lhq5hzjdul"/>
      <w:bookmarkEnd w:id="1"/>
    </w:p>
    <w:p w14:paraId="11F8087D" w14:textId="1C25FFE7" w:rsidR="000A1D02" w:rsidRPr="005179FD" w:rsidRDefault="009D63E2" w:rsidP="00094E8A">
      <w:pPr>
        <w:numPr>
          <w:ilvl w:val="0"/>
          <w:numId w:val="1"/>
        </w:numPr>
        <w:pBdr>
          <w:top w:val="nil"/>
          <w:left w:val="nil"/>
          <w:bottom w:val="nil"/>
          <w:right w:val="nil"/>
          <w:between w:val="nil"/>
        </w:pBdr>
        <w:tabs>
          <w:tab w:val="left" w:pos="426"/>
        </w:tabs>
        <w:spacing w:line="240" w:lineRule="exact"/>
        <w:ind w:left="426" w:hanging="426"/>
        <w:jc w:val="both"/>
        <w:rPr>
          <w:rFonts w:asciiTheme="minorHAnsi" w:eastAsia="Times New Roman" w:hAnsiTheme="minorHAnsi" w:cs="Times New Roman"/>
          <w:color w:val="000000"/>
          <w:sz w:val="20"/>
          <w:szCs w:val="20"/>
        </w:rPr>
      </w:pPr>
      <w:r w:rsidRPr="005179FD">
        <w:rPr>
          <w:rFonts w:asciiTheme="minorHAnsi" w:hAnsiTheme="minorHAnsi"/>
          <w:color w:val="000000"/>
          <w:sz w:val="20"/>
          <w:szCs w:val="20"/>
        </w:rPr>
        <w:t>Las Partes contratantes y Partes, Entidades y Entidades pesqueras no contratantes colaboradoras (CPC) se asegurarán de que el fletamento de los buques pesqueros que participan en las pesquerías de ICCAT se realiza de conformidad con las siguientes disposiciones</w:t>
      </w:r>
      <w:r w:rsidR="00485BB2" w:rsidRPr="005179FD">
        <w:rPr>
          <w:rFonts w:asciiTheme="minorHAnsi" w:hAnsiTheme="minorHAnsi"/>
          <w:color w:val="000000"/>
          <w:sz w:val="20"/>
          <w:szCs w:val="20"/>
        </w:rPr>
        <w:t xml:space="preserve">, </w:t>
      </w:r>
      <w:r w:rsidR="00485BB2" w:rsidRPr="005179FD">
        <w:rPr>
          <w:rFonts w:ascii="Cambria" w:hAnsi="Cambria"/>
          <w:color w:val="000000"/>
          <w:sz w:val="20"/>
        </w:rPr>
        <w:t>excepto en el caso de fletamento a casco desnudo, al que se hace referencia en el párrafo [1bis]</w:t>
      </w:r>
      <w:r w:rsidRPr="005179FD">
        <w:rPr>
          <w:rFonts w:asciiTheme="minorHAnsi" w:hAnsiTheme="minorHAnsi"/>
          <w:color w:val="000000"/>
          <w:sz w:val="20"/>
          <w:szCs w:val="20"/>
        </w:rPr>
        <w:t>.</w:t>
      </w:r>
    </w:p>
    <w:p w14:paraId="03D7B25E" w14:textId="77777777" w:rsidR="00485BB2" w:rsidRPr="005179FD" w:rsidRDefault="00485BB2" w:rsidP="00485BB2">
      <w:pPr>
        <w:pBdr>
          <w:top w:val="nil"/>
          <w:left w:val="nil"/>
          <w:bottom w:val="nil"/>
          <w:right w:val="nil"/>
          <w:between w:val="nil"/>
        </w:pBdr>
        <w:tabs>
          <w:tab w:val="left" w:pos="426"/>
        </w:tabs>
        <w:spacing w:line="240" w:lineRule="exact"/>
        <w:jc w:val="both"/>
        <w:rPr>
          <w:rFonts w:asciiTheme="minorHAnsi" w:hAnsiTheme="minorHAnsi"/>
          <w:color w:val="000000"/>
          <w:sz w:val="20"/>
          <w:szCs w:val="20"/>
        </w:rPr>
      </w:pPr>
    </w:p>
    <w:p w14:paraId="7EBCAFD2" w14:textId="52F761D4" w:rsidR="00485BB2" w:rsidRPr="005179FD" w:rsidRDefault="00485BB2" w:rsidP="00485BB2">
      <w:pPr>
        <w:pBdr>
          <w:top w:val="nil"/>
          <w:left w:val="nil"/>
          <w:bottom w:val="nil"/>
          <w:right w:val="nil"/>
          <w:between w:val="nil"/>
        </w:pBdr>
        <w:tabs>
          <w:tab w:val="left" w:pos="426"/>
        </w:tabs>
        <w:spacing w:line="240" w:lineRule="exact"/>
        <w:ind w:left="426" w:hanging="426"/>
        <w:jc w:val="both"/>
        <w:rPr>
          <w:rFonts w:asciiTheme="minorHAnsi" w:eastAsia="Times New Roman" w:hAnsiTheme="minorHAnsi" w:cs="Times New Roman"/>
          <w:color w:val="000000"/>
          <w:sz w:val="20"/>
          <w:szCs w:val="20"/>
        </w:rPr>
      </w:pPr>
      <w:r w:rsidRPr="005179FD">
        <w:rPr>
          <w:rFonts w:ascii="Cambria" w:hAnsi="Cambria"/>
          <w:sz w:val="20"/>
        </w:rPr>
        <w:t>1</w:t>
      </w:r>
      <w:r w:rsidR="005239B3" w:rsidRPr="005179FD">
        <w:rPr>
          <w:rFonts w:ascii="Cambria" w:hAnsi="Cambria"/>
          <w:sz w:val="20"/>
        </w:rPr>
        <w:t>(</w:t>
      </w:r>
      <w:r w:rsidRPr="005179FD">
        <w:rPr>
          <w:rFonts w:ascii="Cambria" w:hAnsi="Cambria"/>
          <w:sz w:val="20"/>
        </w:rPr>
        <w:t>bis</w:t>
      </w:r>
      <w:r w:rsidR="005239B3" w:rsidRPr="005179FD">
        <w:rPr>
          <w:rFonts w:ascii="Cambria" w:hAnsi="Cambria"/>
          <w:sz w:val="20"/>
        </w:rPr>
        <w:t>)</w:t>
      </w:r>
      <w:r w:rsidRPr="005179FD">
        <w:rPr>
          <w:rFonts w:ascii="Cambria" w:hAnsi="Cambria"/>
          <w:sz w:val="20"/>
        </w:rPr>
        <w:t>. Las disposiciones de esta medida no se aplican en el caso de fletamento a casco desnudo cuando un buque cambia temporalmente de pabellón al de la CPC fletadora</w:t>
      </w:r>
      <w:r w:rsidRPr="005179FD">
        <w:rPr>
          <w:rFonts w:ascii="Cambria" w:hAnsi="Cambria"/>
          <w:b/>
          <w:bCs/>
          <w:sz w:val="20"/>
        </w:rPr>
        <w:t xml:space="preserve">, </w:t>
      </w:r>
      <w:r w:rsidRPr="005179FD">
        <w:rPr>
          <w:rFonts w:ascii="Cambria" w:hAnsi="Cambria"/>
          <w:sz w:val="20"/>
        </w:rPr>
        <w:t>aunque la CPC fletadora será responsable de todas las obligaciones de ICCAT con respecto al buque fletado</w:t>
      </w:r>
      <w:r w:rsidRPr="005179FD">
        <w:rPr>
          <w:rFonts w:ascii="Cambria" w:hAnsi="Cambria"/>
          <w:b/>
          <w:bCs/>
          <w:sz w:val="20"/>
        </w:rPr>
        <w:t>.</w:t>
      </w:r>
    </w:p>
    <w:p w14:paraId="11F8087E"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7F" w14:textId="009B7CFA" w:rsidR="000A1D02" w:rsidRPr="005179FD" w:rsidRDefault="009D63E2" w:rsidP="00094E8A">
      <w:pPr>
        <w:numPr>
          <w:ilvl w:val="0"/>
          <w:numId w:val="1"/>
        </w:numPr>
        <w:pBdr>
          <w:top w:val="nil"/>
          <w:left w:val="nil"/>
          <w:bottom w:val="nil"/>
          <w:right w:val="nil"/>
          <w:between w:val="nil"/>
        </w:pBdr>
        <w:tabs>
          <w:tab w:val="left" w:pos="426"/>
        </w:tabs>
        <w:spacing w:line="240" w:lineRule="exact"/>
        <w:ind w:left="426" w:hanging="426"/>
        <w:jc w:val="both"/>
        <w:rPr>
          <w:rFonts w:asciiTheme="minorHAnsi" w:eastAsia="Times New Roman" w:hAnsiTheme="minorHAnsi" w:cs="Times New Roman"/>
          <w:color w:val="000000"/>
          <w:sz w:val="20"/>
          <w:szCs w:val="20"/>
        </w:rPr>
      </w:pPr>
      <w:r w:rsidRPr="005179FD">
        <w:rPr>
          <w:rFonts w:asciiTheme="minorHAnsi" w:hAnsiTheme="minorHAnsi"/>
          <w:color w:val="000000"/>
          <w:sz w:val="20"/>
          <w:szCs w:val="20"/>
        </w:rPr>
        <w:t xml:space="preserve">Las naciones </w:t>
      </w:r>
      <w:r w:rsidR="00BB0438" w:rsidRPr="005179FD">
        <w:rPr>
          <w:rFonts w:asciiTheme="minorHAnsi" w:hAnsiTheme="minorHAnsi"/>
          <w:color w:val="000000"/>
          <w:sz w:val="20"/>
          <w:szCs w:val="20"/>
        </w:rPr>
        <w:t>fletadoras</w:t>
      </w:r>
      <w:r w:rsidRPr="005179FD">
        <w:rPr>
          <w:rFonts w:asciiTheme="minorHAnsi" w:hAnsiTheme="minorHAnsi"/>
          <w:color w:val="000000"/>
          <w:sz w:val="20"/>
          <w:szCs w:val="20"/>
        </w:rPr>
        <w:t xml:space="preserve"> serán Partes contratantes del Convenio de ICCAT. La empresa </w:t>
      </w:r>
      <w:r w:rsidR="00BB0438" w:rsidRPr="005179FD">
        <w:rPr>
          <w:rFonts w:asciiTheme="minorHAnsi" w:hAnsiTheme="minorHAnsi"/>
          <w:color w:val="000000"/>
          <w:sz w:val="20"/>
          <w:szCs w:val="20"/>
        </w:rPr>
        <w:t xml:space="preserve">fletadora </w:t>
      </w:r>
      <w:r w:rsidRPr="005179FD">
        <w:rPr>
          <w:rFonts w:asciiTheme="minorHAnsi" w:hAnsiTheme="minorHAnsi"/>
          <w:color w:val="000000"/>
          <w:sz w:val="20"/>
          <w:szCs w:val="20"/>
        </w:rPr>
        <w:t xml:space="preserve">debe estar legítimamente establecida en la Parte contratante </w:t>
      </w:r>
      <w:r w:rsidR="00BB0438" w:rsidRPr="005179FD">
        <w:rPr>
          <w:rFonts w:asciiTheme="minorHAnsi" w:hAnsiTheme="minorHAnsi"/>
          <w:color w:val="000000"/>
          <w:sz w:val="20"/>
          <w:szCs w:val="20"/>
        </w:rPr>
        <w:t>fletadora</w:t>
      </w:r>
      <w:r w:rsidRPr="005179FD">
        <w:rPr>
          <w:rFonts w:asciiTheme="minorHAnsi" w:hAnsiTheme="minorHAnsi"/>
          <w:color w:val="000000"/>
          <w:sz w:val="20"/>
          <w:szCs w:val="20"/>
        </w:rPr>
        <w:t xml:space="preserve">. </w:t>
      </w:r>
    </w:p>
    <w:p w14:paraId="11F80880"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1" w14:textId="0D894074" w:rsidR="000A1D02" w:rsidRPr="005179FD"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Los buques pesqueros que se fletan deben </w:t>
      </w:r>
      <w:r w:rsidR="006E62BC" w:rsidRPr="005179FD">
        <w:rPr>
          <w:rFonts w:asciiTheme="minorHAnsi" w:hAnsiTheme="minorHAnsi"/>
          <w:sz w:val="20"/>
          <w:szCs w:val="20"/>
        </w:rPr>
        <w:t xml:space="preserve">enarbolar </w:t>
      </w:r>
      <w:r w:rsidR="008C5731" w:rsidRPr="005179FD">
        <w:rPr>
          <w:rFonts w:asciiTheme="minorHAnsi" w:hAnsiTheme="minorHAnsi"/>
          <w:sz w:val="20"/>
          <w:szCs w:val="20"/>
        </w:rPr>
        <w:t xml:space="preserve">únicamente </w:t>
      </w:r>
      <w:r w:rsidR="006E62BC" w:rsidRPr="005179FD">
        <w:rPr>
          <w:rFonts w:asciiTheme="minorHAnsi" w:hAnsiTheme="minorHAnsi"/>
          <w:sz w:val="20"/>
          <w:szCs w:val="20"/>
        </w:rPr>
        <w:t xml:space="preserve">pabellón de </w:t>
      </w:r>
      <w:r w:rsidRPr="005179FD">
        <w:rPr>
          <w:rFonts w:asciiTheme="minorHAnsi" w:hAnsiTheme="minorHAnsi"/>
          <w:sz w:val="20"/>
          <w:szCs w:val="20"/>
        </w:rPr>
        <w:t xml:space="preserve">CPC responsables, </w:t>
      </w:r>
      <w:r w:rsidR="008C5731" w:rsidRPr="005179FD">
        <w:rPr>
          <w:rFonts w:asciiTheme="minorHAnsi" w:hAnsiTheme="minorHAnsi"/>
          <w:sz w:val="20"/>
          <w:szCs w:val="20"/>
        </w:rPr>
        <w:t xml:space="preserve"> teniendo en cuenta la </w:t>
      </w:r>
      <w:r w:rsidRPr="005179FD">
        <w:rPr>
          <w:rFonts w:asciiTheme="minorHAnsi" w:hAnsiTheme="minorHAnsi"/>
          <w:sz w:val="20"/>
          <w:szCs w:val="20"/>
        </w:rPr>
        <w:t>Rec. 03-12.</w:t>
      </w:r>
    </w:p>
    <w:p w14:paraId="11F80882"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3" w14:textId="64369DAE" w:rsidR="000A1D02" w:rsidRPr="005179FD"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lastRenderedPageBreak/>
        <w:t>La Parte contratante fletadora y la CPC de</w:t>
      </w:r>
      <w:r w:rsidR="00B46050" w:rsidRPr="005179FD">
        <w:rPr>
          <w:rFonts w:asciiTheme="minorHAnsi" w:hAnsiTheme="minorHAnsi"/>
          <w:sz w:val="20"/>
          <w:szCs w:val="20"/>
        </w:rPr>
        <w:t>l</w:t>
      </w:r>
      <w:r w:rsidRPr="005179FD">
        <w:rPr>
          <w:rFonts w:asciiTheme="minorHAnsi" w:hAnsiTheme="minorHAnsi"/>
          <w:sz w:val="20"/>
          <w:szCs w:val="20"/>
        </w:rPr>
        <w:t xml:space="preserve"> pabellón garantizarán el cumplimiento por parte de los buques fletados de las medidas pertinentes de conservación y ordenación establecidas por ICCAT, de conformidad con sus derechos, obligaciones y jurisdicción en el marco del derecho internacional. </w:t>
      </w:r>
    </w:p>
    <w:p w14:paraId="11F80884"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5" w14:textId="77777777" w:rsidR="000A1D02" w:rsidRPr="005179FD"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Las capturas realizadas en virtud del acuerdo de fletamento de buques en las pesquerías de ICCAT se imputarán a la cuota o a las posibilidades de pesca de la Parte contratante fletadora. </w:t>
      </w:r>
    </w:p>
    <w:p w14:paraId="11F80886"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7" w14:textId="6A116FEB" w:rsidR="000A1D02" w:rsidRPr="005179FD"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La Parte contratante fletadora comunicará a ICCAT las capturas y </w:t>
      </w:r>
      <w:r w:rsidR="008C5731" w:rsidRPr="005179FD">
        <w:rPr>
          <w:rFonts w:asciiTheme="minorHAnsi" w:hAnsiTheme="minorHAnsi"/>
          <w:sz w:val="20"/>
          <w:szCs w:val="20"/>
        </w:rPr>
        <w:t xml:space="preserve">cumplirá con el resto de obligaciones en materia de comunicación de información </w:t>
      </w:r>
      <w:r w:rsidRPr="005179FD">
        <w:rPr>
          <w:rFonts w:asciiTheme="minorHAnsi" w:hAnsiTheme="minorHAnsi"/>
          <w:sz w:val="20"/>
          <w:szCs w:val="20"/>
        </w:rPr>
        <w:t xml:space="preserve">requeridas por ICCAT. </w:t>
      </w:r>
    </w:p>
    <w:p w14:paraId="11F80888"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9" w14:textId="4D335CF8" w:rsidR="000A1D02" w:rsidRPr="005179FD"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La Parte contratante fletadora requerirá que las capturas retenidas durante los acuerdos de fletamento se distingan de otras capturas hasta el punto del primer desembarque mediante, entre otras cosas, la separación de las capturas en bodegas diferentes, el marcado de los peces</w:t>
      </w:r>
      <w:r w:rsidR="008C5731" w:rsidRPr="005179FD">
        <w:rPr>
          <w:rFonts w:asciiTheme="minorHAnsi" w:hAnsiTheme="minorHAnsi"/>
          <w:sz w:val="20"/>
          <w:szCs w:val="20"/>
        </w:rPr>
        <w:t>, el mantenimiento de un registro detallado</w:t>
      </w:r>
      <w:r w:rsidRPr="005179FD">
        <w:rPr>
          <w:rFonts w:asciiTheme="minorHAnsi" w:hAnsiTheme="minorHAnsi"/>
          <w:sz w:val="20"/>
          <w:szCs w:val="20"/>
        </w:rPr>
        <w:t xml:space="preserve"> u otros medios eficaces. </w:t>
      </w:r>
    </w:p>
    <w:p w14:paraId="11F8088A"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B" w14:textId="3675B631" w:rsidR="000A1D02" w:rsidRPr="005179FD"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La </w:t>
      </w:r>
      <w:r w:rsidR="00E06B78" w:rsidRPr="005179FD">
        <w:rPr>
          <w:rFonts w:asciiTheme="minorHAnsi" w:hAnsiTheme="minorHAnsi"/>
          <w:sz w:val="20"/>
          <w:szCs w:val="20"/>
        </w:rPr>
        <w:t xml:space="preserve">Parte contratante fletadora garantizará una </w:t>
      </w:r>
      <w:r w:rsidRPr="005179FD">
        <w:rPr>
          <w:rFonts w:asciiTheme="minorHAnsi" w:hAnsiTheme="minorHAnsi"/>
          <w:sz w:val="20"/>
          <w:szCs w:val="20"/>
        </w:rPr>
        <w:t>cobertura de observadores de al menos el 10 % del esfuerzo pesquero</w:t>
      </w:r>
      <w:r w:rsidR="00BB0438" w:rsidRPr="005179FD">
        <w:rPr>
          <w:rFonts w:asciiTheme="minorHAnsi" w:hAnsiTheme="minorHAnsi"/>
          <w:sz w:val="20"/>
          <w:szCs w:val="20"/>
        </w:rPr>
        <w:t xml:space="preserve"> de los buques fletados</w:t>
      </w:r>
      <w:r w:rsidRPr="005179FD">
        <w:rPr>
          <w:rFonts w:asciiTheme="minorHAnsi" w:hAnsiTheme="minorHAnsi"/>
          <w:sz w:val="20"/>
          <w:szCs w:val="20"/>
        </w:rPr>
        <w:t>, medid</w:t>
      </w:r>
      <w:r w:rsidR="00BB0438" w:rsidRPr="005179FD">
        <w:rPr>
          <w:rFonts w:asciiTheme="minorHAnsi" w:hAnsiTheme="minorHAnsi"/>
          <w:sz w:val="20"/>
          <w:szCs w:val="20"/>
        </w:rPr>
        <w:t>a</w:t>
      </w:r>
      <w:r w:rsidRPr="005179FD">
        <w:rPr>
          <w:rFonts w:asciiTheme="minorHAnsi" w:hAnsiTheme="minorHAnsi"/>
          <w:sz w:val="20"/>
          <w:szCs w:val="20"/>
        </w:rPr>
        <w:t xml:space="preserve"> del modo especificado en el párrafo 1 de la Recomendación</w:t>
      </w:r>
      <w:r w:rsidR="005239B3" w:rsidRPr="005179FD">
        <w:rPr>
          <w:rFonts w:asciiTheme="minorHAnsi" w:hAnsiTheme="minorHAnsi"/>
          <w:sz w:val="20"/>
          <w:szCs w:val="20"/>
        </w:rPr>
        <w:t> </w:t>
      </w:r>
      <w:r w:rsidRPr="005179FD">
        <w:rPr>
          <w:rFonts w:asciiTheme="minorHAnsi" w:hAnsiTheme="minorHAnsi"/>
          <w:sz w:val="20"/>
          <w:szCs w:val="20"/>
        </w:rPr>
        <w:t>16-14, para los buques fletados. Todas las demás disposiciones de la Recomendación</w:t>
      </w:r>
      <w:r w:rsidR="005239B3" w:rsidRPr="005179FD">
        <w:rPr>
          <w:rFonts w:asciiTheme="minorHAnsi" w:hAnsiTheme="minorHAnsi"/>
          <w:sz w:val="20"/>
          <w:szCs w:val="20"/>
        </w:rPr>
        <w:t> </w:t>
      </w:r>
      <w:r w:rsidRPr="005179FD">
        <w:rPr>
          <w:rFonts w:asciiTheme="minorHAnsi" w:hAnsiTheme="minorHAnsi"/>
          <w:sz w:val="20"/>
          <w:szCs w:val="20"/>
        </w:rPr>
        <w:t xml:space="preserve">16-14 se aplican </w:t>
      </w:r>
      <w:r w:rsidRPr="005179FD">
        <w:rPr>
          <w:rFonts w:asciiTheme="minorHAnsi" w:hAnsiTheme="minorHAnsi"/>
          <w:i/>
          <w:iCs/>
          <w:sz w:val="20"/>
          <w:szCs w:val="20"/>
        </w:rPr>
        <w:t>mutatis mutandis</w:t>
      </w:r>
      <w:r w:rsidRPr="005179FD">
        <w:rPr>
          <w:rFonts w:asciiTheme="minorHAnsi" w:hAnsiTheme="minorHAnsi"/>
          <w:sz w:val="20"/>
          <w:szCs w:val="20"/>
        </w:rPr>
        <w:t xml:space="preserve"> en el caso de los buques fletados.   </w:t>
      </w:r>
    </w:p>
    <w:p w14:paraId="11F8088C"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D" w14:textId="5F5D10E7" w:rsidR="000A1D02" w:rsidRPr="005179FD" w:rsidRDefault="009D63E2" w:rsidP="00B46050">
      <w:pPr>
        <w:numPr>
          <w:ilvl w:val="0"/>
          <w:numId w:val="1"/>
        </w:numPr>
        <w:tabs>
          <w:tab w:val="left" w:pos="426"/>
        </w:tabs>
        <w:spacing w:line="240" w:lineRule="auto"/>
        <w:ind w:left="425" w:hanging="425"/>
        <w:jc w:val="both"/>
        <w:rPr>
          <w:rFonts w:asciiTheme="minorHAnsi" w:eastAsia="Times New Roman" w:hAnsiTheme="minorHAnsi" w:cs="Times New Roman"/>
          <w:sz w:val="20"/>
          <w:szCs w:val="20"/>
        </w:rPr>
      </w:pPr>
      <w:r w:rsidRPr="005179FD">
        <w:rPr>
          <w:rFonts w:asciiTheme="minorHAnsi" w:hAnsiTheme="minorHAnsi"/>
          <w:sz w:val="20"/>
          <w:szCs w:val="20"/>
        </w:rPr>
        <w:t xml:space="preserve">Los buques fletados dispondrán de una licencia de pesca expedida por la Parte contratante fletadora. Las Partes contratantes no pueden fletar un </w:t>
      </w:r>
      <w:r w:rsidR="00BB0438" w:rsidRPr="005179FD">
        <w:rPr>
          <w:rFonts w:asciiTheme="minorHAnsi" w:hAnsiTheme="minorHAnsi"/>
          <w:sz w:val="20"/>
          <w:szCs w:val="20"/>
        </w:rPr>
        <w:t>buque</w:t>
      </w:r>
      <w:r w:rsidRPr="005179FD">
        <w:rPr>
          <w:rFonts w:asciiTheme="minorHAnsi" w:hAnsiTheme="minorHAnsi"/>
          <w:sz w:val="20"/>
          <w:szCs w:val="20"/>
        </w:rPr>
        <w:t xml:space="preserve"> que figure en la lista IUU de ICCAT, tal y como se establece en la </w:t>
      </w:r>
      <w:r w:rsidRPr="005179FD">
        <w:rPr>
          <w:rFonts w:asciiTheme="minorHAnsi" w:hAnsiTheme="minorHAnsi"/>
          <w:i/>
          <w:iCs/>
          <w:sz w:val="20"/>
          <w:szCs w:val="20"/>
        </w:rPr>
        <w:t>Recomendación de ICCAT que enmienda la Recomendación 21-13 que</w:t>
      </w:r>
      <w:r w:rsidR="00B46050" w:rsidRPr="005179FD">
        <w:rPr>
          <w:rFonts w:asciiTheme="minorHAnsi" w:hAnsiTheme="minorHAnsi"/>
          <w:i/>
          <w:iCs/>
          <w:sz w:val="20"/>
          <w:szCs w:val="20"/>
        </w:rPr>
        <w:t xml:space="preserve"> </w:t>
      </w:r>
      <w:r w:rsidRPr="005179FD">
        <w:rPr>
          <w:rFonts w:asciiTheme="minorHAnsi" w:hAnsiTheme="minorHAnsi"/>
          <w:i/>
          <w:iCs/>
          <w:sz w:val="20"/>
          <w:szCs w:val="20"/>
        </w:rPr>
        <w:t>establece una lista de buques supuestamente implicados en actividades</w:t>
      </w:r>
      <w:r w:rsidR="00B46050" w:rsidRPr="005179FD">
        <w:rPr>
          <w:rFonts w:asciiTheme="minorHAnsi" w:hAnsiTheme="minorHAnsi"/>
          <w:i/>
          <w:iCs/>
          <w:sz w:val="20"/>
          <w:szCs w:val="20"/>
        </w:rPr>
        <w:t xml:space="preserve"> </w:t>
      </w:r>
      <w:r w:rsidRPr="005179FD">
        <w:rPr>
          <w:rFonts w:asciiTheme="minorHAnsi" w:hAnsiTheme="minorHAnsi"/>
          <w:i/>
          <w:iCs/>
          <w:sz w:val="20"/>
          <w:szCs w:val="20"/>
        </w:rPr>
        <w:t xml:space="preserve">de pesca ilegal, no declarada y no reglamentada  </w:t>
      </w:r>
      <w:r w:rsidRPr="005179FD">
        <w:rPr>
          <w:rFonts w:asciiTheme="minorHAnsi" w:hAnsiTheme="minorHAnsi"/>
          <w:sz w:val="20"/>
          <w:szCs w:val="20"/>
        </w:rPr>
        <w:t xml:space="preserve">(Rec. 23-16). </w:t>
      </w:r>
    </w:p>
    <w:p w14:paraId="11F8088E"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F" w14:textId="23D1F06F" w:rsidR="000A1D02" w:rsidRPr="005179FD"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En ningún caso se autorizará a un buque a pescar en virtud de más de un acuerdo de fletamento al mismo tiempo</w:t>
      </w:r>
      <w:r w:rsidR="00485BB2" w:rsidRPr="005179FD">
        <w:rPr>
          <w:rFonts w:asciiTheme="minorHAnsi" w:hAnsiTheme="minorHAnsi"/>
          <w:sz w:val="20"/>
          <w:szCs w:val="20"/>
        </w:rPr>
        <w:t>, ni se autorizará a un buque a realizar subfletamentos</w:t>
      </w:r>
      <w:r w:rsidRPr="005179FD">
        <w:rPr>
          <w:rFonts w:asciiTheme="minorHAnsi" w:hAnsiTheme="minorHAnsi"/>
          <w:sz w:val="20"/>
          <w:szCs w:val="20"/>
        </w:rPr>
        <w:t xml:space="preserve">. </w:t>
      </w:r>
    </w:p>
    <w:p w14:paraId="11F80890"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91" w14:textId="74B8D71D" w:rsidR="000A1D02" w:rsidRPr="005179FD"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Las capturas de los buques fletados se descargarán exclusivamente en puertos sujetos a la </w:t>
      </w:r>
      <w:hyperlink r:id="rId7">
        <w:r w:rsidRPr="005179FD">
          <w:rPr>
            <w:rFonts w:asciiTheme="minorHAnsi" w:hAnsiTheme="minorHAnsi"/>
            <w:i/>
            <w:iCs/>
            <w:sz w:val="20"/>
            <w:szCs w:val="20"/>
          </w:rPr>
          <w:t>Recomendación de ICCAT que enmienda la Recomendación 18-09 sobre medidas del Estado rector del puerto destinadas a prevenir, desalentar y eliminar la pesca ilegal, no declarada y no reglamentada</w:t>
        </w:r>
        <w:r w:rsidRPr="005179FD">
          <w:rPr>
            <w:rFonts w:asciiTheme="minorHAnsi" w:hAnsiTheme="minorHAnsi"/>
            <w:sz w:val="20"/>
            <w:szCs w:val="20"/>
          </w:rPr>
          <w:t xml:space="preserve"> (Rec.</w:t>
        </w:r>
        <w:r w:rsidR="00E35894" w:rsidRPr="005179FD">
          <w:rPr>
            <w:rFonts w:asciiTheme="minorHAnsi" w:hAnsiTheme="minorHAnsi"/>
            <w:sz w:val="20"/>
            <w:szCs w:val="20"/>
          </w:rPr>
          <w:t> </w:t>
        </w:r>
        <w:r w:rsidRPr="005179FD">
          <w:rPr>
            <w:rFonts w:asciiTheme="minorHAnsi" w:hAnsiTheme="minorHAnsi"/>
            <w:sz w:val="20"/>
            <w:szCs w:val="20"/>
          </w:rPr>
          <w:t>23-17)</w:t>
        </w:r>
        <w:r w:rsidRPr="005179FD">
          <w:rPr>
            <w:rFonts w:asciiTheme="minorHAnsi" w:hAnsiTheme="minorHAnsi"/>
            <w:i/>
            <w:sz w:val="20"/>
            <w:szCs w:val="20"/>
          </w:rPr>
          <w:t xml:space="preserve"> </w:t>
        </w:r>
      </w:hyperlink>
      <w:r w:rsidR="00485BB2" w:rsidRPr="005179FD">
        <w:rPr>
          <w:rFonts w:ascii="Cambria" w:hAnsi="Cambria"/>
          <w:sz w:val="20"/>
        </w:rPr>
        <w:t xml:space="preserve">o puertos sujetos a un régimen comparable de medidas del Estado rector del puerto en virtud de otra </w:t>
      </w:r>
      <w:r w:rsidR="005239B3" w:rsidRPr="005179FD">
        <w:rPr>
          <w:rFonts w:ascii="Cambria" w:hAnsi="Cambria"/>
          <w:sz w:val="20"/>
        </w:rPr>
        <w:t>organización regional de ordenación pesquera (</w:t>
      </w:r>
      <w:r w:rsidR="00485BB2" w:rsidRPr="005179FD">
        <w:rPr>
          <w:rFonts w:ascii="Cambria" w:hAnsi="Cambria"/>
          <w:sz w:val="20"/>
        </w:rPr>
        <w:t>OROP</w:t>
      </w:r>
      <w:r w:rsidR="005239B3" w:rsidRPr="005179FD">
        <w:rPr>
          <w:rFonts w:ascii="Cambria" w:hAnsi="Cambria"/>
          <w:sz w:val="20"/>
        </w:rPr>
        <w:t>)</w:t>
      </w:r>
      <w:r w:rsidR="00485BB2" w:rsidRPr="005179FD">
        <w:rPr>
          <w:rFonts w:ascii="Cambria" w:hAnsi="Cambria"/>
          <w:sz w:val="20"/>
        </w:rPr>
        <w:t xml:space="preserve"> o del Acuerdo de la FAO sobre medidas del Estado rector del puerto </w:t>
      </w:r>
      <w:r w:rsidRPr="005179FD">
        <w:rPr>
          <w:rFonts w:asciiTheme="minorHAnsi" w:hAnsiTheme="minorHAnsi"/>
          <w:sz w:val="20"/>
          <w:szCs w:val="20"/>
        </w:rPr>
        <w:t xml:space="preserve">con el fin de garantizar que las actividades de los buques fletados no </w:t>
      </w:r>
      <w:r w:rsidR="00BB0438" w:rsidRPr="005179FD">
        <w:rPr>
          <w:rFonts w:asciiTheme="minorHAnsi" w:hAnsiTheme="minorHAnsi"/>
          <w:sz w:val="20"/>
          <w:szCs w:val="20"/>
        </w:rPr>
        <w:t>menoscaban</w:t>
      </w:r>
      <w:r w:rsidRPr="005179FD">
        <w:rPr>
          <w:rFonts w:asciiTheme="minorHAnsi" w:hAnsiTheme="minorHAnsi"/>
          <w:sz w:val="20"/>
          <w:szCs w:val="20"/>
        </w:rPr>
        <w:t xml:space="preserve"> las medidas de conservación y ordenación de ICCAT. </w:t>
      </w:r>
    </w:p>
    <w:p w14:paraId="11F80892"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93" w14:textId="066AE1F8" w:rsidR="000A1D02" w:rsidRPr="005179FD"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Todo transbordo en el mar se realizará de conformidad con la </w:t>
      </w:r>
      <w:r w:rsidRPr="005179FD">
        <w:rPr>
          <w:rFonts w:asciiTheme="minorHAnsi" w:hAnsiTheme="minorHAnsi"/>
          <w:i/>
          <w:iCs/>
          <w:sz w:val="20"/>
          <w:szCs w:val="20"/>
        </w:rPr>
        <w:t>Recomendación de ICCAT que enmienda la Recomendación 21-15 sobre transbordos</w:t>
      </w:r>
      <w:r w:rsidRPr="005179FD">
        <w:rPr>
          <w:rFonts w:asciiTheme="minorHAnsi" w:hAnsiTheme="minorHAnsi"/>
          <w:sz w:val="20"/>
          <w:szCs w:val="20"/>
        </w:rPr>
        <w:t xml:space="preserve"> (Rec.</w:t>
      </w:r>
      <w:r w:rsidR="005239B3" w:rsidRPr="005179FD">
        <w:rPr>
          <w:rFonts w:asciiTheme="minorHAnsi" w:hAnsiTheme="minorHAnsi"/>
          <w:sz w:val="20"/>
          <w:szCs w:val="20"/>
        </w:rPr>
        <w:t> </w:t>
      </w:r>
      <w:r w:rsidRPr="005179FD">
        <w:rPr>
          <w:rFonts w:asciiTheme="minorHAnsi" w:hAnsiTheme="minorHAnsi"/>
          <w:sz w:val="20"/>
          <w:szCs w:val="20"/>
        </w:rPr>
        <w:t xml:space="preserve">24-15). Cualquier transbordo en el mar también deberá ser previa y debidamente autorizado por la Parte </w:t>
      </w:r>
      <w:r w:rsidR="00BB0438" w:rsidRPr="005179FD">
        <w:rPr>
          <w:rFonts w:asciiTheme="minorHAnsi" w:hAnsiTheme="minorHAnsi"/>
          <w:sz w:val="20"/>
          <w:szCs w:val="20"/>
        </w:rPr>
        <w:t>c</w:t>
      </w:r>
      <w:r w:rsidRPr="005179FD">
        <w:rPr>
          <w:rFonts w:asciiTheme="minorHAnsi" w:hAnsiTheme="minorHAnsi"/>
          <w:sz w:val="20"/>
          <w:szCs w:val="20"/>
        </w:rPr>
        <w:t xml:space="preserve">ontratante fletadora y sólo se producirá bajo la supervisión de un observador </w:t>
      </w:r>
      <w:r w:rsidR="00E35894" w:rsidRPr="005179FD">
        <w:rPr>
          <w:rFonts w:asciiTheme="minorHAnsi" w:hAnsiTheme="minorHAnsi"/>
          <w:sz w:val="20"/>
          <w:szCs w:val="20"/>
        </w:rPr>
        <w:t xml:space="preserve">regional de ICCAT </w:t>
      </w:r>
      <w:r w:rsidRPr="005179FD">
        <w:rPr>
          <w:rFonts w:asciiTheme="minorHAnsi" w:hAnsiTheme="minorHAnsi"/>
          <w:sz w:val="20"/>
          <w:szCs w:val="20"/>
        </w:rPr>
        <w:t xml:space="preserve">a bordo. </w:t>
      </w:r>
    </w:p>
    <w:p w14:paraId="11F80894"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95" w14:textId="770E94C8" w:rsidR="000A1D02" w:rsidRPr="005179FD" w:rsidRDefault="009D63E2" w:rsidP="00BB0438">
      <w:pPr>
        <w:numPr>
          <w:ilvl w:val="0"/>
          <w:numId w:val="1"/>
        </w:numPr>
        <w:tabs>
          <w:tab w:val="left" w:pos="567"/>
        </w:tabs>
        <w:spacing w:line="240" w:lineRule="exact"/>
        <w:ind w:left="993" w:hanging="993"/>
        <w:jc w:val="both"/>
        <w:rPr>
          <w:rFonts w:asciiTheme="minorHAnsi" w:eastAsia="Times New Roman" w:hAnsiTheme="minorHAnsi" w:cs="Times New Roman"/>
          <w:sz w:val="20"/>
          <w:szCs w:val="20"/>
        </w:rPr>
      </w:pPr>
      <w:r w:rsidRPr="005179FD">
        <w:rPr>
          <w:rFonts w:asciiTheme="minorHAnsi" w:hAnsiTheme="minorHAnsi"/>
          <w:sz w:val="20"/>
          <w:szCs w:val="20"/>
        </w:rPr>
        <w:t xml:space="preserve">a) </w:t>
      </w:r>
      <w:r w:rsidR="00BB0438" w:rsidRPr="005179FD">
        <w:rPr>
          <w:rFonts w:asciiTheme="minorHAnsi" w:hAnsiTheme="minorHAnsi"/>
          <w:sz w:val="20"/>
          <w:szCs w:val="20"/>
        </w:rPr>
        <w:tab/>
      </w:r>
      <w:r w:rsidR="00E35894" w:rsidRPr="005179FD">
        <w:rPr>
          <w:rFonts w:asciiTheme="minorHAnsi" w:hAnsiTheme="minorHAnsi"/>
          <w:sz w:val="20"/>
          <w:szCs w:val="20"/>
        </w:rPr>
        <w:t>La Parte contratante fletadora facilitará la siguiente información al secretario ejecutivo e</w:t>
      </w:r>
      <w:r w:rsidRPr="005179FD">
        <w:rPr>
          <w:rFonts w:asciiTheme="minorHAnsi" w:hAnsiTheme="minorHAnsi"/>
          <w:sz w:val="20"/>
          <w:szCs w:val="20"/>
        </w:rPr>
        <w:t>n el momento en que se concierte el acuerdo de fletamento</w:t>
      </w:r>
      <w:r w:rsidR="00E35894" w:rsidRPr="005179FD">
        <w:rPr>
          <w:rFonts w:asciiTheme="minorHAnsi" w:hAnsiTheme="minorHAnsi"/>
          <w:sz w:val="20"/>
          <w:szCs w:val="20"/>
        </w:rPr>
        <w:t xml:space="preserve"> </w:t>
      </w:r>
      <w:r w:rsidR="00485BB2" w:rsidRPr="005179FD">
        <w:rPr>
          <w:rFonts w:ascii="Cambria" w:hAnsi="Cambria"/>
          <w:sz w:val="20"/>
        </w:rPr>
        <w:t>en la mayor medida posible</w:t>
      </w:r>
      <w:r w:rsidRPr="005179FD">
        <w:rPr>
          <w:rFonts w:asciiTheme="minorHAnsi" w:hAnsiTheme="minorHAnsi"/>
          <w:sz w:val="20"/>
          <w:szCs w:val="20"/>
        </w:rPr>
        <w:t>, y en ningún caso después del inicio de las operaciones de pesca en virtud del acuerdo:</w:t>
      </w:r>
    </w:p>
    <w:p w14:paraId="22E934B7" w14:textId="77777777" w:rsidR="00094E8A" w:rsidRPr="005179FD" w:rsidRDefault="00094E8A" w:rsidP="00BB0438">
      <w:pPr>
        <w:pStyle w:val="ListParagraph"/>
        <w:ind w:left="1418" w:hanging="425"/>
        <w:rPr>
          <w:rFonts w:asciiTheme="minorHAnsi" w:eastAsia="Times New Roman" w:hAnsiTheme="minorHAnsi" w:cs="Times New Roman"/>
          <w:sz w:val="20"/>
          <w:szCs w:val="20"/>
        </w:rPr>
      </w:pPr>
    </w:p>
    <w:p w14:paraId="11F80896" w14:textId="5EEC4E71" w:rsidR="000A1D02" w:rsidRPr="005179FD" w:rsidRDefault="00BB0438" w:rsidP="00BB0438">
      <w:pPr>
        <w:spacing w:line="240" w:lineRule="exact"/>
        <w:ind w:left="1418" w:hanging="425"/>
        <w:jc w:val="both"/>
        <w:rPr>
          <w:rFonts w:asciiTheme="minorHAnsi" w:eastAsia="Times New Roman" w:hAnsiTheme="minorHAnsi" w:cs="Times New Roman"/>
          <w:sz w:val="20"/>
          <w:szCs w:val="20"/>
        </w:rPr>
      </w:pPr>
      <w:r w:rsidRPr="005179FD">
        <w:rPr>
          <w:rFonts w:asciiTheme="minorHAnsi" w:hAnsiTheme="minorHAnsi"/>
          <w:sz w:val="20"/>
          <w:szCs w:val="20"/>
        </w:rPr>
        <w:t>i</w:t>
      </w:r>
      <w:r w:rsidR="009D63E2" w:rsidRPr="005179FD">
        <w:rPr>
          <w:rFonts w:asciiTheme="minorHAnsi" w:hAnsiTheme="minorHAnsi"/>
          <w:sz w:val="20"/>
          <w:szCs w:val="20"/>
        </w:rPr>
        <w:t xml:space="preserve">. </w:t>
      </w:r>
      <w:r w:rsidRPr="005179FD">
        <w:rPr>
          <w:rFonts w:asciiTheme="minorHAnsi" w:hAnsiTheme="minorHAnsi"/>
          <w:sz w:val="20"/>
          <w:szCs w:val="20"/>
        </w:rPr>
        <w:tab/>
      </w:r>
      <w:r w:rsidR="009D63E2" w:rsidRPr="005179FD">
        <w:rPr>
          <w:rFonts w:asciiTheme="minorHAnsi" w:hAnsiTheme="minorHAnsi"/>
          <w:sz w:val="20"/>
          <w:szCs w:val="20"/>
        </w:rPr>
        <w:t>el nombre (tanto en alfabeto nativo como latino) y número de registro del buque fletado;</w:t>
      </w:r>
    </w:p>
    <w:p w14:paraId="11F80897" w14:textId="06E287D1" w:rsidR="000A1D02" w:rsidRPr="005179FD" w:rsidRDefault="009D63E2" w:rsidP="00BB0438">
      <w:pPr>
        <w:spacing w:line="240" w:lineRule="exact"/>
        <w:ind w:left="1418" w:hanging="425"/>
        <w:jc w:val="both"/>
        <w:rPr>
          <w:rFonts w:asciiTheme="minorHAnsi" w:eastAsia="Times New Roman" w:hAnsiTheme="minorHAnsi" w:cs="Times New Roman"/>
          <w:sz w:val="20"/>
          <w:szCs w:val="20"/>
        </w:rPr>
      </w:pPr>
      <w:r w:rsidRPr="005179FD">
        <w:rPr>
          <w:rFonts w:asciiTheme="minorHAnsi" w:hAnsiTheme="minorHAnsi"/>
          <w:sz w:val="20"/>
          <w:szCs w:val="20"/>
        </w:rPr>
        <w:t xml:space="preserve">ii. </w:t>
      </w:r>
      <w:r w:rsidRPr="005179FD">
        <w:rPr>
          <w:rFonts w:asciiTheme="minorHAnsi" w:hAnsiTheme="minorHAnsi"/>
          <w:sz w:val="20"/>
          <w:szCs w:val="20"/>
        </w:rPr>
        <w:tab/>
        <w:t xml:space="preserve">el número OMI o equivalente del buque, en su caso; </w:t>
      </w:r>
    </w:p>
    <w:p w14:paraId="11F80898" w14:textId="3B810982" w:rsidR="000A1D02" w:rsidRPr="005179FD" w:rsidRDefault="009D63E2" w:rsidP="00BB0438">
      <w:pPr>
        <w:spacing w:line="240" w:lineRule="exact"/>
        <w:ind w:left="1418" w:hanging="425"/>
        <w:jc w:val="both"/>
        <w:rPr>
          <w:rFonts w:asciiTheme="minorHAnsi" w:eastAsia="Times New Roman" w:hAnsiTheme="minorHAnsi" w:cs="Times New Roman"/>
          <w:sz w:val="20"/>
          <w:szCs w:val="20"/>
        </w:rPr>
      </w:pPr>
      <w:r w:rsidRPr="005179FD">
        <w:rPr>
          <w:rFonts w:asciiTheme="minorHAnsi" w:hAnsiTheme="minorHAnsi"/>
          <w:sz w:val="20"/>
          <w:szCs w:val="20"/>
        </w:rPr>
        <w:t xml:space="preserve">iii. </w:t>
      </w:r>
      <w:r w:rsidRPr="005179FD">
        <w:rPr>
          <w:rFonts w:asciiTheme="minorHAnsi" w:hAnsiTheme="minorHAnsi"/>
          <w:sz w:val="20"/>
          <w:szCs w:val="20"/>
        </w:rPr>
        <w:tab/>
        <w:t xml:space="preserve">el nombre y la dirección del armador(es) del buque; </w:t>
      </w:r>
    </w:p>
    <w:p w14:paraId="11F80899" w14:textId="04E45F0A" w:rsidR="000A1D02" w:rsidRPr="005179FD" w:rsidRDefault="009D63E2" w:rsidP="00BB0438">
      <w:pPr>
        <w:spacing w:line="240" w:lineRule="exact"/>
        <w:ind w:left="1418" w:hanging="425"/>
        <w:jc w:val="both"/>
        <w:rPr>
          <w:rFonts w:asciiTheme="minorHAnsi" w:eastAsia="Times New Roman" w:hAnsiTheme="minorHAnsi" w:cs="Times New Roman"/>
          <w:sz w:val="20"/>
          <w:szCs w:val="20"/>
        </w:rPr>
      </w:pPr>
      <w:r w:rsidRPr="005179FD">
        <w:rPr>
          <w:rFonts w:asciiTheme="minorHAnsi" w:hAnsiTheme="minorHAnsi"/>
          <w:sz w:val="20"/>
          <w:szCs w:val="20"/>
        </w:rPr>
        <w:t xml:space="preserve">iv. </w:t>
      </w:r>
      <w:r w:rsidRPr="005179FD">
        <w:rPr>
          <w:rFonts w:asciiTheme="minorHAnsi" w:hAnsiTheme="minorHAnsi"/>
          <w:sz w:val="20"/>
          <w:szCs w:val="20"/>
        </w:rPr>
        <w:tab/>
        <w:t>la descripción del buque, lo que incluye la eslora, el tipo de buque</w:t>
      </w:r>
      <w:r w:rsidR="00BB0438" w:rsidRPr="005179FD">
        <w:rPr>
          <w:rFonts w:asciiTheme="minorHAnsi" w:hAnsiTheme="minorHAnsi"/>
          <w:sz w:val="20"/>
          <w:szCs w:val="20"/>
        </w:rPr>
        <w:t xml:space="preserve"> </w:t>
      </w:r>
      <w:r w:rsidRPr="005179FD">
        <w:rPr>
          <w:rFonts w:asciiTheme="minorHAnsi" w:hAnsiTheme="minorHAnsi"/>
          <w:sz w:val="20"/>
          <w:szCs w:val="20"/>
        </w:rPr>
        <w:t xml:space="preserve">y el(los) tipo(s) de método(s) de pesca; </w:t>
      </w:r>
    </w:p>
    <w:p w14:paraId="11F8089A" w14:textId="4D91A9BC" w:rsidR="000A1D02" w:rsidRPr="005179FD" w:rsidRDefault="00BB0438" w:rsidP="00BB0438">
      <w:pPr>
        <w:spacing w:line="240" w:lineRule="exact"/>
        <w:ind w:left="1418" w:hanging="425"/>
        <w:jc w:val="both"/>
        <w:rPr>
          <w:rFonts w:asciiTheme="minorHAnsi" w:eastAsia="Times New Roman" w:hAnsiTheme="minorHAnsi" w:cs="Times New Roman"/>
          <w:sz w:val="20"/>
          <w:szCs w:val="20"/>
        </w:rPr>
      </w:pPr>
      <w:r w:rsidRPr="005179FD">
        <w:rPr>
          <w:rFonts w:asciiTheme="minorHAnsi" w:hAnsiTheme="minorHAnsi"/>
          <w:sz w:val="20"/>
          <w:szCs w:val="20"/>
        </w:rPr>
        <w:t>v</w:t>
      </w:r>
      <w:r w:rsidR="009D63E2" w:rsidRPr="005179FD">
        <w:rPr>
          <w:rFonts w:asciiTheme="minorHAnsi" w:hAnsiTheme="minorHAnsi"/>
          <w:sz w:val="20"/>
          <w:szCs w:val="20"/>
        </w:rPr>
        <w:t xml:space="preserve">. </w:t>
      </w:r>
      <w:r w:rsidRPr="005179FD">
        <w:rPr>
          <w:rFonts w:asciiTheme="minorHAnsi" w:hAnsiTheme="minorHAnsi"/>
          <w:sz w:val="20"/>
          <w:szCs w:val="20"/>
        </w:rPr>
        <w:tab/>
      </w:r>
      <w:r w:rsidR="009D63E2" w:rsidRPr="005179FD">
        <w:rPr>
          <w:rFonts w:asciiTheme="minorHAnsi" w:hAnsiTheme="minorHAnsi"/>
          <w:sz w:val="20"/>
          <w:szCs w:val="20"/>
        </w:rPr>
        <w:t xml:space="preserve">las especies de peces que cubre el acuerdo de fletamento y la cuota asignada a la Parte </w:t>
      </w:r>
      <w:r w:rsidR="004A49FE" w:rsidRPr="005179FD">
        <w:rPr>
          <w:rFonts w:asciiTheme="minorHAnsi" w:hAnsiTheme="minorHAnsi"/>
          <w:sz w:val="20"/>
          <w:szCs w:val="20"/>
        </w:rPr>
        <w:t xml:space="preserve">contratante </w:t>
      </w:r>
      <w:r w:rsidR="009D63E2" w:rsidRPr="005179FD">
        <w:rPr>
          <w:rFonts w:asciiTheme="minorHAnsi" w:hAnsiTheme="minorHAnsi"/>
          <w:sz w:val="20"/>
          <w:szCs w:val="20"/>
        </w:rPr>
        <w:t xml:space="preserve">fletadora; </w:t>
      </w:r>
    </w:p>
    <w:p w14:paraId="11F8089B" w14:textId="508CC521" w:rsidR="000A1D02" w:rsidRPr="005179FD" w:rsidRDefault="009D63E2" w:rsidP="00BB0438">
      <w:pPr>
        <w:spacing w:line="240" w:lineRule="exact"/>
        <w:ind w:left="1418" w:hanging="425"/>
        <w:jc w:val="both"/>
        <w:rPr>
          <w:rFonts w:asciiTheme="minorHAnsi" w:eastAsia="Times New Roman" w:hAnsiTheme="minorHAnsi" w:cs="Times New Roman"/>
          <w:sz w:val="20"/>
          <w:szCs w:val="20"/>
        </w:rPr>
      </w:pPr>
      <w:r w:rsidRPr="005179FD">
        <w:rPr>
          <w:rFonts w:asciiTheme="minorHAnsi" w:hAnsiTheme="minorHAnsi"/>
          <w:sz w:val="20"/>
          <w:szCs w:val="20"/>
        </w:rPr>
        <w:t xml:space="preserve">vi. </w:t>
      </w:r>
      <w:r w:rsidRPr="005179FD">
        <w:rPr>
          <w:rFonts w:asciiTheme="minorHAnsi" w:hAnsiTheme="minorHAnsi"/>
          <w:sz w:val="20"/>
          <w:szCs w:val="20"/>
        </w:rPr>
        <w:tab/>
        <w:t>puertos destinados a la descarga de capturas en virtud del acuerdo;</w:t>
      </w:r>
    </w:p>
    <w:p w14:paraId="11F8089C" w14:textId="6BA79E61" w:rsidR="000A1D02" w:rsidRPr="005179FD" w:rsidRDefault="009D63E2" w:rsidP="00BB0438">
      <w:pPr>
        <w:spacing w:line="240" w:lineRule="exact"/>
        <w:ind w:left="1418" w:hanging="425"/>
        <w:jc w:val="both"/>
        <w:rPr>
          <w:rFonts w:asciiTheme="minorHAnsi" w:eastAsia="Times New Roman" w:hAnsiTheme="minorHAnsi" w:cs="Times New Roman"/>
          <w:sz w:val="20"/>
          <w:szCs w:val="20"/>
        </w:rPr>
      </w:pPr>
      <w:r w:rsidRPr="005179FD">
        <w:rPr>
          <w:rFonts w:asciiTheme="minorHAnsi" w:hAnsiTheme="minorHAnsi"/>
          <w:sz w:val="20"/>
          <w:szCs w:val="20"/>
        </w:rPr>
        <w:t xml:space="preserve">vii. </w:t>
      </w:r>
      <w:r w:rsidRPr="005179FD">
        <w:rPr>
          <w:rFonts w:asciiTheme="minorHAnsi" w:hAnsiTheme="minorHAnsi"/>
          <w:sz w:val="20"/>
          <w:szCs w:val="20"/>
        </w:rPr>
        <w:tab/>
      </w:r>
      <w:r w:rsidR="004A49FE" w:rsidRPr="005179FD">
        <w:rPr>
          <w:rFonts w:asciiTheme="minorHAnsi" w:hAnsiTheme="minorHAnsi"/>
          <w:sz w:val="20"/>
          <w:szCs w:val="20"/>
        </w:rPr>
        <w:t xml:space="preserve">el </w:t>
      </w:r>
      <w:r w:rsidRPr="005179FD">
        <w:rPr>
          <w:rFonts w:asciiTheme="minorHAnsi" w:hAnsiTheme="minorHAnsi"/>
          <w:sz w:val="20"/>
          <w:szCs w:val="20"/>
        </w:rPr>
        <w:t>período de tiempo autorizado para el acuerdo de fletamento; y</w:t>
      </w:r>
    </w:p>
    <w:p w14:paraId="11F8089D" w14:textId="5631D32B" w:rsidR="000A1D02" w:rsidRPr="005179FD" w:rsidRDefault="009D63E2" w:rsidP="00BB0438">
      <w:pPr>
        <w:spacing w:line="240" w:lineRule="exact"/>
        <w:ind w:left="1418" w:hanging="425"/>
        <w:jc w:val="both"/>
        <w:rPr>
          <w:rFonts w:asciiTheme="minorHAnsi" w:eastAsia="Times New Roman" w:hAnsiTheme="minorHAnsi" w:cs="Times New Roman"/>
          <w:sz w:val="20"/>
          <w:szCs w:val="20"/>
        </w:rPr>
      </w:pPr>
      <w:r w:rsidRPr="005179FD">
        <w:rPr>
          <w:rFonts w:asciiTheme="minorHAnsi" w:hAnsiTheme="minorHAnsi"/>
          <w:sz w:val="20"/>
          <w:szCs w:val="20"/>
        </w:rPr>
        <w:t xml:space="preserve">viii. </w:t>
      </w:r>
      <w:r w:rsidR="004A49FE" w:rsidRPr="005179FD">
        <w:rPr>
          <w:rFonts w:asciiTheme="minorHAnsi" w:hAnsiTheme="minorHAnsi"/>
          <w:sz w:val="20"/>
          <w:szCs w:val="20"/>
        </w:rPr>
        <w:tab/>
      </w:r>
      <w:r w:rsidRPr="005179FD">
        <w:rPr>
          <w:rFonts w:asciiTheme="minorHAnsi" w:hAnsiTheme="minorHAnsi"/>
          <w:sz w:val="20"/>
          <w:szCs w:val="20"/>
        </w:rPr>
        <w:t>el consentimiento de la CPC del pabellón</w:t>
      </w:r>
      <w:r w:rsidR="0042089C" w:rsidRPr="005179FD">
        <w:rPr>
          <w:rFonts w:asciiTheme="minorHAnsi" w:hAnsiTheme="minorHAnsi"/>
          <w:sz w:val="20"/>
          <w:szCs w:val="20"/>
        </w:rPr>
        <w:t>.</w:t>
      </w:r>
      <w:r w:rsidRPr="005179FD">
        <w:rPr>
          <w:rFonts w:asciiTheme="minorHAnsi" w:hAnsiTheme="minorHAnsi"/>
          <w:sz w:val="20"/>
          <w:szCs w:val="20"/>
        </w:rPr>
        <w:t xml:space="preserve"> </w:t>
      </w:r>
    </w:p>
    <w:p w14:paraId="11F8089E" w14:textId="77777777" w:rsidR="000A1D02" w:rsidRPr="005179FD" w:rsidRDefault="000A1D02" w:rsidP="00BB0438">
      <w:pPr>
        <w:spacing w:line="240" w:lineRule="exact"/>
        <w:ind w:left="1418" w:hanging="425"/>
        <w:jc w:val="both"/>
        <w:rPr>
          <w:rFonts w:asciiTheme="minorHAnsi" w:eastAsia="Times New Roman" w:hAnsiTheme="minorHAnsi" w:cs="Times New Roman"/>
          <w:sz w:val="20"/>
          <w:szCs w:val="20"/>
        </w:rPr>
      </w:pPr>
    </w:p>
    <w:p w14:paraId="11F8089F" w14:textId="56598163" w:rsidR="000A1D02" w:rsidRPr="005179FD" w:rsidRDefault="00094E8A" w:rsidP="0042089C">
      <w:pPr>
        <w:tabs>
          <w:tab w:val="left" w:pos="567"/>
        </w:tabs>
        <w:spacing w:line="240" w:lineRule="exact"/>
        <w:ind w:left="993"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b) </w:t>
      </w:r>
      <w:r w:rsidR="0042089C" w:rsidRPr="005179FD">
        <w:rPr>
          <w:rFonts w:asciiTheme="minorHAnsi" w:hAnsiTheme="minorHAnsi"/>
          <w:sz w:val="20"/>
          <w:szCs w:val="20"/>
        </w:rPr>
        <w:tab/>
      </w:r>
      <w:r w:rsidR="002C1FC3" w:rsidRPr="005179FD">
        <w:rPr>
          <w:rFonts w:asciiTheme="minorHAnsi" w:hAnsiTheme="minorHAnsi"/>
          <w:sz w:val="20"/>
          <w:szCs w:val="20"/>
        </w:rPr>
        <w:t xml:space="preserve">El Estado </w:t>
      </w:r>
      <w:r w:rsidR="00E35894" w:rsidRPr="005179FD">
        <w:rPr>
          <w:rFonts w:asciiTheme="minorHAnsi" w:hAnsiTheme="minorHAnsi"/>
          <w:sz w:val="20"/>
          <w:szCs w:val="20"/>
        </w:rPr>
        <w:t>del pabellón facilitará la siguiente información al secretario ejecutivo e</w:t>
      </w:r>
      <w:r w:rsidRPr="005179FD">
        <w:rPr>
          <w:rFonts w:asciiTheme="minorHAnsi" w:hAnsiTheme="minorHAnsi"/>
          <w:sz w:val="20"/>
          <w:szCs w:val="20"/>
        </w:rPr>
        <w:t>n el momento en que se concierte el acuerdo de fletamento</w:t>
      </w:r>
      <w:r w:rsidR="00E35894" w:rsidRPr="005179FD">
        <w:rPr>
          <w:rFonts w:asciiTheme="minorHAnsi" w:hAnsiTheme="minorHAnsi"/>
          <w:sz w:val="20"/>
          <w:szCs w:val="20"/>
        </w:rPr>
        <w:t xml:space="preserve"> </w:t>
      </w:r>
      <w:r w:rsidR="00485BB2" w:rsidRPr="005179FD">
        <w:rPr>
          <w:rFonts w:ascii="Cambria" w:hAnsi="Cambria"/>
          <w:sz w:val="20"/>
        </w:rPr>
        <w:t>en la mayor medida posible</w:t>
      </w:r>
      <w:r w:rsidRPr="005179FD">
        <w:rPr>
          <w:rFonts w:asciiTheme="minorHAnsi" w:hAnsiTheme="minorHAnsi"/>
          <w:sz w:val="20"/>
          <w:szCs w:val="20"/>
        </w:rPr>
        <w:t xml:space="preserve">, y en ningún caso más tarde del inicio de las operaciones de pesca en virtud del acuerdo: </w:t>
      </w:r>
    </w:p>
    <w:p w14:paraId="1F9F424D" w14:textId="77777777" w:rsidR="00094E8A" w:rsidRPr="005179FD" w:rsidRDefault="00094E8A" w:rsidP="00094E8A">
      <w:pPr>
        <w:tabs>
          <w:tab w:val="left" w:pos="426"/>
        </w:tabs>
        <w:spacing w:line="240" w:lineRule="exact"/>
        <w:ind w:left="426"/>
        <w:jc w:val="both"/>
        <w:rPr>
          <w:rFonts w:asciiTheme="minorHAnsi" w:eastAsia="Times New Roman" w:hAnsiTheme="minorHAnsi" w:cs="Times New Roman"/>
          <w:sz w:val="20"/>
          <w:szCs w:val="20"/>
        </w:rPr>
      </w:pPr>
    </w:p>
    <w:p w14:paraId="11F808A0" w14:textId="5E6C9BE7" w:rsidR="000A1D02" w:rsidRPr="005179FD" w:rsidRDefault="0042089C" w:rsidP="0042089C">
      <w:pPr>
        <w:spacing w:line="240" w:lineRule="exact"/>
        <w:ind w:left="1560" w:hanging="567"/>
        <w:jc w:val="both"/>
        <w:rPr>
          <w:rFonts w:asciiTheme="minorHAnsi" w:eastAsia="Times New Roman" w:hAnsiTheme="minorHAnsi" w:cs="Times New Roman"/>
          <w:sz w:val="20"/>
          <w:szCs w:val="20"/>
        </w:rPr>
      </w:pPr>
      <w:r w:rsidRPr="005179FD">
        <w:rPr>
          <w:rFonts w:asciiTheme="minorHAnsi" w:hAnsiTheme="minorHAnsi"/>
          <w:sz w:val="20"/>
          <w:szCs w:val="20"/>
        </w:rPr>
        <w:t>i</w:t>
      </w:r>
      <w:r w:rsidR="009D63E2" w:rsidRPr="005179FD">
        <w:rPr>
          <w:rFonts w:asciiTheme="minorHAnsi" w:hAnsiTheme="minorHAnsi"/>
          <w:sz w:val="20"/>
          <w:szCs w:val="20"/>
        </w:rPr>
        <w:t xml:space="preserve">. </w:t>
      </w:r>
      <w:r w:rsidRPr="005179FD">
        <w:rPr>
          <w:rFonts w:asciiTheme="minorHAnsi" w:hAnsiTheme="minorHAnsi"/>
          <w:sz w:val="20"/>
          <w:szCs w:val="20"/>
        </w:rPr>
        <w:tab/>
      </w:r>
      <w:r w:rsidR="009D63E2" w:rsidRPr="005179FD">
        <w:rPr>
          <w:rFonts w:asciiTheme="minorHAnsi" w:hAnsiTheme="minorHAnsi"/>
          <w:sz w:val="20"/>
          <w:szCs w:val="20"/>
        </w:rPr>
        <w:t>su consentimiento al acuerdo de fletamento; y</w:t>
      </w:r>
    </w:p>
    <w:p w14:paraId="11F808A1" w14:textId="50B94CA7" w:rsidR="000A1D02" w:rsidRPr="005179FD" w:rsidRDefault="009D63E2" w:rsidP="0042089C">
      <w:pPr>
        <w:spacing w:line="240" w:lineRule="exact"/>
        <w:ind w:left="1560" w:hanging="567"/>
        <w:jc w:val="both"/>
        <w:rPr>
          <w:rFonts w:asciiTheme="minorHAnsi" w:eastAsia="Times New Roman" w:hAnsiTheme="minorHAnsi" w:cs="Times New Roman"/>
          <w:sz w:val="20"/>
          <w:szCs w:val="20"/>
        </w:rPr>
      </w:pPr>
      <w:r w:rsidRPr="005179FD">
        <w:rPr>
          <w:rFonts w:asciiTheme="minorHAnsi" w:hAnsiTheme="minorHAnsi"/>
          <w:sz w:val="20"/>
          <w:szCs w:val="20"/>
        </w:rPr>
        <w:t xml:space="preserve">ii. </w:t>
      </w:r>
      <w:r w:rsidRPr="005179FD">
        <w:rPr>
          <w:rFonts w:asciiTheme="minorHAnsi" w:hAnsiTheme="minorHAnsi"/>
          <w:sz w:val="20"/>
          <w:szCs w:val="20"/>
        </w:rPr>
        <w:tab/>
        <w:t xml:space="preserve">su compromiso de cumplir de las medidas de conservación y ordenación de ICCAT. </w:t>
      </w:r>
    </w:p>
    <w:p w14:paraId="11F808A2" w14:textId="77777777" w:rsidR="000A1D02" w:rsidRPr="005179FD" w:rsidRDefault="000A1D02" w:rsidP="000E64EA">
      <w:pPr>
        <w:spacing w:line="240" w:lineRule="exact"/>
        <w:ind w:left="1134" w:hanging="283"/>
        <w:jc w:val="both"/>
        <w:rPr>
          <w:rFonts w:asciiTheme="minorHAnsi" w:eastAsia="Times New Roman" w:hAnsiTheme="minorHAnsi" w:cs="Times New Roman"/>
          <w:sz w:val="20"/>
          <w:szCs w:val="20"/>
        </w:rPr>
      </w:pPr>
    </w:p>
    <w:p w14:paraId="11F808A3" w14:textId="179C97E8" w:rsidR="000A1D02" w:rsidRPr="005179FD" w:rsidRDefault="00094E8A" w:rsidP="0042089C">
      <w:pPr>
        <w:tabs>
          <w:tab w:val="left" w:pos="567"/>
        </w:tabs>
        <w:spacing w:line="240" w:lineRule="exact"/>
        <w:ind w:left="993" w:hanging="426"/>
        <w:jc w:val="both"/>
        <w:rPr>
          <w:rFonts w:asciiTheme="minorHAnsi" w:hAnsiTheme="minorHAnsi"/>
          <w:sz w:val="20"/>
          <w:szCs w:val="20"/>
        </w:rPr>
      </w:pPr>
      <w:r w:rsidRPr="005179FD">
        <w:rPr>
          <w:rFonts w:asciiTheme="minorHAnsi" w:hAnsiTheme="minorHAnsi"/>
          <w:sz w:val="20"/>
          <w:szCs w:val="20"/>
        </w:rPr>
        <w:tab/>
      </w:r>
      <w:r w:rsidR="004A49FE" w:rsidRPr="005179FD">
        <w:rPr>
          <w:rFonts w:asciiTheme="minorHAnsi" w:hAnsiTheme="minorHAnsi"/>
          <w:sz w:val="20"/>
          <w:szCs w:val="20"/>
        </w:rPr>
        <w:t>c</w:t>
      </w:r>
      <w:r w:rsidRPr="005179FD">
        <w:rPr>
          <w:rFonts w:asciiTheme="minorHAnsi" w:hAnsiTheme="minorHAnsi"/>
          <w:sz w:val="20"/>
          <w:szCs w:val="20"/>
        </w:rPr>
        <w:t xml:space="preserve">) </w:t>
      </w:r>
      <w:r w:rsidR="0042089C" w:rsidRPr="005179FD">
        <w:rPr>
          <w:rFonts w:asciiTheme="minorHAnsi" w:hAnsiTheme="minorHAnsi"/>
          <w:sz w:val="20"/>
          <w:szCs w:val="20"/>
        </w:rPr>
        <w:tab/>
      </w:r>
      <w:r w:rsidRPr="005179FD">
        <w:rPr>
          <w:rFonts w:asciiTheme="minorHAnsi" w:hAnsiTheme="minorHAnsi"/>
          <w:sz w:val="20"/>
          <w:szCs w:val="20"/>
        </w:rPr>
        <w:t xml:space="preserve">Tanto la Parte contratante fletadora como la </w:t>
      </w:r>
      <w:r w:rsidR="00E35894" w:rsidRPr="005179FD">
        <w:rPr>
          <w:rFonts w:asciiTheme="minorHAnsi" w:hAnsiTheme="minorHAnsi"/>
          <w:sz w:val="20"/>
          <w:szCs w:val="20"/>
        </w:rPr>
        <w:t xml:space="preserve">CPC </w:t>
      </w:r>
      <w:r w:rsidRPr="005179FD">
        <w:rPr>
          <w:rFonts w:asciiTheme="minorHAnsi" w:hAnsiTheme="minorHAnsi"/>
          <w:sz w:val="20"/>
          <w:szCs w:val="20"/>
        </w:rPr>
        <w:t>de</w:t>
      </w:r>
      <w:r w:rsidR="004A49FE" w:rsidRPr="005179FD">
        <w:rPr>
          <w:rFonts w:asciiTheme="minorHAnsi" w:hAnsiTheme="minorHAnsi"/>
          <w:sz w:val="20"/>
          <w:szCs w:val="20"/>
        </w:rPr>
        <w:t>l</w:t>
      </w:r>
      <w:r w:rsidRPr="005179FD">
        <w:rPr>
          <w:rFonts w:asciiTheme="minorHAnsi" w:hAnsiTheme="minorHAnsi"/>
          <w:sz w:val="20"/>
          <w:szCs w:val="20"/>
        </w:rPr>
        <w:t xml:space="preserve"> pabellón informarán al secretario ejecutivo de la finalización del fletamento. </w:t>
      </w:r>
    </w:p>
    <w:p w14:paraId="11F808A4"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A5" w14:textId="7C956262" w:rsidR="000A1D02" w:rsidRPr="005179FD" w:rsidRDefault="00094E8A" w:rsidP="0042089C">
      <w:pPr>
        <w:tabs>
          <w:tab w:val="left" w:pos="567"/>
        </w:tabs>
        <w:spacing w:line="240" w:lineRule="exact"/>
        <w:ind w:left="993" w:hanging="426"/>
        <w:jc w:val="both"/>
        <w:rPr>
          <w:rFonts w:asciiTheme="minorHAnsi" w:hAnsiTheme="minorHAnsi"/>
          <w:sz w:val="20"/>
          <w:szCs w:val="20"/>
        </w:rPr>
      </w:pPr>
      <w:r w:rsidRPr="005179FD">
        <w:rPr>
          <w:rFonts w:asciiTheme="minorHAnsi" w:hAnsiTheme="minorHAnsi"/>
          <w:sz w:val="20"/>
          <w:szCs w:val="20"/>
        </w:rPr>
        <w:tab/>
        <w:t xml:space="preserve">d) </w:t>
      </w:r>
      <w:r w:rsidR="0042089C" w:rsidRPr="005179FD">
        <w:rPr>
          <w:rFonts w:asciiTheme="minorHAnsi" w:hAnsiTheme="minorHAnsi"/>
          <w:sz w:val="20"/>
          <w:szCs w:val="20"/>
        </w:rPr>
        <w:tab/>
      </w:r>
      <w:r w:rsidRPr="005179FD">
        <w:rPr>
          <w:rFonts w:asciiTheme="minorHAnsi" w:hAnsiTheme="minorHAnsi"/>
          <w:sz w:val="20"/>
          <w:szCs w:val="20"/>
        </w:rPr>
        <w:t xml:space="preserve">El </w:t>
      </w:r>
      <w:r w:rsidR="004A49FE" w:rsidRPr="005179FD">
        <w:rPr>
          <w:rFonts w:asciiTheme="minorHAnsi" w:hAnsiTheme="minorHAnsi"/>
          <w:sz w:val="20"/>
          <w:szCs w:val="20"/>
        </w:rPr>
        <w:t xml:space="preserve">secretario </w:t>
      </w:r>
      <w:r w:rsidRPr="005179FD">
        <w:rPr>
          <w:rFonts w:asciiTheme="minorHAnsi" w:hAnsiTheme="minorHAnsi"/>
          <w:sz w:val="20"/>
          <w:szCs w:val="20"/>
        </w:rPr>
        <w:t xml:space="preserve">ejecutivo de ICCAT distribuirá toda la información sin demora a todas las </w:t>
      </w:r>
      <w:r w:rsidR="00E35894" w:rsidRPr="005179FD">
        <w:rPr>
          <w:rFonts w:asciiTheme="minorHAnsi" w:hAnsiTheme="minorHAnsi"/>
          <w:sz w:val="20"/>
          <w:szCs w:val="20"/>
        </w:rPr>
        <w:t>CPC</w:t>
      </w:r>
      <w:r w:rsidRPr="005179FD">
        <w:rPr>
          <w:rFonts w:asciiTheme="minorHAnsi" w:hAnsiTheme="minorHAnsi"/>
          <w:sz w:val="20"/>
          <w:szCs w:val="20"/>
        </w:rPr>
        <w:t>.</w:t>
      </w:r>
    </w:p>
    <w:p w14:paraId="11F808A6"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6F0FEA97" w14:textId="330D4619" w:rsidR="00485BB2" w:rsidRPr="005179FD" w:rsidRDefault="00485BB2" w:rsidP="00094E8A">
      <w:pPr>
        <w:tabs>
          <w:tab w:val="left" w:pos="426"/>
        </w:tabs>
        <w:spacing w:line="240" w:lineRule="exact"/>
        <w:ind w:left="426" w:hanging="426"/>
        <w:jc w:val="both"/>
        <w:rPr>
          <w:rFonts w:ascii="Cambria" w:hAnsi="Cambria"/>
          <w:sz w:val="20"/>
        </w:rPr>
      </w:pPr>
      <w:r w:rsidRPr="005179FD">
        <w:rPr>
          <w:rFonts w:ascii="Cambria" w:hAnsi="Cambria"/>
          <w:sz w:val="20"/>
        </w:rPr>
        <w:t>13</w:t>
      </w:r>
      <w:r w:rsidR="002C1FC3" w:rsidRPr="005179FD">
        <w:rPr>
          <w:rFonts w:ascii="Cambria" w:hAnsi="Cambria"/>
          <w:sz w:val="20"/>
        </w:rPr>
        <w:t>(</w:t>
      </w:r>
      <w:r w:rsidRPr="005179FD">
        <w:rPr>
          <w:rFonts w:ascii="Cambria" w:hAnsi="Cambria"/>
          <w:sz w:val="20"/>
        </w:rPr>
        <w:t>bis</w:t>
      </w:r>
      <w:r w:rsidR="002C1FC3" w:rsidRPr="005179FD">
        <w:rPr>
          <w:rFonts w:ascii="Cambria" w:hAnsi="Cambria"/>
          <w:sz w:val="20"/>
        </w:rPr>
        <w:t>)</w:t>
      </w:r>
      <w:r w:rsidRPr="005179FD">
        <w:rPr>
          <w:rFonts w:ascii="Cambria" w:hAnsi="Cambria"/>
          <w:sz w:val="20"/>
        </w:rPr>
        <w:t xml:space="preserve">. Para el año civil anterior, las CPC comunicarán al secretario ejecutivo de ICCAT, antes del 31 de julio, los detalles de los acuerdos de fletamento concertados y llevados a cabo con arreglo a esta Recomendación, lo que incluye información sobre las capturas realizadas y el esfuerzo pesquero desplegado por los buques implicados, así como el nivel de cobertura de observadores alcanzado, de un modo coherente con los requisitos de confidencialidad de las CPC. </w:t>
      </w:r>
    </w:p>
    <w:p w14:paraId="49D8AA7F" w14:textId="77777777" w:rsidR="00485BB2" w:rsidRPr="005179FD" w:rsidRDefault="00485BB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A7" w14:textId="77777777" w:rsidR="000A1D02" w:rsidRPr="005179FD"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Cada año, el secretario ejecutivo de ICCAT presentará un resumen de todos los acuerdos de fletamento a la Comisión que, en su reunión anual, examinará el cumplimiento de esta Recomendación. </w:t>
      </w:r>
    </w:p>
    <w:p w14:paraId="5A8402D6" w14:textId="77777777" w:rsidR="000E64EA" w:rsidRPr="005179FD" w:rsidRDefault="000E64EA"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A9" w14:textId="2DBFED6E" w:rsidR="000A1D02" w:rsidRPr="005179FD" w:rsidRDefault="000E64EA" w:rsidP="00094E8A">
      <w:pPr>
        <w:tabs>
          <w:tab w:val="left" w:pos="426"/>
        </w:tabs>
        <w:spacing w:line="240" w:lineRule="exact"/>
        <w:ind w:left="426" w:hanging="426"/>
        <w:jc w:val="both"/>
        <w:rPr>
          <w:rFonts w:asciiTheme="minorHAnsi" w:eastAsia="Times New Roman" w:hAnsiTheme="minorHAnsi" w:cs="Times New Roman"/>
          <w:b/>
          <w:sz w:val="20"/>
          <w:szCs w:val="20"/>
        </w:rPr>
      </w:pPr>
      <w:r w:rsidRPr="005179FD">
        <w:rPr>
          <w:rFonts w:asciiTheme="minorHAnsi" w:hAnsiTheme="minorHAnsi"/>
          <w:b/>
          <w:sz w:val="20"/>
          <w:szCs w:val="20"/>
        </w:rPr>
        <w:t>Acuerdos de acceso</w:t>
      </w:r>
    </w:p>
    <w:p w14:paraId="11F808AA" w14:textId="77777777" w:rsidR="000A1D02" w:rsidRPr="005179FD"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AB" w14:textId="3696CC25" w:rsidR="000A1D02" w:rsidRPr="005179FD"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Las CPC que permit</w:t>
      </w:r>
      <w:r w:rsidR="0042089C" w:rsidRPr="005179FD">
        <w:rPr>
          <w:rFonts w:asciiTheme="minorHAnsi" w:hAnsiTheme="minorHAnsi"/>
          <w:sz w:val="20"/>
          <w:szCs w:val="20"/>
        </w:rPr>
        <w:t>a</w:t>
      </w:r>
      <w:r w:rsidRPr="005179FD">
        <w:rPr>
          <w:rFonts w:asciiTheme="minorHAnsi" w:hAnsiTheme="minorHAnsi"/>
          <w:sz w:val="20"/>
          <w:szCs w:val="20"/>
        </w:rPr>
        <w:t>n a los buques con pabellón extranjero participar en las pesquerías de ICCAT en aguas bajo su jurisdicción, y las CPC cuyos buques pescan en aguas bajo jurisdicción de otra CPC o Parte no contratante (NCP) especies gestionadas por ICCAT en virtud de un acuerdo, garantizarán el cumplimiento de las siguientes disposiciones.</w:t>
      </w:r>
    </w:p>
    <w:p w14:paraId="11F808AC" w14:textId="77777777" w:rsidR="000A1D02" w:rsidRPr="005179FD" w:rsidRDefault="000A1D02" w:rsidP="00B61B4B">
      <w:pPr>
        <w:spacing w:line="240" w:lineRule="exact"/>
        <w:jc w:val="both"/>
        <w:rPr>
          <w:rFonts w:asciiTheme="minorHAnsi" w:eastAsia="Times New Roman" w:hAnsiTheme="minorHAnsi" w:cs="Times New Roman"/>
          <w:sz w:val="20"/>
          <w:szCs w:val="20"/>
        </w:rPr>
      </w:pPr>
    </w:p>
    <w:p w14:paraId="11F808AD" w14:textId="25A62102" w:rsidR="000A1D02" w:rsidRPr="005179FD" w:rsidRDefault="009D63E2" w:rsidP="000E64E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Las CPC que permit</w:t>
      </w:r>
      <w:r w:rsidR="0042089C" w:rsidRPr="005179FD">
        <w:rPr>
          <w:rFonts w:asciiTheme="minorHAnsi" w:hAnsiTheme="minorHAnsi"/>
          <w:sz w:val="20"/>
          <w:szCs w:val="20"/>
        </w:rPr>
        <w:t>a</w:t>
      </w:r>
      <w:r w:rsidRPr="005179FD">
        <w:rPr>
          <w:rFonts w:asciiTheme="minorHAnsi" w:hAnsiTheme="minorHAnsi"/>
          <w:sz w:val="20"/>
          <w:szCs w:val="20"/>
        </w:rPr>
        <w:t>n a los buques con pabellón extranjero participar en las pesquerías de ICCAT en aguas bajo su jurisdicción sólo autorizarán a los buques con pabellón de CPC para dicha actividad.</w:t>
      </w:r>
    </w:p>
    <w:p w14:paraId="11F808AE" w14:textId="77777777" w:rsidR="000A1D02" w:rsidRPr="005179FD" w:rsidRDefault="000A1D02" w:rsidP="00B61B4B">
      <w:pPr>
        <w:spacing w:line="240" w:lineRule="exact"/>
        <w:jc w:val="both"/>
        <w:rPr>
          <w:rFonts w:asciiTheme="minorHAnsi" w:eastAsia="Times New Roman" w:hAnsiTheme="minorHAnsi" w:cs="Times New Roman"/>
          <w:sz w:val="20"/>
          <w:szCs w:val="20"/>
        </w:rPr>
      </w:pPr>
    </w:p>
    <w:p w14:paraId="11F808AF" w14:textId="1DE9B94C" w:rsidR="000A1D02" w:rsidRPr="005179FD" w:rsidRDefault="009D63E2" w:rsidP="000E64E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Las CPC que permitan a los buques con pabellón extranjero participar en las pesquerías de ICCAT en aguas bajo su jurisdicción, y las CPC cuyos buques pesquen en aguas bajo jurisdicción de otra CPC o NCP especies gestionadas por ICCAT en virtud de un acuerdo, se asegurarán de que se incluye la siguiente información en el acuerdo y notificarán a la Comisión, individual o conjuntamente, antes de iniciar las actividades pesqueras, la información relativa a estos acuerdos, lo que incluye: </w:t>
      </w:r>
    </w:p>
    <w:p w14:paraId="5BFED680" w14:textId="77777777" w:rsidR="000E64EA" w:rsidRPr="005179FD" w:rsidRDefault="000E64EA" w:rsidP="000E64EA">
      <w:pPr>
        <w:pStyle w:val="ListParagraph"/>
        <w:rPr>
          <w:rFonts w:asciiTheme="minorHAnsi" w:eastAsia="Times New Roman" w:hAnsiTheme="minorHAnsi" w:cs="Times New Roman"/>
          <w:sz w:val="20"/>
          <w:szCs w:val="20"/>
        </w:rPr>
      </w:pPr>
    </w:p>
    <w:p w14:paraId="11F808B0" w14:textId="77777777" w:rsidR="000A1D02" w:rsidRPr="005179FD" w:rsidRDefault="009D63E2" w:rsidP="000E64EA">
      <w:pPr>
        <w:numPr>
          <w:ilvl w:val="1"/>
          <w:numId w:val="1"/>
        </w:numPr>
        <w:spacing w:line="240" w:lineRule="exact"/>
        <w:ind w:left="709" w:hanging="283"/>
        <w:jc w:val="both"/>
        <w:rPr>
          <w:rFonts w:asciiTheme="minorHAnsi" w:eastAsia="Times New Roman" w:hAnsiTheme="minorHAnsi" w:cs="Times New Roman"/>
          <w:sz w:val="20"/>
          <w:szCs w:val="20"/>
        </w:rPr>
      </w:pPr>
      <w:r w:rsidRPr="005179FD">
        <w:rPr>
          <w:rFonts w:asciiTheme="minorHAnsi" w:hAnsiTheme="minorHAnsi"/>
          <w:sz w:val="20"/>
          <w:szCs w:val="20"/>
        </w:rPr>
        <w:t xml:space="preserve">las CPC o NCP y/u otras entidades que participan en el acuerdo; </w:t>
      </w:r>
    </w:p>
    <w:p w14:paraId="11F808B1" w14:textId="77777777" w:rsidR="000A1D02" w:rsidRPr="005179FD" w:rsidRDefault="009D63E2" w:rsidP="000E64EA">
      <w:pPr>
        <w:numPr>
          <w:ilvl w:val="1"/>
          <w:numId w:val="1"/>
        </w:numPr>
        <w:spacing w:line="240" w:lineRule="exact"/>
        <w:ind w:left="709" w:hanging="283"/>
        <w:jc w:val="both"/>
        <w:rPr>
          <w:rFonts w:asciiTheme="minorHAnsi" w:eastAsia="Times New Roman" w:hAnsiTheme="minorHAnsi" w:cs="Times New Roman"/>
          <w:sz w:val="20"/>
          <w:szCs w:val="20"/>
        </w:rPr>
      </w:pPr>
      <w:r w:rsidRPr="005179FD">
        <w:rPr>
          <w:rFonts w:asciiTheme="minorHAnsi" w:hAnsiTheme="minorHAnsi"/>
          <w:sz w:val="20"/>
          <w:szCs w:val="20"/>
        </w:rPr>
        <w:t>el periodo o los periodos cubiertos por el acuerdo;</w:t>
      </w:r>
    </w:p>
    <w:p w14:paraId="11F808B2" w14:textId="77777777" w:rsidR="000A1D02" w:rsidRPr="005179FD" w:rsidRDefault="009D63E2" w:rsidP="000E64EA">
      <w:pPr>
        <w:numPr>
          <w:ilvl w:val="1"/>
          <w:numId w:val="1"/>
        </w:numPr>
        <w:spacing w:line="240" w:lineRule="exact"/>
        <w:ind w:left="709" w:hanging="283"/>
        <w:jc w:val="both"/>
        <w:rPr>
          <w:rFonts w:asciiTheme="minorHAnsi" w:eastAsia="Times New Roman" w:hAnsiTheme="minorHAnsi" w:cs="Times New Roman"/>
          <w:sz w:val="20"/>
          <w:szCs w:val="20"/>
        </w:rPr>
      </w:pPr>
      <w:r w:rsidRPr="005179FD">
        <w:rPr>
          <w:rFonts w:asciiTheme="minorHAnsi" w:hAnsiTheme="minorHAnsi"/>
          <w:sz w:val="20"/>
          <w:szCs w:val="20"/>
        </w:rPr>
        <w:t xml:space="preserve">el número de buques y los tipos de artes autorizados; </w:t>
      </w:r>
    </w:p>
    <w:p w14:paraId="11F808B3" w14:textId="77777777" w:rsidR="000A1D02" w:rsidRPr="005179FD" w:rsidRDefault="009D63E2" w:rsidP="000E64EA">
      <w:pPr>
        <w:numPr>
          <w:ilvl w:val="1"/>
          <w:numId w:val="1"/>
        </w:numPr>
        <w:spacing w:line="240" w:lineRule="exact"/>
        <w:ind w:left="709" w:hanging="283"/>
        <w:jc w:val="both"/>
        <w:rPr>
          <w:rFonts w:asciiTheme="minorHAnsi" w:eastAsia="Times New Roman" w:hAnsiTheme="minorHAnsi" w:cs="Times New Roman"/>
          <w:sz w:val="20"/>
          <w:szCs w:val="20"/>
        </w:rPr>
      </w:pPr>
      <w:r w:rsidRPr="005179FD">
        <w:rPr>
          <w:rFonts w:asciiTheme="minorHAnsi" w:hAnsiTheme="minorHAnsi"/>
          <w:sz w:val="20"/>
          <w:szCs w:val="20"/>
        </w:rPr>
        <w:t>los nombres y números ICCAT de los buques autorizados;</w:t>
      </w:r>
    </w:p>
    <w:p w14:paraId="11F808B4" w14:textId="77777777" w:rsidR="000A1D02" w:rsidRPr="005179FD" w:rsidRDefault="009D63E2" w:rsidP="000E64EA">
      <w:pPr>
        <w:numPr>
          <w:ilvl w:val="1"/>
          <w:numId w:val="1"/>
        </w:numPr>
        <w:spacing w:line="240" w:lineRule="exact"/>
        <w:ind w:left="709" w:hanging="283"/>
        <w:jc w:val="both"/>
        <w:rPr>
          <w:rFonts w:asciiTheme="minorHAnsi" w:eastAsia="Times New Roman" w:hAnsiTheme="minorHAnsi" w:cs="Times New Roman"/>
          <w:sz w:val="20"/>
          <w:szCs w:val="20"/>
        </w:rPr>
      </w:pPr>
      <w:r w:rsidRPr="005179FD">
        <w:rPr>
          <w:rFonts w:asciiTheme="minorHAnsi" w:hAnsiTheme="minorHAnsi"/>
          <w:sz w:val="20"/>
          <w:szCs w:val="20"/>
        </w:rPr>
        <w:t xml:space="preserve">el stock o especie cuya captura se autoriza, incluidos los límites de captura o esfuerzo aplicables; </w:t>
      </w:r>
    </w:p>
    <w:p w14:paraId="11F808B5" w14:textId="45F0C5A5" w:rsidR="000A1D02" w:rsidRPr="005179FD" w:rsidRDefault="004A49FE" w:rsidP="000E64EA">
      <w:pPr>
        <w:numPr>
          <w:ilvl w:val="1"/>
          <w:numId w:val="1"/>
        </w:numPr>
        <w:spacing w:line="240" w:lineRule="exact"/>
        <w:ind w:left="709" w:hanging="283"/>
        <w:jc w:val="both"/>
        <w:rPr>
          <w:rFonts w:asciiTheme="minorHAnsi" w:eastAsia="Times New Roman" w:hAnsiTheme="minorHAnsi" w:cs="Times New Roman"/>
          <w:sz w:val="20"/>
          <w:szCs w:val="20"/>
        </w:rPr>
      </w:pPr>
      <w:r w:rsidRPr="005179FD">
        <w:rPr>
          <w:rFonts w:asciiTheme="minorHAnsi" w:hAnsiTheme="minorHAnsi"/>
          <w:sz w:val="20"/>
          <w:szCs w:val="20"/>
        </w:rPr>
        <w:t>las m</w:t>
      </w:r>
      <w:r w:rsidR="009D63E2" w:rsidRPr="005179FD">
        <w:rPr>
          <w:rFonts w:asciiTheme="minorHAnsi" w:hAnsiTheme="minorHAnsi"/>
          <w:sz w:val="20"/>
          <w:szCs w:val="20"/>
        </w:rPr>
        <w:t xml:space="preserve">edidas de seguimiento, control y vigilancia (MCS) exigidas por la CPC del pabellón y el Estado costero implicado con, </w:t>
      </w:r>
      <w:r w:rsidRPr="005179FD">
        <w:rPr>
          <w:rFonts w:asciiTheme="minorHAnsi" w:hAnsiTheme="minorHAnsi"/>
          <w:sz w:val="20"/>
          <w:szCs w:val="20"/>
        </w:rPr>
        <w:t>en el caso de</w:t>
      </w:r>
      <w:r w:rsidR="009D63E2" w:rsidRPr="005179FD">
        <w:rPr>
          <w:rFonts w:asciiTheme="minorHAnsi" w:hAnsiTheme="minorHAnsi"/>
          <w:sz w:val="20"/>
          <w:szCs w:val="20"/>
        </w:rPr>
        <w:t xml:space="preserve"> la CPC o no CPC costera, una especificación particular de: </w:t>
      </w:r>
    </w:p>
    <w:p w14:paraId="5601E066" w14:textId="77777777" w:rsidR="000E64EA" w:rsidRPr="005179FD" w:rsidRDefault="000E64EA" w:rsidP="000E64EA">
      <w:pPr>
        <w:spacing w:line="240" w:lineRule="exact"/>
        <w:ind w:left="709"/>
        <w:jc w:val="both"/>
        <w:rPr>
          <w:rFonts w:asciiTheme="minorHAnsi" w:eastAsia="Times New Roman" w:hAnsiTheme="minorHAnsi" w:cs="Times New Roman"/>
          <w:sz w:val="20"/>
          <w:szCs w:val="20"/>
        </w:rPr>
      </w:pPr>
    </w:p>
    <w:p w14:paraId="11F808B6" w14:textId="77777777" w:rsidR="000A1D02" w:rsidRPr="005179FD" w:rsidRDefault="009D63E2" w:rsidP="000E64EA">
      <w:pPr>
        <w:numPr>
          <w:ilvl w:val="2"/>
          <w:numId w:val="1"/>
        </w:numPr>
        <w:spacing w:line="240" w:lineRule="exact"/>
        <w:ind w:left="993" w:hanging="142"/>
        <w:jc w:val="both"/>
        <w:rPr>
          <w:rFonts w:asciiTheme="minorHAnsi" w:eastAsia="Times New Roman" w:hAnsiTheme="minorHAnsi" w:cs="Times New Roman"/>
          <w:sz w:val="20"/>
          <w:szCs w:val="20"/>
        </w:rPr>
      </w:pPr>
      <w:r w:rsidRPr="005179FD">
        <w:rPr>
          <w:rFonts w:asciiTheme="minorHAnsi" w:hAnsiTheme="minorHAnsi"/>
          <w:sz w:val="20"/>
          <w:szCs w:val="20"/>
        </w:rPr>
        <w:t xml:space="preserve"> la autoridad nacional responsable de expedir los permisos o licencias de pesca; </w:t>
      </w:r>
    </w:p>
    <w:p w14:paraId="11F808B7" w14:textId="77777777" w:rsidR="000A1D02" w:rsidRPr="005179FD" w:rsidRDefault="009D63E2" w:rsidP="000E64EA">
      <w:pPr>
        <w:numPr>
          <w:ilvl w:val="2"/>
          <w:numId w:val="1"/>
        </w:numPr>
        <w:spacing w:line="240" w:lineRule="exact"/>
        <w:ind w:left="993" w:hanging="142"/>
        <w:jc w:val="both"/>
        <w:rPr>
          <w:rFonts w:asciiTheme="minorHAnsi" w:eastAsia="Times New Roman" w:hAnsiTheme="minorHAnsi" w:cs="Times New Roman"/>
          <w:sz w:val="20"/>
          <w:szCs w:val="20"/>
        </w:rPr>
      </w:pPr>
      <w:r w:rsidRPr="005179FD">
        <w:rPr>
          <w:rFonts w:asciiTheme="minorHAnsi" w:hAnsiTheme="minorHAnsi"/>
          <w:sz w:val="20"/>
          <w:szCs w:val="20"/>
        </w:rPr>
        <w:t>la autoridad nacional responsable de las actividades de MCS; y</w:t>
      </w:r>
    </w:p>
    <w:p w14:paraId="11F808B8" w14:textId="77777777" w:rsidR="000A1D02" w:rsidRPr="005179FD" w:rsidRDefault="009D63E2" w:rsidP="000E64EA">
      <w:pPr>
        <w:numPr>
          <w:ilvl w:val="2"/>
          <w:numId w:val="1"/>
        </w:numPr>
        <w:spacing w:line="240" w:lineRule="exact"/>
        <w:ind w:left="993" w:hanging="142"/>
        <w:jc w:val="both"/>
        <w:rPr>
          <w:rFonts w:asciiTheme="minorHAnsi" w:eastAsia="Times New Roman" w:hAnsiTheme="minorHAnsi" w:cs="Times New Roman"/>
          <w:sz w:val="20"/>
          <w:szCs w:val="20"/>
        </w:rPr>
      </w:pPr>
      <w:r w:rsidRPr="005179FD">
        <w:rPr>
          <w:rFonts w:asciiTheme="minorHAnsi" w:hAnsiTheme="minorHAnsi"/>
          <w:sz w:val="20"/>
          <w:szCs w:val="20"/>
        </w:rPr>
        <w:t>la información de contacto pertinente de estas autoridades nacionales.</w:t>
      </w:r>
    </w:p>
    <w:p w14:paraId="3F3A0F6B" w14:textId="77777777" w:rsidR="000E64EA" w:rsidRPr="005179FD" w:rsidRDefault="000E64EA" w:rsidP="000E64EA">
      <w:pPr>
        <w:spacing w:line="240" w:lineRule="exact"/>
        <w:ind w:left="993"/>
        <w:jc w:val="both"/>
        <w:rPr>
          <w:rFonts w:asciiTheme="minorHAnsi" w:eastAsia="Times New Roman" w:hAnsiTheme="minorHAnsi" w:cs="Times New Roman"/>
          <w:sz w:val="20"/>
          <w:szCs w:val="20"/>
        </w:rPr>
      </w:pPr>
    </w:p>
    <w:p w14:paraId="11F808B9" w14:textId="2A4B0919" w:rsidR="000A1D02" w:rsidRPr="005179FD" w:rsidRDefault="0042089C" w:rsidP="000E64EA">
      <w:pPr>
        <w:numPr>
          <w:ilvl w:val="1"/>
          <w:numId w:val="1"/>
        </w:numPr>
        <w:spacing w:line="240" w:lineRule="exact"/>
        <w:ind w:left="709" w:hanging="283"/>
        <w:jc w:val="both"/>
        <w:rPr>
          <w:rFonts w:asciiTheme="minorHAnsi" w:eastAsia="Times New Roman" w:hAnsiTheme="minorHAnsi" w:cs="Times New Roman"/>
          <w:sz w:val="20"/>
          <w:szCs w:val="20"/>
        </w:rPr>
      </w:pPr>
      <w:r w:rsidRPr="005179FD">
        <w:rPr>
          <w:rFonts w:asciiTheme="minorHAnsi" w:hAnsiTheme="minorHAnsi"/>
          <w:sz w:val="20"/>
          <w:szCs w:val="20"/>
        </w:rPr>
        <w:t>Las obligaciones</w:t>
      </w:r>
      <w:r w:rsidR="009D63E2" w:rsidRPr="005179FD">
        <w:rPr>
          <w:rFonts w:asciiTheme="minorHAnsi" w:hAnsiTheme="minorHAnsi"/>
          <w:sz w:val="20"/>
          <w:szCs w:val="20"/>
        </w:rPr>
        <w:t xml:space="preserve"> de comunicación de datos estipuladas en el acuerdo, incluidas las existentes entre las partes implicadas, así como las relativas a la información que debe facilitarse a la Comisión.</w:t>
      </w:r>
    </w:p>
    <w:p w14:paraId="11F808BA" w14:textId="74751CE5" w:rsidR="000A1D02" w:rsidRPr="005179FD" w:rsidRDefault="0042089C" w:rsidP="000E64EA">
      <w:pPr>
        <w:numPr>
          <w:ilvl w:val="1"/>
          <w:numId w:val="1"/>
        </w:numPr>
        <w:spacing w:line="240" w:lineRule="exact"/>
        <w:ind w:left="709" w:hanging="283"/>
        <w:jc w:val="both"/>
        <w:rPr>
          <w:rFonts w:asciiTheme="minorHAnsi" w:eastAsia="Times New Roman" w:hAnsiTheme="minorHAnsi" w:cs="Times New Roman"/>
          <w:sz w:val="20"/>
          <w:szCs w:val="20"/>
        </w:rPr>
      </w:pPr>
      <w:r w:rsidRPr="005179FD">
        <w:rPr>
          <w:rFonts w:asciiTheme="minorHAnsi" w:hAnsiTheme="minorHAnsi"/>
          <w:sz w:val="20"/>
          <w:szCs w:val="20"/>
        </w:rPr>
        <w:t xml:space="preserve">una </w:t>
      </w:r>
      <w:r w:rsidR="009D63E2" w:rsidRPr="005179FD">
        <w:rPr>
          <w:rFonts w:asciiTheme="minorHAnsi" w:hAnsiTheme="minorHAnsi"/>
          <w:sz w:val="20"/>
          <w:szCs w:val="20"/>
        </w:rPr>
        <w:t>copia de la licencia de pesca expedida por la CPC o no CPC costera; y</w:t>
      </w:r>
    </w:p>
    <w:p w14:paraId="11F808BB" w14:textId="45C0597F" w:rsidR="000A1D02" w:rsidRPr="005179FD" w:rsidRDefault="0042089C" w:rsidP="000E64EA">
      <w:pPr>
        <w:numPr>
          <w:ilvl w:val="1"/>
          <w:numId w:val="1"/>
        </w:numPr>
        <w:spacing w:line="240" w:lineRule="exact"/>
        <w:ind w:left="709" w:hanging="283"/>
        <w:jc w:val="both"/>
        <w:rPr>
          <w:rFonts w:asciiTheme="minorHAnsi" w:eastAsia="Times New Roman" w:hAnsiTheme="minorHAnsi" w:cs="Times New Roman"/>
          <w:sz w:val="20"/>
          <w:szCs w:val="20"/>
        </w:rPr>
      </w:pPr>
      <w:r w:rsidRPr="005179FD">
        <w:rPr>
          <w:rFonts w:asciiTheme="minorHAnsi" w:hAnsiTheme="minorHAnsi"/>
          <w:sz w:val="20"/>
          <w:szCs w:val="20"/>
        </w:rPr>
        <w:t xml:space="preserve">una </w:t>
      </w:r>
      <w:r w:rsidR="009D63E2" w:rsidRPr="005179FD">
        <w:rPr>
          <w:rFonts w:asciiTheme="minorHAnsi" w:hAnsiTheme="minorHAnsi"/>
          <w:sz w:val="20"/>
          <w:szCs w:val="20"/>
        </w:rPr>
        <w:t xml:space="preserve">copia del acuerdo escrito. </w:t>
      </w:r>
    </w:p>
    <w:p w14:paraId="11F808BC" w14:textId="77777777" w:rsidR="000A1D02" w:rsidRPr="005179FD" w:rsidRDefault="000A1D02" w:rsidP="00B61B4B">
      <w:pPr>
        <w:spacing w:line="240" w:lineRule="exact"/>
        <w:jc w:val="both"/>
        <w:rPr>
          <w:rFonts w:asciiTheme="minorHAnsi" w:eastAsia="Times New Roman" w:hAnsiTheme="minorHAnsi" w:cs="Times New Roman"/>
          <w:sz w:val="20"/>
          <w:szCs w:val="20"/>
        </w:rPr>
      </w:pPr>
    </w:p>
    <w:p w14:paraId="11F808BD" w14:textId="77777777" w:rsidR="000A1D02" w:rsidRPr="005179FD" w:rsidRDefault="009D63E2" w:rsidP="000E64E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Cuando un acuerdo de acceso se modifique de tal modo que los cambios afecten a la información especificada en el párrafo 17, estos cambios se notificarán inmediatamente a la Comisión. </w:t>
      </w:r>
    </w:p>
    <w:p w14:paraId="11F808BE" w14:textId="77777777" w:rsidR="000A1D02" w:rsidRPr="005179FD" w:rsidRDefault="000A1D02" w:rsidP="000E64EA">
      <w:pPr>
        <w:tabs>
          <w:tab w:val="left" w:pos="426"/>
        </w:tabs>
        <w:spacing w:line="240" w:lineRule="exact"/>
        <w:ind w:left="426"/>
        <w:jc w:val="both"/>
        <w:rPr>
          <w:rFonts w:asciiTheme="minorHAnsi" w:eastAsia="Times New Roman" w:hAnsiTheme="minorHAnsi" w:cs="Times New Roman"/>
          <w:sz w:val="20"/>
          <w:szCs w:val="20"/>
        </w:rPr>
      </w:pPr>
    </w:p>
    <w:p w14:paraId="11F808BF" w14:textId="424E36EE" w:rsidR="000A1D02" w:rsidRPr="005179FD" w:rsidRDefault="009D63E2" w:rsidP="009364F7">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Todos los datos de capturas resultantes </w:t>
      </w:r>
      <w:r w:rsidR="009364F7" w:rsidRPr="005179FD">
        <w:rPr>
          <w:rFonts w:asciiTheme="minorHAnsi" w:hAnsiTheme="minorHAnsi"/>
          <w:sz w:val="20"/>
          <w:szCs w:val="20"/>
        </w:rPr>
        <w:t xml:space="preserve">de un </w:t>
      </w:r>
      <w:r w:rsidRPr="005179FD">
        <w:rPr>
          <w:rFonts w:asciiTheme="minorHAnsi" w:hAnsiTheme="minorHAnsi"/>
          <w:sz w:val="20"/>
          <w:szCs w:val="20"/>
        </w:rPr>
        <w:t>acuerdo de acceso se compartirán con la CPC o no CPC costera.</w:t>
      </w:r>
      <w:r w:rsidR="009364F7" w:rsidRPr="005179FD">
        <w:rPr>
          <w:rFonts w:asciiTheme="minorHAnsi" w:hAnsiTheme="minorHAnsi"/>
          <w:sz w:val="20"/>
          <w:szCs w:val="20"/>
        </w:rPr>
        <w:t xml:space="preserve"> </w:t>
      </w:r>
      <w:r w:rsidRPr="005179FD">
        <w:rPr>
          <w:rFonts w:asciiTheme="minorHAnsi" w:hAnsiTheme="minorHAnsi"/>
          <w:sz w:val="20"/>
          <w:szCs w:val="20"/>
        </w:rPr>
        <w:t>De conformidad con los requisitos de comunicación de datos de ICCAT, las CPC de</w:t>
      </w:r>
      <w:r w:rsidR="0026086B" w:rsidRPr="005179FD">
        <w:rPr>
          <w:rFonts w:asciiTheme="minorHAnsi" w:hAnsiTheme="minorHAnsi"/>
          <w:sz w:val="20"/>
          <w:szCs w:val="20"/>
        </w:rPr>
        <w:t>l</w:t>
      </w:r>
      <w:r w:rsidRPr="005179FD">
        <w:rPr>
          <w:rFonts w:asciiTheme="minorHAnsi" w:hAnsiTheme="minorHAnsi"/>
          <w:sz w:val="20"/>
          <w:szCs w:val="20"/>
        </w:rPr>
        <w:t xml:space="preserve"> pabellón que participan en los acuerdos especificados en el párrafo 17</w:t>
      </w:r>
      <w:r w:rsidR="0026086B" w:rsidRPr="005179FD">
        <w:rPr>
          <w:rFonts w:asciiTheme="minorHAnsi" w:hAnsiTheme="minorHAnsi"/>
          <w:sz w:val="20"/>
          <w:szCs w:val="20"/>
        </w:rPr>
        <w:t xml:space="preserve"> </w:t>
      </w:r>
      <w:r w:rsidRPr="005179FD">
        <w:rPr>
          <w:rFonts w:asciiTheme="minorHAnsi" w:hAnsiTheme="minorHAnsi"/>
          <w:sz w:val="20"/>
          <w:szCs w:val="20"/>
        </w:rPr>
        <w:t xml:space="preserve">deberán asegurarse de que se comunican a ICCAT todas las capturas, de especies objetivo o incidentales, que se realicen en el marco de los acuerdos.  </w:t>
      </w:r>
    </w:p>
    <w:p w14:paraId="7A3E89DF" w14:textId="77777777" w:rsidR="009364F7" w:rsidRPr="005179FD" w:rsidRDefault="009364F7" w:rsidP="009364F7">
      <w:pPr>
        <w:tabs>
          <w:tab w:val="left" w:pos="426"/>
        </w:tabs>
        <w:spacing w:line="240" w:lineRule="exact"/>
        <w:jc w:val="both"/>
        <w:rPr>
          <w:rFonts w:asciiTheme="minorHAnsi" w:eastAsia="Times New Roman" w:hAnsiTheme="minorHAnsi" w:cs="Times New Roman"/>
          <w:sz w:val="20"/>
          <w:szCs w:val="20"/>
        </w:rPr>
      </w:pPr>
    </w:p>
    <w:p w14:paraId="11F808C3" w14:textId="2D834428" w:rsidR="000A1D02" w:rsidRPr="005179FD" w:rsidRDefault="009D63E2" w:rsidP="000E64E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En los casos en que las CPC costeras permitan a buques con pabellón extranjero pescar en aguas bajo su jurisdicción las especies gestionadas por ICCAT mediante un mecanismo distinto a un acuerdo CPC con CPC, la CPC costera será la única responsable de facilitar la información que se requiere en esta Recomendación. Sin embargo, las CPC del pabellón de los buques que participan en dichos acuerdos se esforzarán por facilitar a la Comisión información pertinente sobre éstos, tal y como se indica en el párrafo 17. </w:t>
      </w:r>
    </w:p>
    <w:p w14:paraId="11F808C4" w14:textId="77777777" w:rsidR="000A1D02" w:rsidRPr="005179FD" w:rsidRDefault="000A1D02" w:rsidP="000E64EA">
      <w:pPr>
        <w:tabs>
          <w:tab w:val="left" w:pos="426"/>
        </w:tabs>
        <w:spacing w:line="240" w:lineRule="exact"/>
        <w:ind w:left="426"/>
        <w:jc w:val="both"/>
        <w:rPr>
          <w:rFonts w:asciiTheme="minorHAnsi" w:eastAsia="Times New Roman" w:hAnsiTheme="minorHAnsi" w:cs="Times New Roman"/>
          <w:sz w:val="20"/>
          <w:szCs w:val="20"/>
        </w:rPr>
      </w:pPr>
    </w:p>
    <w:p w14:paraId="6F7AAD18" w14:textId="3A71BC58" w:rsidR="00485BB2" w:rsidRPr="005179FD" w:rsidRDefault="00485BB2" w:rsidP="00485BB2">
      <w:pPr>
        <w:pStyle w:val="ListParagraph"/>
        <w:numPr>
          <w:ilvl w:val="0"/>
          <w:numId w:val="1"/>
        </w:numPr>
        <w:ind w:left="426" w:hanging="426"/>
        <w:jc w:val="both"/>
        <w:rPr>
          <w:rFonts w:ascii="Cambria" w:eastAsia="Times New Roman" w:hAnsi="Cambria" w:cs="Times New Roman"/>
          <w:sz w:val="20"/>
          <w:szCs w:val="20"/>
        </w:rPr>
      </w:pPr>
      <w:r w:rsidRPr="005179FD">
        <w:rPr>
          <w:rFonts w:ascii="Cambria" w:hAnsi="Cambria"/>
          <w:sz w:val="20"/>
        </w:rPr>
        <w:t xml:space="preserve">Para el año civil anterior, las CPC del pabellón, con el apoyo de las CPC costeras pertinentes, comunicarán al secretario ejecutivo de ICCAT antes del 31 de julio el resumen de las actividades llevadas a cabo en el marco de cada acuerdo de acceso, lo que incluye todas las capturas realizadas en el marco de estos acuerdos, y el esfuerzo pesquero desplegado por los buques implicados, de forma coherente con los requisitos de confidencialidad de las CPC.  </w:t>
      </w:r>
    </w:p>
    <w:p w14:paraId="504F572C" w14:textId="77777777" w:rsidR="00485BB2" w:rsidRPr="005179FD" w:rsidRDefault="00485BB2" w:rsidP="00485BB2">
      <w:pPr>
        <w:jc w:val="both"/>
        <w:rPr>
          <w:rFonts w:ascii="Cambria" w:eastAsia="Times New Roman" w:hAnsi="Cambria" w:cs="Times New Roman"/>
          <w:sz w:val="20"/>
          <w:szCs w:val="20"/>
        </w:rPr>
      </w:pPr>
    </w:p>
    <w:p w14:paraId="0ED00ABB" w14:textId="77777777" w:rsidR="00485BB2" w:rsidRPr="005179FD" w:rsidRDefault="00485BB2" w:rsidP="00485BB2">
      <w:pPr>
        <w:ind w:left="426"/>
        <w:jc w:val="both"/>
        <w:rPr>
          <w:rFonts w:ascii="Cambria" w:hAnsi="Cambria"/>
          <w:sz w:val="20"/>
          <w:szCs w:val="20"/>
        </w:rPr>
      </w:pPr>
      <w:r w:rsidRPr="005179FD">
        <w:rPr>
          <w:rFonts w:ascii="Cambria" w:hAnsi="Cambria"/>
          <w:sz w:val="20"/>
        </w:rPr>
        <w:t>Cada año, el secretario ejecutivo de ICCAT presentará un resumen de todos los acuerdos de acceso a la Comisión que, en su reunión anual, examinará el cumplimiento de esta Recomendación.</w:t>
      </w:r>
    </w:p>
    <w:p w14:paraId="11F808C5" w14:textId="784C36B5" w:rsidR="000A1D02" w:rsidRPr="005179FD" w:rsidRDefault="009D63E2" w:rsidP="00485BB2">
      <w:pPr>
        <w:tabs>
          <w:tab w:val="left" w:pos="426"/>
        </w:tabs>
        <w:spacing w:line="240" w:lineRule="exact"/>
        <w:jc w:val="both"/>
        <w:rPr>
          <w:rFonts w:asciiTheme="minorHAnsi" w:eastAsia="Times New Roman" w:hAnsiTheme="minorHAnsi" w:cs="Times New Roman"/>
          <w:sz w:val="20"/>
          <w:szCs w:val="20"/>
        </w:rPr>
      </w:pPr>
      <w:r w:rsidRPr="005179FD">
        <w:rPr>
          <w:rFonts w:asciiTheme="minorHAnsi" w:hAnsiTheme="minorHAnsi"/>
          <w:sz w:val="20"/>
          <w:szCs w:val="20"/>
        </w:rPr>
        <w:t xml:space="preserve"> </w:t>
      </w:r>
    </w:p>
    <w:p w14:paraId="11F808C8" w14:textId="57EF1E51" w:rsidR="000A1D02" w:rsidRPr="005179FD" w:rsidRDefault="009D63E2" w:rsidP="001543AD">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Las capturas realizadas en el marco de acuerdos de acceso se atribuirán a la CPC del pabellón y se descontarán de cualquier asignación pertinente de la CPC de</w:t>
      </w:r>
      <w:r w:rsidR="0026086B" w:rsidRPr="005179FD">
        <w:rPr>
          <w:rFonts w:asciiTheme="minorHAnsi" w:hAnsiTheme="minorHAnsi"/>
          <w:sz w:val="20"/>
          <w:szCs w:val="20"/>
        </w:rPr>
        <w:t>l</w:t>
      </w:r>
      <w:r w:rsidRPr="005179FD">
        <w:rPr>
          <w:rFonts w:asciiTheme="minorHAnsi" w:hAnsiTheme="minorHAnsi"/>
          <w:sz w:val="20"/>
          <w:szCs w:val="20"/>
        </w:rPr>
        <w:t xml:space="preserve"> pabellón, excepto</w:t>
      </w:r>
      <w:r w:rsidR="003D43A2" w:rsidRPr="005179FD">
        <w:rPr>
          <w:rFonts w:asciiTheme="minorHAnsi" w:hAnsiTheme="minorHAnsi"/>
          <w:sz w:val="20"/>
          <w:szCs w:val="20"/>
        </w:rPr>
        <w:t xml:space="preserve"> en el caso de</w:t>
      </w:r>
      <w:r w:rsidRPr="005179FD">
        <w:rPr>
          <w:rFonts w:asciiTheme="minorHAnsi" w:hAnsiTheme="minorHAnsi"/>
          <w:sz w:val="20"/>
          <w:szCs w:val="20"/>
        </w:rPr>
        <w:t xml:space="preserve"> las capturas realizadas por un buque fletado que pesque en el marco de un acuerdo de acceso, que se atribuirán a la Parte contratante fletadora.</w:t>
      </w:r>
    </w:p>
    <w:p w14:paraId="11F808C9" w14:textId="236B4E44" w:rsidR="000A1D02" w:rsidRPr="005179FD" w:rsidRDefault="003D43A2" w:rsidP="001543AD">
      <w:pPr>
        <w:tabs>
          <w:tab w:val="left" w:pos="426"/>
        </w:tabs>
        <w:spacing w:line="240" w:lineRule="exact"/>
        <w:ind w:left="426"/>
        <w:jc w:val="both"/>
        <w:rPr>
          <w:rFonts w:asciiTheme="minorHAnsi" w:eastAsia="Times New Roman" w:hAnsiTheme="minorHAnsi" w:cs="Times New Roman"/>
          <w:sz w:val="20"/>
          <w:szCs w:val="20"/>
        </w:rPr>
      </w:pPr>
      <w:r w:rsidRPr="005179FD">
        <w:rPr>
          <w:rFonts w:asciiTheme="minorHAnsi" w:eastAsia="Times New Roman" w:hAnsiTheme="minorHAnsi" w:cs="Times New Roman"/>
          <w:sz w:val="20"/>
          <w:szCs w:val="20"/>
        </w:rPr>
        <w:t xml:space="preserve"> </w:t>
      </w:r>
    </w:p>
    <w:p w14:paraId="11F808CA" w14:textId="3DB2A245" w:rsidR="000A1D02" w:rsidRPr="005179FD" w:rsidRDefault="009D63E2" w:rsidP="006D5AD0">
      <w:pPr>
        <w:tabs>
          <w:tab w:val="left" w:pos="426"/>
        </w:tabs>
        <w:spacing w:line="240" w:lineRule="exact"/>
        <w:jc w:val="both"/>
        <w:rPr>
          <w:rFonts w:asciiTheme="minorHAnsi" w:eastAsia="Times New Roman" w:hAnsiTheme="minorHAnsi" w:cs="Times New Roman"/>
          <w:b/>
          <w:bCs/>
          <w:sz w:val="20"/>
          <w:szCs w:val="20"/>
        </w:rPr>
      </w:pPr>
      <w:r w:rsidRPr="005179FD">
        <w:rPr>
          <w:rFonts w:asciiTheme="minorHAnsi" w:hAnsiTheme="minorHAnsi"/>
          <w:b/>
          <w:sz w:val="20"/>
          <w:szCs w:val="20"/>
        </w:rPr>
        <w:t xml:space="preserve">Registro de buques asociados a acuerdos de fletamento y </w:t>
      </w:r>
      <w:r w:rsidR="003D43A2" w:rsidRPr="005179FD">
        <w:rPr>
          <w:rFonts w:asciiTheme="minorHAnsi" w:hAnsiTheme="minorHAnsi"/>
          <w:b/>
          <w:sz w:val="20"/>
          <w:szCs w:val="20"/>
        </w:rPr>
        <w:t xml:space="preserve">acuerdos de </w:t>
      </w:r>
      <w:r w:rsidRPr="005179FD">
        <w:rPr>
          <w:rFonts w:asciiTheme="minorHAnsi" w:hAnsiTheme="minorHAnsi"/>
          <w:b/>
          <w:sz w:val="20"/>
          <w:szCs w:val="20"/>
        </w:rPr>
        <w:t>acceso</w:t>
      </w:r>
    </w:p>
    <w:p w14:paraId="11F808CB" w14:textId="77777777" w:rsidR="000A1D02" w:rsidRPr="005179FD" w:rsidRDefault="000A1D02" w:rsidP="001543AD">
      <w:pPr>
        <w:tabs>
          <w:tab w:val="left" w:pos="426"/>
        </w:tabs>
        <w:spacing w:line="240" w:lineRule="exact"/>
        <w:ind w:left="426"/>
        <w:jc w:val="both"/>
        <w:rPr>
          <w:rFonts w:asciiTheme="minorHAnsi" w:eastAsia="Times New Roman" w:hAnsiTheme="minorHAnsi" w:cs="Times New Roman"/>
          <w:sz w:val="20"/>
          <w:szCs w:val="20"/>
        </w:rPr>
      </w:pPr>
    </w:p>
    <w:p w14:paraId="11F808CC" w14:textId="67E51768" w:rsidR="000A1D02" w:rsidRPr="005179FD" w:rsidRDefault="009D63E2" w:rsidP="001543AD">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La Secretaría establecerá y mantendrá un Registro ICCAT de buques autorizados en virtud de acuerdos de fletamento y</w:t>
      </w:r>
      <w:r w:rsidR="003D43A2" w:rsidRPr="005179FD">
        <w:rPr>
          <w:rFonts w:asciiTheme="minorHAnsi" w:hAnsiTheme="minorHAnsi"/>
          <w:sz w:val="20"/>
          <w:szCs w:val="20"/>
        </w:rPr>
        <w:t xml:space="preserve"> acuerdos de</w:t>
      </w:r>
      <w:r w:rsidRPr="005179FD">
        <w:rPr>
          <w:rFonts w:asciiTheme="minorHAnsi" w:hAnsiTheme="minorHAnsi"/>
          <w:sz w:val="20"/>
          <w:szCs w:val="20"/>
        </w:rPr>
        <w:t xml:space="preserve"> acceso.  Todos los buques, independientemente de su tamaño, deberán inscribirse en el Registro antes de emprender actividades pesqueras en virtud de acuerdos de fletamento o </w:t>
      </w:r>
      <w:r w:rsidR="003D43A2" w:rsidRPr="005179FD">
        <w:rPr>
          <w:rFonts w:asciiTheme="minorHAnsi" w:hAnsiTheme="minorHAnsi"/>
          <w:sz w:val="20"/>
          <w:szCs w:val="20"/>
        </w:rPr>
        <w:t xml:space="preserve">acuerdos </w:t>
      </w:r>
      <w:r w:rsidRPr="005179FD">
        <w:rPr>
          <w:rFonts w:asciiTheme="minorHAnsi" w:hAnsiTheme="minorHAnsi"/>
          <w:sz w:val="20"/>
          <w:szCs w:val="20"/>
        </w:rPr>
        <w:t xml:space="preserve">de acceso.  </w:t>
      </w:r>
    </w:p>
    <w:p w14:paraId="11F808CD" w14:textId="77777777" w:rsidR="000A1D02" w:rsidRPr="005179FD" w:rsidRDefault="000A1D02" w:rsidP="001543AD">
      <w:pPr>
        <w:tabs>
          <w:tab w:val="left" w:pos="426"/>
        </w:tabs>
        <w:spacing w:line="240" w:lineRule="exact"/>
        <w:ind w:left="426"/>
        <w:jc w:val="both"/>
        <w:rPr>
          <w:rFonts w:asciiTheme="minorHAnsi" w:eastAsia="Times New Roman" w:hAnsiTheme="minorHAnsi" w:cs="Times New Roman"/>
          <w:sz w:val="20"/>
          <w:szCs w:val="20"/>
        </w:rPr>
      </w:pPr>
    </w:p>
    <w:p w14:paraId="11F808CE" w14:textId="7D162610" w:rsidR="000A1D02" w:rsidRPr="005179FD" w:rsidRDefault="009D63E2" w:rsidP="001543AD">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Las condiciones y procedimientos mencionados en la </w:t>
      </w:r>
      <w:r w:rsidRPr="005179FD">
        <w:rPr>
          <w:rFonts w:asciiTheme="minorHAnsi" w:hAnsiTheme="minorHAnsi"/>
          <w:i/>
          <w:iCs/>
          <w:sz w:val="20"/>
          <w:szCs w:val="20"/>
        </w:rPr>
        <w:t xml:space="preserve">Recomendación de ICCAT que enmienda la Recomendación 13-13 sobre el establecimiento de un registro ICCAT de buques con una eslora total de 20 metros o superior con autorización para operar en la zona del Convenio </w:t>
      </w:r>
      <w:r w:rsidRPr="005179FD">
        <w:rPr>
          <w:rFonts w:asciiTheme="minorHAnsi" w:hAnsiTheme="minorHAnsi"/>
          <w:sz w:val="20"/>
          <w:szCs w:val="20"/>
        </w:rPr>
        <w:t xml:space="preserve">(Rec. 21-14) se aplicarán </w:t>
      </w:r>
      <w:r w:rsidRPr="005179FD">
        <w:rPr>
          <w:rFonts w:asciiTheme="minorHAnsi" w:hAnsiTheme="minorHAnsi"/>
          <w:i/>
          <w:iCs/>
          <w:sz w:val="20"/>
          <w:szCs w:val="20"/>
        </w:rPr>
        <w:t>mutatis mutandis</w:t>
      </w:r>
      <w:r w:rsidRPr="005179FD">
        <w:rPr>
          <w:rFonts w:asciiTheme="minorHAnsi" w:hAnsiTheme="minorHAnsi"/>
          <w:sz w:val="20"/>
          <w:szCs w:val="20"/>
        </w:rPr>
        <w:t xml:space="preserve"> al Registro ICCAT de buques autorizados en virtud de acuerdos de fletamento</w:t>
      </w:r>
      <w:r w:rsidR="0042089C" w:rsidRPr="005179FD">
        <w:rPr>
          <w:rFonts w:asciiTheme="minorHAnsi" w:hAnsiTheme="minorHAnsi"/>
          <w:sz w:val="20"/>
          <w:szCs w:val="20"/>
        </w:rPr>
        <w:t xml:space="preserve"> </w:t>
      </w:r>
      <w:r w:rsidRPr="005179FD">
        <w:rPr>
          <w:rFonts w:asciiTheme="minorHAnsi" w:hAnsiTheme="minorHAnsi"/>
          <w:sz w:val="20"/>
          <w:szCs w:val="20"/>
        </w:rPr>
        <w:t>y</w:t>
      </w:r>
      <w:r w:rsidR="003D43A2" w:rsidRPr="005179FD">
        <w:rPr>
          <w:rFonts w:asciiTheme="minorHAnsi" w:hAnsiTheme="minorHAnsi"/>
          <w:sz w:val="20"/>
          <w:szCs w:val="20"/>
        </w:rPr>
        <w:t xml:space="preserve"> acuerdos de </w:t>
      </w:r>
      <w:r w:rsidRPr="005179FD">
        <w:rPr>
          <w:rFonts w:asciiTheme="minorHAnsi" w:hAnsiTheme="minorHAnsi"/>
          <w:sz w:val="20"/>
          <w:szCs w:val="20"/>
        </w:rPr>
        <w:t>acceso.</w:t>
      </w:r>
    </w:p>
    <w:p w14:paraId="11F808CF" w14:textId="77777777" w:rsidR="000A1D02" w:rsidRPr="005179FD" w:rsidRDefault="000A1D02" w:rsidP="001543AD">
      <w:pPr>
        <w:tabs>
          <w:tab w:val="left" w:pos="426"/>
        </w:tabs>
        <w:spacing w:line="240" w:lineRule="exact"/>
        <w:ind w:left="426"/>
        <w:jc w:val="both"/>
        <w:rPr>
          <w:rFonts w:asciiTheme="minorHAnsi" w:eastAsia="Times New Roman" w:hAnsiTheme="minorHAnsi" w:cs="Times New Roman"/>
          <w:sz w:val="20"/>
          <w:szCs w:val="20"/>
        </w:rPr>
      </w:pPr>
    </w:p>
    <w:p w14:paraId="11F808D4" w14:textId="506E4F4D" w:rsidR="000A1D02" w:rsidRPr="005179FD" w:rsidRDefault="001543AD" w:rsidP="001543AD">
      <w:pPr>
        <w:tabs>
          <w:tab w:val="left" w:pos="426"/>
        </w:tabs>
        <w:spacing w:line="240" w:lineRule="exact"/>
        <w:jc w:val="both"/>
        <w:rPr>
          <w:rFonts w:asciiTheme="minorHAnsi" w:eastAsia="Times New Roman" w:hAnsiTheme="minorHAnsi" w:cs="Times New Roman"/>
          <w:b/>
          <w:bCs/>
          <w:sz w:val="20"/>
          <w:szCs w:val="20"/>
        </w:rPr>
      </w:pPr>
      <w:r w:rsidRPr="005179FD">
        <w:rPr>
          <w:rFonts w:asciiTheme="minorHAnsi" w:hAnsiTheme="minorHAnsi"/>
          <w:b/>
          <w:sz w:val="20"/>
          <w:szCs w:val="20"/>
        </w:rPr>
        <w:t>Disposiciones finales</w:t>
      </w:r>
    </w:p>
    <w:p w14:paraId="11F808D5" w14:textId="77777777" w:rsidR="000A1D02" w:rsidRPr="005179FD" w:rsidRDefault="000A1D02" w:rsidP="001543AD">
      <w:pPr>
        <w:tabs>
          <w:tab w:val="left" w:pos="426"/>
        </w:tabs>
        <w:spacing w:line="240" w:lineRule="exact"/>
        <w:ind w:left="426"/>
        <w:jc w:val="both"/>
        <w:rPr>
          <w:rFonts w:asciiTheme="minorHAnsi" w:eastAsia="Times New Roman" w:hAnsiTheme="minorHAnsi" w:cs="Times New Roman"/>
          <w:sz w:val="20"/>
          <w:szCs w:val="20"/>
        </w:rPr>
      </w:pPr>
    </w:p>
    <w:p w14:paraId="11F808D6" w14:textId="21FB6047" w:rsidR="000A1D02" w:rsidRPr="005179FD" w:rsidRDefault="009D63E2" w:rsidP="001543AD">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5179FD">
        <w:rPr>
          <w:rFonts w:asciiTheme="minorHAnsi" w:hAnsiTheme="minorHAnsi"/>
          <w:sz w:val="20"/>
          <w:szCs w:val="20"/>
        </w:rPr>
        <w:t xml:space="preserve">Esta </w:t>
      </w:r>
      <w:r w:rsidR="00B46050" w:rsidRPr="005179FD">
        <w:rPr>
          <w:rFonts w:asciiTheme="minorHAnsi" w:hAnsiTheme="minorHAnsi"/>
          <w:sz w:val="20"/>
          <w:szCs w:val="20"/>
        </w:rPr>
        <w:t>Recomendación</w:t>
      </w:r>
      <w:r w:rsidRPr="005179FD">
        <w:rPr>
          <w:rFonts w:asciiTheme="minorHAnsi" w:hAnsiTheme="minorHAnsi"/>
          <w:sz w:val="20"/>
          <w:szCs w:val="20"/>
        </w:rPr>
        <w:t xml:space="preserve"> revoca la </w:t>
      </w:r>
      <w:r w:rsidRPr="005179FD">
        <w:rPr>
          <w:rFonts w:asciiTheme="minorHAnsi" w:hAnsiTheme="minorHAnsi"/>
          <w:i/>
          <w:iCs/>
          <w:sz w:val="20"/>
          <w:szCs w:val="20"/>
        </w:rPr>
        <w:t>Recomendación de ICCAT sobre fletamento de barcos</w:t>
      </w:r>
      <w:r w:rsidRPr="005179FD">
        <w:rPr>
          <w:rFonts w:asciiTheme="minorHAnsi" w:hAnsiTheme="minorHAnsi"/>
          <w:sz w:val="20"/>
          <w:szCs w:val="20"/>
        </w:rPr>
        <w:t xml:space="preserve"> (Rec. 13-14) y la</w:t>
      </w:r>
      <w:r w:rsidRPr="005179FD">
        <w:rPr>
          <w:rFonts w:asciiTheme="minorHAnsi" w:hAnsiTheme="minorHAnsi"/>
          <w:i/>
          <w:iCs/>
          <w:sz w:val="20"/>
          <w:szCs w:val="20"/>
        </w:rPr>
        <w:t xml:space="preserve"> Recomendación de ICCAT sobre acuerdos de acceso</w:t>
      </w:r>
      <w:r w:rsidRPr="005179FD">
        <w:rPr>
          <w:rFonts w:asciiTheme="minorHAnsi" w:hAnsiTheme="minorHAnsi"/>
          <w:sz w:val="20"/>
          <w:szCs w:val="20"/>
        </w:rPr>
        <w:t xml:space="preserve"> (Rec. 14-07) y las sustituye.</w:t>
      </w:r>
    </w:p>
    <w:p w14:paraId="11F808D7" w14:textId="77777777" w:rsidR="000A1D02" w:rsidRPr="00B46050" w:rsidRDefault="000A1D02" w:rsidP="00B61B4B">
      <w:pPr>
        <w:spacing w:line="240" w:lineRule="exact"/>
        <w:jc w:val="both"/>
        <w:rPr>
          <w:rFonts w:asciiTheme="minorHAnsi" w:eastAsia="Times New Roman" w:hAnsiTheme="minorHAnsi" w:cs="Times New Roman"/>
          <w:sz w:val="20"/>
          <w:szCs w:val="20"/>
        </w:rPr>
      </w:pPr>
    </w:p>
    <w:sectPr w:rsidR="000A1D02" w:rsidRPr="00B46050" w:rsidSect="00B61B4B">
      <w:headerReference w:type="default" r:id="rId8"/>
      <w:footerReference w:type="default" r:id="rId9"/>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0789" w14:textId="77777777" w:rsidR="004500C3" w:rsidRDefault="004500C3">
      <w:pPr>
        <w:spacing w:line="240" w:lineRule="auto"/>
      </w:pPr>
      <w:r>
        <w:separator/>
      </w:r>
    </w:p>
  </w:endnote>
  <w:endnote w:type="continuationSeparator" w:id="0">
    <w:p w14:paraId="7827B371" w14:textId="77777777" w:rsidR="004500C3" w:rsidRDefault="004500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6347" w14:textId="1DB38121" w:rsidR="00CA1049" w:rsidRDefault="00E7395C" w:rsidP="00CA1049">
    <w:pPr>
      <w:pStyle w:val="Footer"/>
      <w:jc w:val="center"/>
    </w:pPr>
    <w:sdt>
      <w:sdtPr>
        <w:rPr>
          <w:rFonts w:ascii="Calibri" w:eastAsia="Yu Mincho" w:hAnsi="Calibri" w:cs="Times New Roman"/>
        </w:rPr>
        <w:id w:val="-60483211"/>
        <w:docPartObj>
          <w:docPartGallery w:val="Page Numbers (Top of Page)"/>
          <w:docPartUnique/>
        </w:docPartObj>
      </w:sdtPr>
      <w:sdtEndPr/>
      <w:sdtContent>
        <w:r w:rsidR="00CA1049" w:rsidRPr="00C53753">
          <w:rPr>
            <w:rFonts w:ascii="Cambria" w:eastAsia="Yu Mincho" w:hAnsi="Cambria" w:cs="Times New Roman"/>
            <w:sz w:val="20"/>
          </w:rPr>
          <w:fldChar w:fldCharType="begin"/>
        </w:r>
        <w:r w:rsidR="00CA1049" w:rsidRPr="00C53753">
          <w:rPr>
            <w:rFonts w:ascii="Cambria" w:eastAsia="Yu Mincho" w:hAnsi="Cambria" w:cs="Times New Roman"/>
            <w:sz w:val="20"/>
          </w:rPr>
          <w:instrText xml:space="preserve"> PAGE </w:instrText>
        </w:r>
        <w:r w:rsidR="00CA1049" w:rsidRPr="00C53753">
          <w:rPr>
            <w:rFonts w:ascii="Cambria" w:eastAsia="Yu Mincho" w:hAnsi="Cambria" w:cs="Times New Roman"/>
            <w:sz w:val="20"/>
          </w:rPr>
          <w:fldChar w:fldCharType="separate"/>
        </w:r>
        <w:r w:rsidR="00CA1049">
          <w:rPr>
            <w:rFonts w:ascii="Cambria" w:eastAsia="Yu Mincho" w:hAnsi="Cambria" w:cs="Times New Roman"/>
            <w:sz w:val="20"/>
          </w:rPr>
          <w:t>1</w:t>
        </w:r>
        <w:r w:rsidR="00CA1049" w:rsidRPr="00C53753">
          <w:rPr>
            <w:rFonts w:ascii="Cambria" w:eastAsia="Yu Mincho" w:hAnsi="Cambria" w:cs="Times New Roman"/>
            <w:sz w:val="20"/>
          </w:rPr>
          <w:fldChar w:fldCharType="end"/>
        </w:r>
        <w:r w:rsidR="002B116B">
          <w:rPr>
            <w:rFonts w:ascii="Cambria" w:hAnsi="Cambria"/>
            <w:sz w:val="20"/>
          </w:rPr>
          <w:t xml:space="preserve"> / </w:t>
        </w:r>
        <w:r w:rsidR="00CA1049" w:rsidRPr="00C53753">
          <w:rPr>
            <w:rFonts w:ascii="Cambria" w:eastAsia="Yu Mincho" w:hAnsi="Cambria" w:cs="Times New Roman"/>
            <w:sz w:val="20"/>
          </w:rPr>
          <w:fldChar w:fldCharType="begin"/>
        </w:r>
        <w:r w:rsidR="00CA1049" w:rsidRPr="00C53753">
          <w:rPr>
            <w:rFonts w:ascii="Cambria" w:eastAsia="Yu Mincho" w:hAnsi="Cambria" w:cs="Times New Roman"/>
            <w:sz w:val="20"/>
          </w:rPr>
          <w:instrText xml:space="preserve"> NUMPAGES  </w:instrText>
        </w:r>
        <w:r w:rsidR="00CA1049" w:rsidRPr="00C53753">
          <w:rPr>
            <w:rFonts w:ascii="Cambria" w:eastAsia="Yu Mincho" w:hAnsi="Cambria" w:cs="Times New Roman"/>
            <w:sz w:val="20"/>
          </w:rPr>
          <w:fldChar w:fldCharType="separate"/>
        </w:r>
        <w:r w:rsidR="00CA1049">
          <w:rPr>
            <w:rFonts w:ascii="Cambria" w:eastAsia="Yu Mincho" w:hAnsi="Cambria" w:cs="Times New Roman"/>
            <w:sz w:val="20"/>
          </w:rPr>
          <w:t>3</w:t>
        </w:r>
        <w:r w:rsidR="00CA1049" w:rsidRPr="00C53753">
          <w:rPr>
            <w:rFonts w:ascii="Cambria" w:eastAsia="Yu Mincho" w:hAnsi="Cambria" w:cs="Times New Roman"/>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BF48" w14:textId="77777777" w:rsidR="004500C3" w:rsidRDefault="004500C3">
      <w:pPr>
        <w:spacing w:line="240" w:lineRule="auto"/>
      </w:pPr>
      <w:r>
        <w:separator/>
      </w:r>
    </w:p>
  </w:footnote>
  <w:footnote w:type="continuationSeparator" w:id="0">
    <w:p w14:paraId="4E336713" w14:textId="77777777" w:rsidR="004500C3" w:rsidRDefault="004500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A5EA" w14:textId="77777777" w:rsidR="001E49CF" w:rsidRPr="001E49CF" w:rsidRDefault="001E49CF" w:rsidP="001E49CF">
    <w:pPr>
      <w:tabs>
        <w:tab w:val="center" w:pos="4680"/>
        <w:tab w:val="left" w:pos="6520"/>
        <w:tab w:val="right" w:pos="9360"/>
        <w:tab w:val="right" w:pos="14240"/>
      </w:tabs>
      <w:spacing w:line="240" w:lineRule="auto"/>
      <w:jc w:val="right"/>
      <w:rPr>
        <w:rFonts w:ascii="Cambria" w:eastAsia="Calibri" w:hAnsi="Cambria" w:cs="Times New Roman"/>
        <w:b/>
        <w:bCs/>
        <w:sz w:val="20"/>
        <w:szCs w:val="20"/>
        <w:lang w:val="en-US"/>
      </w:rPr>
    </w:pPr>
    <w:r w:rsidRPr="001E49CF">
      <w:rPr>
        <w:rFonts w:ascii="Cambria" w:eastAsia="Calibri" w:hAnsi="Cambria" w:cs="Times New Roman"/>
        <w:b/>
        <w:bCs/>
        <w:sz w:val="20"/>
        <w:szCs w:val="20"/>
        <w:lang w:val="en-US"/>
      </w:rPr>
      <w:t>PWG_414/2025</w:t>
    </w:r>
  </w:p>
  <w:p w14:paraId="11F808DC" w14:textId="7B38B4F8" w:rsidR="000A1D02" w:rsidRDefault="00557D09" w:rsidP="00557D09">
    <w:pPr>
      <w:jc w:val="right"/>
    </w:pPr>
    <w:r w:rsidRPr="000F45DC">
      <w:rPr>
        <w:rFonts w:ascii="Cambria" w:eastAsia="Times New Roman" w:hAnsi="Cambria" w:cs="Times New Roman"/>
        <w:b/>
        <w:sz w:val="16"/>
      </w:rPr>
      <w:fldChar w:fldCharType="begin"/>
    </w:r>
    <w:r w:rsidRPr="000F45DC">
      <w:rPr>
        <w:rFonts w:ascii="Cambria" w:eastAsia="Times New Roman" w:hAnsi="Cambria" w:cs="Times New Roman"/>
        <w:b/>
        <w:sz w:val="16"/>
      </w:rPr>
      <w:instrText xml:space="preserve"> TIME \@ "dd/MM/yyyy H:mm" </w:instrText>
    </w:r>
    <w:r w:rsidRPr="000F45DC">
      <w:rPr>
        <w:rFonts w:ascii="Cambria" w:eastAsia="Times New Roman" w:hAnsi="Cambria" w:cs="Times New Roman"/>
        <w:b/>
        <w:sz w:val="16"/>
      </w:rPr>
      <w:fldChar w:fldCharType="separate"/>
    </w:r>
    <w:r w:rsidR="00E7395C">
      <w:rPr>
        <w:rFonts w:ascii="Cambria" w:eastAsia="Times New Roman" w:hAnsi="Cambria" w:cs="Times New Roman"/>
        <w:b/>
        <w:noProof/>
        <w:sz w:val="16"/>
      </w:rPr>
      <w:t>20/10/2025 9:15</w:t>
    </w:r>
    <w:r w:rsidRPr="000F45DC">
      <w:rPr>
        <w:rFonts w:ascii="Cambria" w:eastAsia="Times New Roman" w:hAnsi="Cambria" w:cs="Times New Roman"/>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320"/>
    <w:multiLevelType w:val="multilevel"/>
    <w:tmpl w:val="6B4E2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B23E55"/>
    <w:multiLevelType w:val="multilevel"/>
    <w:tmpl w:val="EAEC01F0"/>
    <w:lvl w:ilvl="0">
      <w:start w:val="1"/>
      <w:numFmt w:val="bullet"/>
      <w:lvlText w:val=""/>
      <w:lvlJc w:val="left"/>
      <w:pPr>
        <w:ind w:left="1572" w:hanging="360"/>
      </w:pPr>
      <w:rPr>
        <w:rFonts w:ascii="Symbol" w:hAnsi="Symbol" w:hint="default"/>
        <w:u w:val="none"/>
      </w:rPr>
    </w:lvl>
    <w:lvl w:ilvl="1">
      <w:start w:val="1"/>
      <w:numFmt w:val="bullet"/>
      <w:lvlText w:val="○"/>
      <w:lvlJc w:val="left"/>
      <w:pPr>
        <w:ind w:left="2292" w:hanging="360"/>
      </w:pPr>
      <w:rPr>
        <w:u w:val="none"/>
      </w:rPr>
    </w:lvl>
    <w:lvl w:ilvl="2">
      <w:start w:val="1"/>
      <w:numFmt w:val="bullet"/>
      <w:lvlText w:val="■"/>
      <w:lvlJc w:val="left"/>
      <w:pPr>
        <w:ind w:left="3012" w:hanging="360"/>
      </w:pPr>
      <w:rPr>
        <w:u w:val="none"/>
      </w:rPr>
    </w:lvl>
    <w:lvl w:ilvl="3">
      <w:start w:val="1"/>
      <w:numFmt w:val="bullet"/>
      <w:lvlText w:val="●"/>
      <w:lvlJc w:val="left"/>
      <w:pPr>
        <w:ind w:left="3732" w:hanging="360"/>
      </w:pPr>
      <w:rPr>
        <w:u w:val="none"/>
      </w:rPr>
    </w:lvl>
    <w:lvl w:ilvl="4">
      <w:start w:val="1"/>
      <w:numFmt w:val="bullet"/>
      <w:lvlText w:val="○"/>
      <w:lvlJc w:val="left"/>
      <w:pPr>
        <w:ind w:left="4452" w:hanging="360"/>
      </w:pPr>
      <w:rPr>
        <w:u w:val="none"/>
      </w:rPr>
    </w:lvl>
    <w:lvl w:ilvl="5">
      <w:start w:val="1"/>
      <w:numFmt w:val="bullet"/>
      <w:lvlText w:val="■"/>
      <w:lvlJc w:val="left"/>
      <w:pPr>
        <w:ind w:left="5172" w:hanging="360"/>
      </w:pPr>
      <w:rPr>
        <w:u w:val="none"/>
      </w:rPr>
    </w:lvl>
    <w:lvl w:ilvl="6">
      <w:start w:val="1"/>
      <w:numFmt w:val="bullet"/>
      <w:lvlText w:val="●"/>
      <w:lvlJc w:val="left"/>
      <w:pPr>
        <w:ind w:left="5892" w:hanging="360"/>
      </w:pPr>
      <w:rPr>
        <w:u w:val="none"/>
      </w:rPr>
    </w:lvl>
    <w:lvl w:ilvl="7">
      <w:start w:val="1"/>
      <w:numFmt w:val="bullet"/>
      <w:lvlText w:val="○"/>
      <w:lvlJc w:val="left"/>
      <w:pPr>
        <w:ind w:left="6612" w:hanging="360"/>
      </w:pPr>
      <w:rPr>
        <w:u w:val="none"/>
      </w:rPr>
    </w:lvl>
    <w:lvl w:ilvl="8">
      <w:start w:val="1"/>
      <w:numFmt w:val="bullet"/>
      <w:lvlText w:val="■"/>
      <w:lvlJc w:val="left"/>
      <w:pPr>
        <w:ind w:left="7332" w:hanging="360"/>
      </w:pPr>
      <w:rPr>
        <w:u w:val="none"/>
      </w:rPr>
    </w:lvl>
  </w:abstractNum>
  <w:abstractNum w:abstractNumId="2" w15:restartNumberingAfterBreak="0">
    <w:nsid w:val="574D70D9"/>
    <w:multiLevelType w:val="multilevel"/>
    <w:tmpl w:val="F572D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1610815408">
    <w:abstractNumId w:val="0"/>
  </w:num>
  <w:num w:numId="2" w16cid:durableId="219288481">
    <w:abstractNumId w:val="1"/>
  </w:num>
  <w:num w:numId="3" w16cid:durableId="47385442">
    <w:abstractNumId w:val="2"/>
  </w:num>
  <w:num w:numId="4" w16cid:durableId="1918395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02"/>
    <w:rsid w:val="00043D2C"/>
    <w:rsid w:val="00094E8A"/>
    <w:rsid w:val="000A1D02"/>
    <w:rsid w:val="000E64EA"/>
    <w:rsid w:val="001165A9"/>
    <w:rsid w:val="00124B94"/>
    <w:rsid w:val="00144A29"/>
    <w:rsid w:val="001543AD"/>
    <w:rsid w:val="00164089"/>
    <w:rsid w:val="001E49CF"/>
    <w:rsid w:val="001E68DF"/>
    <w:rsid w:val="0026086B"/>
    <w:rsid w:val="002A2D68"/>
    <w:rsid w:val="002B116B"/>
    <w:rsid w:val="002C1FC3"/>
    <w:rsid w:val="00304967"/>
    <w:rsid w:val="00371432"/>
    <w:rsid w:val="00394BFF"/>
    <w:rsid w:val="003D43A2"/>
    <w:rsid w:val="00412D0E"/>
    <w:rsid w:val="00415AF3"/>
    <w:rsid w:val="0042089C"/>
    <w:rsid w:val="004500C3"/>
    <w:rsid w:val="00460A17"/>
    <w:rsid w:val="00463A4C"/>
    <w:rsid w:val="00485BB2"/>
    <w:rsid w:val="004A49FE"/>
    <w:rsid w:val="005179FD"/>
    <w:rsid w:val="005239B3"/>
    <w:rsid w:val="00524B97"/>
    <w:rsid w:val="005510D9"/>
    <w:rsid w:val="0055230D"/>
    <w:rsid w:val="00557D09"/>
    <w:rsid w:val="00653B90"/>
    <w:rsid w:val="00661854"/>
    <w:rsid w:val="00686D5D"/>
    <w:rsid w:val="0069301C"/>
    <w:rsid w:val="006D5AD0"/>
    <w:rsid w:val="006E62BC"/>
    <w:rsid w:val="007243F8"/>
    <w:rsid w:val="00774CF1"/>
    <w:rsid w:val="007D48AD"/>
    <w:rsid w:val="00803804"/>
    <w:rsid w:val="008529BE"/>
    <w:rsid w:val="008C5731"/>
    <w:rsid w:val="008D06DF"/>
    <w:rsid w:val="008D4142"/>
    <w:rsid w:val="00915795"/>
    <w:rsid w:val="009364F7"/>
    <w:rsid w:val="0093772E"/>
    <w:rsid w:val="009B350F"/>
    <w:rsid w:val="009D63E2"/>
    <w:rsid w:val="00A0108F"/>
    <w:rsid w:val="00A53B59"/>
    <w:rsid w:val="00AA47D5"/>
    <w:rsid w:val="00AB5DCF"/>
    <w:rsid w:val="00B30DD5"/>
    <w:rsid w:val="00B36154"/>
    <w:rsid w:val="00B46050"/>
    <w:rsid w:val="00B61B4B"/>
    <w:rsid w:val="00BB0438"/>
    <w:rsid w:val="00BF2121"/>
    <w:rsid w:val="00C84EFB"/>
    <w:rsid w:val="00C94E08"/>
    <w:rsid w:val="00CA1049"/>
    <w:rsid w:val="00CA44D4"/>
    <w:rsid w:val="00CE0B55"/>
    <w:rsid w:val="00D0182F"/>
    <w:rsid w:val="00D950F1"/>
    <w:rsid w:val="00E06B78"/>
    <w:rsid w:val="00E35894"/>
    <w:rsid w:val="00E37C19"/>
    <w:rsid w:val="00E653F5"/>
    <w:rsid w:val="00E7395C"/>
    <w:rsid w:val="00EF3489"/>
    <w:rsid w:val="00F4459E"/>
    <w:rsid w:val="00F7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8084F"/>
  <w15:docId w15:val="{64CA1F8C-6C83-4660-A52F-CA07DBED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5F1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F16"/>
    <w:rPr>
      <w:rFonts w:ascii="Segoe UI" w:hAnsi="Segoe UI" w:cs="Segoe UI"/>
      <w:sz w:val="18"/>
      <w:szCs w:val="18"/>
    </w:rPr>
  </w:style>
  <w:style w:type="paragraph" w:styleId="ListParagraph">
    <w:name w:val="List Paragraph"/>
    <w:basedOn w:val="Normal"/>
    <w:uiPriority w:val="34"/>
    <w:qFormat/>
    <w:rsid w:val="004F5F16"/>
    <w:pPr>
      <w:ind w:left="720"/>
      <w:contextualSpacing/>
    </w:pPr>
  </w:style>
  <w:style w:type="paragraph" w:styleId="Revision">
    <w:name w:val="Revision"/>
    <w:hidden/>
    <w:uiPriority w:val="99"/>
    <w:semiHidden/>
    <w:rsid w:val="009973F1"/>
    <w:pPr>
      <w:spacing w:line="240" w:lineRule="auto"/>
    </w:pPr>
  </w:style>
  <w:style w:type="paragraph" w:styleId="Header">
    <w:name w:val="header"/>
    <w:basedOn w:val="Normal"/>
    <w:link w:val="HeaderChar"/>
    <w:uiPriority w:val="99"/>
    <w:unhideWhenUsed/>
    <w:rsid w:val="00557D09"/>
    <w:pPr>
      <w:tabs>
        <w:tab w:val="center" w:pos="4680"/>
        <w:tab w:val="right" w:pos="9360"/>
      </w:tabs>
      <w:spacing w:line="240" w:lineRule="auto"/>
    </w:pPr>
  </w:style>
  <w:style w:type="character" w:customStyle="1" w:styleId="HeaderChar">
    <w:name w:val="Header Char"/>
    <w:basedOn w:val="DefaultParagraphFont"/>
    <w:link w:val="Header"/>
    <w:uiPriority w:val="99"/>
    <w:rsid w:val="00557D09"/>
  </w:style>
  <w:style w:type="paragraph" w:styleId="Footer">
    <w:name w:val="footer"/>
    <w:basedOn w:val="Normal"/>
    <w:link w:val="FooterChar"/>
    <w:uiPriority w:val="99"/>
    <w:unhideWhenUsed/>
    <w:rsid w:val="00557D09"/>
    <w:pPr>
      <w:tabs>
        <w:tab w:val="center" w:pos="4680"/>
        <w:tab w:val="right" w:pos="9360"/>
      </w:tabs>
      <w:spacing w:line="240" w:lineRule="auto"/>
    </w:pPr>
  </w:style>
  <w:style w:type="character" w:customStyle="1" w:styleId="FooterChar">
    <w:name w:val="Footer Char"/>
    <w:basedOn w:val="DefaultParagraphFont"/>
    <w:link w:val="Footer"/>
    <w:uiPriority w:val="99"/>
    <w:rsid w:val="00557D09"/>
  </w:style>
  <w:style w:type="character" w:styleId="Hyperlink">
    <w:name w:val="Hyperlink"/>
    <w:basedOn w:val="DefaultParagraphFont"/>
    <w:uiPriority w:val="99"/>
    <w:unhideWhenUsed/>
    <w:rsid w:val="00E37C19"/>
    <w:rPr>
      <w:color w:val="0000FF" w:themeColor="hyperlink"/>
      <w:u w:val="single"/>
    </w:rPr>
  </w:style>
  <w:style w:type="character" w:styleId="UnresolvedMention">
    <w:name w:val="Unresolved Mention"/>
    <w:basedOn w:val="DefaultParagraphFont"/>
    <w:uiPriority w:val="99"/>
    <w:semiHidden/>
    <w:unhideWhenUsed/>
    <w:rsid w:val="00E37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00092">
      <w:bodyDiv w:val="1"/>
      <w:marLeft w:val="0"/>
      <w:marRight w:val="0"/>
      <w:marTop w:val="0"/>
      <w:marBottom w:val="0"/>
      <w:divBdr>
        <w:top w:val="none" w:sz="0" w:space="0" w:color="auto"/>
        <w:left w:val="none" w:sz="0" w:space="0" w:color="auto"/>
        <w:bottom w:val="none" w:sz="0" w:space="0" w:color="auto"/>
        <w:right w:val="none" w:sz="0" w:space="0" w:color="auto"/>
      </w:divBdr>
    </w:div>
    <w:div w:id="1970473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cat.int/Documents/Recs/compendiopdf-s/2023-17-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2371</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Motos</dc:creator>
  <cp:keywords/>
  <dc:description/>
  <cp:lastModifiedBy>Author</cp:lastModifiedBy>
  <cp:revision>9</cp:revision>
  <dcterms:created xsi:type="dcterms:W3CDTF">2025-06-10T08:43:00Z</dcterms:created>
  <dcterms:modified xsi:type="dcterms:W3CDTF">2025-10-20T07:20:00Z</dcterms:modified>
</cp:coreProperties>
</file>