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62728" w14:textId="77777777" w:rsidR="00BD16FA" w:rsidRPr="00BD16FA" w:rsidRDefault="00BD16FA" w:rsidP="00A43A68">
      <w:pPr>
        <w:widowControl w:val="0"/>
        <w:autoSpaceDE w:val="0"/>
        <w:autoSpaceDN w:val="0"/>
        <w:spacing w:line="240" w:lineRule="auto"/>
        <w:jc w:val="center"/>
        <w:rPr>
          <w:rFonts w:ascii="Cambria" w:eastAsia="Cambria" w:hAnsi="Cambria" w:cs="Cambria"/>
          <w:b/>
          <w:sz w:val="20"/>
          <w:szCs w:val="20"/>
        </w:rPr>
      </w:pPr>
      <w:r w:rsidRPr="00BD16FA">
        <w:rPr>
          <w:rFonts w:ascii="Cambria" w:eastAsia="Cambria" w:hAnsi="Cambria" w:cs="Cambria"/>
          <w:b/>
          <w:sz w:val="20"/>
          <w:szCs w:val="20"/>
        </w:rPr>
        <w:t>Page de garde accompagnant les nouvelles propositions</w:t>
      </w:r>
    </w:p>
    <w:p w14:paraId="6678E94B" w14:textId="77777777" w:rsidR="00BD16FA" w:rsidRPr="00BD16FA" w:rsidRDefault="00BD16FA" w:rsidP="00BD16FA">
      <w:pPr>
        <w:widowControl w:val="0"/>
        <w:autoSpaceDE w:val="0"/>
        <w:autoSpaceDN w:val="0"/>
        <w:spacing w:before="63" w:line="240" w:lineRule="auto"/>
        <w:rPr>
          <w:rFonts w:ascii="Cambria" w:eastAsia="Cambria" w:hAnsi="Cambria" w:cs="Cambria"/>
          <w:b/>
          <w:sz w:val="20"/>
          <w:szCs w:val="20"/>
        </w:rPr>
      </w:pPr>
    </w:p>
    <w:p w14:paraId="479AD230" w14:textId="77777777" w:rsidR="00BD16FA" w:rsidRPr="00BD16FA" w:rsidRDefault="00BD16FA" w:rsidP="00BD16FA">
      <w:pPr>
        <w:widowControl w:val="0"/>
        <w:autoSpaceDE w:val="0"/>
        <w:autoSpaceDN w:val="0"/>
        <w:spacing w:line="234" w:lineRule="exact"/>
        <w:ind w:left="281" w:right="201"/>
        <w:jc w:val="center"/>
        <w:rPr>
          <w:rFonts w:ascii="Cambria" w:eastAsia="Cambria" w:hAnsi="Cambria" w:cs="Cambria"/>
          <w:i/>
          <w:sz w:val="20"/>
          <w:szCs w:val="20"/>
        </w:rPr>
      </w:pPr>
      <w:r w:rsidRPr="00BD16FA">
        <w:rPr>
          <w:rFonts w:ascii="Cambria" w:eastAsia="Cambria" w:hAnsi="Cambria" w:cs="Cambria"/>
          <w:i/>
          <w:sz w:val="20"/>
          <w:szCs w:val="20"/>
        </w:rPr>
        <w:t>(Document soumis par les États-Unis)</w:t>
      </w:r>
    </w:p>
    <w:p w14:paraId="197E6384" w14:textId="77777777" w:rsidR="00BD16FA" w:rsidRPr="00BD16FA" w:rsidRDefault="00BD16FA" w:rsidP="00BD16FA">
      <w:pPr>
        <w:widowControl w:val="0"/>
        <w:autoSpaceDE w:val="0"/>
        <w:autoSpaceDN w:val="0"/>
        <w:spacing w:line="234" w:lineRule="exact"/>
        <w:ind w:left="281" w:right="201"/>
        <w:jc w:val="center"/>
        <w:rPr>
          <w:rFonts w:ascii="Cambria" w:eastAsia="Cambria" w:hAnsi="Cambria" w:cs="Cambria"/>
          <w:i/>
          <w:sz w:val="18"/>
        </w:rPr>
      </w:pPr>
    </w:p>
    <w:p w14:paraId="20BC7DE5" w14:textId="77777777" w:rsidR="00BD16FA" w:rsidRPr="00BD16FA" w:rsidRDefault="00BD16FA" w:rsidP="00BD16FA">
      <w:pPr>
        <w:widowControl w:val="0"/>
        <w:autoSpaceDE w:val="0"/>
        <w:autoSpaceDN w:val="0"/>
        <w:spacing w:line="240" w:lineRule="auto"/>
        <w:ind w:left="224" w:right="138"/>
        <w:jc w:val="both"/>
        <w:rPr>
          <w:rFonts w:asciiTheme="minorHAnsi" w:eastAsia="Cambria" w:hAnsiTheme="minorHAnsi" w:cs="Cambria"/>
          <w:i/>
          <w:sz w:val="20"/>
          <w:szCs w:val="20"/>
        </w:rPr>
      </w:pPr>
      <w:r w:rsidRPr="00BD16FA">
        <w:rPr>
          <w:rFonts w:asciiTheme="minorHAnsi" w:eastAsia="Cambria" w:hAnsiTheme="minorHAnsi" w:cs="Cambria"/>
          <w:b/>
          <w:sz w:val="20"/>
          <w:szCs w:val="20"/>
        </w:rPr>
        <w:t xml:space="preserve">Titre de la proposition de projet de Recommandation/Résolution : </w:t>
      </w:r>
      <w:r w:rsidRPr="00BD16FA">
        <w:rPr>
          <w:rFonts w:asciiTheme="minorHAnsi" w:eastAsia="Cambria" w:hAnsiTheme="minorHAnsi" w:cs="Cambria"/>
          <w:i/>
          <w:color w:val="FF0000"/>
          <w:sz w:val="20"/>
          <w:szCs w:val="20"/>
        </w:rPr>
        <w:t>Projet de Recommandation de l’ICCAT sur les accords d'affrètement de navires et les accords d'accès</w:t>
      </w:r>
    </w:p>
    <w:p w14:paraId="7A3683D8" w14:textId="77777777" w:rsidR="00BD16FA" w:rsidRPr="00BD16FA" w:rsidRDefault="00BD16FA" w:rsidP="00BD16FA">
      <w:pPr>
        <w:widowControl w:val="0"/>
        <w:autoSpaceDE w:val="0"/>
        <w:autoSpaceDN w:val="0"/>
        <w:spacing w:line="240" w:lineRule="auto"/>
        <w:rPr>
          <w:rFonts w:asciiTheme="minorHAnsi" w:eastAsia="Cambria" w:hAnsiTheme="minorHAnsi" w:cs="Cambria"/>
          <w:i/>
          <w:sz w:val="20"/>
          <w:szCs w:val="20"/>
        </w:rPr>
      </w:pPr>
    </w:p>
    <w:p w14:paraId="186CE484" w14:textId="77777777" w:rsidR="00BD16FA" w:rsidRPr="00BD16FA" w:rsidRDefault="00BD16FA" w:rsidP="00BD16FA">
      <w:pPr>
        <w:widowControl w:val="0"/>
        <w:autoSpaceDE w:val="0"/>
        <w:autoSpaceDN w:val="0"/>
        <w:spacing w:line="240" w:lineRule="auto"/>
        <w:ind w:left="226" w:right="156"/>
        <w:jc w:val="both"/>
        <w:rPr>
          <w:rFonts w:asciiTheme="minorHAnsi" w:eastAsia="Cambria" w:hAnsiTheme="minorHAnsi" w:cs="Cambria"/>
          <w:sz w:val="20"/>
          <w:szCs w:val="20"/>
        </w:rPr>
      </w:pPr>
      <w:r w:rsidRPr="00BD16FA">
        <w:rPr>
          <w:rFonts w:asciiTheme="minorHAnsi" w:eastAsia="Cambria" w:hAnsiTheme="minorHAnsi" w:cs="Cambria"/>
          <w:b/>
          <w:sz w:val="20"/>
          <w:szCs w:val="20"/>
        </w:rPr>
        <w:t xml:space="preserve">Titre de la ou des Recommandations ou Résolutions en vigueur traitant des mêmes questions ou de questions connexes : </w:t>
      </w:r>
      <w:r w:rsidRPr="00BD16FA">
        <w:rPr>
          <w:rFonts w:asciiTheme="minorHAnsi" w:eastAsia="Cambria" w:hAnsiTheme="minorHAnsi" w:cs="Cambria"/>
          <w:i/>
          <w:color w:val="FF0000"/>
          <w:sz w:val="20"/>
          <w:szCs w:val="20"/>
        </w:rPr>
        <w:t>Recommandation de l’ICCAT concernant l’affrètement de navires de pêche (Rec. 13-14) et Recommandation de l'ICCAT sur des accords d'accès (Rec. 14-07)</w:t>
      </w:r>
    </w:p>
    <w:p w14:paraId="248756EC" w14:textId="77777777" w:rsidR="00BD16FA" w:rsidRPr="00BD16FA" w:rsidRDefault="00BD16FA" w:rsidP="00BD16FA">
      <w:pPr>
        <w:widowControl w:val="0"/>
        <w:autoSpaceDE w:val="0"/>
        <w:autoSpaceDN w:val="0"/>
        <w:spacing w:line="240" w:lineRule="auto"/>
        <w:rPr>
          <w:rFonts w:asciiTheme="minorHAnsi" w:eastAsia="Cambria" w:hAnsiTheme="minorHAnsi" w:cs="Cambria"/>
          <w:sz w:val="20"/>
          <w:szCs w:val="20"/>
        </w:rPr>
      </w:pPr>
    </w:p>
    <w:p w14:paraId="771E73B2" w14:textId="77777777" w:rsidR="00BD16FA" w:rsidRPr="00BD16FA" w:rsidRDefault="00BD16FA" w:rsidP="00BD16FA">
      <w:pPr>
        <w:widowControl w:val="0"/>
        <w:numPr>
          <w:ilvl w:val="0"/>
          <w:numId w:val="6"/>
        </w:numPr>
        <w:tabs>
          <w:tab w:val="left" w:pos="620"/>
        </w:tabs>
        <w:autoSpaceDE w:val="0"/>
        <w:autoSpaceDN w:val="0"/>
        <w:spacing w:line="240" w:lineRule="auto"/>
        <w:rPr>
          <w:rFonts w:asciiTheme="minorHAnsi" w:eastAsia="Cambria" w:hAnsiTheme="minorHAnsi" w:cs="Cambria"/>
          <w:color w:val="FF0000"/>
          <w:sz w:val="20"/>
          <w:szCs w:val="20"/>
        </w:rPr>
      </w:pPr>
      <w:r w:rsidRPr="00BD16FA">
        <w:rPr>
          <w:rFonts w:asciiTheme="minorHAnsi" w:eastAsia="Cambria" w:hAnsiTheme="minorHAnsi" w:cs="Cambria"/>
          <w:sz w:val="20"/>
          <w:szCs w:val="20"/>
        </w:rPr>
        <w:t xml:space="preserve">Cela crée-t-il de nouvelles </w:t>
      </w:r>
      <w:r w:rsidRPr="00BD16FA">
        <w:rPr>
          <w:rFonts w:asciiTheme="minorHAnsi" w:eastAsia="Cambria" w:hAnsiTheme="minorHAnsi" w:cs="Cambria"/>
          <w:b/>
          <w:sz w:val="20"/>
          <w:szCs w:val="20"/>
        </w:rPr>
        <w:t xml:space="preserve">obligations de déclaration </w:t>
      </w:r>
      <w:r w:rsidRPr="00BD16FA">
        <w:rPr>
          <w:rFonts w:asciiTheme="minorHAnsi" w:eastAsia="Cambria" w:hAnsiTheme="minorHAnsi" w:cs="Cambria"/>
          <w:sz w:val="20"/>
          <w:szCs w:val="20"/>
        </w:rPr>
        <w:t xml:space="preserve">pour les CPC ?  Oui </w:t>
      </w:r>
      <w:proofErr w:type="gramStart"/>
      <w:r w:rsidRPr="00BD16FA">
        <w:rPr>
          <w:rFonts w:ascii="Segoe UI Symbol" w:eastAsia="Cambria" w:hAnsi="Segoe UI Symbol" w:cs="Segoe UI Symbol"/>
          <w:sz w:val="20"/>
          <w:szCs w:val="20"/>
        </w:rPr>
        <w:t>☐</w:t>
      </w:r>
      <w:r w:rsidRPr="00BD16FA">
        <w:rPr>
          <w:rFonts w:asciiTheme="minorHAnsi" w:eastAsia="Cambria" w:hAnsiTheme="minorHAnsi" w:cs="Cambria"/>
          <w:sz w:val="20"/>
          <w:szCs w:val="20"/>
        </w:rPr>
        <w:t xml:space="preserve">  </w:t>
      </w:r>
      <w:r w:rsidRPr="00BD16FA">
        <w:rPr>
          <w:rFonts w:asciiTheme="minorHAnsi" w:eastAsia="Cambria" w:hAnsiTheme="minorHAnsi" w:cs="Cambria"/>
          <w:color w:val="FF0000"/>
          <w:sz w:val="20"/>
          <w:szCs w:val="20"/>
        </w:rPr>
        <w:t>Non</w:t>
      </w:r>
      <w:proofErr w:type="gramEnd"/>
      <w:r w:rsidRPr="00BD16FA">
        <w:rPr>
          <w:rFonts w:asciiTheme="minorHAnsi" w:eastAsia="Cambria" w:hAnsiTheme="minorHAnsi" w:cs="Cambria"/>
          <w:color w:val="FF0000"/>
          <w:sz w:val="20"/>
          <w:szCs w:val="20"/>
        </w:rPr>
        <w:t xml:space="preserve"> </w:t>
      </w:r>
      <w:r w:rsidRPr="00BD16FA">
        <w:rPr>
          <w:rFonts w:ascii="Segoe UI Symbol" w:eastAsia="Cambria" w:hAnsi="Segoe UI Symbol" w:cs="Segoe UI Symbol"/>
          <w:color w:val="FF0000"/>
          <w:sz w:val="20"/>
          <w:szCs w:val="20"/>
        </w:rPr>
        <w:t>☒</w:t>
      </w:r>
    </w:p>
    <w:p w14:paraId="66497D4E" w14:textId="77777777" w:rsidR="00BD16FA" w:rsidRPr="00BD16FA" w:rsidRDefault="00BD16FA" w:rsidP="00BD16FA">
      <w:pPr>
        <w:widowControl w:val="0"/>
        <w:autoSpaceDE w:val="0"/>
        <w:autoSpaceDN w:val="0"/>
        <w:spacing w:line="240" w:lineRule="auto"/>
        <w:rPr>
          <w:rFonts w:asciiTheme="minorHAnsi" w:eastAsia="Cambria" w:hAnsiTheme="minorHAnsi" w:cs="Cambria"/>
          <w:sz w:val="20"/>
          <w:szCs w:val="20"/>
        </w:rPr>
      </w:pPr>
    </w:p>
    <w:p w14:paraId="2C590D1A" w14:textId="77777777" w:rsidR="00BD16FA" w:rsidRPr="00BD16FA" w:rsidRDefault="00BD16FA" w:rsidP="00BD16FA">
      <w:pPr>
        <w:widowControl w:val="0"/>
        <w:autoSpaceDE w:val="0"/>
        <w:autoSpaceDN w:val="0"/>
        <w:spacing w:line="240" w:lineRule="auto"/>
        <w:ind w:left="620"/>
        <w:rPr>
          <w:rFonts w:asciiTheme="minorHAnsi" w:eastAsia="Cambria" w:hAnsiTheme="minorHAnsi" w:cs="Cambria"/>
          <w:i/>
          <w:sz w:val="20"/>
          <w:szCs w:val="20"/>
        </w:rPr>
      </w:pPr>
      <w:r w:rsidRPr="00BD16FA">
        <w:rPr>
          <w:rFonts w:asciiTheme="minorHAnsi" w:eastAsia="Cambria" w:hAnsiTheme="minorHAnsi" w:cs="Cambria"/>
          <w:sz w:val="20"/>
          <w:szCs w:val="20"/>
        </w:rPr>
        <w:t xml:space="preserve">Brève description de la ou des nouvelle(s) obligation(s) de déclaration : </w:t>
      </w:r>
      <w:r w:rsidRPr="00BD16FA">
        <w:rPr>
          <w:rFonts w:asciiTheme="minorHAnsi" w:eastAsia="Cambria" w:hAnsiTheme="minorHAnsi" w:cs="Cambria"/>
          <w:i/>
          <w:color w:val="FF0000"/>
          <w:sz w:val="20"/>
          <w:szCs w:val="20"/>
        </w:rPr>
        <w:t>Néant.</w:t>
      </w:r>
    </w:p>
    <w:p w14:paraId="6F586A45" w14:textId="77777777" w:rsidR="00BD16FA" w:rsidRPr="00BD16FA" w:rsidRDefault="00BD16FA" w:rsidP="00BD16FA">
      <w:pPr>
        <w:widowControl w:val="0"/>
        <w:autoSpaceDE w:val="0"/>
        <w:autoSpaceDN w:val="0"/>
        <w:spacing w:line="240" w:lineRule="auto"/>
        <w:rPr>
          <w:rFonts w:asciiTheme="minorHAnsi" w:eastAsia="Cambria" w:hAnsiTheme="minorHAnsi" w:cs="Cambria"/>
          <w:i/>
          <w:sz w:val="20"/>
          <w:szCs w:val="20"/>
        </w:rPr>
      </w:pPr>
    </w:p>
    <w:p w14:paraId="2DF1D260" w14:textId="77777777" w:rsidR="00BD16FA" w:rsidRPr="00BD16FA" w:rsidRDefault="00BD16FA" w:rsidP="00BD16FA">
      <w:pPr>
        <w:widowControl w:val="0"/>
        <w:autoSpaceDE w:val="0"/>
        <w:autoSpaceDN w:val="0"/>
        <w:spacing w:line="240" w:lineRule="auto"/>
        <w:rPr>
          <w:rFonts w:asciiTheme="minorHAnsi" w:eastAsia="Cambria" w:hAnsiTheme="minorHAnsi" w:cs="Cambria"/>
          <w:i/>
          <w:sz w:val="20"/>
          <w:szCs w:val="20"/>
        </w:rPr>
      </w:pPr>
    </w:p>
    <w:p w14:paraId="393E8CD7" w14:textId="77777777" w:rsidR="002222A7" w:rsidRPr="002222A7" w:rsidRDefault="00BD16FA" w:rsidP="00BD16FA">
      <w:pPr>
        <w:widowControl w:val="0"/>
        <w:numPr>
          <w:ilvl w:val="0"/>
          <w:numId w:val="6"/>
        </w:numPr>
        <w:tabs>
          <w:tab w:val="left" w:pos="620"/>
          <w:tab w:val="left" w:pos="6092"/>
        </w:tabs>
        <w:autoSpaceDE w:val="0"/>
        <w:autoSpaceDN w:val="0"/>
        <w:spacing w:line="240" w:lineRule="auto"/>
        <w:rPr>
          <w:rFonts w:asciiTheme="minorHAnsi" w:eastAsia="Cambria" w:hAnsiTheme="minorHAnsi" w:cs="Cambria"/>
          <w:color w:val="FF0000"/>
          <w:sz w:val="20"/>
          <w:szCs w:val="20"/>
        </w:rPr>
      </w:pPr>
      <w:r w:rsidRPr="00BD16FA">
        <w:rPr>
          <w:rFonts w:asciiTheme="minorHAnsi" w:eastAsia="Cambria" w:hAnsiTheme="minorHAnsi" w:cs="Cambria"/>
          <w:sz w:val="20"/>
          <w:szCs w:val="20"/>
        </w:rPr>
        <w:t xml:space="preserve">Cela nécessite-t-il une contribution ou un </w:t>
      </w:r>
      <w:r w:rsidRPr="00BD16FA">
        <w:rPr>
          <w:rFonts w:asciiTheme="minorHAnsi" w:eastAsia="Cambria" w:hAnsiTheme="minorHAnsi" w:cs="Cambria"/>
          <w:b/>
          <w:sz w:val="20"/>
          <w:szCs w:val="20"/>
        </w:rPr>
        <w:t>travail</w:t>
      </w:r>
      <w:r w:rsidRPr="00BD16FA">
        <w:rPr>
          <w:rFonts w:asciiTheme="minorHAnsi" w:eastAsia="Cambria" w:hAnsiTheme="minorHAnsi" w:cs="Cambria"/>
          <w:sz w:val="20"/>
          <w:szCs w:val="20"/>
        </w:rPr>
        <w:t xml:space="preserve"> supplémentaire </w:t>
      </w:r>
      <w:r w:rsidRPr="00BD16FA">
        <w:rPr>
          <w:rFonts w:asciiTheme="minorHAnsi" w:eastAsia="Cambria" w:hAnsiTheme="minorHAnsi" w:cs="Cambria"/>
          <w:b/>
          <w:sz w:val="20"/>
          <w:szCs w:val="20"/>
        </w:rPr>
        <w:t>de la part du SCRS</w:t>
      </w:r>
      <w:r w:rsidRPr="00BD16FA">
        <w:rPr>
          <w:rFonts w:asciiTheme="minorHAnsi" w:eastAsia="Cambria" w:hAnsiTheme="minorHAnsi" w:cs="Cambria"/>
          <w:sz w:val="20"/>
          <w:szCs w:val="20"/>
        </w:rPr>
        <w:t xml:space="preserve"> ?</w:t>
      </w:r>
    </w:p>
    <w:p w14:paraId="312089B6" w14:textId="701AAB89" w:rsidR="00BD16FA" w:rsidRPr="00BD16FA" w:rsidRDefault="00BD16FA" w:rsidP="00FA5BAD">
      <w:pPr>
        <w:widowControl w:val="0"/>
        <w:tabs>
          <w:tab w:val="left" w:pos="620"/>
          <w:tab w:val="left" w:pos="6092"/>
        </w:tabs>
        <w:autoSpaceDE w:val="0"/>
        <w:autoSpaceDN w:val="0"/>
        <w:spacing w:line="240" w:lineRule="auto"/>
        <w:ind w:left="620"/>
        <w:rPr>
          <w:rFonts w:asciiTheme="minorHAnsi" w:eastAsia="Cambria" w:hAnsiTheme="minorHAnsi" w:cs="Cambria"/>
          <w:color w:val="FF0000"/>
          <w:sz w:val="20"/>
          <w:szCs w:val="20"/>
        </w:rPr>
      </w:pPr>
      <w:r w:rsidRPr="00BD16FA">
        <w:rPr>
          <w:rFonts w:asciiTheme="minorHAnsi" w:eastAsia="Cambria" w:hAnsiTheme="minorHAnsi" w:cs="Cambria"/>
          <w:sz w:val="20"/>
          <w:szCs w:val="20"/>
        </w:rPr>
        <w:t xml:space="preserve"> Oui </w:t>
      </w:r>
      <w:r w:rsidRPr="00BD16FA">
        <w:rPr>
          <w:rFonts w:ascii="Segoe UI Symbol" w:eastAsia="Cambria" w:hAnsi="Segoe UI Symbol" w:cs="Segoe UI Symbol"/>
          <w:sz w:val="20"/>
          <w:szCs w:val="20"/>
        </w:rPr>
        <w:t>☐</w:t>
      </w:r>
      <w:r w:rsidR="00FA5BAD">
        <w:rPr>
          <w:rFonts w:ascii="Segoe UI Symbol" w:eastAsia="Cambria" w:hAnsi="Segoe UI Symbol" w:cs="Segoe UI Symbol"/>
          <w:sz w:val="20"/>
          <w:szCs w:val="20"/>
        </w:rPr>
        <w:t xml:space="preserve">     </w:t>
      </w:r>
      <w:r w:rsidRPr="00BD16FA">
        <w:rPr>
          <w:rFonts w:asciiTheme="minorHAnsi" w:eastAsia="Cambria" w:hAnsiTheme="minorHAnsi" w:cs="Cambria"/>
          <w:color w:val="FF0000"/>
          <w:sz w:val="20"/>
          <w:szCs w:val="20"/>
        </w:rPr>
        <w:t xml:space="preserve">Non </w:t>
      </w:r>
      <w:r w:rsidRPr="00BD16FA">
        <w:rPr>
          <w:rFonts w:ascii="Segoe UI Symbol" w:eastAsia="Cambria" w:hAnsi="Segoe UI Symbol" w:cs="Segoe UI Symbol"/>
          <w:color w:val="FF0000"/>
          <w:sz w:val="20"/>
          <w:szCs w:val="20"/>
        </w:rPr>
        <w:t>☒</w:t>
      </w:r>
    </w:p>
    <w:p w14:paraId="484FE6FB" w14:textId="77777777" w:rsidR="00BD16FA" w:rsidRPr="00BD16FA" w:rsidRDefault="00BD16FA" w:rsidP="00BD16FA">
      <w:pPr>
        <w:widowControl w:val="0"/>
        <w:autoSpaceDE w:val="0"/>
        <w:autoSpaceDN w:val="0"/>
        <w:spacing w:line="240" w:lineRule="auto"/>
        <w:rPr>
          <w:rFonts w:asciiTheme="minorHAnsi" w:eastAsia="Cambria" w:hAnsiTheme="minorHAnsi" w:cs="Cambria"/>
          <w:sz w:val="20"/>
          <w:szCs w:val="20"/>
        </w:rPr>
      </w:pPr>
    </w:p>
    <w:p w14:paraId="3C5CF92F" w14:textId="77777777" w:rsidR="00BD16FA" w:rsidRPr="00BD16FA" w:rsidRDefault="00BD16FA" w:rsidP="00BD16FA">
      <w:pPr>
        <w:widowControl w:val="0"/>
        <w:autoSpaceDE w:val="0"/>
        <w:autoSpaceDN w:val="0"/>
        <w:spacing w:line="240" w:lineRule="auto"/>
        <w:ind w:left="620"/>
        <w:rPr>
          <w:rFonts w:asciiTheme="minorHAnsi" w:eastAsia="Cambria" w:hAnsiTheme="minorHAnsi" w:cs="Cambria"/>
          <w:sz w:val="20"/>
          <w:szCs w:val="20"/>
        </w:rPr>
      </w:pPr>
      <w:r w:rsidRPr="00BD16FA">
        <w:rPr>
          <w:rFonts w:asciiTheme="minorHAnsi" w:eastAsia="Cambria" w:hAnsiTheme="minorHAnsi" w:cs="Cambria"/>
          <w:sz w:val="20"/>
          <w:szCs w:val="20"/>
        </w:rPr>
        <w:t xml:space="preserve">Ce travail est-il déjà inclus dans le plan de travail actuel du SCRS ? Oui </w:t>
      </w:r>
      <w:proofErr w:type="gramStart"/>
      <w:r w:rsidRPr="00BD16FA">
        <w:rPr>
          <w:rFonts w:ascii="Segoe UI Symbol" w:eastAsia="Cambria" w:hAnsi="Segoe UI Symbol" w:cs="Segoe UI Symbol"/>
          <w:sz w:val="20"/>
          <w:szCs w:val="20"/>
        </w:rPr>
        <w:t>☐</w:t>
      </w:r>
      <w:r w:rsidRPr="00BD16FA">
        <w:rPr>
          <w:rFonts w:asciiTheme="minorHAnsi" w:eastAsia="Cambria" w:hAnsiTheme="minorHAnsi" w:cs="Cambria"/>
          <w:sz w:val="20"/>
          <w:szCs w:val="20"/>
        </w:rPr>
        <w:t xml:space="preserve">  </w:t>
      </w:r>
      <w:r w:rsidRPr="00BD16FA">
        <w:rPr>
          <w:rFonts w:asciiTheme="minorHAnsi" w:eastAsia="Cambria" w:hAnsiTheme="minorHAnsi" w:cs="Cambria"/>
          <w:color w:val="FF0000"/>
          <w:sz w:val="20"/>
          <w:szCs w:val="20"/>
        </w:rPr>
        <w:t>Non</w:t>
      </w:r>
      <w:proofErr w:type="gramEnd"/>
      <w:r w:rsidRPr="00BD16FA">
        <w:rPr>
          <w:rFonts w:asciiTheme="minorHAnsi" w:eastAsia="Cambria" w:hAnsiTheme="minorHAnsi" w:cs="Cambria"/>
          <w:color w:val="FF0000"/>
          <w:sz w:val="20"/>
          <w:szCs w:val="20"/>
        </w:rPr>
        <w:t xml:space="preserve"> </w:t>
      </w:r>
      <w:r w:rsidRPr="00BD16FA">
        <w:rPr>
          <w:rFonts w:ascii="Segoe UI Symbol" w:eastAsia="Cambria" w:hAnsi="Segoe UI Symbol" w:cs="Segoe UI Symbol"/>
          <w:color w:val="FF0000"/>
          <w:sz w:val="20"/>
          <w:szCs w:val="20"/>
        </w:rPr>
        <w:t>☒</w:t>
      </w:r>
    </w:p>
    <w:p w14:paraId="55D05D49" w14:textId="77777777" w:rsidR="00BD16FA" w:rsidRPr="00BD16FA" w:rsidRDefault="00BD16FA" w:rsidP="00BD16FA">
      <w:pPr>
        <w:widowControl w:val="0"/>
        <w:autoSpaceDE w:val="0"/>
        <w:autoSpaceDN w:val="0"/>
        <w:spacing w:line="240" w:lineRule="auto"/>
        <w:rPr>
          <w:rFonts w:asciiTheme="minorHAnsi" w:eastAsia="Cambria" w:hAnsiTheme="minorHAnsi" w:cs="Cambria"/>
          <w:sz w:val="20"/>
          <w:szCs w:val="20"/>
        </w:rPr>
      </w:pPr>
    </w:p>
    <w:p w14:paraId="359791DC" w14:textId="77777777" w:rsidR="00BD16FA" w:rsidRPr="00BD16FA" w:rsidRDefault="00BD16FA" w:rsidP="00BD16FA">
      <w:pPr>
        <w:widowControl w:val="0"/>
        <w:autoSpaceDE w:val="0"/>
        <w:autoSpaceDN w:val="0"/>
        <w:spacing w:line="240" w:lineRule="auto"/>
        <w:ind w:left="620"/>
        <w:rPr>
          <w:rFonts w:asciiTheme="minorHAnsi" w:eastAsia="Cambria" w:hAnsiTheme="minorHAnsi" w:cs="Cambria"/>
          <w:i/>
          <w:sz w:val="20"/>
          <w:szCs w:val="20"/>
        </w:rPr>
      </w:pPr>
      <w:r w:rsidRPr="00BD16FA">
        <w:rPr>
          <w:rFonts w:asciiTheme="minorHAnsi" w:eastAsia="Cambria" w:hAnsiTheme="minorHAnsi" w:cs="Cambria"/>
          <w:sz w:val="20"/>
          <w:szCs w:val="20"/>
        </w:rPr>
        <w:t xml:space="preserve">Brève description des nouveaux travaux scientifiques requis (évaluation des stocks, analyse, consultant externe) : </w:t>
      </w:r>
      <w:r w:rsidRPr="00BD16FA">
        <w:rPr>
          <w:rFonts w:asciiTheme="minorHAnsi" w:eastAsia="Cambria" w:hAnsiTheme="minorHAnsi" w:cs="Cambria"/>
          <w:i/>
          <w:color w:val="FF0000"/>
          <w:sz w:val="20"/>
          <w:szCs w:val="20"/>
        </w:rPr>
        <w:t>Néant.</w:t>
      </w:r>
    </w:p>
    <w:p w14:paraId="12C384AF" w14:textId="77777777" w:rsidR="00BD16FA" w:rsidRPr="00BD16FA" w:rsidRDefault="00BD16FA" w:rsidP="00BD16FA">
      <w:pPr>
        <w:widowControl w:val="0"/>
        <w:autoSpaceDE w:val="0"/>
        <w:autoSpaceDN w:val="0"/>
        <w:spacing w:line="240" w:lineRule="auto"/>
        <w:rPr>
          <w:rFonts w:asciiTheme="minorHAnsi" w:eastAsia="Cambria" w:hAnsiTheme="minorHAnsi" w:cs="Cambria"/>
          <w:i/>
          <w:sz w:val="20"/>
          <w:szCs w:val="20"/>
        </w:rPr>
      </w:pPr>
    </w:p>
    <w:p w14:paraId="71C5E64B" w14:textId="77777777" w:rsidR="00BD16FA" w:rsidRPr="00BD16FA" w:rsidRDefault="00BD16FA" w:rsidP="00BD16FA">
      <w:pPr>
        <w:widowControl w:val="0"/>
        <w:autoSpaceDE w:val="0"/>
        <w:autoSpaceDN w:val="0"/>
        <w:spacing w:line="240" w:lineRule="auto"/>
        <w:rPr>
          <w:rFonts w:asciiTheme="minorHAnsi" w:eastAsia="Cambria" w:hAnsiTheme="minorHAnsi" w:cs="Cambria"/>
          <w:i/>
          <w:sz w:val="20"/>
          <w:szCs w:val="20"/>
        </w:rPr>
      </w:pPr>
    </w:p>
    <w:p w14:paraId="5020B857" w14:textId="77777777" w:rsidR="00BD16FA" w:rsidRPr="00BD16FA" w:rsidRDefault="00BD16FA" w:rsidP="00BD16FA">
      <w:pPr>
        <w:widowControl w:val="0"/>
        <w:numPr>
          <w:ilvl w:val="0"/>
          <w:numId w:val="6"/>
        </w:numPr>
        <w:tabs>
          <w:tab w:val="left" w:pos="620"/>
          <w:tab w:val="left" w:pos="7882"/>
        </w:tabs>
        <w:autoSpaceDE w:val="0"/>
        <w:autoSpaceDN w:val="0"/>
        <w:spacing w:line="240" w:lineRule="auto"/>
        <w:rPr>
          <w:rFonts w:asciiTheme="minorHAnsi" w:eastAsia="Cambria" w:hAnsiTheme="minorHAnsi" w:cs="Cambria"/>
          <w:color w:val="FF0000"/>
          <w:sz w:val="20"/>
          <w:szCs w:val="20"/>
        </w:rPr>
      </w:pPr>
      <w:r w:rsidRPr="00BD16FA">
        <w:rPr>
          <w:rFonts w:asciiTheme="minorHAnsi" w:eastAsia="Cambria" w:hAnsiTheme="minorHAnsi" w:cs="Cambria"/>
          <w:sz w:val="20"/>
          <w:szCs w:val="20"/>
        </w:rPr>
        <w:t xml:space="preserve">Cela implique-t-il la création d'un </w:t>
      </w:r>
      <w:r w:rsidRPr="00BD16FA">
        <w:rPr>
          <w:rFonts w:asciiTheme="minorHAnsi" w:eastAsia="Cambria" w:hAnsiTheme="minorHAnsi" w:cs="Cambria"/>
          <w:b/>
          <w:sz w:val="20"/>
          <w:szCs w:val="20"/>
        </w:rPr>
        <w:t xml:space="preserve">nouveau groupe de travail ou d'un processus intersessions </w:t>
      </w:r>
      <w:r w:rsidRPr="00BD16FA">
        <w:rPr>
          <w:rFonts w:asciiTheme="minorHAnsi" w:eastAsia="Cambria" w:hAnsiTheme="minorHAnsi" w:cs="Cambria"/>
          <w:sz w:val="20"/>
          <w:szCs w:val="20"/>
        </w:rPr>
        <w:t xml:space="preserve">?  Oui </w:t>
      </w:r>
      <w:proofErr w:type="gramStart"/>
      <w:r w:rsidRPr="00BD16FA">
        <w:rPr>
          <w:rFonts w:ascii="Segoe UI Symbol" w:eastAsia="Cambria" w:hAnsi="Segoe UI Symbol" w:cs="Segoe UI Symbol"/>
          <w:sz w:val="20"/>
          <w:szCs w:val="20"/>
        </w:rPr>
        <w:t>☐</w:t>
      </w:r>
      <w:r w:rsidRPr="00BD16FA">
        <w:rPr>
          <w:rFonts w:asciiTheme="minorHAnsi" w:eastAsia="Cambria" w:hAnsiTheme="minorHAnsi" w:cs="Cambria"/>
          <w:sz w:val="20"/>
          <w:szCs w:val="20"/>
        </w:rPr>
        <w:t xml:space="preserve">  </w:t>
      </w:r>
      <w:r w:rsidRPr="00BD16FA">
        <w:rPr>
          <w:rFonts w:asciiTheme="minorHAnsi" w:eastAsia="Cambria" w:hAnsiTheme="minorHAnsi" w:cs="Cambria"/>
          <w:color w:val="FF0000"/>
          <w:sz w:val="20"/>
          <w:szCs w:val="20"/>
        </w:rPr>
        <w:t>Non</w:t>
      </w:r>
      <w:proofErr w:type="gramEnd"/>
      <w:r w:rsidRPr="00BD16FA">
        <w:rPr>
          <w:rFonts w:asciiTheme="minorHAnsi" w:eastAsia="Cambria" w:hAnsiTheme="minorHAnsi" w:cs="Cambria"/>
          <w:color w:val="FF0000"/>
          <w:sz w:val="20"/>
          <w:szCs w:val="20"/>
        </w:rPr>
        <w:t xml:space="preserve"> </w:t>
      </w:r>
      <w:r w:rsidRPr="00BD16FA">
        <w:rPr>
          <w:rFonts w:ascii="Segoe UI Symbol" w:eastAsia="Cambria" w:hAnsi="Segoe UI Symbol" w:cs="Segoe UI Symbol"/>
          <w:color w:val="FF0000"/>
          <w:sz w:val="20"/>
          <w:szCs w:val="20"/>
        </w:rPr>
        <w:t>☒</w:t>
      </w:r>
    </w:p>
    <w:p w14:paraId="124CCD6E" w14:textId="77777777" w:rsidR="00BD16FA" w:rsidRPr="00BD16FA" w:rsidRDefault="00BD16FA" w:rsidP="00BD16FA">
      <w:pPr>
        <w:widowControl w:val="0"/>
        <w:autoSpaceDE w:val="0"/>
        <w:autoSpaceDN w:val="0"/>
        <w:spacing w:line="240" w:lineRule="auto"/>
        <w:rPr>
          <w:rFonts w:asciiTheme="minorHAnsi" w:eastAsia="Cambria" w:hAnsiTheme="minorHAnsi" w:cs="Cambria"/>
          <w:sz w:val="20"/>
          <w:szCs w:val="20"/>
        </w:rPr>
      </w:pPr>
    </w:p>
    <w:p w14:paraId="2771B70D" w14:textId="77777777" w:rsidR="00BD16FA" w:rsidRPr="00BD16FA" w:rsidRDefault="00BD16FA" w:rsidP="00BD16FA">
      <w:pPr>
        <w:widowControl w:val="0"/>
        <w:numPr>
          <w:ilvl w:val="0"/>
          <w:numId w:val="6"/>
        </w:numPr>
        <w:tabs>
          <w:tab w:val="left" w:pos="620"/>
        </w:tabs>
        <w:autoSpaceDE w:val="0"/>
        <w:autoSpaceDN w:val="0"/>
        <w:spacing w:line="240" w:lineRule="auto"/>
        <w:rPr>
          <w:rFonts w:asciiTheme="minorHAnsi" w:eastAsia="Cambria" w:hAnsiTheme="minorHAnsi" w:cs="Cambria"/>
          <w:sz w:val="20"/>
          <w:szCs w:val="20"/>
        </w:rPr>
      </w:pPr>
      <w:r w:rsidRPr="00BD16FA">
        <w:rPr>
          <w:rFonts w:asciiTheme="minorHAnsi" w:eastAsia="Cambria" w:hAnsiTheme="minorHAnsi" w:cs="Cambria"/>
          <w:sz w:val="20"/>
          <w:szCs w:val="20"/>
        </w:rPr>
        <w:t xml:space="preserve">Cela nécessite-t-il un nouveau </w:t>
      </w:r>
      <w:r w:rsidRPr="00BD16FA">
        <w:rPr>
          <w:rFonts w:asciiTheme="minorHAnsi" w:eastAsia="Cambria" w:hAnsiTheme="minorHAnsi" w:cs="Cambria"/>
          <w:b/>
          <w:sz w:val="20"/>
          <w:szCs w:val="20"/>
        </w:rPr>
        <w:t xml:space="preserve">programme ou des activités supplémentaires à gérer par le Secrétariat </w:t>
      </w:r>
      <w:r w:rsidRPr="00BD16FA">
        <w:rPr>
          <w:rFonts w:asciiTheme="minorHAnsi" w:eastAsia="Cambria" w:hAnsiTheme="minorHAnsi" w:cs="Cambria"/>
          <w:sz w:val="20"/>
          <w:szCs w:val="20"/>
        </w:rPr>
        <w:t>?</w:t>
      </w:r>
    </w:p>
    <w:p w14:paraId="50882924" w14:textId="77777777" w:rsidR="00BD16FA" w:rsidRPr="00BD16FA" w:rsidRDefault="00BD16FA" w:rsidP="00BD16FA">
      <w:pPr>
        <w:widowControl w:val="0"/>
        <w:autoSpaceDE w:val="0"/>
        <w:autoSpaceDN w:val="0"/>
        <w:spacing w:line="240" w:lineRule="auto"/>
        <w:rPr>
          <w:rFonts w:asciiTheme="minorHAnsi" w:eastAsia="Cambria" w:hAnsiTheme="minorHAnsi" w:cs="Cambria"/>
          <w:sz w:val="20"/>
          <w:szCs w:val="20"/>
        </w:rPr>
      </w:pPr>
    </w:p>
    <w:p w14:paraId="129F257E" w14:textId="77777777" w:rsidR="00BD16FA" w:rsidRPr="00BD16FA" w:rsidRDefault="00BD16FA" w:rsidP="00BD16FA">
      <w:pPr>
        <w:widowControl w:val="0"/>
        <w:tabs>
          <w:tab w:val="left" w:pos="1320"/>
        </w:tabs>
        <w:autoSpaceDE w:val="0"/>
        <w:autoSpaceDN w:val="0"/>
        <w:spacing w:line="240" w:lineRule="auto"/>
        <w:ind w:left="620"/>
        <w:rPr>
          <w:rFonts w:asciiTheme="minorHAnsi" w:eastAsia="Cambria" w:hAnsiTheme="minorHAnsi" w:cs="Cambria"/>
          <w:color w:val="FF0000"/>
          <w:sz w:val="20"/>
          <w:szCs w:val="20"/>
        </w:rPr>
      </w:pPr>
      <w:r w:rsidRPr="00BD16FA">
        <w:rPr>
          <w:rFonts w:asciiTheme="minorHAnsi" w:eastAsia="Cambria" w:hAnsiTheme="minorHAnsi" w:cs="Cambria"/>
          <w:sz w:val="20"/>
          <w:szCs w:val="20"/>
        </w:rPr>
        <w:t xml:space="preserve">Oui </w:t>
      </w:r>
      <w:r w:rsidRPr="00BD16FA">
        <w:rPr>
          <w:rFonts w:ascii="Segoe UI Symbol" w:eastAsia="Cambria" w:hAnsi="Segoe UI Symbol" w:cs="Segoe UI Symbol"/>
          <w:sz w:val="20"/>
          <w:szCs w:val="20"/>
        </w:rPr>
        <w:t>☐</w:t>
      </w:r>
      <w:r w:rsidRPr="00BD16FA">
        <w:rPr>
          <w:rFonts w:asciiTheme="minorHAnsi" w:eastAsia="Cambria" w:hAnsiTheme="minorHAnsi" w:cs="Cambria"/>
          <w:sz w:val="20"/>
          <w:szCs w:val="20"/>
        </w:rPr>
        <w:tab/>
      </w:r>
      <w:r w:rsidRPr="00BD16FA">
        <w:rPr>
          <w:rFonts w:asciiTheme="minorHAnsi" w:eastAsia="Cambria" w:hAnsiTheme="minorHAnsi" w:cs="Cambria"/>
          <w:color w:val="FF0000"/>
          <w:sz w:val="20"/>
          <w:szCs w:val="20"/>
        </w:rPr>
        <w:t xml:space="preserve">Non </w:t>
      </w:r>
      <w:r w:rsidRPr="00BD16FA">
        <w:rPr>
          <w:rFonts w:ascii="Segoe UI Symbol" w:eastAsia="Cambria" w:hAnsi="Segoe UI Symbol" w:cs="Segoe UI Symbol"/>
          <w:color w:val="FF0000"/>
          <w:sz w:val="20"/>
          <w:szCs w:val="20"/>
        </w:rPr>
        <w:t>☒</w:t>
      </w:r>
    </w:p>
    <w:p w14:paraId="7E6E1D53" w14:textId="77777777" w:rsidR="00BD16FA" w:rsidRPr="00BD16FA" w:rsidRDefault="00BD16FA" w:rsidP="00BD16FA">
      <w:pPr>
        <w:widowControl w:val="0"/>
        <w:tabs>
          <w:tab w:val="left" w:pos="1320"/>
        </w:tabs>
        <w:autoSpaceDE w:val="0"/>
        <w:autoSpaceDN w:val="0"/>
        <w:spacing w:line="240" w:lineRule="auto"/>
        <w:ind w:left="620"/>
        <w:rPr>
          <w:rFonts w:asciiTheme="minorHAnsi" w:eastAsia="Cambria" w:hAnsiTheme="minorHAnsi" w:cs="Cambria"/>
          <w:sz w:val="20"/>
          <w:szCs w:val="20"/>
        </w:rPr>
      </w:pPr>
    </w:p>
    <w:p w14:paraId="6167EF16" w14:textId="77777777" w:rsidR="00BD16FA" w:rsidRPr="00BD16FA" w:rsidRDefault="00BD16FA" w:rsidP="00BD16FA">
      <w:pPr>
        <w:widowControl w:val="0"/>
        <w:autoSpaceDE w:val="0"/>
        <w:autoSpaceDN w:val="0"/>
        <w:spacing w:line="240" w:lineRule="auto"/>
        <w:ind w:left="619"/>
        <w:rPr>
          <w:rFonts w:asciiTheme="minorHAnsi" w:eastAsia="Cambria" w:hAnsiTheme="minorHAnsi" w:cs="Cambria"/>
          <w:i/>
          <w:sz w:val="20"/>
          <w:szCs w:val="20"/>
        </w:rPr>
      </w:pPr>
      <w:r w:rsidRPr="00BD16FA">
        <w:rPr>
          <w:rFonts w:asciiTheme="minorHAnsi" w:eastAsia="Cambria" w:hAnsiTheme="minorHAnsi" w:cs="Cambria"/>
          <w:sz w:val="20"/>
          <w:szCs w:val="20"/>
        </w:rPr>
        <w:t xml:space="preserve">Brève description du nouveau travail requis pour le Secrétariat : </w:t>
      </w:r>
      <w:r w:rsidRPr="00BD16FA">
        <w:rPr>
          <w:rFonts w:asciiTheme="minorHAnsi" w:eastAsia="Cambria" w:hAnsiTheme="minorHAnsi" w:cs="Cambria"/>
          <w:i/>
          <w:color w:val="FF0000"/>
          <w:sz w:val="20"/>
          <w:szCs w:val="20"/>
        </w:rPr>
        <w:t>Néant.</w:t>
      </w:r>
    </w:p>
    <w:p w14:paraId="6B4C1B98" w14:textId="77777777" w:rsidR="00BD16FA" w:rsidRPr="00BD16FA" w:rsidRDefault="00BD16FA" w:rsidP="00BD16FA">
      <w:pPr>
        <w:widowControl w:val="0"/>
        <w:autoSpaceDE w:val="0"/>
        <w:autoSpaceDN w:val="0"/>
        <w:spacing w:line="240" w:lineRule="auto"/>
        <w:rPr>
          <w:rFonts w:asciiTheme="minorHAnsi" w:eastAsia="Cambria" w:hAnsiTheme="minorHAnsi" w:cs="Cambria"/>
          <w:i/>
          <w:sz w:val="20"/>
          <w:szCs w:val="20"/>
        </w:rPr>
      </w:pPr>
    </w:p>
    <w:p w14:paraId="61CB990B" w14:textId="77777777" w:rsidR="00BD16FA" w:rsidRPr="00BD16FA" w:rsidRDefault="00BD16FA" w:rsidP="00BD16FA">
      <w:pPr>
        <w:widowControl w:val="0"/>
        <w:autoSpaceDE w:val="0"/>
        <w:autoSpaceDN w:val="0"/>
        <w:spacing w:line="240" w:lineRule="auto"/>
        <w:rPr>
          <w:rFonts w:asciiTheme="minorHAnsi" w:eastAsia="Cambria" w:hAnsiTheme="minorHAnsi" w:cs="Cambria"/>
          <w:i/>
          <w:sz w:val="20"/>
          <w:szCs w:val="20"/>
        </w:rPr>
      </w:pPr>
    </w:p>
    <w:p w14:paraId="5ABB1A87" w14:textId="77777777" w:rsidR="00BD16FA" w:rsidRPr="00BD16FA" w:rsidRDefault="00BD16FA" w:rsidP="00BD16FA">
      <w:pPr>
        <w:widowControl w:val="0"/>
        <w:numPr>
          <w:ilvl w:val="0"/>
          <w:numId w:val="6"/>
        </w:numPr>
        <w:tabs>
          <w:tab w:val="left" w:pos="620"/>
        </w:tabs>
        <w:autoSpaceDE w:val="0"/>
        <w:autoSpaceDN w:val="0"/>
        <w:spacing w:line="240" w:lineRule="auto"/>
        <w:ind w:right="358"/>
        <w:rPr>
          <w:rFonts w:asciiTheme="minorHAnsi" w:eastAsia="Cambria" w:hAnsiTheme="minorHAnsi" w:cs="Cambria"/>
          <w:sz w:val="20"/>
          <w:szCs w:val="20"/>
        </w:rPr>
      </w:pPr>
      <w:r w:rsidRPr="00BD16FA">
        <w:rPr>
          <w:rFonts w:asciiTheme="minorHAnsi" w:eastAsia="Cambria" w:hAnsiTheme="minorHAnsi" w:cs="Cambria"/>
          <w:sz w:val="20"/>
          <w:szCs w:val="20"/>
        </w:rPr>
        <w:t>Quel est le calendrier proposé pour la mise en œuvre, et existe-t-il des calendriers spécifiques différents pour certaines CPC, pêcheries, régions, etc. ?</w:t>
      </w:r>
    </w:p>
    <w:p w14:paraId="56F59D96" w14:textId="77777777" w:rsidR="00BD16FA" w:rsidRPr="00BD16FA" w:rsidRDefault="00BD16FA" w:rsidP="00BD16FA">
      <w:pPr>
        <w:widowControl w:val="0"/>
        <w:autoSpaceDE w:val="0"/>
        <w:autoSpaceDN w:val="0"/>
        <w:spacing w:line="240" w:lineRule="auto"/>
        <w:rPr>
          <w:rFonts w:asciiTheme="minorHAnsi" w:eastAsia="Cambria" w:hAnsiTheme="minorHAnsi" w:cs="Cambria"/>
          <w:sz w:val="20"/>
          <w:szCs w:val="20"/>
        </w:rPr>
      </w:pPr>
    </w:p>
    <w:p w14:paraId="27AB5697" w14:textId="77777777" w:rsidR="00BD16FA" w:rsidRPr="00BD16FA" w:rsidRDefault="00BD16FA" w:rsidP="00BD16FA">
      <w:pPr>
        <w:widowControl w:val="0"/>
        <w:autoSpaceDE w:val="0"/>
        <w:autoSpaceDN w:val="0"/>
        <w:spacing w:line="240" w:lineRule="auto"/>
        <w:ind w:left="620"/>
        <w:rPr>
          <w:rFonts w:asciiTheme="minorHAnsi" w:eastAsia="Cambria" w:hAnsiTheme="minorHAnsi" w:cs="Cambria"/>
          <w:i/>
          <w:sz w:val="20"/>
          <w:szCs w:val="20"/>
        </w:rPr>
      </w:pPr>
      <w:r w:rsidRPr="00BD16FA">
        <w:rPr>
          <w:rFonts w:asciiTheme="minorHAnsi" w:eastAsia="Cambria" w:hAnsiTheme="minorHAnsi" w:cs="Cambria"/>
          <w:i/>
          <w:color w:val="FF0000"/>
          <w:sz w:val="20"/>
          <w:szCs w:val="20"/>
        </w:rPr>
        <w:t>La mesure entrerait en vigueur six mois après sa notification aux CPC, conformément à la Convention de l’ICCAT.</w:t>
      </w:r>
    </w:p>
    <w:p w14:paraId="7325A330" w14:textId="77777777" w:rsidR="00BD16FA" w:rsidRPr="00BD16FA" w:rsidRDefault="00BD16FA" w:rsidP="00BD16FA">
      <w:pPr>
        <w:widowControl w:val="0"/>
        <w:autoSpaceDE w:val="0"/>
        <w:autoSpaceDN w:val="0"/>
        <w:spacing w:line="240" w:lineRule="auto"/>
        <w:rPr>
          <w:rFonts w:asciiTheme="minorHAnsi" w:eastAsia="Cambria" w:hAnsiTheme="minorHAnsi" w:cs="Cambria"/>
          <w:i/>
          <w:sz w:val="20"/>
          <w:szCs w:val="20"/>
        </w:rPr>
      </w:pPr>
    </w:p>
    <w:p w14:paraId="05F25B75" w14:textId="77777777" w:rsidR="00BD16FA" w:rsidRPr="00BD16FA" w:rsidRDefault="00BD16FA" w:rsidP="00BD16FA">
      <w:pPr>
        <w:widowControl w:val="0"/>
        <w:numPr>
          <w:ilvl w:val="0"/>
          <w:numId w:val="6"/>
        </w:numPr>
        <w:tabs>
          <w:tab w:val="left" w:pos="620"/>
        </w:tabs>
        <w:autoSpaceDE w:val="0"/>
        <w:autoSpaceDN w:val="0"/>
        <w:spacing w:line="240" w:lineRule="auto"/>
        <w:ind w:right="356" w:hanging="395"/>
        <w:rPr>
          <w:rFonts w:asciiTheme="minorHAnsi" w:eastAsia="Cambria" w:hAnsiTheme="minorHAnsi" w:cs="Cambria"/>
          <w:sz w:val="20"/>
          <w:szCs w:val="20"/>
        </w:rPr>
      </w:pPr>
      <w:r w:rsidRPr="00BD16FA">
        <w:rPr>
          <w:rFonts w:asciiTheme="minorHAnsi" w:eastAsia="Cambria" w:hAnsiTheme="minorHAnsi" w:cs="Cambria"/>
          <w:sz w:val="20"/>
          <w:szCs w:val="20"/>
        </w:rPr>
        <w:t>Existe-t-il d'autres informations pertinentes concernant les implications de la proposition en termes de ressources et de charge de travail ?</w:t>
      </w:r>
    </w:p>
    <w:p w14:paraId="3DAB4416" w14:textId="77777777" w:rsidR="00BD16FA" w:rsidRPr="00BD16FA" w:rsidRDefault="00BD16FA" w:rsidP="00BD16FA">
      <w:pPr>
        <w:widowControl w:val="0"/>
        <w:autoSpaceDE w:val="0"/>
        <w:autoSpaceDN w:val="0"/>
        <w:spacing w:line="240" w:lineRule="auto"/>
        <w:rPr>
          <w:rFonts w:asciiTheme="minorHAnsi" w:eastAsia="Cambria" w:hAnsiTheme="minorHAnsi" w:cs="Cambria"/>
          <w:sz w:val="20"/>
          <w:szCs w:val="20"/>
        </w:rPr>
      </w:pPr>
    </w:p>
    <w:p w14:paraId="6E5FDCC0" w14:textId="77777777" w:rsidR="00BD16FA" w:rsidRPr="00BD16FA" w:rsidRDefault="00BD16FA" w:rsidP="00BD16FA">
      <w:pPr>
        <w:widowControl w:val="0"/>
        <w:autoSpaceDE w:val="0"/>
        <w:autoSpaceDN w:val="0"/>
        <w:spacing w:line="240" w:lineRule="auto"/>
        <w:ind w:left="620"/>
        <w:rPr>
          <w:rFonts w:asciiTheme="minorHAnsi" w:eastAsia="Cambria" w:hAnsiTheme="minorHAnsi" w:cs="Cambria"/>
          <w:i/>
          <w:sz w:val="20"/>
          <w:szCs w:val="20"/>
        </w:rPr>
      </w:pPr>
      <w:r w:rsidRPr="00BD16FA">
        <w:rPr>
          <w:rFonts w:asciiTheme="minorHAnsi" w:eastAsia="Cambria" w:hAnsiTheme="minorHAnsi" w:cs="Cambria"/>
          <w:i/>
          <w:color w:val="FF0000"/>
          <w:sz w:val="20"/>
          <w:szCs w:val="20"/>
        </w:rPr>
        <w:t>Aucune.</w:t>
      </w:r>
    </w:p>
    <w:p w14:paraId="6EA4AD01" w14:textId="77777777" w:rsidR="00BD16FA" w:rsidRPr="00BD16FA" w:rsidRDefault="00BD16FA" w:rsidP="00BD16FA">
      <w:pPr>
        <w:widowControl w:val="0"/>
        <w:autoSpaceDE w:val="0"/>
        <w:autoSpaceDN w:val="0"/>
        <w:spacing w:line="240" w:lineRule="auto"/>
        <w:rPr>
          <w:rFonts w:ascii="Cambria" w:eastAsia="Cambria" w:hAnsi="Cambria" w:cs="Cambria"/>
        </w:rPr>
      </w:pPr>
    </w:p>
    <w:p w14:paraId="5E9636F8" w14:textId="77777777" w:rsidR="00BD16FA" w:rsidRDefault="00BD16FA" w:rsidP="00824862">
      <w:pPr>
        <w:spacing w:line="240" w:lineRule="exact"/>
        <w:jc w:val="right"/>
        <w:rPr>
          <w:rFonts w:asciiTheme="minorHAnsi" w:hAnsiTheme="minorHAnsi"/>
          <w:b/>
          <w:sz w:val="20"/>
          <w:szCs w:val="20"/>
        </w:rPr>
        <w:sectPr w:rsidR="00BD16FA" w:rsidSect="00B61B4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851" w:footer="1134" w:gutter="0"/>
          <w:pgNumType w:start="1"/>
          <w:cols w:space="720"/>
        </w:sectPr>
      </w:pPr>
    </w:p>
    <w:p w14:paraId="14CC3EEC" w14:textId="31D4AA91" w:rsidR="00775F9F" w:rsidRPr="00824862" w:rsidRDefault="00824862" w:rsidP="00824862">
      <w:pPr>
        <w:spacing w:line="240" w:lineRule="exact"/>
        <w:jc w:val="right"/>
        <w:rPr>
          <w:rFonts w:asciiTheme="minorHAnsi" w:hAnsiTheme="minorHAnsi"/>
          <w:b/>
          <w:sz w:val="20"/>
          <w:szCs w:val="20"/>
        </w:rPr>
      </w:pPr>
      <w:r w:rsidRPr="00824862">
        <w:rPr>
          <w:rFonts w:asciiTheme="minorHAnsi" w:hAnsiTheme="minorHAnsi"/>
          <w:b/>
          <w:sz w:val="20"/>
          <w:szCs w:val="20"/>
        </w:rPr>
        <w:lastRenderedPageBreak/>
        <w:t>Original : anglais</w:t>
      </w:r>
    </w:p>
    <w:p w14:paraId="0DBCB34E" w14:textId="77777777" w:rsidR="00824862" w:rsidRPr="00824862" w:rsidRDefault="00824862" w:rsidP="00CA1049">
      <w:pPr>
        <w:spacing w:line="240" w:lineRule="exact"/>
        <w:jc w:val="center"/>
        <w:rPr>
          <w:rFonts w:asciiTheme="minorHAnsi" w:hAnsiTheme="minorHAnsi"/>
          <w:b/>
          <w:sz w:val="20"/>
          <w:szCs w:val="20"/>
        </w:rPr>
      </w:pPr>
    </w:p>
    <w:p w14:paraId="11F80866" w14:textId="46A0467B" w:rsidR="000A1D02" w:rsidRPr="00824862" w:rsidRDefault="00124B94" w:rsidP="00CA1049">
      <w:pPr>
        <w:spacing w:line="240" w:lineRule="exact"/>
        <w:jc w:val="center"/>
        <w:rPr>
          <w:rFonts w:asciiTheme="minorHAnsi" w:eastAsia="Times New Roman" w:hAnsiTheme="minorHAnsi" w:cs="Times New Roman"/>
          <w:b/>
          <w:bCs/>
          <w:sz w:val="20"/>
          <w:szCs w:val="20"/>
        </w:rPr>
      </w:pPr>
      <w:r w:rsidRPr="00824862">
        <w:rPr>
          <w:rFonts w:asciiTheme="minorHAnsi" w:hAnsiTheme="minorHAnsi"/>
          <w:b/>
          <w:sz w:val="20"/>
          <w:szCs w:val="20"/>
        </w:rPr>
        <w:t>Projet de Recommandation de l’ICCAT sur les accords d'affrètement de navires et les accords d'accès</w:t>
      </w:r>
    </w:p>
    <w:p w14:paraId="11F80867" w14:textId="77777777" w:rsidR="000A1D02" w:rsidRPr="00824862" w:rsidRDefault="009D63E2" w:rsidP="008D06DF">
      <w:pPr>
        <w:spacing w:line="240" w:lineRule="exact"/>
        <w:jc w:val="center"/>
        <w:rPr>
          <w:rFonts w:asciiTheme="minorHAnsi" w:eastAsia="Times New Roman" w:hAnsiTheme="minorHAnsi" w:cs="Times New Roman"/>
          <w:i/>
          <w:iCs/>
          <w:sz w:val="20"/>
          <w:szCs w:val="20"/>
        </w:rPr>
      </w:pPr>
      <w:r w:rsidRPr="00824862">
        <w:rPr>
          <w:rFonts w:asciiTheme="minorHAnsi" w:hAnsiTheme="minorHAnsi"/>
          <w:i/>
          <w:iCs/>
          <w:sz w:val="20"/>
          <w:szCs w:val="20"/>
        </w:rPr>
        <w:t>(Document soumis par les États-Unis)</w:t>
      </w:r>
    </w:p>
    <w:p w14:paraId="11F80868" w14:textId="77777777" w:rsidR="000A1D02" w:rsidRPr="00824862" w:rsidRDefault="000A1D02" w:rsidP="008D4142">
      <w:pPr>
        <w:spacing w:line="240" w:lineRule="exact"/>
        <w:ind w:firstLine="284"/>
        <w:jc w:val="both"/>
        <w:rPr>
          <w:rFonts w:asciiTheme="minorHAnsi" w:eastAsia="Times New Roman" w:hAnsiTheme="minorHAnsi" w:cs="Times New Roman"/>
          <w:sz w:val="20"/>
          <w:szCs w:val="20"/>
        </w:rPr>
      </w:pPr>
    </w:p>
    <w:p w14:paraId="11F80869" w14:textId="42BA0E75" w:rsidR="000A1D02" w:rsidRPr="00824862" w:rsidRDefault="009D63E2" w:rsidP="00EE118E">
      <w:pPr>
        <w:spacing w:line="240" w:lineRule="exact"/>
        <w:ind w:firstLine="426"/>
        <w:jc w:val="both"/>
        <w:rPr>
          <w:rFonts w:asciiTheme="minorHAnsi" w:eastAsia="Times New Roman" w:hAnsiTheme="minorHAnsi" w:cs="Times New Roman"/>
          <w:sz w:val="20"/>
          <w:szCs w:val="20"/>
        </w:rPr>
      </w:pPr>
      <w:r w:rsidRPr="00824862">
        <w:rPr>
          <w:rFonts w:asciiTheme="minorHAnsi" w:hAnsiTheme="minorHAnsi"/>
          <w:i/>
          <w:iCs/>
          <w:sz w:val="20"/>
          <w:szCs w:val="20"/>
        </w:rPr>
        <w:t>RECONNAISSANT</w:t>
      </w:r>
      <w:r w:rsidRPr="00824862">
        <w:rPr>
          <w:rFonts w:asciiTheme="minorHAnsi" w:hAnsiTheme="minorHAnsi"/>
          <w:sz w:val="20"/>
          <w:szCs w:val="20"/>
        </w:rPr>
        <w:t xml:space="preserve"> que, selon la Convention de l’ICCAT, les Parties contractantes devront coopérer au maintien des populations de thonidés et d’espèces apparentées à un niveau permett</w:t>
      </w:r>
      <w:r w:rsidR="003F2C01" w:rsidRPr="00824862">
        <w:rPr>
          <w:rFonts w:asciiTheme="minorHAnsi" w:hAnsiTheme="minorHAnsi"/>
          <w:sz w:val="20"/>
          <w:szCs w:val="20"/>
        </w:rPr>
        <w:t>ant</w:t>
      </w:r>
      <w:r w:rsidRPr="00824862">
        <w:rPr>
          <w:rFonts w:asciiTheme="minorHAnsi" w:hAnsiTheme="minorHAnsi"/>
          <w:sz w:val="20"/>
          <w:szCs w:val="20"/>
        </w:rPr>
        <w:t xml:space="preserve"> la prise maximale équilibrée</w:t>
      </w:r>
      <w:r w:rsidR="00EE118E" w:rsidRPr="00824862">
        <w:rPr>
          <w:rFonts w:asciiTheme="minorHAnsi" w:hAnsiTheme="minorHAnsi"/>
          <w:sz w:val="20"/>
          <w:szCs w:val="20"/>
        </w:rPr>
        <w:t> ;</w:t>
      </w:r>
    </w:p>
    <w:p w14:paraId="11F8086A" w14:textId="77777777" w:rsidR="000A1D02" w:rsidRPr="00824862" w:rsidRDefault="000A1D02" w:rsidP="00EE118E">
      <w:pPr>
        <w:spacing w:line="240" w:lineRule="exact"/>
        <w:ind w:firstLine="426"/>
        <w:jc w:val="both"/>
        <w:rPr>
          <w:rFonts w:asciiTheme="minorHAnsi" w:eastAsia="Times New Roman" w:hAnsiTheme="minorHAnsi" w:cs="Times New Roman"/>
          <w:sz w:val="20"/>
          <w:szCs w:val="20"/>
        </w:rPr>
      </w:pPr>
    </w:p>
    <w:p w14:paraId="11F8086B" w14:textId="28F0B31D" w:rsidR="000A1D02" w:rsidRPr="00824862" w:rsidRDefault="009D63E2" w:rsidP="00EE118E">
      <w:pPr>
        <w:spacing w:line="240" w:lineRule="exact"/>
        <w:ind w:firstLine="426"/>
        <w:jc w:val="both"/>
        <w:rPr>
          <w:rFonts w:asciiTheme="minorHAnsi" w:eastAsia="Times New Roman" w:hAnsiTheme="minorHAnsi" w:cs="Times New Roman"/>
          <w:sz w:val="20"/>
          <w:szCs w:val="20"/>
        </w:rPr>
      </w:pPr>
      <w:r w:rsidRPr="00824862">
        <w:rPr>
          <w:rFonts w:asciiTheme="minorHAnsi" w:hAnsiTheme="minorHAnsi"/>
          <w:i/>
          <w:iCs/>
          <w:sz w:val="20"/>
          <w:szCs w:val="20"/>
        </w:rPr>
        <w:t>RAPPELANT</w:t>
      </w:r>
      <w:r w:rsidRPr="00824862">
        <w:rPr>
          <w:rFonts w:asciiTheme="minorHAnsi" w:hAnsiTheme="minorHAnsi"/>
          <w:sz w:val="20"/>
          <w:szCs w:val="20"/>
        </w:rPr>
        <w:t xml:space="preserve"> que, selon l’article 92 de la Convention des Nations unies sur le Droit de la mer, du 10 décembre 1982, les bateaux navigueront sous le pavillon d’un seul État et seront assujettis à la juridiction exclusive de celui-ci en haute mer, à moins qu’il n’en soit disposé autrement dans les instruments internationaux pertinents</w:t>
      </w:r>
      <w:r w:rsidR="007B23F8" w:rsidRPr="00824862">
        <w:rPr>
          <w:rFonts w:asciiTheme="minorHAnsi" w:hAnsiTheme="minorHAnsi"/>
          <w:sz w:val="20"/>
          <w:szCs w:val="20"/>
        </w:rPr>
        <w:t> ;</w:t>
      </w:r>
    </w:p>
    <w:p w14:paraId="11F8086C" w14:textId="77777777" w:rsidR="000A1D02" w:rsidRPr="00824862" w:rsidRDefault="000A1D02" w:rsidP="00EE118E">
      <w:pPr>
        <w:spacing w:line="240" w:lineRule="exact"/>
        <w:ind w:firstLine="426"/>
        <w:jc w:val="both"/>
        <w:rPr>
          <w:rFonts w:asciiTheme="minorHAnsi" w:eastAsia="Times New Roman" w:hAnsiTheme="minorHAnsi" w:cs="Times New Roman"/>
          <w:sz w:val="20"/>
          <w:szCs w:val="20"/>
        </w:rPr>
      </w:pPr>
    </w:p>
    <w:p w14:paraId="11F8086D" w14:textId="74D153DB" w:rsidR="000A1D02" w:rsidRPr="00824862" w:rsidRDefault="009D63E2" w:rsidP="00EE118E">
      <w:pPr>
        <w:spacing w:line="240" w:lineRule="exact"/>
        <w:ind w:firstLine="426"/>
        <w:jc w:val="both"/>
        <w:rPr>
          <w:rFonts w:asciiTheme="minorHAnsi" w:eastAsia="Times New Roman" w:hAnsiTheme="minorHAnsi" w:cs="Times New Roman"/>
          <w:sz w:val="20"/>
          <w:szCs w:val="20"/>
        </w:rPr>
      </w:pPr>
      <w:r w:rsidRPr="00824862">
        <w:rPr>
          <w:rFonts w:asciiTheme="minorHAnsi" w:hAnsiTheme="minorHAnsi"/>
          <w:i/>
          <w:iCs/>
          <w:sz w:val="20"/>
          <w:szCs w:val="20"/>
        </w:rPr>
        <w:t>CONSCIENTE</w:t>
      </w:r>
      <w:r w:rsidRPr="00824862">
        <w:rPr>
          <w:rFonts w:asciiTheme="minorHAnsi" w:hAnsiTheme="minorHAnsi"/>
          <w:sz w:val="20"/>
          <w:szCs w:val="20"/>
        </w:rPr>
        <w:t xml:space="preserve"> des exigences en matière de déclaration des données pour toutes les </w:t>
      </w:r>
      <w:r w:rsidR="000C6C2F" w:rsidRPr="00824862">
        <w:rPr>
          <w:rFonts w:asciiTheme="minorHAnsi" w:hAnsiTheme="minorHAnsi"/>
          <w:color w:val="000000"/>
          <w:sz w:val="20"/>
          <w:szCs w:val="20"/>
        </w:rPr>
        <w:t xml:space="preserve">Parties contractantes et les Parties, Entités et Entités de pêche non contractantes coopérantes </w:t>
      </w:r>
      <w:r w:rsidR="009838E6" w:rsidRPr="00824862">
        <w:rPr>
          <w:rFonts w:asciiTheme="minorHAnsi" w:hAnsiTheme="minorHAnsi"/>
          <w:color w:val="000000"/>
          <w:sz w:val="20"/>
          <w:szCs w:val="20"/>
        </w:rPr>
        <w:t>(</w:t>
      </w:r>
      <w:r w:rsidRPr="00824862">
        <w:rPr>
          <w:rFonts w:asciiTheme="minorHAnsi" w:hAnsiTheme="minorHAnsi"/>
          <w:sz w:val="20"/>
          <w:szCs w:val="20"/>
        </w:rPr>
        <w:t>CPC</w:t>
      </w:r>
      <w:r w:rsidR="009838E6" w:rsidRPr="00824862">
        <w:rPr>
          <w:rFonts w:asciiTheme="minorHAnsi" w:hAnsiTheme="minorHAnsi"/>
          <w:sz w:val="20"/>
          <w:szCs w:val="20"/>
        </w:rPr>
        <w:t>)</w:t>
      </w:r>
      <w:r w:rsidRPr="00824862">
        <w:rPr>
          <w:rFonts w:asciiTheme="minorHAnsi" w:hAnsiTheme="minorHAnsi"/>
          <w:sz w:val="20"/>
          <w:szCs w:val="20"/>
        </w:rPr>
        <w:t xml:space="preserve"> et de l’importance, pour le travail du SCRS et de la Commission, de déclarer des statistiques complètes</w:t>
      </w:r>
      <w:r w:rsidR="00205541" w:rsidRPr="00824862">
        <w:rPr>
          <w:rFonts w:asciiTheme="minorHAnsi" w:hAnsiTheme="minorHAnsi"/>
          <w:sz w:val="20"/>
          <w:szCs w:val="20"/>
        </w:rPr>
        <w:t> ;</w:t>
      </w:r>
    </w:p>
    <w:p w14:paraId="11F8086E" w14:textId="77777777" w:rsidR="000A1D02" w:rsidRPr="00824862" w:rsidRDefault="000A1D02" w:rsidP="00EE118E">
      <w:pPr>
        <w:spacing w:line="240" w:lineRule="exact"/>
        <w:ind w:firstLine="426"/>
        <w:jc w:val="both"/>
        <w:rPr>
          <w:rFonts w:asciiTheme="minorHAnsi" w:eastAsia="Times New Roman" w:hAnsiTheme="minorHAnsi" w:cs="Times New Roman"/>
          <w:sz w:val="20"/>
          <w:szCs w:val="20"/>
        </w:rPr>
      </w:pPr>
    </w:p>
    <w:p w14:paraId="11F8086F" w14:textId="14005081" w:rsidR="000A1D02" w:rsidRPr="00824862" w:rsidRDefault="009D63E2" w:rsidP="00EE118E">
      <w:pPr>
        <w:spacing w:line="240" w:lineRule="exact"/>
        <w:ind w:firstLine="426"/>
        <w:jc w:val="both"/>
        <w:rPr>
          <w:rFonts w:asciiTheme="minorHAnsi" w:eastAsia="Times New Roman" w:hAnsiTheme="minorHAnsi" w:cs="Times New Roman"/>
          <w:sz w:val="20"/>
          <w:szCs w:val="20"/>
        </w:rPr>
      </w:pPr>
      <w:r w:rsidRPr="00824862">
        <w:rPr>
          <w:rFonts w:asciiTheme="minorHAnsi" w:hAnsiTheme="minorHAnsi"/>
          <w:i/>
          <w:iCs/>
          <w:sz w:val="20"/>
          <w:szCs w:val="20"/>
        </w:rPr>
        <w:t>CONSTATANT</w:t>
      </w:r>
      <w:r w:rsidRPr="00824862">
        <w:rPr>
          <w:rFonts w:asciiTheme="minorHAnsi" w:hAnsiTheme="minorHAnsi"/>
          <w:sz w:val="20"/>
          <w:szCs w:val="20"/>
        </w:rPr>
        <w:t xml:space="preserve"> les nécessités et intérêts de tous les États de développer leurs flottilles de pêche de façon à tirer le plus grand parti des opportunités de pêche dont ils disposent aux termes des Recommandations pertinentes de l’ICCAT</w:t>
      </w:r>
      <w:r w:rsidR="00205541" w:rsidRPr="00824862">
        <w:rPr>
          <w:rFonts w:asciiTheme="minorHAnsi" w:hAnsiTheme="minorHAnsi"/>
          <w:sz w:val="20"/>
          <w:szCs w:val="20"/>
        </w:rPr>
        <w:t> ;</w:t>
      </w:r>
    </w:p>
    <w:p w14:paraId="11F80870" w14:textId="77777777" w:rsidR="000A1D02" w:rsidRPr="00824862" w:rsidRDefault="000A1D02" w:rsidP="00EE118E">
      <w:pPr>
        <w:spacing w:line="240" w:lineRule="exact"/>
        <w:ind w:firstLine="426"/>
        <w:jc w:val="both"/>
        <w:rPr>
          <w:rFonts w:asciiTheme="minorHAnsi" w:eastAsia="Times New Roman" w:hAnsiTheme="minorHAnsi" w:cs="Times New Roman"/>
          <w:sz w:val="20"/>
          <w:szCs w:val="20"/>
        </w:rPr>
      </w:pPr>
    </w:p>
    <w:p w14:paraId="11F80871" w14:textId="49D62B5A" w:rsidR="000A1D02" w:rsidRPr="00824862" w:rsidRDefault="009D63E2" w:rsidP="00EE118E">
      <w:pPr>
        <w:spacing w:line="240" w:lineRule="exact"/>
        <w:ind w:firstLine="426"/>
        <w:jc w:val="both"/>
        <w:rPr>
          <w:rFonts w:asciiTheme="minorHAnsi" w:eastAsia="Times New Roman" w:hAnsiTheme="minorHAnsi" w:cs="Times New Roman"/>
          <w:sz w:val="20"/>
          <w:szCs w:val="20"/>
        </w:rPr>
      </w:pPr>
      <w:r w:rsidRPr="00824862">
        <w:rPr>
          <w:rFonts w:asciiTheme="minorHAnsi" w:hAnsiTheme="minorHAnsi"/>
          <w:i/>
          <w:iCs/>
          <w:sz w:val="20"/>
          <w:szCs w:val="20"/>
        </w:rPr>
        <w:t>CONSCIENTE</w:t>
      </w:r>
      <w:r w:rsidRPr="00824862">
        <w:rPr>
          <w:rFonts w:asciiTheme="minorHAnsi" w:hAnsiTheme="minorHAnsi"/>
          <w:sz w:val="20"/>
          <w:szCs w:val="20"/>
        </w:rPr>
        <w:t xml:space="preserve"> que, si elles ne sont pas réglementées de manière appropriée, les pratiques en matière d'accords d'accès et d'affrètement pourraient miner sérieusement l'efficacité des mesures de conservation et de gestion établies par l’ICCAT</w:t>
      </w:r>
      <w:r w:rsidR="00EE118E" w:rsidRPr="00824862">
        <w:rPr>
          <w:rFonts w:asciiTheme="minorHAnsi" w:hAnsiTheme="minorHAnsi"/>
          <w:sz w:val="20"/>
          <w:szCs w:val="20"/>
        </w:rPr>
        <w:t> ;</w:t>
      </w:r>
    </w:p>
    <w:p w14:paraId="11F80872" w14:textId="77777777" w:rsidR="000A1D02" w:rsidRPr="00824862" w:rsidRDefault="000A1D02" w:rsidP="00EE118E">
      <w:pPr>
        <w:spacing w:line="240" w:lineRule="exact"/>
        <w:ind w:firstLine="426"/>
        <w:jc w:val="both"/>
        <w:rPr>
          <w:rFonts w:asciiTheme="minorHAnsi" w:eastAsia="Times New Roman" w:hAnsiTheme="minorHAnsi" w:cs="Times New Roman"/>
          <w:sz w:val="20"/>
          <w:szCs w:val="20"/>
        </w:rPr>
      </w:pPr>
    </w:p>
    <w:p w14:paraId="11F80873" w14:textId="30CDB984" w:rsidR="000A1D02" w:rsidRPr="00824862" w:rsidRDefault="009D63E2" w:rsidP="00EE118E">
      <w:pPr>
        <w:spacing w:line="240" w:lineRule="exact"/>
        <w:ind w:firstLine="426"/>
        <w:jc w:val="both"/>
        <w:rPr>
          <w:rFonts w:asciiTheme="minorHAnsi" w:eastAsia="Times New Roman" w:hAnsiTheme="minorHAnsi" w:cs="Times New Roman"/>
          <w:sz w:val="20"/>
          <w:szCs w:val="20"/>
        </w:rPr>
      </w:pPr>
      <w:r w:rsidRPr="00824862">
        <w:rPr>
          <w:rFonts w:asciiTheme="minorHAnsi" w:hAnsiTheme="minorHAnsi"/>
          <w:i/>
          <w:iCs/>
          <w:sz w:val="20"/>
          <w:szCs w:val="20"/>
        </w:rPr>
        <w:t>CONSCIENTE</w:t>
      </w:r>
      <w:r w:rsidRPr="00824862">
        <w:rPr>
          <w:rFonts w:asciiTheme="minorHAnsi" w:hAnsiTheme="minorHAnsi"/>
          <w:sz w:val="20"/>
          <w:szCs w:val="20"/>
        </w:rPr>
        <w:t xml:space="preserve"> de la nécessité de garantir la transparence entre les CPC en ce qui concerne les conditions d’accès aux eaux des États côtiers, notamment pour faciliter les efforts déployés conjointement pour combattre la pêche illicite, non déclarée et non réglementée</w:t>
      </w:r>
      <w:r w:rsidR="00271A08" w:rsidRPr="00824862">
        <w:rPr>
          <w:rFonts w:asciiTheme="minorHAnsi" w:hAnsiTheme="minorHAnsi"/>
          <w:sz w:val="20"/>
          <w:szCs w:val="20"/>
        </w:rPr>
        <w:t> ;</w:t>
      </w:r>
    </w:p>
    <w:p w14:paraId="11F80874" w14:textId="77777777" w:rsidR="000A1D02" w:rsidRPr="00824862" w:rsidRDefault="000A1D02" w:rsidP="00EE118E">
      <w:pPr>
        <w:spacing w:line="240" w:lineRule="exact"/>
        <w:ind w:firstLine="426"/>
        <w:jc w:val="both"/>
        <w:rPr>
          <w:rFonts w:asciiTheme="minorHAnsi" w:eastAsia="Times New Roman" w:hAnsiTheme="minorHAnsi" w:cs="Times New Roman"/>
          <w:i/>
          <w:iCs/>
          <w:sz w:val="20"/>
          <w:szCs w:val="20"/>
        </w:rPr>
      </w:pPr>
    </w:p>
    <w:p w14:paraId="11F80875" w14:textId="75591BEB" w:rsidR="000A1D02" w:rsidRPr="00824862" w:rsidRDefault="009D63E2" w:rsidP="00EE118E">
      <w:pPr>
        <w:spacing w:line="240" w:lineRule="exact"/>
        <w:ind w:firstLine="426"/>
        <w:jc w:val="both"/>
        <w:rPr>
          <w:rFonts w:asciiTheme="minorHAnsi" w:eastAsia="Times New Roman" w:hAnsiTheme="minorHAnsi" w:cs="Times New Roman"/>
          <w:sz w:val="20"/>
          <w:szCs w:val="20"/>
        </w:rPr>
      </w:pPr>
      <w:r w:rsidRPr="00824862">
        <w:rPr>
          <w:rFonts w:asciiTheme="minorHAnsi" w:hAnsiTheme="minorHAnsi"/>
          <w:i/>
          <w:iCs/>
          <w:sz w:val="20"/>
          <w:szCs w:val="20"/>
        </w:rPr>
        <w:t>RAPPELANT</w:t>
      </w:r>
      <w:r w:rsidRPr="00824862">
        <w:rPr>
          <w:rFonts w:asciiTheme="minorHAnsi" w:hAnsiTheme="minorHAnsi"/>
          <w:sz w:val="20"/>
          <w:szCs w:val="20"/>
        </w:rPr>
        <w:t xml:space="preserve"> la </w:t>
      </w:r>
      <w:r w:rsidRPr="00824862">
        <w:rPr>
          <w:rFonts w:asciiTheme="minorHAnsi" w:hAnsiTheme="minorHAnsi"/>
          <w:i/>
          <w:iCs/>
          <w:sz w:val="20"/>
          <w:szCs w:val="20"/>
        </w:rPr>
        <w:t>Recommandation de l’ICCAT relative aux devoirs des Parties contractantes et Parties, Entités ou Entités de pêche non-contractantes coopérantes en ce qui concerne leurs bateaux pêchant dans la zone de la Convention ICCAT</w:t>
      </w:r>
      <w:r w:rsidRPr="00824862">
        <w:rPr>
          <w:rFonts w:asciiTheme="minorHAnsi" w:hAnsiTheme="minorHAnsi"/>
          <w:sz w:val="20"/>
          <w:szCs w:val="20"/>
        </w:rPr>
        <w:t xml:space="preserve"> (Rec. 03-12), laquelle prévoit que les CPC doivent s'assurer que leurs navires ne s'adonnent pas à la pêche non autorisée dans les zones relevant de la juridiction nationale d'autres États, par le biais de la coopération appropriée avec les États côtiers concernés, et tout autre moyen pertinent dont dispose la CPC de pavillon</w:t>
      </w:r>
      <w:r w:rsidR="005E7EB3" w:rsidRPr="00824862">
        <w:rPr>
          <w:rFonts w:asciiTheme="minorHAnsi" w:hAnsiTheme="minorHAnsi"/>
          <w:sz w:val="20"/>
          <w:szCs w:val="20"/>
        </w:rPr>
        <w:t> ;</w:t>
      </w:r>
    </w:p>
    <w:p w14:paraId="11F80876" w14:textId="77777777" w:rsidR="000A1D02" w:rsidRPr="00824862" w:rsidRDefault="000A1D02" w:rsidP="00B61B4B">
      <w:pPr>
        <w:spacing w:line="240" w:lineRule="exact"/>
        <w:jc w:val="both"/>
        <w:rPr>
          <w:rFonts w:asciiTheme="minorHAnsi" w:eastAsia="Times New Roman" w:hAnsiTheme="minorHAnsi" w:cs="Times New Roman"/>
          <w:sz w:val="20"/>
          <w:szCs w:val="20"/>
        </w:rPr>
      </w:pPr>
    </w:p>
    <w:p w14:paraId="11F80877" w14:textId="77777777" w:rsidR="000A1D02" w:rsidRPr="00824862" w:rsidRDefault="000A1D02" w:rsidP="00B61B4B">
      <w:pPr>
        <w:spacing w:line="240" w:lineRule="exact"/>
        <w:jc w:val="both"/>
        <w:rPr>
          <w:rFonts w:asciiTheme="minorHAnsi" w:eastAsia="Times New Roman" w:hAnsiTheme="minorHAnsi" w:cs="Times New Roman"/>
          <w:sz w:val="20"/>
          <w:szCs w:val="20"/>
        </w:rPr>
      </w:pPr>
    </w:p>
    <w:p w14:paraId="11F80878" w14:textId="1CC48F4C" w:rsidR="000A1D02" w:rsidRPr="00824862" w:rsidRDefault="009D63E2" w:rsidP="00094E8A">
      <w:pPr>
        <w:spacing w:line="240" w:lineRule="exact"/>
        <w:jc w:val="center"/>
        <w:rPr>
          <w:rFonts w:asciiTheme="minorHAnsi" w:eastAsia="Times New Roman" w:hAnsiTheme="minorHAnsi" w:cs="Times New Roman"/>
          <w:sz w:val="20"/>
          <w:szCs w:val="20"/>
        </w:rPr>
      </w:pPr>
      <w:r w:rsidRPr="00824862">
        <w:rPr>
          <w:rFonts w:asciiTheme="minorHAnsi" w:hAnsiTheme="minorHAnsi"/>
          <w:sz w:val="20"/>
          <w:szCs w:val="20"/>
        </w:rPr>
        <w:t>LA COMMISSION INTERNATIONALE POUR LA CONSERVATION</w:t>
      </w:r>
    </w:p>
    <w:p w14:paraId="11F80879" w14:textId="3BBA200A" w:rsidR="000A1D02" w:rsidRPr="00824862" w:rsidRDefault="009D63E2" w:rsidP="00094E8A">
      <w:pPr>
        <w:spacing w:line="240" w:lineRule="exact"/>
        <w:jc w:val="center"/>
        <w:rPr>
          <w:rFonts w:asciiTheme="minorHAnsi" w:eastAsia="Times New Roman" w:hAnsiTheme="minorHAnsi" w:cs="Times New Roman"/>
          <w:sz w:val="20"/>
          <w:szCs w:val="20"/>
        </w:rPr>
      </w:pPr>
      <w:r w:rsidRPr="00824862">
        <w:rPr>
          <w:rFonts w:asciiTheme="minorHAnsi" w:hAnsiTheme="minorHAnsi"/>
          <w:sz w:val="20"/>
          <w:szCs w:val="20"/>
        </w:rPr>
        <w:t>DES THONIDÉS DE L’ATLANTIQUE (ICCAT) RECOMMANDE CE QUI SUIT :</w:t>
      </w:r>
    </w:p>
    <w:p w14:paraId="11F8087A" w14:textId="77777777" w:rsidR="000A1D02" w:rsidRPr="00824862" w:rsidRDefault="000A1D02" w:rsidP="00B61B4B">
      <w:pPr>
        <w:spacing w:line="240" w:lineRule="exact"/>
        <w:jc w:val="both"/>
        <w:rPr>
          <w:rFonts w:asciiTheme="minorHAnsi" w:eastAsia="Times New Roman" w:hAnsiTheme="minorHAnsi" w:cs="Times New Roman"/>
          <w:sz w:val="20"/>
          <w:szCs w:val="20"/>
        </w:rPr>
      </w:pPr>
    </w:p>
    <w:p w14:paraId="11F8087B" w14:textId="77777777" w:rsidR="000A1D02" w:rsidRPr="00824862" w:rsidRDefault="009D63E2" w:rsidP="00B61B4B">
      <w:pPr>
        <w:spacing w:line="240" w:lineRule="exact"/>
        <w:jc w:val="both"/>
        <w:rPr>
          <w:rFonts w:asciiTheme="minorHAnsi" w:eastAsia="Times New Roman" w:hAnsiTheme="minorHAnsi" w:cs="Times New Roman"/>
          <w:b/>
          <w:sz w:val="20"/>
          <w:szCs w:val="20"/>
        </w:rPr>
      </w:pPr>
      <w:r w:rsidRPr="00824862">
        <w:rPr>
          <w:rFonts w:asciiTheme="minorHAnsi" w:hAnsiTheme="minorHAnsi"/>
          <w:b/>
          <w:sz w:val="20"/>
          <w:szCs w:val="20"/>
        </w:rPr>
        <w:t>Accords d’affrètement</w:t>
      </w:r>
    </w:p>
    <w:p w14:paraId="11F8087C" w14:textId="77777777" w:rsidR="000A1D02" w:rsidRPr="00824862" w:rsidRDefault="000A1D02" w:rsidP="00B61B4B">
      <w:pPr>
        <w:spacing w:line="240" w:lineRule="exact"/>
        <w:jc w:val="both"/>
        <w:rPr>
          <w:rFonts w:asciiTheme="minorHAnsi" w:eastAsia="Times New Roman" w:hAnsiTheme="minorHAnsi" w:cs="Times New Roman"/>
          <w:b/>
          <w:sz w:val="20"/>
          <w:szCs w:val="20"/>
        </w:rPr>
      </w:pPr>
      <w:bookmarkStart w:id="0" w:name="_heading=h.76lhq5hzjdul"/>
      <w:bookmarkEnd w:id="0"/>
    </w:p>
    <w:p w14:paraId="11F8087D" w14:textId="6A92BA60" w:rsidR="000A1D02" w:rsidRPr="00824862" w:rsidRDefault="009D63E2" w:rsidP="005A6E2F">
      <w:pPr>
        <w:pStyle w:val="ListParagraph"/>
        <w:numPr>
          <w:ilvl w:val="0"/>
          <w:numId w:val="1"/>
        </w:numPr>
        <w:pBdr>
          <w:top w:val="nil"/>
          <w:left w:val="nil"/>
          <w:bottom w:val="nil"/>
          <w:right w:val="nil"/>
          <w:between w:val="nil"/>
        </w:pBdr>
        <w:tabs>
          <w:tab w:val="left" w:pos="426"/>
        </w:tabs>
        <w:spacing w:line="240" w:lineRule="exact"/>
        <w:ind w:left="426" w:hanging="426"/>
        <w:jc w:val="both"/>
        <w:rPr>
          <w:rFonts w:asciiTheme="minorHAnsi" w:eastAsia="Times New Roman" w:hAnsiTheme="minorHAnsi" w:cs="Times New Roman"/>
          <w:color w:val="000000"/>
          <w:sz w:val="20"/>
          <w:szCs w:val="20"/>
        </w:rPr>
      </w:pPr>
      <w:r w:rsidRPr="00824862">
        <w:rPr>
          <w:rFonts w:asciiTheme="minorHAnsi" w:hAnsiTheme="minorHAnsi"/>
          <w:color w:val="000000"/>
          <w:sz w:val="20"/>
          <w:szCs w:val="20"/>
        </w:rPr>
        <w:t>Les Parties contractantes et les Parties, Entités et Entités de pêche non contractantes coopérantes (CPC) devront s'assurer que l'affrètement des navires de pêche participant aux pêcheries de l'ICCAT soit réalisé conformément aux dispositions suivantes</w:t>
      </w:r>
      <w:r w:rsidR="008031C1" w:rsidRPr="00824862">
        <w:rPr>
          <w:rFonts w:asciiTheme="minorHAnsi" w:hAnsiTheme="minorHAnsi"/>
          <w:color w:val="000000"/>
          <w:sz w:val="20"/>
          <w:szCs w:val="20"/>
        </w:rPr>
        <w:t>, sauf en cas d'affrètement coque nue, comme indiqué au paragraphe [1bis].</w:t>
      </w:r>
    </w:p>
    <w:p w14:paraId="11F8087E"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217C4ED0" w14:textId="01F17520" w:rsidR="00CF143C" w:rsidRPr="00824862" w:rsidRDefault="00CF143C" w:rsidP="00FE404E">
      <w:pPr>
        <w:ind w:left="360" w:hanging="360"/>
        <w:jc w:val="both"/>
        <w:rPr>
          <w:rFonts w:ascii="Cambria" w:eastAsia="Times New Roman" w:hAnsi="Cambria" w:cs="Times New Roman"/>
          <w:sz w:val="20"/>
          <w:szCs w:val="20"/>
        </w:rPr>
      </w:pPr>
      <w:r w:rsidRPr="00824862">
        <w:rPr>
          <w:rFonts w:ascii="Cambria" w:hAnsi="Cambria"/>
          <w:sz w:val="20"/>
        </w:rPr>
        <w:t xml:space="preserve">1 </w:t>
      </w:r>
      <w:r w:rsidR="00313354" w:rsidRPr="00824862">
        <w:rPr>
          <w:rFonts w:ascii="Cambria" w:hAnsi="Cambria"/>
          <w:sz w:val="20"/>
        </w:rPr>
        <w:t>(</w:t>
      </w:r>
      <w:r w:rsidRPr="00824862">
        <w:rPr>
          <w:rFonts w:ascii="Cambria" w:hAnsi="Cambria"/>
          <w:sz w:val="20"/>
        </w:rPr>
        <w:t>bis</w:t>
      </w:r>
      <w:r w:rsidR="00313354" w:rsidRPr="00824862">
        <w:rPr>
          <w:rFonts w:ascii="Cambria" w:hAnsi="Cambria"/>
          <w:sz w:val="20"/>
        </w:rPr>
        <w:t>)</w:t>
      </w:r>
      <w:r w:rsidRPr="00824862">
        <w:rPr>
          <w:rFonts w:ascii="Cambria" w:hAnsi="Cambria"/>
          <w:sz w:val="20"/>
        </w:rPr>
        <w:t>. Les dispositions de cette mesure ne s'appliquent pas dans le cas d'un affrètement coque nue lorsqu'un navire change temporairement de pavillon pour adopter celui de la CPC affréteuse, hormis que la CPC affréteuse devra être responsable de toutes les obligations de l’ICCAT en ce qui concerne le navire affrété.</w:t>
      </w:r>
    </w:p>
    <w:p w14:paraId="37E26EAB" w14:textId="77777777" w:rsidR="008031C1" w:rsidRPr="00824862" w:rsidRDefault="008031C1"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7F" w14:textId="003BFAC0" w:rsidR="000A1D02" w:rsidRPr="00824862" w:rsidRDefault="009D63E2" w:rsidP="00094E8A">
      <w:pPr>
        <w:numPr>
          <w:ilvl w:val="0"/>
          <w:numId w:val="1"/>
        </w:numPr>
        <w:pBdr>
          <w:top w:val="nil"/>
          <w:left w:val="nil"/>
          <w:bottom w:val="nil"/>
          <w:right w:val="nil"/>
          <w:between w:val="nil"/>
        </w:pBdr>
        <w:tabs>
          <w:tab w:val="left" w:pos="426"/>
        </w:tabs>
        <w:spacing w:line="240" w:lineRule="exact"/>
        <w:ind w:left="426" w:hanging="426"/>
        <w:jc w:val="both"/>
        <w:rPr>
          <w:rFonts w:asciiTheme="minorHAnsi" w:eastAsia="Times New Roman" w:hAnsiTheme="minorHAnsi" w:cs="Times New Roman"/>
          <w:color w:val="000000"/>
          <w:sz w:val="20"/>
          <w:szCs w:val="20"/>
        </w:rPr>
      </w:pPr>
      <w:r w:rsidRPr="00824862">
        <w:rPr>
          <w:rFonts w:asciiTheme="minorHAnsi" w:hAnsiTheme="minorHAnsi"/>
          <w:color w:val="000000"/>
          <w:sz w:val="20"/>
          <w:szCs w:val="20"/>
        </w:rPr>
        <w:t>Les nations affréteuses devront être des Parties contractantes à la Convention de l’ICCAT. L'entreprise d’affrètement doit être légitimement établie auprès de la Partie contractante affréteuse.</w:t>
      </w:r>
    </w:p>
    <w:p w14:paraId="11F80880"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71059D59" w14:textId="32EE13B1" w:rsidR="008F6652" w:rsidRPr="00824862" w:rsidRDefault="008F6652">
      <w:pPr>
        <w:rPr>
          <w:rFonts w:asciiTheme="minorHAnsi" w:hAnsiTheme="minorHAnsi"/>
          <w:sz w:val="20"/>
          <w:szCs w:val="20"/>
        </w:rPr>
      </w:pPr>
    </w:p>
    <w:p w14:paraId="19AF5410" w14:textId="7C2C5288" w:rsidR="008F6652" w:rsidRPr="00824862" w:rsidRDefault="009D63E2" w:rsidP="008F6652">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Les navires de pêche à affréter </w:t>
      </w:r>
      <w:r w:rsidR="008C1901" w:rsidRPr="00824862">
        <w:rPr>
          <w:rFonts w:asciiTheme="minorHAnsi" w:hAnsiTheme="minorHAnsi"/>
          <w:sz w:val="20"/>
          <w:szCs w:val="20"/>
        </w:rPr>
        <w:t xml:space="preserve">ne </w:t>
      </w:r>
      <w:r w:rsidRPr="00824862">
        <w:rPr>
          <w:rFonts w:asciiTheme="minorHAnsi" w:hAnsiTheme="minorHAnsi"/>
          <w:sz w:val="20"/>
          <w:szCs w:val="20"/>
        </w:rPr>
        <w:t xml:space="preserve">devront arborer </w:t>
      </w:r>
      <w:r w:rsidR="001D0A51" w:rsidRPr="00824862">
        <w:rPr>
          <w:rFonts w:asciiTheme="minorHAnsi" w:hAnsiTheme="minorHAnsi"/>
          <w:sz w:val="20"/>
          <w:szCs w:val="20"/>
        </w:rPr>
        <w:t xml:space="preserve">que </w:t>
      </w:r>
      <w:r w:rsidRPr="00824862">
        <w:rPr>
          <w:rFonts w:asciiTheme="minorHAnsi" w:hAnsiTheme="minorHAnsi"/>
          <w:sz w:val="20"/>
          <w:szCs w:val="20"/>
        </w:rPr>
        <w:t>le pavillon des CPC responsables</w:t>
      </w:r>
      <w:r w:rsidR="001D0A51" w:rsidRPr="00824862">
        <w:rPr>
          <w:rFonts w:asciiTheme="minorHAnsi" w:hAnsiTheme="minorHAnsi"/>
          <w:sz w:val="20"/>
          <w:szCs w:val="20"/>
        </w:rPr>
        <w:t xml:space="preserve">, </w:t>
      </w:r>
      <w:r w:rsidR="00EA2A10" w:rsidRPr="00824862">
        <w:rPr>
          <w:rFonts w:asciiTheme="minorHAnsi" w:hAnsiTheme="minorHAnsi"/>
          <w:sz w:val="20"/>
          <w:szCs w:val="20"/>
        </w:rPr>
        <w:t>tenant compte</w:t>
      </w:r>
      <w:r w:rsidR="008F6652" w:rsidRPr="00824862">
        <w:rPr>
          <w:rFonts w:asciiTheme="minorHAnsi" w:hAnsiTheme="minorHAnsi"/>
          <w:sz w:val="20"/>
          <w:szCs w:val="20"/>
        </w:rPr>
        <w:t xml:space="preserve"> de la Rec. 03-12.</w:t>
      </w:r>
    </w:p>
    <w:p w14:paraId="78D3C510" w14:textId="77777777" w:rsidR="008F6652" w:rsidRPr="00824862" w:rsidRDefault="008F6652" w:rsidP="008F6652">
      <w:pPr>
        <w:tabs>
          <w:tab w:val="left" w:pos="426"/>
        </w:tabs>
        <w:spacing w:line="240" w:lineRule="exact"/>
        <w:ind w:left="426"/>
        <w:jc w:val="both"/>
        <w:rPr>
          <w:rFonts w:asciiTheme="minorHAnsi" w:eastAsia="Times New Roman" w:hAnsiTheme="minorHAnsi" w:cs="Times New Roman"/>
          <w:sz w:val="20"/>
          <w:szCs w:val="20"/>
        </w:rPr>
      </w:pPr>
    </w:p>
    <w:p w14:paraId="11F80883" w14:textId="7F724D79"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La Partie contractante affréteuse et la CPC de pavillon devront assurer l’application par les bateaux affrétés des mesures pertinentes de conservation et de gestion établies par l’ICCAT, conformément à leurs droits, obligations et juridiction dans le cadre du droit international. </w:t>
      </w:r>
    </w:p>
    <w:p w14:paraId="11F80884"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5" w14:textId="76288766"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Les prises effectuées aux termes d</w:t>
      </w:r>
      <w:r w:rsidR="004B2183" w:rsidRPr="00824862">
        <w:rPr>
          <w:rFonts w:asciiTheme="minorHAnsi" w:hAnsiTheme="minorHAnsi"/>
          <w:sz w:val="20"/>
          <w:szCs w:val="20"/>
        </w:rPr>
        <w:t>e l’</w:t>
      </w:r>
      <w:r w:rsidRPr="00824862">
        <w:rPr>
          <w:rFonts w:asciiTheme="minorHAnsi" w:hAnsiTheme="minorHAnsi"/>
          <w:sz w:val="20"/>
          <w:szCs w:val="20"/>
        </w:rPr>
        <w:t xml:space="preserve">accord d’affrètement de navires dans les pêcheries de l’ICCAT devront être décomptées des quotas ou possibilités de pêche de la Partie contractante affréteuse. </w:t>
      </w:r>
    </w:p>
    <w:p w14:paraId="11F80886"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7" w14:textId="362A85BA"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La Partie contractante affréteuse devra déclarer à l’ICCAT les prises et </w:t>
      </w:r>
      <w:r w:rsidR="00584619" w:rsidRPr="00824862">
        <w:rPr>
          <w:rFonts w:asciiTheme="minorHAnsi" w:hAnsiTheme="minorHAnsi"/>
          <w:sz w:val="20"/>
          <w:szCs w:val="20"/>
        </w:rPr>
        <w:t xml:space="preserve">remplir </w:t>
      </w:r>
      <w:r w:rsidRPr="00824862">
        <w:rPr>
          <w:rFonts w:asciiTheme="minorHAnsi" w:hAnsiTheme="minorHAnsi"/>
          <w:sz w:val="20"/>
          <w:szCs w:val="20"/>
        </w:rPr>
        <w:t>toute</w:t>
      </w:r>
      <w:r w:rsidR="00584619" w:rsidRPr="00824862">
        <w:rPr>
          <w:rFonts w:asciiTheme="minorHAnsi" w:hAnsiTheme="minorHAnsi"/>
          <w:sz w:val="20"/>
          <w:szCs w:val="20"/>
        </w:rPr>
        <w:t>s</w:t>
      </w:r>
      <w:r w:rsidRPr="00824862">
        <w:rPr>
          <w:rFonts w:asciiTheme="minorHAnsi" w:hAnsiTheme="minorHAnsi"/>
          <w:sz w:val="20"/>
          <w:szCs w:val="20"/>
        </w:rPr>
        <w:t xml:space="preserve"> </w:t>
      </w:r>
      <w:r w:rsidR="00E45A5C" w:rsidRPr="00824862">
        <w:rPr>
          <w:rFonts w:asciiTheme="minorHAnsi" w:hAnsiTheme="minorHAnsi"/>
          <w:sz w:val="20"/>
          <w:szCs w:val="20"/>
        </w:rPr>
        <w:t xml:space="preserve">les </w:t>
      </w:r>
      <w:r w:rsidRPr="00824862">
        <w:rPr>
          <w:rFonts w:asciiTheme="minorHAnsi" w:hAnsiTheme="minorHAnsi"/>
          <w:sz w:val="20"/>
          <w:szCs w:val="20"/>
        </w:rPr>
        <w:t>autre</w:t>
      </w:r>
      <w:r w:rsidR="00E45A5C" w:rsidRPr="00824862">
        <w:rPr>
          <w:rFonts w:asciiTheme="minorHAnsi" w:hAnsiTheme="minorHAnsi"/>
          <w:sz w:val="20"/>
          <w:szCs w:val="20"/>
        </w:rPr>
        <w:t>s</w:t>
      </w:r>
      <w:r w:rsidRPr="00824862">
        <w:rPr>
          <w:rFonts w:asciiTheme="minorHAnsi" w:hAnsiTheme="minorHAnsi"/>
          <w:sz w:val="20"/>
          <w:szCs w:val="20"/>
        </w:rPr>
        <w:t xml:space="preserve"> </w:t>
      </w:r>
      <w:r w:rsidR="00E45A5C" w:rsidRPr="00824862">
        <w:rPr>
          <w:rFonts w:asciiTheme="minorHAnsi" w:hAnsiTheme="minorHAnsi"/>
          <w:sz w:val="20"/>
          <w:szCs w:val="20"/>
        </w:rPr>
        <w:t xml:space="preserve">obligations en matière de déclaration </w:t>
      </w:r>
      <w:r w:rsidRPr="00824862">
        <w:rPr>
          <w:rFonts w:asciiTheme="minorHAnsi" w:hAnsiTheme="minorHAnsi"/>
          <w:sz w:val="20"/>
          <w:szCs w:val="20"/>
        </w:rPr>
        <w:t>requise</w:t>
      </w:r>
      <w:r w:rsidR="00E45A5C" w:rsidRPr="00824862">
        <w:rPr>
          <w:rFonts w:asciiTheme="minorHAnsi" w:hAnsiTheme="minorHAnsi"/>
          <w:sz w:val="20"/>
          <w:szCs w:val="20"/>
        </w:rPr>
        <w:t>s</w:t>
      </w:r>
      <w:r w:rsidRPr="00824862">
        <w:rPr>
          <w:rFonts w:asciiTheme="minorHAnsi" w:hAnsiTheme="minorHAnsi"/>
          <w:sz w:val="20"/>
          <w:szCs w:val="20"/>
        </w:rPr>
        <w:t xml:space="preserve"> par l’ICCAT. </w:t>
      </w:r>
    </w:p>
    <w:p w14:paraId="11F80888"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9" w14:textId="7075810A"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La </w:t>
      </w:r>
      <w:r w:rsidR="00F71E31" w:rsidRPr="00824862">
        <w:rPr>
          <w:rFonts w:asciiTheme="minorHAnsi" w:hAnsiTheme="minorHAnsi"/>
          <w:sz w:val="20"/>
          <w:szCs w:val="20"/>
        </w:rPr>
        <w:t xml:space="preserve">Partie </w:t>
      </w:r>
      <w:r w:rsidRPr="00824862">
        <w:rPr>
          <w:rFonts w:asciiTheme="minorHAnsi" w:hAnsiTheme="minorHAnsi"/>
          <w:sz w:val="20"/>
          <w:szCs w:val="20"/>
        </w:rPr>
        <w:t>contractante affréteuse devra exiger que les captures conservées dans le cadre de l'accord d'affrètement soient distinguées des autres captures jusqu'au point de premier débarquement, notamment en séparant les captures dans des cales différentes, en marquant les poissons</w:t>
      </w:r>
      <w:r w:rsidR="005C0EE0" w:rsidRPr="00824862">
        <w:rPr>
          <w:rFonts w:asciiTheme="minorHAnsi" w:hAnsiTheme="minorHAnsi"/>
          <w:sz w:val="20"/>
          <w:szCs w:val="20"/>
        </w:rPr>
        <w:t xml:space="preserve">, </w:t>
      </w:r>
      <w:r w:rsidR="00F662A5" w:rsidRPr="00824862">
        <w:rPr>
          <w:rFonts w:asciiTheme="minorHAnsi" w:hAnsiTheme="minorHAnsi"/>
          <w:sz w:val="20"/>
          <w:szCs w:val="20"/>
        </w:rPr>
        <w:t xml:space="preserve">en tenant </w:t>
      </w:r>
      <w:r w:rsidR="00F662A5" w:rsidRPr="00824862">
        <w:rPr>
          <w:rFonts w:asciiTheme="minorHAnsi" w:eastAsia="Times New Roman" w:hAnsiTheme="minorHAnsi" w:cs="Times New Roman"/>
          <w:sz w:val="20"/>
          <w:szCs w:val="20"/>
        </w:rPr>
        <w:t>des</w:t>
      </w:r>
      <w:r w:rsidR="005C0EE0" w:rsidRPr="00824862">
        <w:rPr>
          <w:rFonts w:asciiTheme="minorHAnsi" w:eastAsia="Times New Roman" w:hAnsiTheme="minorHAnsi" w:cs="Times New Roman"/>
          <w:sz w:val="20"/>
          <w:szCs w:val="20"/>
        </w:rPr>
        <w:t xml:space="preserve"> registres détaillés,</w:t>
      </w:r>
      <w:r w:rsidRPr="00824862">
        <w:rPr>
          <w:rFonts w:asciiTheme="minorHAnsi" w:hAnsiTheme="minorHAnsi"/>
          <w:sz w:val="20"/>
          <w:szCs w:val="20"/>
        </w:rPr>
        <w:t xml:space="preserve"> ou par d'autres moyens efficaces. </w:t>
      </w:r>
    </w:p>
    <w:p w14:paraId="11F8088A"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B" w14:textId="4AD7C4A4" w:rsidR="000A1D02" w:rsidRPr="00824862" w:rsidRDefault="00C04D13"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La Partie contractante affréteuse </w:t>
      </w:r>
      <w:r w:rsidR="009037FD" w:rsidRPr="00824862">
        <w:rPr>
          <w:rFonts w:asciiTheme="minorHAnsi" w:hAnsiTheme="minorHAnsi"/>
          <w:sz w:val="20"/>
          <w:szCs w:val="20"/>
        </w:rPr>
        <w:t>devra assure</w:t>
      </w:r>
      <w:r w:rsidR="009A0EAB" w:rsidRPr="00824862">
        <w:rPr>
          <w:rFonts w:asciiTheme="minorHAnsi" w:hAnsiTheme="minorHAnsi"/>
          <w:sz w:val="20"/>
          <w:szCs w:val="20"/>
        </w:rPr>
        <w:t>r une couverture d’observateurs d’</w:t>
      </w:r>
      <w:r w:rsidR="009037FD" w:rsidRPr="00824862">
        <w:rPr>
          <w:rFonts w:asciiTheme="minorHAnsi" w:hAnsiTheme="minorHAnsi"/>
          <w:sz w:val="20"/>
          <w:szCs w:val="20"/>
        </w:rPr>
        <w:t>a</w:t>
      </w:r>
      <w:r w:rsidR="009D63E2" w:rsidRPr="00824862">
        <w:rPr>
          <w:rFonts w:asciiTheme="minorHAnsi" w:hAnsiTheme="minorHAnsi"/>
          <w:sz w:val="20"/>
          <w:szCs w:val="20"/>
        </w:rPr>
        <w:t>u moins 10</w:t>
      </w:r>
      <w:r w:rsidR="003B50C6" w:rsidRPr="00824862">
        <w:rPr>
          <w:rFonts w:asciiTheme="minorHAnsi" w:hAnsiTheme="minorHAnsi"/>
          <w:sz w:val="20"/>
          <w:szCs w:val="20"/>
        </w:rPr>
        <w:t> </w:t>
      </w:r>
      <w:r w:rsidR="009D63E2" w:rsidRPr="00824862">
        <w:rPr>
          <w:rFonts w:asciiTheme="minorHAnsi" w:hAnsiTheme="minorHAnsi"/>
          <w:sz w:val="20"/>
          <w:szCs w:val="20"/>
        </w:rPr>
        <w:t>% de l'effort de pêche des navires affrétés, mesurée de la façon spécifiée au paragraphe</w:t>
      </w:r>
      <w:r w:rsidR="009037FD" w:rsidRPr="00824862">
        <w:rPr>
          <w:rFonts w:asciiTheme="minorHAnsi" w:hAnsiTheme="minorHAnsi"/>
          <w:sz w:val="20"/>
          <w:szCs w:val="20"/>
        </w:rPr>
        <w:t> </w:t>
      </w:r>
      <w:r w:rsidR="009D63E2" w:rsidRPr="00824862">
        <w:rPr>
          <w:rFonts w:asciiTheme="minorHAnsi" w:hAnsiTheme="minorHAnsi"/>
          <w:sz w:val="20"/>
          <w:szCs w:val="20"/>
        </w:rPr>
        <w:t>1 de la Recommandation 16-14. Toutes les autres dispositions de la Recommandation 16-14 s'appliquent mutatis mutandis dans le cas des navires affrétés.</w:t>
      </w:r>
    </w:p>
    <w:p w14:paraId="11F8088C"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D" w14:textId="2C4B68DF"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Les navires affrétés doivent être détenteurs d’une licence de pêche délivrée par la Partie contractante affréteuse. Les Parties contractantes ne peuvent pas affréter un navire figurant sur la liste des navires IUU de l’ICCAT, conformément à </w:t>
      </w:r>
      <w:r w:rsidR="002A794B" w:rsidRPr="00824862">
        <w:rPr>
          <w:rFonts w:asciiTheme="minorHAnsi" w:hAnsiTheme="minorHAnsi" w:cs="Calibri"/>
          <w:i/>
          <w:iCs/>
          <w:sz w:val="20"/>
          <w:szCs w:val="20"/>
          <w:lang w:eastAsia="fr-FR" w:bidi="fr-FR"/>
        </w:rPr>
        <w:t xml:space="preserve">Recommandation de l’ICCAT amendant la Recommandation 21-13 établissant une liste de navires présumés avoir exercé des activités de pêche illicites, non déclarées et non règlementées </w:t>
      </w:r>
      <w:r w:rsidR="002A794B" w:rsidRPr="00824862">
        <w:rPr>
          <w:rFonts w:asciiTheme="minorHAnsi" w:hAnsiTheme="minorHAnsi" w:cs="Calibri"/>
          <w:sz w:val="20"/>
          <w:szCs w:val="20"/>
          <w:lang w:eastAsia="fr-FR" w:bidi="fr-FR"/>
        </w:rPr>
        <w:t>(Rec. 23-16).</w:t>
      </w:r>
      <w:r w:rsidR="00AF3E1A" w:rsidRPr="00824862">
        <w:rPr>
          <w:rFonts w:asciiTheme="minorHAnsi" w:hAnsiTheme="minorHAnsi" w:cs="Calibri"/>
          <w:sz w:val="20"/>
          <w:szCs w:val="20"/>
          <w:lang w:eastAsia="fr-FR" w:bidi="fr-FR"/>
        </w:rPr>
        <w:t>).</w:t>
      </w:r>
    </w:p>
    <w:p w14:paraId="11F8088E"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8F" w14:textId="07DAC148"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Un navire ne devra être en aucun cas autorisé à pêcher dans le cadre de plus d'un accord d'affrètement</w:t>
      </w:r>
      <w:r w:rsidR="008D5DC2" w:rsidRPr="00824862">
        <w:rPr>
          <w:rFonts w:asciiTheme="minorHAnsi" w:hAnsiTheme="minorHAnsi"/>
          <w:sz w:val="20"/>
          <w:szCs w:val="20"/>
        </w:rPr>
        <w:t xml:space="preserve">, </w:t>
      </w:r>
      <w:r w:rsidR="007C6C7B" w:rsidRPr="00824862">
        <w:rPr>
          <w:rFonts w:asciiTheme="minorHAnsi" w:hAnsiTheme="minorHAnsi"/>
          <w:sz w:val="20"/>
          <w:szCs w:val="20"/>
        </w:rPr>
        <w:t>et u</w:t>
      </w:r>
      <w:r w:rsidR="008D5DC2" w:rsidRPr="00824862">
        <w:rPr>
          <w:rFonts w:asciiTheme="minorHAnsi" w:hAnsiTheme="minorHAnsi"/>
          <w:sz w:val="20"/>
          <w:szCs w:val="20"/>
        </w:rPr>
        <w:t xml:space="preserve">n navire </w:t>
      </w:r>
      <w:r w:rsidR="007C6C7B" w:rsidRPr="00824862">
        <w:rPr>
          <w:rFonts w:asciiTheme="minorHAnsi" w:hAnsiTheme="minorHAnsi"/>
          <w:sz w:val="20"/>
          <w:szCs w:val="20"/>
        </w:rPr>
        <w:t>ne devra</w:t>
      </w:r>
      <w:r w:rsidR="008D5DC2" w:rsidRPr="00824862">
        <w:rPr>
          <w:rFonts w:asciiTheme="minorHAnsi" w:hAnsiTheme="minorHAnsi"/>
          <w:sz w:val="20"/>
          <w:szCs w:val="20"/>
        </w:rPr>
        <w:t xml:space="preserve"> pas non plus </w:t>
      </w:r>
      <w:r w:rsidR="007C6C7B" w:rsidRPr="00824862">
        <w:rPr>
          <w:rFonts w:asciiTheme="minorHAnsi" w:hAnsiTheme="minorHAnsi"/>
          <w:sz w:val="20"/>
          <w:szCs w:val="20"/>
        </w:rPr>
        <w:t xml:space="preserve">être </w:t>
      </w:r>
      <w:r w:rsidR="008D5DC2" w:rsidRPr="00824862">
        <w:rPr>
          <w:rFonts w:asciiTheme="minorHAnsi" w:hAnsiTheme="minorHAnsi"/>
          <w:sz w:val="20"/>
          <w:szCs w:val="20"/>
        </w:rPr>
        <w:t>autorisé à pratiquer le sous-affrètement.</w:t>
      </w:r>
    </w:p>
    <w:p w14:paraId="11F80890"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91" w14:textId="7920D95D"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Les prises des bateaux affrétés devront être débarquées exclusivement dans des ports soumis à la </w:t>
      </w:r>
      <w:hyperlink r:id="rId13">
        <w:r w:rsidRPr="00824862">
          <w:rPr>
            <w:rFonts w:asciiTheme="minorHAnsi" w:hAnsiTheme="minorHAnsi"/>
            <w:i/>
            <w:iCs/>
            <w:sz w:val="20"/>
            <w:szCs w:val="20"/>
          </w:rPr>
          <w:t>Recommandation de l’ICCAT amendant la Recommandation 18-09 concernant des mesures du ressort de l’État du port visant à prévenir, contrecarrer et éliminer la pêche illicite, non déclarée et non règlementée</w:t>
        </w:r>
      </w:hyperlink>
      <w:r w:rsidRPr="00824862">
        <w:rPr>
          <w:rFonts w:asciiTheme="minorHAnsi" w:hAnsiTheme="minorHAnsi"/>
          <w:sz w:val="20"/>
          <w:szCs w:val="20"/>
        </w:rPr>
        <w:t xml:space="preserve"> (Rec. 23-17) </w:t>
      </w:r>
      <w:r w:rsidR="009E412D" w:rsidRPr="00824862">
        <w:rPr>
          <w:rFonts w:asciiTheme="minorHAnsi" w:hAnsiTheme="minorHAnsi"/>
          <w:sz w:val="20"/>
          <w:szCs w:val="20"/>
        </w:rPr>
        <w:t>ou dans des ports soumis à un régime comparable de mesures du ressort de l'État du port en vertu d'une autre</w:t>
      </w:r>
      <w:r w:rsidR="003C0D91" w:rsidRPr="00824862">
        <w:rPr>
          <w:rFonts w:asciiTheme="minorHAnsi" w:hAnsiTheme="minorHAnsi"/>
          <w:sz w:val="20"/>
          <w:szCs w:val="20"/>
        </w:rPr>
        <w:t xml:space="preserve"> Organisation régionale de gestion des pêches</w:t>
      </w:r>
      <w:r w:rsidR="009E412D" w:rsidRPr="00824862">
        <w:rPr>
          <w:rFonts w:asciiTheme="minorHAnsi" w:hAnsiTheme="minorHAnsi"/>
          <w:sz w:val="20"/>
          <w:szCs w:val="20"/>
        </w:rPr>
        <w:t xml:space="preserve"> </w:t>
      </w:r>
      <w:r w:rsidR="003C0D91" w:rsidRPr="00824862">
        <w:rPr>
          <w:rFonts w:asciiTheme="minorHAnsi" w:hAnsiTheme="minorHAnsi"/>
          <w:sz w:val="20"/>
          <w:szCs w:val="20"/>
        </w:rPr>
        <w:t>(</w:t>
      </w:r>
      <w:r w:rsidR="009E412D" w:rsidRPr="00824862">
        <w:rPr>
          <w:rFonts w:asciiTheme="minorHAnsi" w:hAnsiTheme="minorHAnsi"/>
          <w:sz w:val="20"/>
          <w:szCs w:val="20"/>
        </w:rPr>
        <w:t>ORGP</w:t>
      </w:r>
      <w:r w:rsidR="003C0D91" w:rsidRPr="00824862">
        <w:rPr>
          <w:rFonts w:asciiTheme="minorHAnsi" w:hAnsiTheme="minorHAnsi"/>
          <w:sz w:val="20"/>
          <w:szCs w:val="20"/>
        </w:rPr>
        <w:t>)</w:t>
      </w:r>
      <w:r w:rsidR="009E412D" w:rsidRPr="00824862">
        <w:rPr>
          <w:rFonts w:asciiTheme="minorHAnsi" w:hAnsiTheme="minorHAnsi"/>
          <w:sz w:val="20"/>
          <w:szCs w:val="20"/>
        </w:rPr>
        <w:t xml:space="preserve"> ou de l'accord de la FAO sur les mesures du ressort de l'État du port </w:t>
      </w:r>
      <w:r w:rsidRPr="00824862">
        <w:rPr>
          <w:rFonts w:asciiTheme="minorHAnsi" w:hAnsiTheme="minorHAnsi"/>
          <w:sz w:val="20"/>
          <w:szCs w:val="20"/>
        </w:rPr>
        <w:t>de façon à garantir que les activités d</w:t>
      </w:r>
      <w:r w:rsidR="00E9624A" w:rsidRPr="00824862">
        <w:rPr>
          <w:rFonts w:asciiTheme="minorHAnsi" w:hAnsiTheme="minorHAnsi"/>
          <w:sz w:val="20"/>
          <w:szCs w:val="20"/>
        </w:rPr>
        <w:t>es</w:t>
      </w:r>
      <w:r w:rsidRPr="00824862">
        <w:rPr>
          <w:rFonts w:asciiTheme="minorHAnsi" w:hAnsiTheme="minorHAnsi"/>
          <w:sz w:val="20"/>
          <w:szCs w:val="20"/>
        </w:rPr>
        <w:t xml:space="preserve"> </w:t>
      </w:r>
      <w:r w:rsidR="00297E8E" w:rsidRPr="00824862">
        <w:rPr>
          <w:rFonts w:asciiTheme="minorHAnsi" w:hAnsiTheme="minorHAnsi"/>
          <w:sz w:val="20"/>
          <w:szCs w:val="20"/>
        </w:rPr>
        <w:t>navire</w:t>
      </w:r>
      <w:r w:rsidR="00E9624A" w:rsidRPr="00824862">
        <w:rPr>
          <w:rFonts w:asciiTheme="minorHAnsi" w:hAnsiTheme="minorHAnsi"/>
          <w:sz w:val="20"/>
          <w:szCs w:val="20"/>
        </w:rPr>
        <w:t>s</w:t>
      </w:r>
      <w:r w:rsidRPr="00824862">
        <w:rPr>
          <w:rFonts w:asciiTheme="minorHAnsi" w:hAnsiTheme="minorHAnsi"/>
          <w:sz w:val="20"/>
          <w:szCs w:val="20"/>
        </w:rPr>
        <w:t xml:space="preserve"> affrét</w:t>
      </w:r>
      <w:r w:rsidR="00297E8E" w:rsidRPr="00824862">
        <w:rPr>
          <w:rFonts w:asciiTheme="minorHAnsi" w:hAnsiTheme="minorHAnsi"/>
          <w:sz w:val="20"/>
          <w:szCs w:val="20"/>
        </w:rPr>
        <w:t>é</w:t>
      </w:r>
      <w:r w:rsidR="00E9624A" w:rsidRPr="00824862">
        <w:rPr>
          <w:rFonts w:asciiTheme="minorHAnsi" w:hAnsiTheme="minorHAnsi"/>
          <w:sz w:val="20"/>
          <w:szCs w:val="20"/>
        </w:rPr>
        <w:t>s</w:t>
      </w:r>
      <w:r w:rsidRPr="00824862">
        <w:rPr>
          <w:rFonts w:asciiTheme="minorHAnsi" w:hAnsiTheme="minorHAnsi"/>
          <w:sz w:val="20"/>
          <w:szCs w:val="20"/>
        </w:rPr>
        <w:t xml:space="preserve"> ne compromettent pas les mesures de conservation et de gestion de l’ICCAT.</w:t>
      </w:r>
    </w:p>
    <w:p w14:paraId="11F80892"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93" w14:textId="4D501A7E"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Tout transbordement en mer devra être mené conformément à la </w:t>
      </w:r>
      <w:r w:rsidRPr="00824862">
        <w:rPr>
          <w:rFonts w:asciiTheme="minorHAnsi" w:hAnsiTheme="minorHAnsi"/>
          <w:i/>
          <w:iCs/>
          <w:sz w:val="20"/>
          <w:szCs w:val="20"/>
        </w:rPr>
        <w:t>Recommandation de l’ICCAT amendant la Recommandation 21-15 sur le transbordement</w:t>
      </w:r>
      <w:r w:rsidRPr="00824862">
        <w:rPr>
          <w:rFonts w:asciiTheme="minorHAnsi" w:hAnsiTheme="minorHAnsi"/>
          <w:sz w:val="20"/>
          <w:szCs w:val="20"/>
        </w:rPr>
        <w:t xml:space="preserve"> (Rec. 24-15). En outre, tout transbordement en mer devra être préalablement </w:t>
      </w:r>
      <w:r w:rsidR="000E4558" w:rsidRPr="00824862">
        <w:rPr>
          <w:rFonts w:asciiTheme="minorHAnsi" w:hAnsiTheme="minorHAnsi"/>
          <w:sz w:val="20"/>
          <w:szCs w:val="20"/>
        </w:rPr>
        <w:t xml:space="preserve">et </w:t>
      </w:r>
      <w:r w:rsidRPr="00824862">
        <w:rPr>
          <w:rFonts w:asciiTheme="minorHAnsi" w:hAnsiTheme="minorHAnsi"/>
          <w:sz w:val="20"/>
          <w:szCs w:val="20"/>
        </w:rPr>
        <w:t xml:space="preserve">dûment autorisé par la Partie contractante affréteuse et ne devra se produire que sous la supervision d’un observateur </w:t>
      </w:r>
      <w:r w:rsidR="008C6247" w:rsidRPr="00824862">
        <w:rPr>
          <w:rFonts w:asciiTheme="minorHAnsi" w:hAnsiTheme="minorHAnsi"/>
          <w:sz w:val="20"/>
          <w:szCs w:val="20"/>
        </w:rPr>
        <w:t xml:space="preserve">régional de l’ICCAT </w:t>
      </w:r>
      <w:r w:rsidRPr="00824862">
        <w:rPr>
          <w:rFonts w:asciiTheme="minorHAnsi" w:hAnsiTheme="minorHAnsi"/>
          <w:sz w:val="20"/>
          <w:szCs w:val="20"/>
        </w:rPr>
        <w:t xml:space="preserve">à bord. </w:t>
      </w:r>
    </w:p>
    <w:p w14:paraId="11F80894"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95" w14:textId="0F93D1EA" w:rsidR="000A1D02" w:rsidRPr="00824862" w:rsidRDefault="009D63E2" w:rsidP="001165A9">
      <w:pPr>
        <w:numPr>
          <w:ilvl w:val="0"/>
          <w:numId w:val="1"/>
        </w:numPr>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a)</w:t>
      </w:r>
      <w:r w:rsidR="00BE0C5F" w:rsidRPr="00824862">
        <w:rPr>
          <w:rFonts w:asciiTheme="minorHAnsi" w:hAnsiTheme="minorHAnsi"/>
          <w:sz w:val="20"/>
          <w:szCs w:val="20"/>
        </w:rPr>
        <w:t xml:space="preserve"> La Partie contractante affréteuse devra fournir les informations suivantes au Secrétaire exécutif</w:t>
      </w:r>
      <w:r w:rsidRPr="00824862">
        <w:rPr>
          <w:rFonts w:asciiTheme="minorHAnsi" w:hAnsiTheme="minorHAnsi"/>
          <w:sz w:val="20"/>
          <w:szCs w:val="20"/>
        </w:rPr>
        <w:t xml:space="preserve"> au moment où l'accord d'affrètement est conclu </w:t>
      </w:r>
      <w:r w:rsidR="00A228E8" w:rsidRPr="00824862">
        <w:rPr>
          <w:rFonts w:asciiTheme="minorHAnsi" w:hAnsiTheme="minorHAnsi"/>
          <w:sz w:val="20"/>
          <w:szCs w:val="20"/>
        </w:rPr>
        <w:t xml:space="preserve">dans toute la mesure du possible, </w:t>
      </w:r>
      <w:r w:rsidRPr="00824862">
        <w:rPr>
          <w:rFonts w:asciiTheme="minorHAnsi" w:hAnsiTheme="minorHAnsi"/>
          <w:sz w:val="20"/>
          <w:szCs w:val="20"/>
        </w:rPr>
        <w:t>et en aucun cas après le début des opérations de pêche dans le cadre de l'accord</w:t>
      </w:r>
      <w:r w:rsidR="00EB6C94" w:rsidRPr="00824862">
        <w:rPr>
          <w:rFonts w:asciiTheme="minorHAnsi" w:hAnsiTheme="minorHAnsi"/>
          <w:sz w:val="20"/>
          <w:szCs w:val="20"/>
        </w:rPr>
        <w:t> :</w:t>
      </w:r>
    </w:p>
    <w:p w14:paraId="22E934B7" w14:textId="77777777" w:rsidR="00094E8A" w:rsidRPr="00824862" w:rsidRDefault="00094E8A" w:rsidP="00094E8A">
      <w:pPr>
        <w:pStyle w:val="ListParagraph"/>
        <w:rPr>
          <w:rFonts w:asciiTheme="minorHAnsi" w:eastAsia="Times New Roman" w:hAnsiTheme="minorHAnsi" w:cs="Times New Roman"/>
          <w:sz w:val="20"/>
          <w:szCs w:val="20"/>
        </w:rPr>
      </w:pPr>
    </w:p>
    <w:p w14:paraId="11F80896" w14:textId="120FF1B3" w:rsidR="000A1D02" w:rsidRPr="00824862" w:rsidRDefault="009D63E2"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i</w:t>
      </w:r>
      <w:r w:rsidR="00730D1D" w:rsidRPr="00824862">
        <w:rPr>
          <w:rFonts w:asciiTheme="minorHAnsi" w:hAnsiTheme="minorHAnsi"/>
          <w:sz w:val="20"/>
          <w:szCs w:val="20"/>
        </w:rPr>
        <w:t>.</w:t>
      </w:r>
      <w:r w:rsidRPr="00824862">
        <w:rPr>
          <w:rFonts w:asciiTheme="minorHAnsi" w:hAnsiTheme="minorHAnsi"/>
          <w:sz w:val="20"/>
          <w:szCs w:val="20"/>
        </w:rPr>
        <w:tab/>
        <w:t>nom (alphabet local et latin) et numéro d’immatriculation du navire affrété,</w:t>
      </w:r>
    </w:p>
    <w:p w14:paraId="11F80897" w14:textId="01797EFF" w:rsidR="000A1D02" w:rsidRPr="00824862" w:rsidRDefault="009D63E2"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 xml:space="preserve">ii. </w:t>
      </w:r>
      <w:r w:rsidRPr="00824862">
        <w:rPr>
          <w:rFonts w:asciiTheme="minorHAnsi" w:hAnsiTheme="minorHAnsi"/>
          <w:sz w:val="20"/>
          <w:szCs w:val="20"/>
        </w:rPr>
        <w:tab/>
        <w:t>numéro OMI du navire ou son équivalent, le cas échéant</w:t>
      </w:r>
      <w:r w:rsidR="00920F0F" w:rsidRPr="00824862">
        <w:rPr>
          <w:rFonts w:asciiTheme="minorHAnsi" w:hAnsiTheme="minorHAnsi"/>
          <w:sz w:val="20"/>
          <w:szCs w:val="20"/>
        </w:rPr>
        <w:t>,</w:t>
      </w:r>
    </w:p>
    <w:p w14:paraId="11F80898" w14:textId="067AAB11" w:rsidR="000A1D02" w:rsidRPr="00824862" w:rsidRDefault="009D63E2"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 xml:space="preserve">iii. </w:t>
      </w:r>
      <w:r w:rsidRPr="00824862">
        <w:rPr>
          <w:rFonts w:asciiTheme="minorHAnsi" w:hAnsiTheme="minorHAnsi"/>
          <w:sz w:val="20"/>
          <w:szCs w:val="20"/>
        </w:rPr>
        <w:tab/>
        <w:t>nom et adresse du ou des armateurs du navire</w:t>
      </w:r>
      <w:r w:rsidR="00920F0F" w:rsidRPr="00824862">
        <w:rPr>
          <w:rFonts w:asciiTheme="minorHAnsi" w:hAnsiTheme="minorHAnsi"/>
          <w:sz w:val="20"/>
          <w:szCs w:val="20"/>
        </w:rPr>
        <w:t>,</w:t>
      </w:r>
    </w:p>
    <w:p w14:paraId="11F80899" w14:textId="00D225B7" w:rsidR="000A1D02" w:rsidRPr="00824862" w:rsidRDefault="009D63E2"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 xml:space="preserve">iv. </w:t>
      </w:r>
      <w:r w:rsidRPr="00824862">
        <w:rPr>
          <w:rFonts w:asciiTheme="minorHAnsi" w:hAnsiTheme="minorHAnsi"/>
          <w:sz w:val="20"/>
          <w:szCs w:val="20"/>
        </w:rPr>
        <w:tab/>
        <w:t>description du navire, y compris longueur, type de navire et méthode(s) de pêche</w:t>
      </w:r>
      <w:r w:rsidR="00794F30" w:rsidRPr="00824862">
        <w:rPr>
          <w:rFonts w:asciiTheme="minorHAnsi" w:hAnsiTheme="minorHAnsi"/>
          <w:sz w:val="20"/>
          <w:szCs w:val="20"/>
        </w:rPr>
        <w:t>,</w:t>
      </w:r>
    </w:p>
    <w:p w14:paraId="11F8089A" w14:textId="18FD8FC3" w:rsidR="000A1D02" w:rsidRPr="00824862" w:rsidRDefault="009D63E2"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v</w:t>
      </w:r>
      <w:r w:rsidR="00730D1D" w:rsidRPr="00824862">
        <w:rPr>
          <w:rFonts w:asciiTheme="minorHAnsi" w:hAnsiTheme="minorHAnsi"/>
          <w:sz w:val="20"/>
          <w:szCs w:val="20"/>
        </w:rPr>
        <w:t>.</w:t>
      </w:r>
      <w:r w:rsidRPr="00824862">
        <w:rPr>
          <w:rFonts w:asciiTheme="minorHAnsi" w:hAnsiTheme="minorHAnsi"/>
          <w:sz w:val="20"/>
          <w:szCs w:val="20"/>
        </w:rPr>
        <w:tab/>
        <w:t xml:space="preserve">espèces de poisson couvertes par l’affrètement et quota alloué à la Partie contractante affréteuse, </w:t>
      </w:r>
    </w:p>
    <w:p w14:paraId="11F8089B" w14:textId="156637C0" w:rsidR="000A1D02" w:rsidRPr="00824862" w:rsidRDefault="009D63E2"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 xml:space="preserve">vi. </w:t>
      </w:r>
      <w:r w:rsidRPr="00824862">
        <w:rPr>
          <w:rFonts w:asciiTheme="minorHAnsi" w:hAnsiTheme="minorHAnsi"/>
          <w:sz w:val="20"/>
          <w:szCs w:val="20"/>
        </w:rPr>
        <w:tab/>
        <w:t>ports destinés au déchargement des captures dans le cadre de l'accord</w:t>
      </w:r>
      <w:r w:rsidR="00202FD2" w:rsidRPr="00824862">
        <w:rPr>
          <w:rFonts w:asciiTheme="minorHAnsi" w:hAnsiTheme="minorHAnsi"/>
          <w:sz w:val="20"/>
          <w:szCs w:val="20"/>
        </w:rPr>
        <w:t>,</w:t>
      </w:r>
    </w:p>
    <w:p w14:paraId="11F8089C" w14:textId="7090A8DE" w:rsidR="000A1D02" w:rsidRPr="00824862" w:rsidRDefault="009D63E2"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 xml:space="preserve">vii. </w:t>
      </w:r>
      <w:r w:rsidRPr="00824862">
        <w:rPr>
          <w:rFonts w:asciiTheme="minorHAnsi" w:hAnsiTheme="minorHAnsi"/>
          <w:sz w:val="20"/>
          <w:szCs w:val="20"/>
        </w:rPr>
        <w:tab/>
        <w:t>durée autorisée pour l'accord d'affrètement et</w:t>
      </w:r>
    </w:p>
    <w:p w14:paraId="11F8089D" w14:textId="78AB2D27" w:rsidR="000A1D02" w:rsidRPr="00824862" w:rsidRDefault="009D63E2"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 xml:space="preserve">viii. </w:t>
      </w:r>
      <w:r w:rsidR="00730D1D" w:rsidRPr="00824862">
        <w:rPr>
          <w:rFonts w:asciiTheme="minorHAnsi" w:hAnsiTheme="minorHAnsi"/>
          <w:sz w:val="20"/>
          <w:szCs w:val="20"/>
        </w:rPr>
        <w:tab/>
      </w:r>
      <w:r w:rsidRPr="00824862">
        <w:rPr>
          <w:rFonts w:asciiTheme="minorHAnsi" w:hAnsiTheme="minorHAnsi"/>
          <w:sz w:val="20"/>
          <w:szCs w:val="20"/>
        </w:rPr>
        <w:t>accord de la CPC de pavillon.</w:t>
      </w:r>
    </w:p>
    <w:p w14:paraId="11F8089E" w14:textId="77777777" w:rsidR="000A1D02" w:rsidRPr="00824862" w:rsidRDefault="000A1D02" w:rsidP="00094E8A">
      <w:pPr>
        <w:spacing w:line="240" w:lineRule="exact"/>
        <w:ind w:left="426"/>
        <w:jc w:val="both"/>
        <w:rPr>
          <w:rFonts w:asciiTheme="minorHAnsi" w:eastAsia="Times New Roman" w:hAnsiTheme="minorHAnsi" w:cs="Times New Roman"/>
          <w:sz w:val="20"/>
          <w:szCs w:val="20"/>
        </w:rPr>
      </w:pPr>
    </w:p>
    <w:p w14:paraId="11F8089F" w14:textId="4461A89E" w:rsidR="000A1D02" w:rsidRPr="00824862" w:rsidRDefault="00730D1D" w:rsidP="00730D1D">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b</w:t>
      </w:r>
      <w:r w:rsidR="00094E8A" w:rsidRPr="00824862">
        <w:rPr>
          <w:rFonts w:asciiTheme="minorHAnsi" w:hAnsiTheme="minorHAnsi"/>
          <w:sz w:val="20"/>
          <w:szCs w:val="20"/>
        </w:rPr>
        <w:t xml:space="preserve">) </w:t>
      </w:r>
      <w:r w:rsidRPr="00824862">
        <w:rPr>
          <w:rFonts w:asciiTheme="minorHAnsi" w:hAnsiTheme="minorHAnsi"/>
          <w:sz w:val="20"/>
          <w:szCs w:val="20"/>
        </w:rPr>
        <w:tab/>
      </w:r>
      <w:r w:rsidR="00EB6C94" w:rsidRPr="00824862">
        <w:rPr>
          <w:rFonts w:asciiTheme="minorHAnsi" w:hAnsiTheme="minorHAnsi"/>
          <w:sz w:val="20"/>
          <w:szCs w:val="20"/>
        </w:rPr>
        <w:t>L</w:t>
      </w:r>
      <w:r w:rsidR="00A83E49" w:rsidRPr="00824862">
        <w:rPr>
          <w:rFonts w:asciiTheme="minorHAnsi" w:hAnsiTheme="minorHAnsi"/>
          <w:sz w:val="20"/>
          <w:szCs w:val="20"/>
        </w:rPr>
        <w:t>’Etat du</w:t>
      </w:r>
      <w:r w:rsidR="00EB6C94" w:rsidRPr="00824862">
        <w:rPr>
          <w:rFonts w:asciiTheme="minorHAnsi" w:hAnsiTheme="minorHAnsi"/>
          <w:sz w:val="20"/>
          <w:szCs w:val="20"/>
        </w:rPr>
        <w:t xml:space="preserve"> pavillon devra fournir les informations suivantes au Secrétaire exécutif</w:t>
      </w:r>
      <w:r w:rsidR="004A44CB" w:rsidRPr="00824862">
        <w:rPr>
          <w:rFonts w:asciiTheme="minorHAnsi" w:hAnsiTheme="minorHAnsi"/>
          <w:sz w:val="20"/>
          <w:szCs w:val="20"/>
        </w:rPr>
        <w:t xml:space="preserve">, </w:t>
      </w:r>
      <w:r w:rsidR="00094E8A" w:rsidRPr="00824862">
        <w:rPr>
          <w:rFonts w:asciiTheme="minorHAnsi" w:hAnsiTheme="minorHAnsi"/>
          <w:sz w:val="20"/>
          <w:szCs w:val="20"/>
        </w:rPr>
        <w:t>au moment où l'accord d'affrètement est conclu</w:t>
      </w:r>
      <w:r w:rsidR="004A44CB" w:rsidRPr="00824862">
        <w:rPr>
          <w:rFonts w:asciiTheme="minorHAnsi" w:hAnsiTheme="minorHAnsi"/>
          <w:sz w:val="20"/>
          <w:szCs w:val="20"/>
        </w:rPr>
        <w:t xml:space="preserve"> dans toute la mesure du possible, </w:t>
      </w:r>
      <w:r w:rsidR="00094E8A" w:rsidRPr="00824862">
        <w:rPr>
          <w:rFonts w:asciiTheme="minorHAnsi" w:hAnsiTheme="minorHAnsi"/>
          <w:sz w:val="20"/>
          <w:szCs w:val="20"/>
        </w:rPr>
        <w:t>et en aucun cas après le début des opérations de pêche dans le cadre de l'accord</w:t>
      </w:r>
      <w:r w:rsidR="00C3765E" w:rsidRPr="00824862">
        <w:rPr>
          <w:rFonts w:asciiTheme="minorHAnsi" w:hAnsiTheme="minorHAnsi"/>
          <w:sz w:val="20"/>
          <w:szCs w:val="20"/>
        </w:rPr>
        <w:t> :</w:t>
      </w:r>
    </w:p>
    <w:p w14:paraId="1F9F424D" w14:textId="77777777" w:rsidR="00094E8A" w:rsidRPr="00824862" w:rsidRDefault="00094E8A" w:rsidP="00094E8A">
      <w:pPr>
        <w:tabs>
          <w:tab w:val="left" w:pos="426"/>
        </w:tabs>
        <w:spacing w:line="240" w:lineRule="exact"/>
        <w:ind w:left="426"/>
        <w:jc w:val="both"/>
        <w:rPr>
          <w:rFonts w:asciiTheme="minorHAnsi" w:eastAsia="Times New Roman" w:hAnsiTheme="minorHAnsi" w:cs="Times New Roman"/>
          <w:sz w:val="20"/>
          <w:szCs w:val="20"/>
        </w:rPr>
      </w:pPr>
    </w:p>
    <w:p w14:paraId="11F808A0" w14:textId="236F2D10" w:rsidR="000A1D02" w:rsidRPr="00824862" w:rsidRDefault="009D63E2" w:rsidP="009711C5">
      <w:pPr>
        <w:spacing w:line="240" w:lineRule="exact"/>
        <w:ind w:left="1134" w:hanging="283"/>
        <w:jc w:val="both"/>
        <w:rPr>
          <w:rFonts w:asciiTheme="minorHAnsi" w:hAnsiTheme="minorHAnsi"/>
          <w:sz w:val="20"/>
          <w:szCs w:val="20"/>
        </w:rPr>
      </w:pPr>
      <w:r w:rsidRPr="00824862">
        <w:rPr>
          <w:rFonts w:asciiTheme="minorHAnsi" w:hAnsiTheme="minorHAnsi"/>
          <w:sz w:val="20"/>
          <w:szCs w:val="20"/>
        </w:rPr>
        <w:t>i</w:t>
      </w:r>
      <w:r w:rsidR="00E2139F" w:rsidRPr="00824862">
        <w:rPr>
          <w:rFonts w:asciiTheme="minorHAnsi" w:hAnsiTheme="minorHAnsi"/>
          <w:sz w:val="20"/>
          <w:szCs w:val="20"/>
        </w:rPr>
        <w:t>.</w:t>
      </w:r>
      <w:r w:rsidRPr="00824862">
        <w:rPr>
          <w:rFonts w:asciiTheme="minorHAnsi" w:hAnsiTheme="minorHAnsi"/>
          <w:sz w:val="20"/>
          <w:szCs w:val="20"/>
        </w:rPr>
        <w:tab/>
        <w:t xml:space="preserve">son consentement à l’accord d’affrètement, </w:t>
      </w:r>
      <w:r w:rsidR="00037AC5" w:rsidRPr="00824862">
        <w:rPr>
          <w:rFonts w:asciiTheme="minorHAnsi" w:hAnsiTheme="minorHAnsi"/>
          <w:sz w:val="20"/>
          <w:szCs w:val="20"/>
        </w:rPr>
        <w:t>et</w:t>
      </w:r>
    </w:p>
    <w:p w14:paraId="11F808A1" w14:textId="50B94CA7" w:rsidR="000A1D02" w:rsidRPr="00824862" w:rsidRDefault="009D63E2" w:rsidP="009711C5">
      <w:pPr>
        <w:spacing w:line="240" w:lineRule="exact"/>
        <w:ind w:left="1134" w:hanging="283"/>
        <w:jc w:val="both"/>
        <w:rPr>
          <w:rFonts w:asciiTheme="minorHAnsi" w:hAnsiTheme="minorHAnsi"/>
          <w:sz w:val="20"/>
          <w:szCs w:val="20"/>
        </w:rPr>
      </w:pPr>
      <w:r w:rsidRPr="00824862">
        <w:rPr>
          <w:rFonts w:asciiTheme="minorHAnsi" w:hAnsiTheme="minorHAnsi"/>
          <w:sz w:val="20"/>
          <w:szCs w:val="20"/>
        </w:rPr>
        <w:t xml:space="preserve">ii. </w:t>
      </w:r>
      <w:r w:rsidRPr="00824862">
        <w:rPr>
          <w:rFonts w:asciiTheme="minorHAnsi" w:hAnsiTheme="minorHAnsi"/>
          <w:sz w:val="20"/>
          <w:szCs w:val="20"/>
        </w:rPr>
        <w:tab/>
        <w:t xml:space="preserve">son accord de se conformer aux mesures de conservation et de gestion pertinentes de l’ICCAT. </w:t>
      </w:r>
    </w:p>
    <w:p w14:paraId="11F808A2" w14:textId="77777777" w:rsidR="000A1D02" w:rsidRPr="00824862" w:rsidRDefault="000A1D02" w:rsidP="000E64EA">
      <w:pPr>
        <w:spacing w:line="240" w:lineRule="exact"/>
        <w:ind w:left="1134" w:hanging="283"/>
        <w:jc w:val="both"/>
        <w:rPr>
          <w:rFonts w:asciiTheme="minorHAnsi" w:eastAsia="Times New Roman" w:hAnsiTheme="minorHAnsi" w:cs="Times New Roman"/>
          <w:sz w:val="20"/>
          <w:szCs w:val="20"/>
        </w:rPr>
      </w:pPr>
    </w:p>
    <w:p w14:paraId="11F808A3" w14:textId="3771AF63" w:rsidR="000A1D02" w:rsidRPr="00824862" w:rsidRDefault="00094E8A" w:rsidP="00E2139F">
      <w:pPr>
        <w:spacing w:line="240" w:lineRule="exact"/>
        <w:ind w:left="851" w:hanging="425"/>
        <w:jc w:val="both"/>
        <w:rPr>
          <w:rFonts w:asciiTheme="minorHAnsi" w:eastAsia="Times New Roman" w:hAnsiTheme="minorHAnsi" w:cs="Times New Roman"/>
          <w:sz w:val="20"/>
          <w:szCs w:val="20"/>
        </w:rPr>
      </w:pPr>
      <w:r w:rsidRPr="00824862">
        <w:rPr>
          <w:rFonts w:asciiTheme="minorHAnsi" w:hAnsiTheme="minorHAnsi"/>
          <w:sz w:val="20"/>
          <w:szCs w:val="20"/>
        </w:rPr>
        <w:t>c)</w:t>
      </w:r>
      <w:r w:rsidR="00E2139F" w:rsidRPr="00824862">
        <w:rPr>
          <w:rFonts w:asciiTheme="minorHAnsi" w:hAnsiTheme="minorHAnsi"/>
          <w:sz w:val="20"/>
          <w:szCs w:val="20"/>
        </w:rPr>
        <w:tab/>
      </w:r>
      <w:r w:rsidRPr="00824862">
        <w:rPr>
          <w:rFonts w:asciiTheme="minorHAnsi" w:hAnsiTheme="minorHAnsi"/>
          <w:sz w:val="20"/>
          <w:szCs w:val="20"/>
        </w:rPr>
        <w:t xml:space="preserve">Lorsque l’accord d’affrètement prend fin, la Partie contractante affréteuse et la </w:t>
      </w:r>
      <w:r w:rsidR="00186366" w:rsidRPr="00824862">
        <w:rPr>
          <w:rFonts w:asciiTheme="minorHAnsi" w:hAnsiTheme="minorHAnsi"/>
          <w:sz w:val="20"/>
          <w:szCs w:val="20"/>
        </w:rPr>
        <w:t>CPC</w:t>
      </w:r>
      <w:r w:rsidRPr="00824862">
        <w:rPr>
          <w:rFonts w:asciiTheme="minorHAnsi" w:hAnsiTheme="minorHAnsi"/>
          <w:sz w:val="20"/>
          <w:szCs w:val="20"/>
        </w:rPr>
        <w:t xml:space="preserve"> de pavillon devront en informer le Secrétaire exécutif.</w:t>
      </w:r>
    </w:p>
    <w:p w14:paraId="11F808A4"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A5" w14:textId="774EF92F" w:rsidR="000A1D02" w:rsidRPr="00824862" w:rsidRDefault="00094E8A" w:rsidP="00E2139F">
      <w:pPr>
        <w:spacing w:line="240" w:lineRule="exact"/>
        <w:ind w:left="851" w:hanging="425"/>
        <w:jc w:val="both"/>
        <w:rPr>
          <w:rFonts w:asciiTheme="minorHAnsi" w:hAnsiTheme="minorHAnsi"/>
          <w:sz w:val="20"/>
          <w:szCs w:val="20"/>
        </w:rPr>
      </w:pPr>
      <w:r w:rsidRPr="00824862">
        <w:rPr>
          <w:rFonts w:asciiTheme="minorHAnsi" w:hAnsiTheme="minorHAnsi"/>
          <w:sz w:val="20"/>
          <w:szCs w:val="20"/>
        </w:rPr>
        <w:t>d)</w:t>
      </w:r>
      <w:r w:rsidRPr="00824862">
        <w:rPr>
          <w:rFonts w:asciiTheme="minorHAnsi" w:hAnsiTheme="minorHAnsi"/>
          <w:sz w:val="20"/>
          <w:szCs w:val="20"/>
        </w:rPr>
        <w:tab/>
        <w:t xml:space="preserve">Le Secrétaire exécutif de l’ICCAT devra diffuser ces informations sans délai à toutes les </w:t>
      </w:r>
      <w:r w:rsidR="00186366" w:rsidRPr="00824862">
        <w:rPr>
          <w:rFonts w:asciiTheme="minorHAnsi" w:hAnsiTheme="minorHAnsi"/>
          <w:sz w:val="20"/>
          <w:szCs w:val="20"/>
        </w:rPr>
        <w:t>CPC</w:t>
      </w:r>
      <w:r w:rsidRPr="00824862">
        <w:rPr>
          <w:rFonts w:asciiTheme="minorHAnsi" w:hAnsiTheme="minorHAnsi"/>
          <w:sz w:val="20"/>
          <w:szCs w:val="20"/>
        </w:rPr>
        <w:t>.</w:t>
      </w:r>
    </w:p>
    <w:p w14:paraId="23F288A6" w14:textId="77777777" w:rsidR="00186366" w:rsidRPr="00824862" w:rsidRDefault="00186366" w:rsidP="00D917AB">
      <w:pPr>
        <w:spacing w:line="240" w:lineRule="exact"/>
        <w:jc w:val="both"/>
        <w:rPr>
          <w:rFonts w:asciiTheme="minorHAnsi" w:eastAsia="Times New Roman" w:hAnsiTheme="minorHAnsi" w:cs="Times New Roman"/>
          <w:sz w:val="20"/>
          <w:szCs w:val="20"/>
        </w:rPr>
      </w:pPr>
    </w:p>
    <w:p w14:paraId="0F21CF4A" w14:textId="64F2EAD9" w:rsidR="00217976" w:rsidRPr="00824862" w:rsidRDefault="00217976" w:rsidP="00217976">
      <w:pPr>
        <w:ind w:left="426" w:hanging="426"/>
        <w:jc w:val="both"/>
        <w:rPr>
          <w:rFonts w:ascii="Cambria" w:eastAsia="Times New Roman" w:hAnsi="Cambria" w:cs="Times New Roman"/>
          <w:sz w:val="20"/>
          <w:szCs w:val="20"/>
        </w:rPr>
      </w:pPr>
      <w:r w:rsidRPr="00824862">
        <w:rPr>
          <w:rFonts w:ascii="Cambria" w:hAnsi="Cambria"/>
          <w:sz w:val="20"/>
        </w:rPr>
        <w:t>13</w:t>
      </w:r>
      <w:r w:rsidR="009711C5" w:rsidRPr="00824862">
        <w:rPr>
          <w:rFonts w:ascii="Cambria" w:hAnsi="Cambria"/>
          <w:sz w:val="20"/>
        </w:rPr>
        <w:t>(</w:t>
      </w:r>
      <w:r w:rsidRPr="00824862">
        <w:rPr>
          <w:rFonts w:ascii="Cambria" w:hAnsi="Cambria"/>
          <w:sz w:val="20"/>
        </w:rPr>
        <w:t>bis</w:t>
      </w:r>
      <w:r w:rsidR="009711C5" w:rsidRPr="00824862">
        <w:rPr>
          <w:rFonts w:ascii="Cambria" w:hAnsi="Cambria"/>
          <w:sz w:val="20"/>
        </w:rPr>
        <w:t>)</w:t>
      </w:r>
      <w:r w:rsidRPr="00824862">
        <w:rPr>
          <w:rFonts w:ascii="Cambria" w:hAnsi="Cambria"/>
          <w:sz w:val="20"/>
        </w:rPr>
        <w:t xml:space="preserve">. Pour l'année civile précédente, les CPC devront déclarer au Secrétaire exécutif de l'ICCAT, avant le 31 juillet, les détails des accords d'affrètement conclus et mis en œuvre en vertu de la présente Recommandation, y compris les informations relatives aux captures réalisées et à l'effort de pêche déployé par les navires impliqués, ainsi que le niveau de couverture des observateurs atteint, d'une manière compatible avec les exigences de confidentialité des CPC. </w:t>
      </w:r>
    </w:p>
    <w:p w14:paraId="7EEFA0C4" w14:textId="77777777" w:rsidR="00D917AB" w:rsidRPr="00824862" w:rsidRDefault="00D917AB" w:rsidP="00D917AB">
      <w:pPr>
        <w:spacing w:line="240" w:lineRule="exact"/>
        <w:jc w:val="both"/>
        <w:rPr>
          <w:rFonts w:asciiTheme="minorHAnsi" w:eastAsia="Times New Roman" w:hAnsiTheme="minorHAnsi" w:cs="Times New Roman"/>
          <w:sz w:val="20"/>
          <w:szCs w:val="20"/>
        </w:rPr>
      </w:pPr>
    </w:p>
    <w:p w14:paraId="11F808A7" w14:textId="6E93620F" w:rsidR="000A1D02" w:rsidRPr="00824862" w:rsidRDefault="009D63E2" w:rsidP="00AF1418">
      <w:pPr>
        <w:numPr>
          <w:ilvl w:val="0"/>
          <w:numId w:val="1"/>
        </w:numPr>
        <w:tabs>
          <w:tab w:val="left" w:pos="426"/>
        </w:tabs>
        <w:spacing w:line="240" w:lineRule="exact"/>
        <w:ind w:left="425" w:hanging="425"/>
        <w:contextualSpacing/>
        <w:jc w:val="both"/>
        <w:rPr>
          <w:rFonts w:asciiTheme="minorHAnsi" w:eastAsia="Times New Roman" w:hAnsiTheme="minorHAnsi" w:cs="Times New Roman"/>
          <w:sz w:val="20"/>
          <w:szCs w:val="20"/>
        </w:rPr>
      </w:pPr>
      <w:r w:rsidRPr="00824862">
        <w:rPr>
          <w:rFonts w:asciiTheme="minorHAnsi" w:hAnsiTheme="minorHAnsi"/>
          <w:sz w:val="20"/>
          <w:szCs w:val="20"/>
        </w:rPr>
        <w:t xml:space="preserve">Le Secrétaire exécutif de l’ICCAT devra </w:t>
      </w:r>
      <w:r w:rsidR="007B297B" w:rsidRPr="00824862">
        <w:rPr>
          <w:rFonts w:asciiTheme="minorHAnsi" w:hAnsiTheme="minorHAnsi"/>
          <w:sz w:val="20"/>
          <w:szCs w:val="20"/>
        </w:rPr>
        <w:t>présenter</w:t>
      </w:r>
      <w:r w:rsidRPr="00824862">
        <w:rPr>
          <w:rFonts w:asciiTheme="minorHAnsi" w:hAnsiTheme="minorHAnsi"/>
          <w:sz w:val="20"/>
          <w:szCs w:val="20"/>
        </w:rPr>
        <w:t xml:space="preserve"> </w:t>
      </w:r>
      <w:r w:rsidR="00FF2B37" w:rsidRPr="00824862">
        <w:rPr>
          <w:rFonts w:asciiTheme="minorHAnsi" w:hAnsiTheme="minorHAnsi"/>
          <w:sz w:val="20"/>
          <w:szCs w:val="20"/>
        </w:rPr>
        <w:t>chaque année</w:t>
      </w:r>
      <w:r w:rsidRPr="00824862">
        <w:rPr>
          <w:rFonts w:asciiTheme="minorHAnsi" w:hAnsiTheme="minorHAnsi"/>
          <w:sz w:val="20"/>
          <w:szCs w:val="20"/>
        </w:rPr>
        <w:t xml:space="preserve"> un récapitulatif de l’ensemble des opérations d’affrètement </w:t>
      </w:r>
      <w:r w:rsidR="007B297B" w:rsidRPr="00824862">
        <w:rPr>
          <w:rFonts w:asciiTheme="minorHAnsi" w:hAnsiTheme="minorHAnsi"/>
          <w:sz w:val="20"/>
          <w:szCs w:val="20"/>
        </w:rPr>
        <w:t>à</w:t>
      </w:r>
      <w:r w:rsidRPr="00824862">
        <w:rPr>
          <w:rFonts w:asciiTheme="minorHAnsi" w:hAnsiTheme="minorHAnsi"/>
          <w:sz w:val="20"/>
          <w:szCs w:val="20"/>
        </w:rPr>
        <w:t xml:space="preserve"> la Commission qui, à l'occasion de sa réunion annuelle, devra procéder à un examen de l’application de la présente Recommandation. </w:t>
      </w:r>
    </w:p>
    <w:p w14:paraId="174DC325" w14:textId="77777777" w:rsidR="000E64EA" w:rsidRPr="00824862" w:rsidRDefault="000E64EA" w:rsidP="00AF1418">
      <w:pPr>
        <w:tabs>
          <w:tab w:val="left" w:pos="426"/>
        </w:tabs>
        <w:spacing w:line="240" w:lineRule="exact"/>
        <w:ind w:left="425" w:hanging="425"/>
        <w:contextualSpacing/>
        <w:jc w:val="both"/>
        <w:rPr>
          <w:rFonts w:asciiTheme="minorHAnsi" w:eastAsia="Times New Roman" w:hAnsiTheme="minorHAnsi" w:cs="Times New Roman"/>
          <w:sz w:val="8"/>
          <w:szCs w:val="8"/>
        </w:rPr>
      </w:pPr>
    </w:p>
    <w:p w14:paraId="11F808A9" w14:textId="2DBFED6E" w:rsidR="000A1D02" w:rsidRPr="00824862" w:rsidRDefault="000E64EA" w:rsidP="00094E8A">
      <w:pPr>
        <w:tabs>
          <w:tab w:val="left" w:pos="426"/>
        </w:tabs>
        <w:spacing w:line="240" w:lineRule="exact"/>
        <w:ind w:left="426" w:hanging="426"/>
        <w:jc w:val="both"/>
        <w:rPr>
          <w:rFonts w:asciiTheme="minorHAnsi" w:eastAsia="Times New Roman" w:hAnsiTheme="minorHAnsi" w:cs="Times New Roman"/>
          <w:b/>
          <w:sz w:val="20"/>
          <w:szCs w:val="20"/>
        </w:rPr>
      </w:pPr>
      <w:r w:rsidRPr="00824862">
        <w:rPr>
          <w:rFonts w:asciiTheme="minorHAnsi" w:hAnsiTheme="minorHAnsi"/>
          <w:b/>
          <w:sz w:val="20"/>
          <w:szCs w:val="20"/>
        </w:rPr>
        <w:t>Accords d'accès</w:t>
      </w:r>
    </w:p>
    <w:p w14:paraId="11F808AA" w14:textId="77777777" w:rsidR="000A1D02" w:rsidRPr="00824862" w:rsidRDefault="000A1D02" w:rsidP="00094E8A">
      <w:pPr>
        <w:tabs>
          <w:tab w:val="left" w:pos="426"/>
        </w:tabs>
        <w:spacing w:line="240" w:lineRule="exact"/>
        <w:ind w:left="426" w:hanging="426"/>
        <w:jc w:val="both"/>
        <w:rPr>
          <w:rFonts w:asciiTheme="minorHAnsi" w:eastAsia="Times New Roman" w:hAnsiTheme="minorHAnsi" w:cs="Times New Roman"/>
          <w:sz w:val="20"/>
          <w:szCs w:val="20"/>
        </w:rPr>
      </w:pPr>
    </w:p>
    <w:p w14:paraId="11F808AB" w14:textId="77777777" w:rsidR="000A1D02" w:rsidRPr="00824862" w:rsidRDefault="009D63E2" w:rsidP="00094E8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Les CPC qui autorisent les navires battant pavillon étranger à participer aux pêcheries de l'ICCAT dans les eaux relevant de leur juridiction, et les CPC dont les navires pêchent dans les eaux relevant de la juridiction d'une autre CPC ou d'une Partie non contractante (NCP) pour des espèces gérées par l'ICCAT en vertu d'un accord devront s'assurer que les dispositions suivantes sont respectées.</w:t>
      </w:r>
    </w:p>
    <w:p w14:paraId="11F808AC" w14:textId="77777777" w:rsidR="000A1D02" w:rsidRPr="00824862" w:rsidRDefault="000A1D02" w:rsidP="00B61B4B">
      <w:pPr>
        <w:spacing w:line="240" w:lineRule="exact"/>
        <w:jc w:val="both"/>
        <w:rPr>
          <w:rFonts w:asciiTheme="minorHAnsi" w:eastAsia="Times New Roman" w:hAnsiTheme="minorHAnsi" w:cs="Times New Roman"/>
          <w:sz w:val="20"/>
          <w:szCs w:val="20"/>
        </w:rPr>
      </w:pPr>
    </w:p>
    <w:p w14:paraId="11F808AD" w14:textId="163C79F5" w:rsidR="000A1D02" w:rsidRPr="00824862" w:rsidRDefault="009D63E2" w:rsidP="000E64E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Les CPC qui autorisent les navires battant pavillon étranger à participer aux pêcheries de l'ICCAT dans les eaux relevant de leur juridiction ne devront autoriser que les navires battant pavillon d</w:t>
      </w:r>
      <w:r w:rsidR="00CE6323" w:rsidRPr="00824862">
        <w:rPr>
          <w:rFonts w:asciiTheme="minorHAnsi" w:hAnsiTheme="minorHAnsi"/>
          <w:sz w:val="20"/>
          <w:szCs w:val="20"/>
        </w:rPr>
        <w:t>’une</w:t>
      </w:r>
      <w:r w:rsidRPr="00824862">
        <w:rPr>
          <w:rFonts w:asciiTheme="minorHAnsi" w:hAnsiTheme="minorHAnsi"/>
          <w:sz w:val="20"/>
          <w:szCs w:val="20"/>
        </w:rPr>
        <w:t xml:space="preserve"> CPC pour cette activité.</w:t>
      </w:r>
    </w:p>
    <w:p w14:paraId="11F808AE" w14:textId="77777777" w:rsidR="000A1D02" w:rsidRPr="00824862" w:rsidRDefault="000A1D02" w:rsidP="00B61B4B">
      <w:pPr>
        <w:spacing w:line="240" w:lineRule="exact"/>
        <w:jc w:val="both"/>
        <w:rPr>
          <w:rFonts w:asciiTheme="minorHAnsi" w:eastAsia="Times New Roman" w:hAnsiTheme="minorHAnsi" w:cs="Times New Roman"/>
          <w:sz w:val="20"/>
          <w:szCs w:val="20"/>
        </w:rPr>
      </w:pPr>
    </w:p>
    <w:p w14:paraId="11F808AF" w14:textId="0EE5EF01" w:rsidR="000A1D02" w:rsidRPr="00824862" w:rsidRDefault="009D63E2" w:rsidP="000E64E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Les CPC qui autorisent les navires battant pavillon étranger à participer aux pêcheries de l'ICCAT dans les eaux relevant de leur juridiction, et les CPC dont les navires pêchent dans les eaux relevant de la juridiction d'une autre CPC ou d’une NCP pour des espèces gérées par l'ICCAT en vertu d’un accord, devront s'assurer que les informations suivantes sont incluses dans l'accord et devront, individuellement ou conjointement, notifier à la Commission, avant le début des activités de pêche, les informations relatives à ces accords, y compris : </w:t>
      </w:r>
    </w:p>
    <w:p w14:paraId="5BFED680" w14:textId="77777777" w:rsidR="000E64EA" w:rsidRPr="00824862" w:rsidRDefault="000E64EA" w:rsidP="000E64EA">
      <w:pPr>
        <w:pStyle w:val="ListParagraph"/>
        <w:rPr>
          <w:rFonts w:asciiTheme="minorHAnsi" w:eastAsia="Times New Roman" w:hAnsiTheme="minorHAnsi" w:cs="Times New Roman"/>
          <w:sz w:val="20"/>
          <w:szCs w:val="20"/>
        </w:rPr>
      </w:pPr>
    </w:p>
    <w:p w14:paraId="11F808B0" w14:textId="77777777" w:rsidR="000A1D02" w:rsidRPr="00824862" w:rsidRDefault="009D63E2" w:rsidP="00AF1418">
      <w:pPr>
        <w:numPr>
          <w:ilvl w:val="1"/>
          <w:numId w:val="1"/>
        </w:numPr>
        <w:spacing w:line="240" w:lineRule="auto"/>
        <w:ind w:left="851" w:hanging="425"/>
        <w:contextualSpacing/>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les</w:t>
      </w:r>
      <w:proofErr w:type="gramEnd"/>
      <w:r w:rsidRPr="00824862">
        <w:rPr>
          <w:rFonts w:asciiTheme="minorHAnsi" w:hAnsiTheme="minorHAnsi"/>
          <w:sz w:val="20"/>
          <w:szCs w:val="20"/>
        </w:rPr>
        <w:t xml:space="preserve"> CPC, les NCP et/ou les autres entités commerciales participant à l'accord ; </w:t>
      </w:r>
    </w:p>
    <w:p w14:paraId="11F808B1" w14:textId="77777777" w:rsidR="000A1D02" w:rsidRPr="00824862" w:rsidRDefault="009D63E2" w:rsidP="00AF1418">
      <w:pPr>
        <w:numPr>
          <w:ilvl w:val="1"/>
          <w:numId w:val="1"/>
        </w:numPr>
        <w:spacing w:line="240" w:lineRule="auto"/>
        <w:ind w:left="851" w:hanging="425"/>
        <w:contextualSpacing/>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la</w:t>
      </w:r>
      <w:proofErr w:type="gramEnd"/>
      <w:r w:rsidRPr="00824862">
        <w:rPr>
          <w:rFonts w:asciiTheme="minorHAnsi" w:hAnsiTheme="minorHAnsi"/>
          <w:sz w:val="20"/>
          <w:szCs w:val="20"/>
        </w:rPr>
        <w:t xml:space="preserve"> ou les périodes couvertes par l'accord ;</w:t>
      </w:r>
    </w:p>
    <w:p w14:paraId="11F808B2" w14:textId="77777777" w:rsidR="000A1D02" w:rsidRPr="00824862" w:rsidRDefault="009D63E2" w:rsidP="00AF1418">
      <w:pPr>
        <w:numPr>
          <w:ilvl w:val="1"/>
          <w:numId w:val="1"/>
        </w:numPr>
        <w:spacing w:line="240" w:lineRule="auto"/>
        <w:ind w:left="851" w:hanging="425"/>
        <w:contextualSpacing/>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le</w:t>
      </w:r>
      <w:proofErr w:type="gramEnd"/>
      <w:r w:rsidRPr="00824862">
        <w:rPr>
          <w:rFonts w:asciiTheme="minorHAnsi" w:hAnsiTheme="minorHAnsi"/>
          <w:sz w:val="20"/>
          <w:szCs w:val="20"/>
        </w:rPr>
        <w:t xml:space="preserve"> nombre de navires et les types d'engins autorisés ; </w:t>
      </w:r>
    </w:p>
    <w:p w14:paraId="11F808B3" w14:textId="7509F584" w:rsidR="000A1D02" w:rsidRPr="00824862" w:rsidRDefault="005510D2" w:rsidP="00AF1418">
      <w:pPr>
        <w:numPr>
          <w:ilvl w:val="1"/>
          <w:numId w:val="1"/>
        </w:numPr>
        <w:spacing w:line="240" w:lineRule="auto"/>
        <w:ind w:left="851" w:hanging="425"/>
        <w:contextualSpacing/>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w:t>
      </w:r>
      <w:r w:rsidR="009D63E2" w:rsidRPr="00824862">
        <w:rPr>
          <w:rFonts w:asciiTheme="minorHAnsi" w:hAnsiTheme="minorHAnsi"/>
          <w:sz w:val="20"/>
          <w:szCs w:val="20"/>
        </w:rPr>
        <w:t>es</w:t>
      </w:r>
      <w:proofErr w:type="gramEnd"/>
      <w:r w:rsidR="009D63E2" w:rsidRPr="00824862">
        <w:rPr>
          <w:rFonts w:asciiTheme="minorHAnsi" w:hAnsiTheme="minorHAnsi"/>
          <w:sz w:val="20"/>
          <w:szCs w:val="20"/>
        </w:rPr>
        <w:t xml:space="preserve"> noms et les numéros ICCAT des navires autorisés</w:t>
      </w:r>
      <w:r w:rsidR="006228C6" w:rsidRPr="00824862">
        <w:rPr>
          <w:rFonts w:asciiTheme="minorHAnsi" w:hAnsiTheme="minorHAnsi"/>
          <w:sz w:val="20"/>
          <w:szCs w:val="20"/>
        </w:rPr>
        <w:t> ;</w:t>
      </w:r>
    </w:p>
    <w:p w14:paraId="11F808B4" w14:textId="77777777" w:rsidR="000A1D02" w:rsidRPr="00824862" w:rsidRDefault="009D63E2" w:rsidP="00AF1418">
      <w:pPr>
        <w:numPr>
          <w:ilvl w:val="1"/>
          <w:numId w:val="1"/>
        </w:numPr>
        <w:spacing w:line="240" w:lineRule="auto"/>
        <w:ind w:left="851" w:hanging="425"/>
        <w:contextualSpacing/>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les</w:t>
      </w:r>
      <w:proofErr w:type="gramEnd"/>
      <w:r w:rsidRPr="00824862">
        <w:rPr>
          <w:rFonts w:asciiTheme="minorHAnsi" w:hAnsiTheme="minorHAnsi"/>
          <w:sz w:val="20"/>
          <w:szCs w:val="20"/>
        </w:rPr>
        <w:t xml:space="preserve"> espèces ou les stocks autorisés pour la pêche, y compris toute limite de capture ou d’effort applicable ; </w:t>
      </w:r>
    </w:p>
    <w:p w14:paraId="11F808B5" w14:textId="3A36E3DF" w:rsidR="000A1D02" w:rsidRPr="00824862" w:rsidRDefault="009D63E2" w:rsidP="00AF1418">
      <w:pPr>
        <w:numPr>
          <w:ilvl w:val="1"/>
          <w:numId w:val="1"/>
        </w:numPr>
        <w:spacing w:line="240" w:lineRule="auto"/>
        <w:ind w:left="851" w:hanging="425"/>
        <w:contextualSpacing/>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les</w:t>
      </w:r>
      <w:proofErr w:type="gramEnd"/>
      <w:r w:rsidRPr="00824862">
        <w:rPr>
          <w:rFonts w:asciiTheme="minorHAnsi" w:hAnsiTheme="minorHAnsi"/>
          <w:sz w:val="20"/>
          <w:szCs w:val="20"/>
        </w:rPr>
        <w:t xml:space="preserve"> mesures de suivi, contrôle et surveillance (MCS) requises par la CPC de pavillon et l'État côtier concerné avec, dans le cas des CPC ou des non</w:t>
      </w:r>
      <w:r w:rsidR="00731FDD" w:rsidRPr="00824862">
        <w:rPr>
          <w:rFonts w:asciiTheme="minorHAnsi" w:hAnsiTheme="minorHAnsi"/>
          <w:sz w:val="20"/>
          <w:szCs w:val="20"/>
        </w:rPr>
        <w:t>-</w:t>
      </w:r>
      <w:r w:rsidRPr="00824862">
        <w:rPr>
          <w:rFonts w:asciiTheme="minorHAnsi" w:hAnsiTheme="minorHAnsi"/>
          <w:sz w:val="20"/>
          <w:szCs w:val="20"/>
        </w:rPr>
        <w:t>CPC</w:t>
      </w:r>
      <w:r w:rsidR="009534E7" w:rsidRPr="00824862">
        <w:rPr>
          <w:rFonts w:asciiTheme="minorHAnsi" w:hAnsiTheme="minorHAnsi"/>
          <w:sz w:val="20"/>
          <w:szCs w:val="20"/>
        </w:rPr>
        <w:t xml:space="preserve"> côtières</w:t>
      </w:r>
      <w:r w:rsidRPr="00824862">
        <w:rPr>
          <w:rFonts w:asciiTheme="minorHAnsi" w:hAnsiTheme="minorHAnsi"/>
          <w:sz w:val="20"/>
          <w:szCs w:val="20"/>
        </w:rPr>
        <w:t xml:space="preserve">, une spécification particulière de : </w:t>
      </w:r>
    </w:p>
    <w:p w14:paraId="5601E066" w14:textId="77777777" w:rsidR="000E64EA" w:rsidRPr="00824862" w:rsidRDefault="000E64EA" w:rsidP="00AF1418">
      <w:pPr>
        <w:spacing w:line="240" w:lineRule="auto"/>
        <w:ind w:left="709"/>
        <w:contextualSpacing/>
        <w:jc w:val="both"/>
        <w:rPr>
          <w:rFonts w:asciiTheme="minorHAnsi" w:eastAsia="Times New Roman" w:hAnsiTheme="minorHAnsi" w:cs="Times New Roman"/>
          <w:sz w:val="8"/>
          <w:szCs w:val="8"/>
        </w:rPr>
      </w:pPr>
    </w:p>
    <w:p w14:paraId="11F808B6" w14:textId="28FEF0B3" w:rsidR="000A1D02" w:rsidRPr="00824862" w:rsidRDefault="009D63E2" w:rsidP="00AF1418">
      <w:pPr>
        <w:numPr>
          <w:ilvl w:val="2"/>
          <w:numId w:val="1"/>
        </w:numPr>
        <w:spacing w:line="240" w:lineRule="auto"/>
        <w:ind w:left="1276" w:hanging="425"/>
        <w:contextualSpacing/>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l’autorité</w:t>
      </w:r>
      <w:proofErr w:type="gramEnd"/>
      <w:r w:rsidRPr="00824862">
        <w:rPr>
          <w:rFonts w:asciiTheme="minorHAnsi" w:hAnsiTheme="minorHAnsi"/>
          <w:sz w:val="20"/>
          <w:szCs w:val="20"/>
        </w:rPr>
        <w:t xml:space="preserve"> nationale chargée de délivrer des licences ou des permis de pêche, </w:t>
      </w:r>
    </w:p>
    <w:p w14:paraId="11F808B7" w14:textId="0403B1EA" w:rsidR="000A1D02" w:rsidRPr="00824862" w:rsidRDefault="009D63E2" w:rsidP="00E2139F">
      <w:pPr>
        <w:numPr>
          <w:ilvl w:val="2"/>
          <w:numId w:val="1"/>
        </w:numPr>
        <w:spacing w:line="240" w:lineRule="exact"/>
        <w:ind w:left="1276" w:hanging="425"/>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l’autorité</w:t>
      </w:r>
      <w:proofErr w:type="gramEnd"/>
      <w:r w:rsidRPr="00824862">
        <w:rPr>
          <w:rFonts w:asciiTheme="minorHAnsi" w:hAnsiTheme="minorHAnsi"/>
          <w:sz w:val="20"/>
          <w:szCs w:val="20"/>
        </w:rPr>
        <w:t xml:space="preserve"> nationale chargée des activités </w:t>
      </w:r>
      <w:r w:rsidR="00764C1C" w:rsidRPr="00824862">
        <w:rPr>
          <w:rFonts w:asciiTheme="minorHAnsi" w:hAnsiTheme="minorHAnsi"/>
          <w:sz w:val="20"/>
          <w:szCs w:val="20"/>
        </w:rPr>
        <w:t xml:space="preserve">de </w:t>
      </w:r>
      <w:r w:rsidRPr="00824862">
        <w:rPr>
          <w:rFonts w:asciiTheme="minorHAnsi" w:hAnsiTheme="minorHAnsi"/>
          <w:sz w:val="20"/>
          <w:szCs w:val="20"/>
        </w:rPr>
        <w:t>MCS et</w:t>
      </w:r>
    </w:p>
    <w:p w14:paraId="11F808B8" w14:textId="77777777" w:rsidR="000A1D02" w:rsidRPr="00824862" w:rsidRDefault="009D63E2" w:rsidP="00E2139F">
      <w:pPr>
        <w:numPr>
          <w:ilvl w:val="2"/>
          <w:numId w:val="1"/>
        </w:numPr>
        <w:spacing w:line="240" w:lineRule="exact"/>
        <w:ind w:left="1276" w:hanging="425"/>
        <w:jc w:val="both"/>
        <w:rPr>
          <w:rFonts w:asciiTheme="minorHAnsi" w:eastAsia="Times New Roman" w:hAnsiTheme="minorHAnsi" w:cs="Times New Roman"/>
          <w:sz w:val="20"/>
          <w:szCs w:val="20"/>
        </w:rPr>
      </w:pPr>
      <w:proofErr w:type="gramStart"/>
      <w:r w:rsidRPr="00824862">
        <w:rPr>
          <w:rFonts w:asciiTheme="minorHAnsi" w:hAnsiTheme="minorHAnsi"/>
          <w:sz w:val="20"/>
          <w:szCs w:val="20"/>
        </w:rPr>
        <w:t>les</w:t>
      </w:r>
      <w:proofErr w:type="gramEnd"/>
      <w:r w:rsidRPr="00824862">
        <w:rPr>
          <w:rFonts w:asciiTheme="minorHAnsi" w:hAnsiTheme="minorHAnsi"/>
          <w:sz w:val="20"/>
          <w:szCs w:val="20"/>
        </w:rPr>
        <w:t xml:space="preserve"> coordonnées de ces autorités nationales.</w:t>
      </w:r>
    </w:p>
    <w:p w14:paraId="3F3A0F6B" w14:textId="77777777" w:rsidR="000E64EA" w:rsidRPr="00824862" w:rsidRDefault="000E64EA" w:rsidP="000E64EA">
      <w:pPr>
        <w:spacing w:line="240" w:lineRule="exact"/>
        <w:ind w:left="993"/>
        <w:jc w:val="both"/>
        <w:rPr>
          <w:rFonts w:asciiTheme="minorHAnsi" w:eastAsia="Times New Roman" w:hAnsiTheme="minorHAnsi" w:cs="Times New Roman"/>
          <w:sz w:val="20"/>
          <w:szCs w:val="20"/>
        </w:rPr>
      </w:pPr>
    </w:p>
    <w:p w14:paraId="11F808B9" w14:textId="316E4A2C" w:rsidR="000A1D02" w:rsidRPr="00824862" w:rsidRDefault="009D63E2" w:rsidP="00AF1418">
      <w:pPr>
        <w:numPr>
          <w:ilvl w:val="1"/>
          <w:numId w:val="1"/>
        </w:numPr>
        <w:spacing w:line="240" w:lineRule="exact"/>
        <w:ind w:left="851" w:hanging="425"/>
        <w:jc w:val="both"/>
        <w:rPr>
          <w:rFonts w:asciiTheme="minorHAnsi" w:hAnsiTheme="minorHAnsi"/>
          <w:sz w:val="20"/>
          <w:szCs w:val="20"/>
        </w:rPr>
      </w:pPr>
      <w:proofErr w:type="gramStart"/>
      <w:r w:rsidRPr="00824862">
        <w:rPr>
          <w:rFonts w:asciiTheme="minorHAnsi" w:hAnsiTheme="minorHAnsi"/>
          <w:sz w:val="20"/>
          <w:szCs w:val="20"/>
        </w:rPr>
        <w:t>les</w:t>
      </w:r>
      <w:proofErr w:type="gramEnd"/>
      <w:r w:rsidRPr="00824862">
        <w:rPr>
          <w:rFonts w:asciiTheme="minorHAnsi" w:hAnsiTheme="minorHAnsi"/>
          <w:sz w:val="20"/>
          <w:szCs w:val="20"/>
        </w:rPr>
        <w:t xml:space="preserve"> obligations de déclaration de données stipulées dans l'accord, y compris celles existant entre les parties concernées, ainsi que celles concernant les informations devant être fournies à la Commission ;</w:t>
      </w:r>
    </w:p>
    <w:p w14:paraId="11F808BA" w14:textId="16E1C115" w:rsidR="000A1D02" w:rsidRPr="00824862" w:rsidRDefault="00196141" w:rsidP="00AF1418">
      <w:pPr>
        <w:numPr>
          <w:ilvl w:val="1"/>
          <w:numId w:val="1"/>
        </w:numPr>
        <w:spacing w:line="240" w:lineRule="exact"/>
        <w:ind w:left="851" w:hanging="425"/>
        <w:jc w:val="both"/>
        <w:rPr>
          <w:rFonts w:asciiTheme="minorHAnsi" w:hAnsiTheme="minorHAnsi"/>
          <w:sz w:val="20"/>
          <w:szCs w:val="20"/>
        </w:rPr>
      </w:pPr>
      <w:proofErr w:type="gramStart"/>
      <w:r w:rsidRPr="00824862">
        <w:rPr>
          <w:rFonts w:asciiTheme="minorHAnsi" w:hAnsiTheme="minorHAnsi"/>
          <w:sz w:val="20"/>
          <w:szCs w:val="20"/>
        </w:rPr>
        <w:t>une</w:t>
      </w:r>
      <w:proofErr w:type="gramEnd"/>
      <w:r w:rsidRPr="00824862">
        <w:rPr>
          <w:rFonts w:asciiTheme="minorHAnsi" w:hAnsiTheme="minorHAnsi"/>
          <w:sz w:val="20"/>
          <w:szCs w:val="20"/>
        </w:rPr>
        <w:t xml:space="preserve"> </w:t>
      </w:r>
      <w:r w:rsidR="009D63E2" w:rsidRPr="00824862">
        <w:rPr>
          <w:rFonts w:asciiTheme="minorHAnsi" w:hAnsiTheme="minorHAnsi"/>
          <w:sz w:val="20"/>
          <w:szCs w:val="20"/>
        </w:rPr>
        <w:t>copie du permis de pêche délivré par la CPC côtière ou la non-CPC ; et</w:t>
      </w:r>
    </w:p>
    <w:p w14:paraId="11F808BB" w14:textId="09458A2B" w:rsidR="000A1D02" w:rsidRPr="00824862" w:rsidRDefault="009D63E2" w:rsidP="00AF1418">
      <w:pPr>
        <w:numPr>
          <w:ilvl w:val="1"/>
          <w:numId w:val="1"/>
        </w:numPr>
        <w:spacing w:line="240" w:lineRule="exact"/>
        <w:ind w:left="851" w:hanging="425"/>
        <w:jc w:val="both"/>
        <w:rPr>
          <w:rFonts w:asciiTheme="minorHAnsi" w:hAnsiTheme="minorHAnsi"/>
          <w:sz w:val="20"/>
          <w:szCs w:val="20"/>
        </w:rPr>
      </w:pPr>
      <w:proofErr w:type="gramStart"/>
      <w:r w:rsidRPr="00824862">
        <w:rPr>
          <w:rFonts w:asciiTheme="minorHAnsi" w:hAnsiTheme="minorHAnsi"/>
          <w:sz w:val="20"/>
          <w:szCs w:val="20"/>
        </w:rPr>
        <w:lastRenderedPageBreak/>
        <w:t>une</w:t>
      </w:r>
      <w:proofErr w:type="gramEnd"/>
      <w:r w:rsidRPr="00824862">
        <w:rPr>
          <w:rFonts w:asciiTheme="minorHAnsi" w:hAnsiTheme="minorHAnsi"/>
          <w:sz w:val="20"/>
          <w:szCs w:val="20"/>
        </w:rPr>
        <w:t xml:space="preserve"> copie de l'accord écrit.</w:t>
      </w:r>
    </w:p>
    <w:p w14:paraId="11F808BC" w14:textId="77777777" w:rsidR="000A1D02" w:rsidRPr="00824862" w:rsidRDefault="000A1D02" w:rsidP="00B61B4B">
      <w:pPr>
        <w:spacing w:line="240" w:lineRule="exact"/>
        <w:jc w:val="both"/>
        <w:rPr>
          <w:rFonts w:asciiTheme="minorHAnsi" w:eastAsia="Times New Roman" w:hAnsiTheme="minorHAnsi" w:cs="Times New Roman"/>
          <w:sz w:val="20"/>
          <w:szCs w:val="20"/>
        </w:rPr>
      </w:pPr>
    </w:p>
    <w:p w14:paraId="11F808BD" w14:textId="2134B36A" w:rsidR="000A1D02" w:rsidRPr="00824862" w:rsidRDefault="009D63E2" w:rsidP="000E64E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Lorsqu'un accord d'accès est modifié d'une manière qui change l'information spécifiée au paragraphe</w:t>
      </w:r>
      <w:r w:rsidR="00EB1BCC" w:rsidRPr="00824862">
        <w:rPr>
          <w:rFonts w:asciiTheme="minorHAnsi" w:hAnsiTheme="minorHAnsi"/>
          <w:sz w:val="20"/>
          <w:szCs w:val="20"/>
        </w:rPr>
        <w:t> </w:t>
      </w:r>
      <w:r w:rsidRPr="00824862">
        <w:rPr>
          <w:rFonts w:asciiTheme="minorHAnsi" w:hAnsiTheme="minorHAnsi"/>
          <w:sz w:val="20"/>
          <w:szCs w:val="20"/>
        </w:rPr>
        <w:t xml:space="preserve">17, ces changements devront être promptement notifiés à la Commission. </w:t>
      </w:r>
    </w:p>
    <w:p w14:paraId="11F808BE" w14:textId="77777777" w:rsidR="000A1D02" w:rsidRPr="00824862" w:rsidRDefault="000A1D02" w:rsidP="000E64EA">
      <w:pPr>
        <w:tabs>
          <w:tab w:val="left" w:pos="426"/>
        </w:tabs>
        <w:spacing w:line="240" w:lineRule="exact"/>
        <w:ind w:left="426"/>
        <w:jc w:val="both"/>
        <w:rPr>
          <w:rFonts w:asciiTheme="minorHAnsi" w:eastAsia="Times New Roman" w:hAnsiTheme="minorHAnsi" w:cs="Times New Roman"/>
          <w:sz w:val="20"/>
          <w:szCs w:val="20"/>
        </w:rPr>
      </w:pPr>
    </w:p>
    <w:p w14:paraId="11F808BF" w14:textId="3F13650F" w:rsidR="000A1D02" w:rsidRPr="00824862" w:rsidRDefault="009D63E2" w:rsidP="000E64EA">
      <w:pPr>
        <w:numPr>
          <w:ilvl w:val="0"/>
          <w:numId w:val="1"/>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Toutes les données de capture résultant d</w:t>
      </w:r>
      <w:r w:rsidR="005326BC" w:rsidRPr="00824862">
        <w:rPr>
          <w:rFonts w:asciiTheme="minorHAnsi" w:hAnsiTheme="minorHAnsi"/>
          <w:sz w:val="20"/>
          <w:szCs w:val="20"/>
        </w:rPr>
        <w:t xml:space="preserve">’un </w:t>
      </w:r>
      <w:r w:rsidRPr="00824862">
        <w:rPr>
          <w:rFonts w:asciiTheme="minorHAnsi" w:hAnsiTheme="minorHAnsi"/>
          <w:sz w:val="20"/>
          <w:szCs w:val="20"/>
        </w:rPr>
        <w:t xml:space="preserve">accord d'accès devront être partagées avec </w:t>
      </w:r>
      <w:r w:rsidR="005326BC" w:rsidRPr="00824862">
        <w:rPr>
          <w:rFonts w:asciiTheme="minorHAnsi" w:hAnsiTheme="minorHAnsi"/>
          <w:sz w:val="20"/>
          <w:szCs w:val="20"/>
        </w:rPr>
        <w:t>la</w:t>
      </w:r>
      <w:r w:rsidRPr="00824862">
        <w:rPr>
          <w:rFonts w:asciiTheme="minorHAnsi" w:hAnsiTheme="minorHAnsi"/>
          <w:sz w:val="20"/>
          <w:szCs w:val="20"/>
        </w:rPr>
        <w:t xml:space="preserve"> CPC ou </w:t>
      </w:r>
      <w:r w:rsidR="00A55CA6" w:rsidRPr="00824862">
        <w:rPr>
          <w:rFonts w:asciiTheme="minorHAnsi" w:hAnsiTheme="minorHAnsi"/>
          <w:sz w:val="20"/>
          <w:szCs w:val="20"/>
        </w:rPr>
        <w:t>la</w:t>
      </w:r>
      <w:r w:rsidRPr="00824862">
        <w:rPr>
          <w:rFonts w:asciiTheme="minorHAnsi" w:hAnsiTheme="minorHAnsi"/>
          <w:sz w:val="20"/>
          <w:szCs w:val="20"/>
        </w:rPr>
        <w:t xml:space="preserve"> non-CPC</w:t>
      </w:r>
      <w:r w:rsidR="009534E7" w:rsidRPr="00824862">
        <w:rPr>
          <w:rFonts w:asciiTheme="minorHAnsi" w:hAnsiTheme="minorHAnsi"/>
          <w:sz w:val="20"/>
          <w:szCs w:val="20"/>
        </w:rPr>
        <w:t xml:space="preserve"> côtière</w:t>
      </w:r>
      <w:r w:rsidRPr="00824862">
        <w:rPr>
          <w:rFonts w:asciiTheme="minorHAnsi" w:hAnsiTheme="minorHAnsi"/>
          <w:sz w:val="20"/>
          <w:szCs w:val="20"/>
        </w:rPr>
        <w:t xml:space="preserve">. Conformément aux exigences de déclaration des données de l'ICCAT, les CPC de pavillon prenant part aux accords énoncés au paragraphe 17 devront s'assurer que toutes les prises cibles et accessoires réalisées dans le cadre de ces accords sont déclarées à l’ICCAT.  </w:t>
      </w:r>
    </w:p>
    <w:p w14:paraId="11F808C0" w14:textId="77777777" w:rsidR="000A1D02" w:rsidRPr="00824862" w:rsidRDefault="000A1D02" w:rsidP="000E64EA">
      <w:pPr>
        <w:tabs>
          <w:tab w:val="left" w:pos="426"/>
        </w:tabs>
        <w:spacing w:line="240" w:lineRule="exact"/>
        <w:ind w:left="426"/>
        <w:jc w:val="both"/>
        <w:rPr>
          <w:rFonts w:asciiTheme="minorHAnsi" w:eastAsia="Times New Roman" w:hAnsiTheme="minorHAnsi" w:cs="Times New Roman"/>
          <w:sz w:val="20"/>
          <w:szCs w:val="20"/>
        </w:rPr>
      </w:pPr>
    </w:p>
    <w:p w14:paraId="4E24280E" w14:textId="377B25D9" w:rsidR="00AF1418" w:rsidRPr="00824862" w:rsidRDefault="009D63E2" w:rsidP="009F6933">
      <w:pPr>
        <w:numPr>
          <w:ilvl w:val="0"/>
          <w:numId w:val="1"/>
        </w:numPr>
        <w:tabs>
          <w:tab w:val="left" w:pos="426"/>
        </w:tabs>
        <w:spacing w:line="240" w:lineRule="exact"/>
        <w:ind w:left="426" w:hanging="426"/>
        <w:jc w:val="both"/>
        <w:rPr>
          <w:rFonts w:asciiTheme="minorHAnsi" w:hAnsiTheme="minorHAnsi"/>
          <w:sz w:val="20"/>
          <w:szCs w:val="20"/>
        </w:rPr>
      </w:pPr>
      <w:r w:rsidRPr="00824862">
        <w:rPr>
          <w:rFonts w:asciiTheme="minorHAnsi" w:hAnsiTheme="minorHAnsi"/>
          <w:sz w:val="20"/>
          <w:szCs w:val="20"/>
        </w:rPr>
        <w:t xml:space="preserve">Si les CPC côtières permettent aux navires sous pavillon étranger de pêcher dans les eaux relevant de leur juridiction des espèces gérées par l'ICCAT, par le biais d'un mécanisme autre qu'un accord conclu entre CPC et CPC, la CPC côtière devra être l'unique responsable de fournir les informations requises en vertu de la présente Recommandation. Néanmoins, les CPC de pavillon dont les navires prennent part à cet accord devront s'efforcer de fournir à la Commission les informations pertinentes concernant cet accord, tel qu’indiqué au paragraphe 17. </w:t>
      </w:r>
    </w:p>
    <w:p w14:paraId="483B51D3" w14:textId="77777777" w:rsidR="00A55CA6" w:rsidRPr="00824862" w:rsidRDefault="00A55CA6" w:rsidP="00A55CA6">
      <w:pPr>
        <w:tabs>
          <w:tab w:val="left" w:pos="426"/>
        </w:tabs>
        <w:spacing w:line="240" w:lineRule="exact"/>
        <w:ind w:left="426"/>
        <w:jc w:val="both"/>
        <w:rPr>
          <w:rFonts w:asciiTheme="minorHAnsi" w:hAnsiTheme="minorHAnsi"/>
          <w:sz w:val="20"/>
          <w:szCs w:val="20"/>
        </w:rPr>
      </w:pPr>
    </w:p>
    <w:p w14:paraId="43EA2213" w14:textId="29C5EC05" w:rsidR="00505B72" w:rsidRPr="00824862" w:rsidRDefault="00505B72" w:rsidP="00505B72">
      <w:pPr>
        <w:ind w:left="426" w:hanging="426"/>
        <w:jc w:val="both"/>
        <w:rPr>
          <w:rFonts w:ascii="Cambria" w:eastAsia="Times New Roman" w:hAnsi="Cambria" w:cs="Times New Roman"/>
          <w:sz w:val="20"/>
          <w:szCs w:val="20"/>
        </w:rPr>
      </w:pPr>
      <w:r w:rsidRPr="00824862">
        <w:rPr>
          <w:rFonts w:ascii="Cambria" w:hAnsi="Cambria"/>
          <w:sz w:val="20"/>
        </w:rPr>
        <w:t>21.</w:t>
      </w:r>
      <w:r w:rsidRPr="00824862">
        <w:rPr>
          <w:rFonts w:ascii="Cambria" w:hAnsi="Cambria"/>
          <w:sz w:val="20"/>
        </w:rPr>
        <w:tab/>
        <w:t>Pour l'année civile précédente, les CPC de pavillon, avec le soutien des CPC côtières pertinentes, devront déclarer au Secrétaire exécutif de l'ICCAT, avant le 31 juillet, le résumé des activités réalisées conformément à chaque accord d'accès, y compris toutes les captures effectuées conformément à ces accords</w:t>
      </w:r>
      <w:r w:rsidR="00900949" w:rsidRPr="00824862">
        <w:rPr>
          <w:rFonts w:ascii="Cambria" w:hAnsi="Cambria"/>
          <w:sz w:val="20"/>
        </w:rPr>
        <w:t xml:space="preserve"> et</w:t>
      </w:r>
      <w:r w:rsidRPr="00824862">
        <w:rPr>
          <w:rFonts w:ascii="Cambria" w:hAnsi="Cambria"/>
          <w:sz w:val="20"/>
        </w:rPr>
        <w:t xml:space="preserve"> l'effort de pêche déployé par les navires impliqués, d'une manière compatible avec les exigences de confidentialité des CPC.  </w:t>
      </w:r>
    </w:p>
    <w:p w14:paraId="43118D11" w14:textId="77777777" w:rsidR="00A16BD0" w:rsidRPr="00824862" w:rsidRDefault="00A16BD0" w:rsidP="00A16BD0">
      <w:pPr>
        <w:jc w:val="both"/>
        <w:rPr>
          <w:rFonts w:ascii="Cambria" w:hAnsi="Cambria"/>
          <w:sz w:val="20"/>
        </w:rPr>
      </w:pPr>
    </w:p>
    <w:p w14:paraId="4CF0646A" w14:textId="0782E180" w:rsidR="00A16BD0" w:rsidRPr="00824862" w:rsidRDefault="00A16BD0" w:rsidP="00684E78">
      <w:pPr>
        <w:ind w:left="426"/>
        <w:jc w:val="both"/>
        <w:rPr>
          <w:rFonts w:ascii="Cambria" w:hAnsi="Cambria"/>
          <w:sz w:val="20"/>
          <w:szCs w:val="20"/>
        </w:rPr>
      </w:pPr>
      <w:r w:rsidRPr="00824862">
        <w:rPr>
          <w:rFonts w:ascii="Cambria" w:hAnsi="Cambria"/>
          <w:sz w:val="20"/>
        </w:rPr>
        <w:t>Chaque année, le Secrétaire exécutif de l’ICCAT devra présenter un récapitulatif de tous les accords d’accès devant la Commission qui, à l'occasion de sa réunion annuelle, devra examiner l’application de la présente Recommandation.</w:t>
      </w:r>
    </w:p>
    <w:p w14:paraId="56693370" w14:textId="77777777" w:rsidR="00D94238" w:rsidRPr="00824862" w:rsidRDefault="00D94238" w:rsidP="00B61B4B">
      <w:pPr>
        <w:spacing w:line="240" w:lineRule="exact"/>
        <w:jc w:val="both"/>
        <w:rPr>
          <w:rFonts w:asciiTheme="minorHAnsi" w:eastAsia="Times New Roman" w:hAnsiTheme="minorHAnsi" w:cs="Times New Roman"/>
          <w:sz w:val="20"/>
          <w:szCs w:val="20"/>
        </w:rPr>
      </w:pPr>
    </w:p>
    <w:p w14:paraId="11F808C8" w14:textId="59EB5CE8" w:rsidR="000A1D02" w:rsidRPr="00824862" w:rsidRDefault="009D63E2" w:rsidP="00EC4A83">
      <w:pPr>
        <w:numPr>
          <w:ilvl w:val="0"/>
          <w:numId w:val="5"/>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Les captures réalisées dans le cadre des accords d'accès devront être attribuées à la CPC de pavillon et devront être décomptées de toutes les allocations pertinentes de la CPC de pavillon, </w:t>
      </w:r>
      <w:r w:rsidR="006228C6" w:rsidRPr="00824862">
        <w:rPr>
          <w:rFonts w:asciiTheme="minorHAnsi" w:hAnsiTheme="minorHAnsi"/>
          <w:sz w:val="20"/>
          <w:szCs w:val="20"/>
        </w:rPr>
        <w:t>mais</w:t>
      </w:r>
      <w:r w:rsidRPr="00824862">
        <w:rPr>
          <w:rFonts w:asciiTheme="minorHAnsi" w:hAnsiTheme="minorHAnsi"/>
          <w:sz w:val="20"/>
          <w:szCs w:val="20"/>
        </w:rPr>
        <w:t xml:space="preserve"> les captures réalisées par un navire affrété pêchant dans le cadre d'un accord d'accès devront être attribuées à la Partie contractante </w:t>
      </w:r>
      <w:r w:rsidR="00386BB7" w:rsidRPr="00824862">
        <w:rPr>
          <w:rFonts w:asciiTheme="minorHAnsi" w:hAnsiTheme="minorHAnsi"/>
          <w:sz w:val="20"/>
          <w:szCs w:val="20"/>
        </w:rPr>
        <w:t>affréteuse</w:t>
      </w:r>
      <w:r w:rsidRPr="00824862">
        <w:rPr>
          <w:rFonts w:asciiTheme="minorHAnsi" w:hAnsiTheme="minorHAnsi"/>
          <w:sz w:val="20"/>
          <w:szCs w:val="20"/>
        </w:rPr>
        <w:t>.</w:t>
      </w:r>
    </w:p>
    <w:p w14:paraId="11F808C9" w14:textId="77777777" w:rsidR="000A1D02" w:rsidRPr="00824862"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CA" w14:textId="37CCC092" w:rsidR="000A1D02" w:rsidRPr="00824862" w:rsidRDefault="009D63E2" w:rsidP="006D5AD0">
      <w:pPr>
        <w:tabs>
          <w:tab w:val="left" w:pos="426"/>
        </w:tabs>
        <w:spacing w:line="240" w:lineRule="exact"/>
        <w:jc w:val="both"/>
        <w:rPr>
          <w:rFonts w:asciiTheme="minorHAnsi" w:eastAsia="Times New Roman" w:hAnsiTheme="minorHAnsi" w:cs="Times New Roman"/>
          <w:b/>
          <w:bCs/>
          <w:sz w:val="20"/>
          <w:szCs w:val="20"/>
        </w:rPr>
      </w:pPr>
      <w:r w:rsidRPr="00824862">
        <w:rPr>
          <w:rFonts w:asciiTheme="minorHAnsi" w:hAnsiTheme="minorHAnsi"/>
          <w:b/>
          <w:sz w:val="20"/>
          <w:szCs w:val="20"/>
        </w:rPr>
        <w:t>Registre des navires associés à des accords d'affrètement et des accords d'accès</w:t>
      </w:r>
    </w:p>
    <w:p w14:paraId="11F808CB" w14:textId="77777777" w:rsidR="000A1D02" w:rsidRPr="00824862"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CC" w14:textId="0FC2E825" w:rsidR="000A1D02" w:rsidRPr="00824862" w:rsidRDefault="009D63E2" w:rsidP="00EC4A83">
      <w:pPr>
        <w:numPr>
          <w:ilvl w:val="0"/>
          <w:numId w:val="5"/>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Le Secrétariat devra établir et tenir à jour un Registre de l’ICCAT des navires autorisés dans le cadre </w:t>
      </w:r>
      <w:r w:rsidR="00AB5490" w:rsidRPr="00824862">
        <w:rPr>
          <w:rFonts w:asciiTheme="minorHAnsi" w:hAnsiTheme="minorHAnsi"/>
          <w:sz w:val="20"/>
          <w:szCs w:val="20"/>
        </w:rPr>
        <w:t>d’</w:t>
      </w:r>
      <w:r w:rsidRPr="00824862">
        <w:rPr>
          <w:rFonts w:asciiTheme="minorHAnsi" w:hAnsiTheme="minorHAnsi"/>
          <w:sz w:val="20"/>
          <w:szCs w:val="20"/>
        </w:rPr>
        <w:t>accords d'affrètement et d'accès. Tous les navires, quelle que soit leur taille, devront être inscrits dans le registre avant d'entreprendre des activités de pêche dans le cadre d'accords d'affrètement ou d'accès.</w:t>
      </w:r>
    </w:p>
    <w:p w14:paraId="11F808CD" w14:textId="77777777" w:rsidR="000A1D02" w:rsidRPr="00824862"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CE" w14:textId="6AB43FF0" w:rsidR="000A1D02" w:rsidRPr="00824862" w:rsidRDefault="009D63E2" w:rsidP="00EC4A83">
      <w:pPr>
        <w:numPr>
          <w:ilvl w:val="0"/>
          <w:numId w:val="5"/>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Les conditions et procédures visées dans la </w:t>
      </w:r>
      <w:r w:rsidRPr="00824862">
        <w:rPr>
          <w:rFonts w:asciiTheme="minorHAnsi" w:hAnsiTheme="minorHAnsi"/>
          <w:i/>
          <w:sz w:val="20"/>
          <w:szCs w:val="20"/>
        </w:rPr>
        <w:t>Recommandation de l’ICCAT amendant la Recommandation 13-13 concernant l’établissement d’un registre ICCAT de navires de 20 mètres ou plus de longueur hors-tout autorisés à opérer dans la zone de la Convention</w:t>
      </w:r>
      <w:r w:rsidRPr="00824862">
        <w:rPr>
          <w:rFonts w:asciiTheme="minorHAnsi" w:hAnsiTheme="minorHAnsi"/>
          <w:sz w:val="20"/>
          <w:szCs w:val="20"/>
        </w:rPr>
        <w:t xml:space="preserve"> (Rec. 21-14) devront s’appliquer mutatis mutandis au Registre de l’ICCAT des navires autorisés dans le cadre </w:t>
      </w:r>
      <w:r w:rsidR="00AB5490" w:rsidRPr="00824862">
        <w:rPr>
          <w:rFonts w:asciiTheme="minorHAnsi" w:hAnsiTheme="minorHAnsi"/>
          <w:sz w:val="20"/>
          <w:szCs w:val="20"/>
        </w:rPr>
        <w:t xml:space="preserve">d’accords </w:t>
      </w:r>
      <w:r w:rsidRPr="00824862">
        <w:rPr>
          <w:rFonts w:asciiTheme="minorHAnsi" w:hAnsiTheme="minorHAnsi"/>
          <w:sz w:val="20"/>
          <w:szCs w:val="20"/>
        </w:rPr>
        <w:t>d'affrètement et d'accès.</w:t>
      </w:r>
    </w:p>
    <w:p w14:paraId="11F808CF" w14:textId="77777777" w:rsidR="000A1D02" w:rsidRPr="00824862"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D4" w14:textId="506E4F4D" w:rsidR="000A1D02" w:rsidRPr="00824862" w:rsidRDefault="001543AD" w:rsidP="001543AD">
      <w:pPr>
        <w:tabs>
          <w:tab w:val="left" w:pos="426"/>
        </w:tabs>
        <w:spacing w:line="240" w:lineRule="exact"/>
        <w:jc w:val="both"/>
        <w:rPr>
          <w:rFonts w:asciiTheme="minorHAnsi" w:eastAsia="Times New Roman" w:hAnsiTheme="minorHAnsi" w:cs="Times New Roman"/>
          <w:b/>
          <w:bCs/>
          <w:sz w:val="20"/>
          <w:szCs w:val="20"/>
        </w:rPr>
      </w:pPr>
      <w:r w:rsidRPr="00824862">
        <w:rPr>
          <w:rFonts w:asciiTheme="minorHAnsi" w:hAnsiTheme="minorHAnsi"/>
          <w:b/>
          <w:sz w:val="20"/>
          <w:szCs w:val="20"/>
        </w:rPr>
        <w:t>Dispositions finales</w:t>
      </w:r>
    </w:p>
    <w:p w14:paraId="11F808D5" w14:textId="77777777" w:rsidR="000A1D02" w:rsidRPr="00824862" w:rsidRDefault="000A1D02" w:rsidP="001543AD">
      <w:pPr>
        <w:tabs>
          <w:tab w:val="left" w:pos="426"/>
        </w:tabs>
        <w:spacing w:line="240" w:lineRule="exact"/>
        <w:ind w:left="426"/>
        <w:jc w:val="both"/>
        <w:rPr>
          <w:rFonts w:asciiTheme="minorHAnsi" w:eastAsia="Times New Roman" w:hAnsiTheme="minorHAnsi" w:cs="Times New Roman"/>
          <w:sz w:val="20"/>
          <w:szCs w:val="20"/>
        </w:rPr>
      </w:pPr>
    </w:p>
    <w:p w14:paraId="11F808D7" w14:textId="32B2853A" w:rsidR="000A1D02" w:rsidRPr="00824862" w:rsidRDefault="009D63E2" w:rsidP="00EC4A83">
      <w:pPr>
        <w:numPr>
          <w:ilvl w:val="0"/>
          <w:numId w:val="5"/>
        </w:numPr>
        <w:tabs>
          <w:tab w:val="left" w:pos="426"/>
        </w:tabs>
        <w:spacing w:line="240" w:lineRule="exact"/>
        <w:ind w:left="426" w:hanging="426"/>
        <w:jc w:val="both"/>
        <w:rPr>
          <w:rFonts w:asciiTheme="minorHAnsi" w:eastAsia="Times New Roman" w:hAnsiTheme="minorHAnsi" w:cs="Times New Roman"/>
          <w:sz w:val="20"/>
          <w:szCs w:val="20"/>
        </w:rPr>
      </w:pPr>
      <w:r w:rsidRPr="00824862">
        <w:rPr>
          <w:rFonts w:asciiTheme="minorHAnsi" w:hAnsiTheme="minorHAnsi"/>
          <w:sz w:val="20"/>
          <w:szCs w:val="20"/>
        </w:rPr>
        <w:t xml:space="preserve">La présente Recommandation abroge et remplace la </w:t>
      </w:r>
      <w:r w:rsidRPr="00824862">
        <w:rPr>
          <w:rFonts w:asciiTheme="minorHAnsi" w:hAnsiTheme="minorHAnsi"/>
          <w:i/>
          <w:iCs/>
          <w:sz w:val="20"/>
          <w:szCs w:val="20"/>
        </w:rPr>
        <w:t>Recommandation de l’ICCAT concernant l’affrètement de navires de pêche</w:t>
      </w:r>
      <w:r w:rsidRPr="00824862">
        <w:rPr>
          <w:rFonts w:asciiTheme="minorHAnsi" w:hAnsiTheme="minorHAnsi"/>
          <w:sz w:val="20"/>
          <w:szCs w:val="20"/>
        </w:rPr>
        <w:t xml:space="preserve"> (Rec. 13-14) et la </w:t>
      </w:r>
      <w:r w:rsidRPr="00824862">
        <w:rPr>
          <w:rFonts w:asciiTheme="minorHAnsi" w:hAnsiTheme="minorHAnsi"/>
          <w:i/>
          <w:iCs/>
          <w:sz w:val="20"/>
          <w:szCs w:val="20"/>
        </w:rPr>
        <w:t>Recommandation de l'ICCAT sur des accords d'accès</w:t>
      </w:r>
      <w:r w:rsidRPr="00824862">
        <w:rPr>
          <w:rFonts w:asciiTheme="minorHAnsi" w:hAnsiTheme="minorHAnsi"/>
          <w:sz w:val="20"/>
          <w:szCs w:val="20"/>
        </w:rPr>
        <w:t xml:space="preserve"> (Rec. 14-07).</w:t>
      </w:r>
    </w:p>
    <w:sectPr w:rsidR="000A1D02" w:rsidRPr="00824862" w:rsidSect="003A734A">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62C4" w14:textId="77777777" w:rsidR="007836B0" w:rsidRDefault="007836B0">
      <w:pPr>
        <w:spacing w:line="240" w:lineRule="auto"/>
      </w:pPr>
      <w:r>
        <w:separator/>
      </w:r>
    </w:p>
  </w:endnote>
  <w:endnote w:type="continuationSeparator" w:id="0">
    <w:p w14:paraId="4DCD102F" w14:textId="77777777" w:rsidR="007836B0" w:rsidRDefault="00783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7EB2" w14:textId="77777777" w:rsidR="003A734A" w:rsidRDefault="003A7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6347" w14:textId="1DB38121" w:rsidR="00CA1049" w:rsidRDefault="003A734A" w:rsidP="00CA1049">
    <w:pPr>
      <w:pStyle w:val="Footer"/>
      <w:jc w:val="center"/>
    </w:pPr>
    <w:sdt>
      <w:sdtPr>
        <w:rPr>
          <w:rFonts w:ascii="Calibri" w:eastAsia="Yu Mincho" w:hAnsi="Calibri" w:cs="Times New Roman"/>
        </w:rPr>
        <w:id w:val="-60483211"/>
        <w:docPartObj>
          <w:docPartGallery w:val="Page Numbers (Top of Page)"/>
          <w:docPartUnique/>
        </w:docPartObj>
      </w:sdtPr>
      <w:sdtEndPr/>
      <w:sdtContent>
        <w:r w:rsidR="00CA1049" w:rsidRPr="00C53753">
          <w:rPr>
            <w:rFonts w:ascii="Cambria" w:eastAsia="Yu Mincho" w:hAnsi="Cambria" w:cs="Times New Roman"/>
            <w:sz w:val="20"/>
          </w:rPr>
          <w:fldChar w:fldCharType="begin"/>
        </w:r>
        <w:r w:rsidR="00CA1049" w:rsidRPr="00C53753">
          <w:rPr>
            <w:rFonts w:ascii="Cambria" w:eastAsia="Yu Mincho" w:hAnsi="Cambria" w:cs="Times New Roman"/>
            <w:sz w:val="20"/>
          </w:rPr>
          <w:instrText xml:space="preserve"> PAGE </w:instrText>
        </w:r>
        <w:r w:rsidR="00CA1049" w:rsidRPr="00C53753">
          <w:rPr>
            <w:rFonts w:ascii="Cambria" w:eastAsia="Yu Mincho" w:hAnsi="Cambria" w:cs="Times New Roman"/>
            <w:sz w:val="20"/>
          </w:rPr>
          <w:fldChar w:fldCharType="separate"/>
        </w:r>
        <w:r w:rsidR="00CA1049">
          <w:rPr>
            <w:rFonts w:ascii="Cambria" w:eastAsia="Yu Mincho" w:hAnsi="Cambria" w:cs="Times New Roman"/>
            <w:sz w:val="20"/>
          </w:rPr>
          <w:t>1</w:t>
        </w:r>
        <w:r w:rsidR="00CA1049" w:rsidRPr="00C53753">
          <w:rPr>
            <w:rFonts w:ascii="Cambria" w:eastAsia="Yu Mincho" w:hAnsi="Cambria" w:cs="Times New Roman"/>
            <w:sz w:val="20"/>
          </w:rPr>
          <w:fldChar w:fldCharType="end"/>
        </w:r>
        <w:r w:rsidR="00CA1049">
          <w:rPr>
            <w:rFonts w:ascii="Cambria" w:hAnsi="Cambria"/>
            <w:sz w:val="20"/>
          </w:rPr>
          <w:t xml:space="preserve"> / </w:t>
        </w:r>
        <w:r w:rsidR="00CA1049" w:rsidRPr="00C53753">
          <w:rPr>
            <w:rFonts w:ascii="Cambria" w:eastAsia="Yu Mincho" w:hAnsi="Cambria" w:cs="Times New Roman"/>
            <w:sz w:val="20"/>
          </w:rPr>
          <w:fldChar w:fldCharType="begin"/>
        </w:r>
        <w:r w:rsidR="00CA1049" w:rsidRPr="00C53753">
          <w:rPr>
            <w:rFonts w:ascii="Cambria" w:eastAsia="Yu Mincho" w:hAnsi="Cambria" w:cs="Times New Roman"/>
            <w:sz w:val="20"/>
          </w:rPr>
          <w:instrText xml:space="preserve"> NUMPAGES  </w:instrText>
        </w:r>
        <w:r w:rsidR="00CA1049" w:rsidRPr="00C53753">
          <w:rPr>
            <w:rFonts w:ascii="Cambria" w:eastAsia="Yu Mincho" w:hAnsi="Cambria" w:cs="Times New Roman"/>
            <w:sz w:val="20"/>
          </w:rPr>
          <w:fldChar w:fldCharType="separate"/>
        </w:r>
        <w:r w:rsidR="00CA1049">
          <w:rPr>
            <w:rFonts w:ascii="Cambria" w:eastAsia="Yu Mincho" w:hAnsi="Cambria" w:cs="Times New Roman"/>
            <w:sz w:val="20"/>
          </w:rPr>
          <w:t>3</w:t>
        </w:r>
        <w:r w:rsidR="00CA1049" w:rsidRPr="00C53753">
          <w:rPr>
            <w:rFonts w:ascii="Cambria" w:eastAsia="Yu Mincho" w:hAnsi="Cambria" w:cs="Times New Roman"/>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E3A2" w14:textId="77777777" w:rsidR="003A734A" w:rsidRDefault="003A73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A4DA" w14:textId="77777777" w:rsidR="007836B0" w:rsidRDefault="007836B0">
      <w:pPr>
        <w:spacing w:line="240" w:lineRule="auto"/>
      </w:pPr>
      <w:r>
        <w:separator/>
      </w:r>
    </w:p>
  </w:footnote>
  <w:footnote w:type="continuationSeparator" w:id="0">
    <w:p w14:paraId="3F9BD315" w14:textId="77777777" w:rsidR="007836B0" w:rsidRDefault="007836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99D6" w14:textId="77777777" w:rsidR="003A734A" w:rsidRDefault="003A7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0D24" w14:textId="369D2F65" w:rsidR="00557D09" w:rsidRPr="000F45DC" w:rsidRDefault="00824862" w:rsidP="00557D09">
    <w:pPr>
      <w:tabs>
        <w:tab w:val="center" w:pos="4680"/>
        <w:tab w:val="right" w:pos="9360"/>
      </w:tabs>
      <w:spacing w:line="240" w:lineRule="auto"/>
      <w:jc w:val="right"/>
      <w:rPr>
        <w:rFonts w:ascii="Cambria" w:eastAsia="Calibri" w:hAnsi="Cambria" w:cs="Times New Roman"/>
        <w:b/>
        <w:bCs/>
        <w:sz w:val="20"/>
        <w:szCs w:val="20"/>
      </w:rPr>
    </w:pPr>
    <w:r>
      <w:rPr>
        <w:rFonts w:ascii="Cambria" w:hAnsi="Cambria"/>
        <w:b/>
        <w:sz w:val="20"/>
      </w:rPr>
      <w:t>PWG_414</w:t>
    </w:r>
    <w:r w:rsidR="008D5D08">
      <w:rPr>
        <w:rFonts w:ascii="Cambria" w:hAnsi="Cambria"/>
        <w:b/>
        <w:sz w:val="20"/>
      </w:rPr>
      <w:t>/</w:t>
    </w:r>
    <w:r>
      <w:rPr>
        <w:rFonts w:ascii="Cambria" w:hAnsi="Cambria"/>
        <w:b/>
        <w:sz w:val="20"/>
      </w:rPr>
      <w:t>2025</w:t>
    </w:r>
  </w:p>
  <w:p w14:paraId="11F808DC" w14:textId="174F0859" w:rsidR="000A1D02" w:rsidRDefault="00557D09" w:rsidP="00557D09">
    <w:pPr>
      <w:jc w:val="right"/>
    </w:pPr>
    <w:r w:rsidRPr="000F45DC">
      <w:rPr>
        <w:rFonts w:ascii="Cambria" w:eastAsia="Times New Roman" w:hAnsi="Cambria" w:cs="Times New Roman"/>
        <w:b/>
        <w:sz w:val="16"/>
      </w:rPr>
      <w:fldChar w:fldCharType="begin"/>
    </w:r>
    <w:r w:rsidRPr="000F45DC">
      <w:rPr>
        <w:rFonts w:ascii="Cambria" w:eastAsia="Times New Roman" w:hAnsi="Cambria" w:cs="Times New Roman"/>
        <w:b/>
        <w:sz w:val="16"/>
      </w:rPr>
      <w:instrText xml:space="preserve"> TIME \@ "dd/MM/yyyy H:mm" </w:instrText>
    </w:r>
    <w:r w:rsidRPr="000F45DC">
      <w:rPr>
        <w:rFonts w:ascii="Cambria" w:eastAsia="Times New Roman" w:hAnsi="Cambria" w:cs="Times New Roman"/>
        <w:b/>
        <w:sz w:val="16"/>
      </w:rPr>
      <w:fldChar w:fldCharType="separate"/>
    </w:r>
    <w:r w:rsidR="003A734A">
      <w:rPr>
        <w:rFonts w:ascii="Cambria" w:eastAsia="Times New Roman" w:hAnsi="Cambria" w:cs="Times New Roman"/>
        <w:b/>
        <w:noProof/>
        <w:sz w:val="16"/>
      </w:rPr>
      <w:t>20/10/2025 9:48</w:t>
    </w:r>
    <w:r w:rsidRPr="000F45DC">
      <w:rPr>
        <w:rFonts w:ascii="Cambria" w:eastAsia="Times New Roman" w:hAnsi="Cambria" w:cs="Times New Roman"/>
        <w:b/>
        <w:bCs/>
        <w:sz w:val="16"/>
        <w:szCs w:val="16"/>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779E4" w14:textId="77777777" w:rsidR="003A734A" w:rsidRDefault="003A7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2320"/>
    <w:multiLevelType w:val="multilevel"/>
    <w:tmpl w:val="6B4E2B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5A4659"/>
    <w:multiLevelType w:val="multilevel"/>
    <w:tmpl w:val="96B06E9A"/>
    <w:lvl w:ilvl="0">
      <w:start w:val="22"/>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29B23E55"/>
    <w:multiLevelType w:val="multilevel"/>
    <w:tmpl w:val="EAEC01F0"/>
    <w:lvl w:ilvl="0">
      <w:start w:val="1"/>
      <w:numFmt w:val="bullet"/>
      <w:lvlText w:val=""/>
      <w:lvlJc w:val="left"/>
      <w:pPr>
        <w:ind w:left="1572" w:hanging="360"/>
      </w:pPr>
      <w:rPr>
        <w:rFonts w:ascii="Symbol" w:hAnsi="Symbol" w:hint="default"/>
        <w:u w:val="none"/>
      </w:rPr>
    </w:lvl>
    <w:lvl w:ilvl="1">
      <w:start w:val="1"/>
      <w:numFmt w:val="bullet"/>
      <w:lvlText w:val="○"/>
      <w:lvlJc w:val="left"/>
      <w:pPr>
        <w:ind w:left="2292" w:hanging="360"/>
      </w:pPr>
      <w:rPr>
        <w:u w:val="none"/>
      </w:rPr>
    </w:lvl>
    <w:lvl w:ilvl="2">
      <w:start w:val="1"/>
      <w:numFmt w:val="bullet"/>
      <w:lvlText w:val="■"/>
      <w:lvlJc w:val="left"/>
      <w:pPr>
        <w:ind w:left="3012" w:hanging="360"/>
      </w:pPr>
      <w:rPr>
        <w:u w:val="none"/>
      </w:rPr>
    </w:lvl>
    <w:lvl w:ilvl="3">
      <w:start w:val="1"/>
      <w:numFmt w:val="bullet"/>
      <w:lvlText w:val="●"/>
      <w:lvlJc w:val="left"/>
      <w:pPr>
        <w:ind w:left="3732" w:hanging="360"/>
      </w:pPr>
      <w:rPr>
        <w:u w:val="none"/>
      </w:rPr>
    </w:lvl>
    <w:lvl w:ilvl="4">
      <w:start w:val="1"/>
      <w:numFmt w:val="bullet"/>
      <w:lvlText w:val="○"/>
      <w:lvlJc w:val="left"/>
      <w:pPr>
        <w:ind w:left="4452" w:hanging="360"/>
      </w:pPr>
      <w:rPr>
        <w:u w:val="none"/>
      </w:rPr>
    </w:lvl>
    <w:lvl w:ilvl="5">
      <w:start w:val="1"/>
      <w:numFmt w:val="bullet"/>
      <w:lvlText w:val="■"/>
      <w:lvlJc w:val="left"/>
      <w:pPr>
        <w:ind w:left="5172" w:hanging="360"/>
      </w:pPr>
      <w:rPr>
        <w:u w:val="none"/>
      </w:rPr>
    </w:lvl>
    <w:lvl w:ilvl="6">
      <w:start w:val="1"/>
      <w:numFmt w:val="bullet"/>
      <w:lvlText w:val="●"/>
      <w:lvlJc w:val="left"/>
      <w:pPr>
        <w:ind w:left="5892" w:hanging="360"/>
      </w:pPr>
      <w:rPr>
        <w:u w:val="none"/>
      </w:rPr>
    </w:lvl>
    <w:lvl w:ilvl="7">
      <w:start w:val="1"/>
      <w:numFmt w:val="bullet"/>
      <w:lvlText w:val="○"/>
      <w:lvlJc w:val="left"/>
      <w:pPr>
        <w:ind w:left="6612" w:hanging="360"/>
      </w:pPr>
      <w:rPr>
        <w:u w:val="none"/>
      </w:rPr>
    </w:lvl>
    <w:lvl w:ilvl="8">
      <w:start w:val="1"/>
      <w:numFmt w:val="bullet"/>
      <w:lvlText w:val="■"/>
      <w:lvlJc w:val="left"/>
      <w:pPr>
        <w:ind w:left="7332" w:hanging="360"/>
      </w:pPr>
      <w:rPr>
        <w:u w:val="none"/>
      </w:rPr>
    </w:lvl>
  </w:abstractNum>
  <w:abstractNum w:abstractNumId="3" w15:restartNumberingAfterBreak="0">
    <w:nsid w:val="2C782C21"/>
    <w:multiLevelType w:val="multilevel"/>
    <w:tmpl w:val="72B4E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6622F1D"/>
    <w:multiLevelType w:val="hybridMultilevel"/>
    <w:tmpl w:val="3424D282"/>
    <w:lvl w:ilvl="0" w:tplc="75F81222">
      <w:start w:val="1"/>
      <w:numFmt w:val="decimal"/>
      <w:lvlText w:val="%1."/>
      <w:lvlJc w:val="left"/>
      <w:pPr>
        <w:ind w:left="620" w:hanging="394"/>
      </w:pPr>
      <w:rPr>
        <w:rFonts w:hint="default"/>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abstractNum w:abstractNumId="5" w15:restartNumberingAfterBreak="0">
    <w:nsid w:val="574D70D9"/>
    <w:multiLevelType w:val="multilevel"/>
    <w:tmpl w:val="F572D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815408">
    <w:abstractNumId w:val="0"/>
  </w:num>
  <w:num w:numId="2" w16cid:durableId="219288481">
    <w:abstractNumId w:val="2"/>
  </w:num>
  <w:num w:numId="3" w16cid:durableId="47385442">
    <w:abstractNumId w:val="5"/>
  </w:num>
  <w:num w:numId="4" w16cid:durableId="1668750261">
    <w:abstractNumId w:val="3"/>
  </w:num>
  <w:num w:numId="5" w16cid:durableId="1246920526">
    <w:abstractNumId w:val="1"/>
  </w:num>
  <w:num w:numId="6" w16cid:durableId="19165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02"/>
    <w:rsid w:val="00037AC5"/>
    <w:rsid w:val="00045582"/>
    <w:rsid w:val="000731FB"/>
    <w:rsid w:val="00082170"/>
    <w:rsid w:val="00086255"/>
    <w:rsid w:val="0009135F"/>
    <w:rsid w:val="00094E8A"/>
    <w:rsid w:val="000A118D"/>
    <w:rsid w:val="000A1D02"/>
    <w:rsid w:val="000B410E"/>
    <w:rsid w:val="000C524C"/>
    <w:rsid w:val="000C6C2F"/>
    <w:rsid w:val="000E4558"/>
    <w:rsid w:val="000E64EA"/>
    <w:rsid w:val="001165A9"/>
    <w:rsid w:val="00124B94"/>
    <w:rsid w:val="001543AD"/>
    <w:rsid w:val="00186366"/>
    <w:rsid w:val="00196141"/>
    <w:rsid w:val="001B2C5A"/>
    <w:rsid w:val="001B4431"/>
    <w:rsid w:val="001D0A51"/>
    <w:rsid w:val="001D66D5"/>
    <w:rsid w:val="001E2263"/>
    <w:rsid w:val="00200FE7"/>
    <w:rsid w:val="00202FD2"/>
    <w:rsid w:val="00205281"/>
    <w:rsid w:val="00205541"/>
    <w:rsid w:val="00216184"/>
    <w:rsid w:val="00217976"/>
    <w:rsid w:val="002222A7"/>
    <w:rsid w:val="002570CC"/>
    <w:rsid w:val="00271A08"/>
    <w:rsid w:val="002832CA"/>
    <w:rsid w:val="00296EA7"/>
    <w:rsid w:val="00297E8E"/>
    <w:rsid w:val="002A794B"/>
    <w:rsid w:val="002F404A"/>
    <w:rsid w:val="002F7F2A"/>
    <w:rsid w:val="00300BBD"/>
    <w:rsid w:val="00304967"/>
    <w:rsid w:val="00313354"/>
    <w:rsid w:val="00335262"/>
    <w:rsid w:val="00371432"/>
    <w:rsid w:val="00386BB7"/>
    <w:rsid w:val="003A734A"/>
    <w:rsid w:val="003B50C6"/>
    <w:rsid w:val="003C0D91"/>
    <w:rsid w:val="003E00A2"/>
    <w:rsid w:val="003F2C01"/>
    <w:rsid w:val="00412D0E"/>
    <w:rsid w:val="00415AF3"/>
    <w:rsid w:val="00424223"/>
    <w:rsid w:val="004500C3"/>
    <w:rsid w:val="00457E5F"/>
    <w:rsid w:val="00460A17"/>
    <w:rsid w:val="004A342C"/>
    <w:rsid w:val="004A44CB"/>
    <w:rsid w:val="004B2183"/>
    <w:rsid w:val="004F7D79"/>
    <w:rsid w:val="00505B72"/>
    <w:rsid w:val="005326BC"/>
    <w:rsid w:val="00533320"/>
    <w:rsid w:val="005510D2"/>
    <w:rsid w:val="005510D9"/>
    <w:rsid w:val="0055230D"/>
    <w:rsid w:val="0055777D"/>
    <w:rsid w:val="00557D09"/>
    <w:rsid w:val="00584619"/>
    <w:rsid w:val="005867CA"/>
    <w:rsid w:val="005A3E62"/>
    <w:rsid w:val="005C0EE0"/>
    <w:rsid w:val="005C5D65"/>
    <w:rsid w:val="005D0F27"/>
    <w:rsid w:val="005E7EB3"/>
    <w:rsid w:val="005F44EA"/>
    <w:rsid w:val="006041FE"/>
    <w:rsid w:val="006228C6"/>
    <w:rsid w:val="00630D96"/>
    <w:rsid w:val="00653B90"/>
    <w:rsid w:val="00661854"/>
    <w:rsid w:val="00684E78"/>
    <w:rsid w:val="00686D5D"/>
    <w:rsid w:val="0069301C"/>
    <w:rsid w:val="006B666D"/>
    <w:rsid w:val="006D5AD0"/>
    <w:rsid w:val="006D7714"/>
    <w:rsid w:val="006E21EB"/>
    <w:rsid w:val="006E2660"/>
    <w:rsid w:val="006E7D87"/>
    <w:rsid w:val="007226DE"/>
    <w:rsid w:val="00730D1D"/>
    <w:rsid w:val="00731FDD"/>
    <w:rsid w:val="00733783"/>
    <w:rsid w:val="00764C1C"/>
    <w:rsid w:val="00775F9F"/>
    <w:rsid w:val="007836B0"/>
    <w:rsid w:val="00784761"/>
    <w:rsid w:val="00785EE8"/>
    <w:rsid w:val="00794F30"/>
    <w:rsid w:val="00797150"/>
    <w:rsid w:val="007B23F8"/>
    <w:rsid w:val="007B297B"/>
    <w:rsid w:val="007C6C7B"/>
    <w:rsid w:val="007E6680"/>
    <w:rsid w:val="008031C1"/>
    <w:rsid w:val="00803804"/>
    <w:rsid w:val="00817A6C"/>
    <w:rsid w:val="00823344"/>
    <w:rsid w:val="00824862"/>
    <w:rsid w:val="008529BE"/>
    <w:rsid w:val="008670E1"/>
    <w:rsid w:val="00897A36"/>
    <w:rsid w:val="008A1ED5"/>
    <w:rsid w:val="008B09CD"/>
    <w:rsid w:val="008B1C08"/>
    <w:rsid w:val="008B6EA4"/>
    <w:rsid w:val="008C1901"/>
    <w:rsid w:val="008C6247"/>
    <w:rsid w:val="008D06DF"/>
    <w:rsid w:val="008D4142"/>
    <w:rsid w:val="008D5D08"/>
    <w:rsid w:val="008D5DC2"/>
    <w:rsid w:val="008F6652"/>
    <w:rsid w:val="00900949"/>
    <w:rsid w:val="009037FD"/>
    <w:rsid w:val="00920F0F"/>
    <w:rsid w:val="00935D9B"/>
    <w:rsid w:val="0093772E"/>
    <w:rsid w:val="00946D37"/>
    <w:rsid w:val="009534E7"/>
    <w:rsid w:val="009711C5"/>
    <w:rsid w:val="009838E6"/>
    <w:rsid w:val="0099640B"/>
    <w:rsid w:val="009970F7"/>
    <w:rsid w:val="009A0EAB"/>
    <w:rsid w:val="009B350F"/>
    <w:rsid w:val="009D63E2"/>
    <w:rsid w:val="009E412D"/>
    <w:rsid w:val="00A0108F"/>
    <w:rsid w:val="00A16BD0"/>
    <w:rsid w:val="00A228E8"/>
    <w:rsid w:val="00A43A68"/>
    <w:rsid w:val="00A53B59"/>
    <w:rsid w:val="00A55CA6"/>
    <w:rsid w:val="00A7643F"/>
    <w:rsid w:val="00A83E49"/>
    <w:rsid w:val="00AB5490"/>
    <w:rsid w:val="00AB5DCF"/>
    <w:rsid w:val="00AC2B1E"/>
    <w:rsid w:val="00AF1418"/>
    <w:rsid w:val="00AF3E1A"/>
    <w:rsid w:val="00B1771C"/>
    <w:rsid w:val="00B30DD5"/>
    <w:rsid w:val="00B36154"/>
    <w:rsid w:val="00B45EDE"/>
    <w:rsid w:val="00B61B4B"/>
    <w:rsid w:val="00B665DB"/>
    <w:rsid w:val="00B84E41"/>
    <w:rsid w:val="00B87428"/>
    <w:rsid w:val="00BB7EB0"/>
    <w:rsid w:val="00BD16FA"/>
    <w:rsid w:val="00BE0C5F"/>
    <w:rsid w:val="00BE2A35"/>
    <w:rsid w:val="00BF2121"/>
    <w:rsid w:val="00C04D13"/>
    <w:rsid w:val="00C06AA7"/>
    <w:rsid w:val="00C06B09"/>
    <w:rsid w:val="00C3765E"/>
    <w:rsid w:val="00C40E96"/>
    <w:rsid w:val="00C84EFB"/>
    <w:rsid w:val="00C85D75"/>
    <w:rsid w:val="00CA1049"/>
    <w:rsid w:val="00CA14E3"/>
    <w:rsid w:val="00CC61E0"/>
    <w:rsid w:val="00CE0B55"/>
    <w:rsid w:val="00CE6323"/>
    <w:rsid w:val="00CF143C"/>
    <w:rsid w:val="00D0182F"/>
    <w:rsid w:val="00D2204A"/>
    <w:rsid w:val="00D369B7"/>
    <w:rsid w:val="00D90B85"/>
    <w:rsid w:val="00D917AB"/>
    <w:rsid w:val="00D94238"/>
    <w:rsid w:val="00D950F1"/>
    <w:rsid w:val="00DA4C56"/>
    <w:rsid w:val="00DC4BA6"/>
    <w:rsid w:val="00E2139F"/>
    <w:rsid w:val="00E2369E"/>
    <w:rsid w:val="00E3507B"/>
    <w:rsid w:val="00E37C19"/>
    <w:rsid w:val="00E45A5C"/>
    <w:rsid w:val="00E9624A"/>
    <w:rsid w:val="00EA2A10"/>
    <w:rsid w:val="00EB1BCC"/>
    <w:rsid w:val="00EB6C94"/>
    <w:rsid w:val="00EC4A83"/>
    <w:rsid w:val="00EE118E"/>
    <w:rsid w:val="00EF3489"/>
    <w:rsid w:val="00F00127"/>
    <w:rsid w:val="00F6287E"/>
    <w:rsid w:val="00F662A5"/>
    <w:rsid w:val="00F71E31"/>
    <w:rsid w:val="00FA2CD0"/>
    <w:rsid w:val="00FA4543"/>
    <w:rsid w:val="00FA5BAD"/>
    <w:rsid w:val="00FE404E"/>
    <w:rsid w:val="00FF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5F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F16"/>
    <w:rPr>
      <w:rFonts w:ascii="Segoe UI" w:hAnsi="Segoe UI" w:cs="Segoe UI"/>
      <w:sz w:val="18"/>
      <w:szCs w:val="18"/>
    </w:rPr>
  </w:style>
  <w:style w:type="paragraph" w:styleId="ListParagraph">
    <w:name w:val="List Paragraph"/>
    <w:basedOn w:val="Normal"/>
    <w:uiPriority w:val="34"/>
    <w:qFormat/>
    <w:rsid w:val="004F5F16"/>
    <w:pPr>
      <w:ind w:left="720"/>
      <w:contextualSpacing/>
    </w:pPr>
  </w:style>
  <w:style w:type="paragraph" w:styleId="Revision">
    <w:name w:val="Revision"/>
    <w:hidden/>
    <w:uiPriority w:val="99"/>
    <w:semiHidden/>
    <w:rsid w:val="009973F1"/>
    <w:pPr>
      <w:spacing w:line="240" w:lineRule="auto"/>
    </w:pPr>
  </w:style>
  <w:style w:type="paragraph" w:styleId="Header">
    <w:name w:val="header"/>
    <w:basedOn w:val="Normal"/>
    <w:link w:val="HeaderChar"/>
    <w:uiPriority w:val="99"/>
    <w:unhideWhenUsed/>
    <w:rsid w:val="00557D09"/>
    <w:pPr>
      <w:tabs>
        <w:tab w:val="center" w:pos="4680"/>
        <w:tab w:val="right" w:pos="9360"/>
      </w:tabs>
      <w:spacing w:line="240" w:lineRule="auto"/>
    </w:pPr>
  </w:style>
  <w:style w:type="character" w:customStyle="1" w:styleId="HeaderChar">
    <w:name w:val="Header Char"/>
    <w:basedOn w:val="DefaultParagraphFont"/>
    <w:link w:val="Header"/>
    <w:uiPriority w:val="99"/>
    <w:rsid w:val="00557D09"/>
  </w:style>
  <w:style w:type="paragraph" w:styleId="Footer">
    <w:name w:val="footer"/>
    <w:basedOn w:val="Normal"/>
    <w:link w:val="FooterChar"/>
    <w:uiPriority w:val="99"/>
    <w:unhideWhenUsed/>
    <w:rsid w:val="00557D09"/>
    <w:pPr>
      <w:tabs>
        <w:tab w:val="center" w:pos="4680"/>
        <w:tab w:val="right" w:pos="9360"/>
      </w:tabs>
      <w:spacing w:line="240" w:lineRule="auto"/>
    </w:pPr>
  </w:style>
  <w:style w:type="character" w:customStyle="1" w:styleId="FooterChar">
    <w:name w:val="Footer Char"/>
    <w:basedOn w:val="DefaultParagraphFont"/>
    <w:link w:val="Footer"/>
    <w:uiPriority w:val="99"/>
    <w:rsid w:val="00557D09"/>
  </w:style>
  <w:style w:type="character" w:styleId="Hyperlink">
    <w:name w:val="Hyperlink"/>
    <w:basedOn w:val="DefaultParagraphFont"/>
    <w:uiPriority w:val="99"/>
    <w:unhideWhenUsed/>
    <w:rsid w:val="00E37C19"/>
    <w:rPr>
      <w:color w:val="0000FF" w:themeColor="hyperlink"/>
      <w:u w:val="single"/>
    </w:rPr>
  </w:style>
  <w:style w:type="character" w:styleId="UnresolvedMention">
    <w:name w:val="Unresolved Mention"/>
    <w:basedOn w:val="DefaultParagraphFont"/>
    <w:uiPriority w:val="99"/>
    <w:semiHidden/>
    <w:unhideWhenUsed/>
    <w:rsid w:val="00E37C19"/>
    <w:rPr>
      <w:color w:val="605E5C"/>
      <w:shd w:val="clear" w:color="auto" w:fill="E1DFDD"/>
    </w:rPr>
  </w:style>
  <w:style w:type="character" w:styleId="FollowedHyperlink">
    <w:name w:val="FollowedHyperlink"/>
    <w:basedOn w:val="DefaultParagraphFont"/>
    <w:uiPriority w:val="99"/>
    <w:semiHidden/>
    <w:unhideWhenUsed/>
    <w:rsid w:val="006E26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00092">
      <w:bodyDiv w:val="1"/>
      <w:marLeft w:val="0"/>
      <w:marRight w:val="0"/>
      <w:marTop w:val="0"/>
      <w:marBottom w:val="0"/>
      <w:divBdr>
        <w:top w:val="none" w:sz="0" w:space="0" w:color="auto"/>
        <w:left w:val="none" w:sz="0" w:space="0" w:color="auto"/>
        <w:bottom w:val="none" w:sz="0" w:space="0" w:color="auto"/>
        <w:right w:val="none" w:sz="0" w:space="0" w:color="auto"/>
      </w:divBdr>
    </w:div>
    <w:div w:id="1970473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ccat.int/Documents/Recs/compendiopdf-f/2023-17-f.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2362</Words>
  <Characters>13465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2025-06-19T16:58:00Z</dcterms:created>
  <dcterms:modified xsi:type="dcterms:W3CDTF">2025-10-20T07:49:00Z</dcterms:modified>
</cp:coreProperties>
</file>