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39727322" w:rsidR="00442C11" w:rsidRPr="00F86F78" w:rsidRDefault="00163DC1" w:rsidP="00F86F78">
      <w:pPr>
        <w:jc w:val="right"/>
        <w:rPr>
          <w:rFonts w:ascii="Cambria" w:hAnsi="Cambria"/>
          <w:b/>
          <w:sz w:val="20"/>
          <w:szCs w:val="20"/>
        </w:rPr>
      </w:pPr>
      <w:bookmarkStart w:id="0" w:name="_Hlk104196551"/>
      <w:bookmarkStart w:id="1" w:name="_Hlk21091310"/>
      <w:r w:rsidRPr="00F86F78">
        <w:rPr>
          <w:rFonts w:ascii="Cambria" w:hAnsi="Cambria"/>
          <w:b/>
          <w:sz w:val="20"/>
          <w:szCs w:val="20"/>
        </w:rPr>
        <w:t>Original : anglais</w:t>
      </w:r>
    </w:p>
    <w:p w14:paraId="76B7BC69" w14:textId="77777777" w:rsidR="00FA0F40" w:rsidRPr="00F86F78" w:rsidRDefault="00FA0F40" w:rsidP="00F86F78">
      <w:pPr>
        <w:jc w:val="right"/>
        <w:rPr>
          <w:rFonts w:ascii="Cambria" w:hAnsi="Cambria"/>
          <w:b/>
          <w:sz w:val="20"/>
          <w:szCs w:val="20"/>
        </w:rPr>
      </w:pPr>
    </w:p>
    <w:p w14:paraId="6FCC4EA9" w14:textId="72D0D0F4" w:rsidR="00DC3B23" w:rsidRPr="00F86F78" w:rsidRDefault="00DC3B23" w:rsidP="00F86F78">
      <w:pPr>
        <w:jc w:val="center"/>
        <w:rPr>
          <w:rFonts w:ascii="Cambria" w:hAnsi="Cambria"/>
          <w:b/>
          <w:sz w:val="20"/>
          <w:szCs w:val="20"/>
        </w:rPr>
      </w:pPr>
      <w:r w:rsidRPr="00F86F78">
        <w:rPr>
          <w:rFonts w:ascii="Cambria" w:hAnsi="Cambria"/>
          <w:b/>
          <w:sz w:val="20"/>
          <w:szCs w:val="20"/>
        </w:rPr>
        <w:t xml:space="preserve">Points de décision clés sur les éléments techniques d'un nouveau système de documentation des captures (CDS) - </w:t>
      </w:r>
      <w:r w:rsidR="002A5021" w:rsidRPr="00F86F78">
        <w:rPr>
          <w:rFonts w:ascii="Cambria" w:hAnsi="Cambria"/>
          <w:b/>
          <w:sz w:val="20"/>
          <w:szCs w:val="20"/>
        </w:rPr>
        <w:t xml:space="preserve">Mise </w:t>
      </w:r>
      <w:r w:rsidRPr="00F86F78">
        <w:rPr>
          <w:rFonts w:ascii="Cambria" w:hAnsi="Cambria"/>
          <w:b/>
          <w:sz w:val="20"/>
          <w:szCs w:val="20"/>
        </w:rPr>
        <w:t>à jour de juin 2025</w:t>
      </w:r>
    </w:p>
    <w:p w14:paraId="51CAAFE0" w14:textId="651D7B14" w:rsidR="00CE5E9C" w:rsidRPr="00F86F78" w:rsidRDefault="00CE5E9C" w:rsidP="00F86F78">
      <w:pPr>
        <w:jc w:val="center"/>
        <w:rPr>
          <w:rFonts w:ascii="Cambria" w:hAnsi="Cambria"/>
          <w:bCs/>
          <w:i/>
          <w:iCs/>
          <w:sz w:val="20"/>
          <w:szCs w:val="20"/>
        </w:rPr>
      </w:pPr>
      <w:r w:rsidRPr="00F86F78">
        <w:rPr>
          <w:rFonts w:ascii="Cambria" w:hAnsi="Cambria"/>
          <w:bCs/>
          <w:i/>
          <w:iCs/>
          <w:sz w:val="20"/>
          <w:szCs w:val="20"/>
        </w:rPr>
        <w:t>(Document présenté par le Japon)</w:t>
      </w:r>
    </w:p>
    <w:p w14:paraId="375F0116" w14:textId="77777777" w:rsidR="00CE5E9C" w:rsidRPr="00F86F78" w:rsidRDefault="00CE5E9C" w:rsidP="00F86F78">
      <w:pPr>
        <w:jc w:val="both"/>
        <w:rPr>
          <w:rFonts w:ascii="Cambria" w:hAnsi="Cambria"/>
          <w:bCs/>
          <w:sz w:val="20"/>
          <w:szCs w:val="20"/>
        </w:rPr>
      </w:pPr>
    </w:p>
    <w:p w14:paraId="77D288C9" w14:textId="00123416"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Le paragraphe 9 de la </w:t>
      </w:r>
      <w:hyperlink r:id="rId7" w:history="1">
        <w:r w:rsidRPr="00F86F78">
          <w:rPr>
            <w:rStyle w:val="Hyperlink"/>
            <w:rFonts w:ascii="Cambria" w:hAnsi="Cambria"/>
            <w:bCs/>
            <w:i/>
            <w:sz w:val="20"/>
            <w:szCs w:val="20"/>
            <w:u w:val="none"/>
          </w:rPr>
          <w:t>Recommandation de l’ICCAT sur l’établissement d'un Groupe de travail permanent sur les systèmes de documentation des captures (CDS WG)</w:t>
        </w:r>
        <w:r w:rsidRPr="00F86F78">
          <w:rPr>
            <w:rStyle w:val="Hyperlink"/>
            <w:rFonts w:ascii="Cambria" w:hAnsi="Cambria"/>
            <w:bCs/>
            <w:sz w:val="20"/>
            <w:szCs w:val="20"/>
            <w:u w:val="none"/>
          </w:rPr>
          <w:t xml:space="preserve"> (Rec. 23-22)</w:t>
        </w:r>
      </w:hyperlink>
      <w:r w:rsidRPr="00F86F78">
        <w:rPr>
          <w:rFonts w:ascii="Cambria" w:hAnsi="Cambria"/>
          <w:bCs/>
          <w:sz w:val="20"/>
          <w:szCs w:val="20"/>
        </w:rPr>
        <w:t xml:space="preserve"> stipule que « le CDS WG formulera et soumettra, le cas échéant, un projet de Recommandation sur tout CDS élargi lors de la réunion de la Commission de 2026, ou avant si possible ».</w:t>
      </w:r>
    </w:p>
    <w:p w14:paraId="62D68858" w14:textId="77777777" w:rsidR="006D4B20" w:rsidRPr="00F86F78" w:rsidRDefault="006D4B20" w:rsidP="00F86F78">
      <w:pPr>
        <w:jc w:val="both"/>
        <w:rPr>
          <w:rFonts w:ascii="Cambria" w:hAnsi="Cambria"/>
          <w:bCs/>
          <w:sz w:val="20"/>
          <w:szCs w:val="20"/>
        </w:rPr>
      </w:pPr>
    </w:p>
    <w:p w14:paraId="5B398596" w14:textId="19B0A9FA" w:rsidR="006D4B20" w:rsidRPr="00F86F78" w:rsidRDefault="006D4B20" w:rsidP="00F86F78">
      <w:pPr>
        <w:jc w:val="both"/>
        <w:rPr>
          <w:rFonts w:ascii="Cambria" w:hAnsi="Cambria"/>
          <w:bCs/>
          <w:sz w:val="20"/>
          <w:szCs w:val="20"/>
        </w:rPr>
      </w:pPr>
      <w:r w:rsidRPr="00F86F78">
        <w:rPr>
          <w:rFonts w:ascii="Cambria" w:hAnsi="Cambria"/>
          <w:bCs/>
          <w:sz w:val="20"/>
          <w:szCs w:val="20"/>
        </w:rPr>
        <w:t>Au cours des réunions du CDS WG et de l’IMM WG (désignés ci-après « les WG ») en 2025, des orientations génériques ont été fournies sur plusieurs questions clés et de nouvelles difficultés</w:t>
      </w:r>
      <w:r w:rsidR="00C67938" w:rsidRPr="00F86F78">
        <w:rPr>
          <w:rFonts w:ascii="Cambria" w:hAnsi="Cambria"/>
          <w:bCs/>
          <w:sz w:val="20"/>
          <w:szCs w:val="20"/>
        </w:rPr>
        <w:t xml:space="preserve"> </w:t>
      </w:r>
      <w:r w:rsidRPr="00F86F78">
        <w:rPr>
          <w:rFonts w:ascii="Cambria" w:hAnsi="Cambria"/>
          <w:bCs/>
          <w:sz w:val="20"/>
          <w:szCs w:val="20"/>
        </w:rPr>
        <w:t>ont également émergé. En se fondant sur les conclusions de cette année, le présent document identifie des points de discussion clés pour l’an prochain.</w:t>
      </w:r>
    </w:p>
    <w:p w14:paraId="48C6C1BB" w14:textId="77777777" w:rsidR="006D4B20" w:rsidRPr="00F86F78" w:rsidRDefault="006D4B20" w:rsidP="00F86F78">
      <w:pPr>
        <w:jc w:val="both"/>
        <w:rPr>
          <w:rFonts w:ascii="Cambria" w:hAnsi="Cambria"/>
          <w:bCs/>
          <w:sz w:val="20"/>
          <w:szCs w:val="20"/>
        </w:rPr>
      </w:pPr>
    </w:p>
    <w:p w14:paraId="50977C11" w14:textId="77777777" w:rsidR="009A1455" w:rsidRPr="00F86F78" w:rsidRDefault="009A1455" w:rsidP="00F86F78">
      <w:pPr>
        <w:jc w:val="both"/>
        <w:rPr>
          <w:rFonts w:ascii="Cambria" w:hAnsi="Cambria"/>
          <w:bCs/>
          <w:sz w:val="20"/>
          <w:szCs w:val="20"/>
        </w:rPr>
      </w:pPr>
    </w:p>
    <w:p w14:paraId="0C02EE8A" w14:textId="4A2F313F"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1.</w:t>
      </w:r>
      <w:r w:rsidRPr="00F86F78">
        <w:rPr>
          <w:rFonts w:ascii="Cambria" w:hAnsi="Cambria"/>
          <w:b/>
          <w:sz w:val="20"/>
          <w:szCs w:val="20"/>
        </w:rPr>
        <w:tab/>
        <w:t>Espèce cible</w:t>
      </w:r>
    </w:p>
    <w:p w14:paraId="338C870B" w14:textId="77777777" w:rsidR="00F11139" w:rsidRPr="00F86F78" w:rsidRDefault="00F11139" w:rsidP="00F86F78">
      <w:pPr>
        <w:jc w:val="both"/>
        <w:rPr>
          <w:rFonts w:ascii="Cambria" w:hAnsi="Cambria"/>
          <w:bCs/>
          <w:sz w:val="20"/>
          <w:szCs w:val="20"/>
        </w:rPr>
      </w:pPr>
    </w:p>
    <w:p w14:paraId="6785E22C" w14:textId="4D98CA65" w:rsidR="006D4B20" w:rsidRPr="00F86F78" w:rsidRDefault="006D4B20" w:rsidP="00F86F78">
      <w:pPr>
        <w:jc w:val="both"/>
        <w:rPr>
          <w:rFonts w:ascii="Cambria" w:hAnsi="Cambria"/>
          <w:bCs/>
          <w:sz w:val="20"/>
          <w:szCs w:val="20"/>
        </w:rPr>
      </w:pPr>
      <w:r w:rsidRPr="00F86F78">
        <w:rPr>
          <w:rFonts w:ascii="Cambria" w:hAnsi="Cambria"/>
          <w:bCs/>
          <w:sz w:val="20"/>
          <w:szCs w:val="20"/>
        </w:rPr>
        <w:t>Les WG ont soutenu l’idée d’étudier la possibilité que le CDS élargi couvre tant le thon obèse que l’espadon, tout en envisageant également une future expansion à d’autres espèces.</w:t>
      </w:r>
    </w:p>
    <w:p w14:paraId="44B53AE5" w14:textId="77777777" w:rsidR="00F11139" w:rsidRPr="00F86F78" w:rsidRDefault="00F11139" w:rsidP="00F86F78">
      <w:pPr>
        <w:jc w:val="both"/>
        <w:rPr>
          <w:rFonts w:ascii="Cambria" w:hAnsi="Cambria"/>
          <w:bCs/>
          <w:sz w:val="20"/>
          <w:szCs w:val="20"/>
        </w:rPr>
      </w:pPr>
    </w:p>
    <w:p w14:paraId="5E116969" w14:textId="77777777" w:rsidR="009A1455" w:rsidRPr="00F86F78" w:rsidRDefault="009A1455" w:rsidP="00F86F78">
      <w:pPr>
        <w:jc w:val="both"/>
        <w:rPr>
          <w:rFonts w:ascii="Cambria" w:hAnsi="Cambria"/>
          <w:bCs/>
          <w:sz w:val="20"/>
          <w:szCs w:val="20"/>
        </w:rPr>
      </w:pPr>
    </w:p>
    <w:p w14:paraId="144554F2"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2.</w:t>
      </w:r>
      <w:r w:rsidRPr="00F86F78">
        <w:rPr>
          <w:rFonts w:ascii="Cambria" w:hAnsi="Cambria"/>
          <w:b/>
          <w:sz w:val="20"/>
          <w:szCs w:val="20"/>
        </w:rPr>
        <w:tab/>
        <w:t>Types de produit cible et présentations</w:t>
      </w:r>
    </w:p>
    <w:p w14:paraId="644A6554" w14:textId="77777777" w:rsidR="00F11139" w:rsidRPr="00F86F78" w:rsidRDefault="00F11139" w:rsidP="00F86F78">
      <w:pPr>
        <w:jc w:val="both"/>
        <w:rPr>
          <w:rFonts w:ascii="Cambria" w:hAnsi="Cambria"/>
          <w:bCs/>
          <w:sz w:val="20"/>
          <w:szCs w:val="20"/>
        </w:rPr>
      </w:pPr>
    </w:p>
    <w:p w14:paraId="42D87E3D" w14:textId="3112052B" w:rsidR="006D4B20" w:rsidRPr="00F86F78" w:rsidRDefault="006D4B20" w:rsidP="00F86F78">
      <w:pPr>
        <w:jc w:val="both"/>
        <w:rPr>
          <w:rFonts w:ascii="Cambria" w:hAnsi="Cambria"/>
          <w:bCs/>
          <w:sz w:val="20"/>
          <w:szCs w:val="20"/>
        </w:rPr>
      </w:pPr>
      <w:r w:rsidRPr="00F86F78">
        <w:rPr>
          <w:rFonts w:ascii="Cambria" w:hAnsi="Cambria"/>
          <w:bCs/>
          <w:sz w:val="20"/>
          <w:szCs w:val="20"/>
        </w:rPr>
        <w:t>Les WG ont considéré que le CDS élargi devrait couvrir tous les types de produits (c.-à-d. frais/congelé, RD/GG/DR/FL/OT). Toutefois, les WG ont également reconnu qu’il est nécessaire de tenir une plus ample discussion sur la faisabilité technique et le rapport coût-efficacité pour certains produits, notamment les produits mis en conserve. Par exemple, les WG doivent examiner si les produits mis en conserve qui contiennent du thon obèse/de l’espadon peuvent être classés de façon unique dans le cadre des codes du système harmonisé ou des systèmes de classification équivalents et si le volume de thon obèse/espadon mis en conserve est suffisamment important pour en justifier le coût.</w:t>
      </w:r>
    </w:p>
    <w:p w14:paraId="472BE5EC" w14:textId="77777777" w:rsidR="00F11139" w:rsidRPr="00F86F78" w:rsidRDefault="00F11139" w:rsidP="00F86F78">
      <w:pPr>
        <w:jc w:val="both"/>
        <w:rPr>
          <w:rFonts w:ascii="Cambria" w:hAnsi="Cambria"/>
          <w:bCs/>
          <w:sz w:val="20"/>
          <w:szCs w:val="20"/>
        </w:rPr>
      </w:pPr>
    </w:p>
    <w:p w14:paraId="43CB7A37" w14:textId="77777777" w:rsidR="009A1455" w:rsidRPr="00F86F78" w:rsidRDefault="009A1455" w:rsidP="00F86F78">
      <w:pPr>
        <w:jc w:val="both"/>
        <w:rPr>
          <w:rFonts w:ascii="Cambria" w:hAnsi="Cambria"/>
          <w:bCs/>
          <w:sz w:val="20"/>
          <w:szCs w:val="20"/>
        </w:rPr>
      </w:pPr>
    </w:p>
    <w:p w14:paraId="06F5FA3D" w14:textId="517EA540"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3.</w:t>
      </w:r>
      <w:r w:rsidRPr="00F86F78">
        <w:rPr>
          <w:rFonts w:ascii="Cambria" w:hAnsi="Cambria"/>
          <w:b/>
          <w:sz w:val="20"/>
          <w:szCs w:val="20"/>
        </w:rPr>
        <w:tab/>
        <w:t>Système basé sur les captures/le commerce</w:t>
      </w:r>
    </w:p>
    <w:p w14:paraId="5686873E" w14:textId="77777777" w:rsidR="00F11139" w:rsidRPr="00F86F78" w:rsidRDefault="00F11139" w:rsidP="00F86F78">
      <w:pPr>
        <w:tabs>
          <w:tab w:val="left" w:pos="426"/>
        </w:tabs>
        <w:jc w:val="both"/>
        <w:rPr>
          <w:rFonts w:ascii="Cambria" w:hAnsi="Cambria"/>
          <w:bCs/>
          <w:sz w:val="20"/>
          <w:szCs w:val="20"/>
        </w:rPr>
      </w:pPr>
    </w:p>
    <w:p w14:paraId="258DAC43" w14:textId="1B5D218F" w:rsidR="006D4B20" w:rsidRPr="00F86F78" w:rsidRDefault="006D4B20" w:rsidP="00F86F78">
      <w:pPr>
        <w:jc w:val="both"/>
        <w:rPr>
          <w:rFonts w:ascii="Cambria" w:hAnsi="Cambria"/>
          <w:bCs/>
          <w:sz w:val="20"/>
          <w:szCs w:val="20"/>
        </w:rPr>
      </w:pPr>
      <w:r w:rsidRPr="00F86F78">
        <w:rPr>
          <w:rFonts w:ascii="Cambria" w:hAnsi="Cambria"/>
          <w:bCs/>
          <w:sz w:val="20"/>
          <w:szCs w:val="20"/>
        </w:rPr>
        <w:t>Les WG ont largement soutenu l’adoption d’un système basé sur les captures. Le système basé sur les captures permet aux CPC de suivre tous les mouvements et offre des avantages scientifiques en apportant des données de captures complémentaires.</w:t>
      </w:r>
    </w:p>
    <w:p w14:paraId="47163F5C" w14:textId="77777777" w:rsidR="006D4B20" w:rsidRPr="00F86F78" w:rsidRDefault="006D4B20" w:rsidP="00F86F78">
      <w:pPr>
        <w:jc w:val="both"/>
        <w:rPr>
          <w:rFonts w:ascii="Cambria" w:hAnsi="Cambria"/>
          <w:bCs/>
          <w:sz w:val="20"/>
          <w:szCs w:val="20"/>
        </w:rPr>
      </w:pPr>
    </w:p>
    <w:p w14:paraId="3B898F07" w14:textId="5EDD23BE" w:rsidR="006D4B20" w:rsidRPr="00F86F78" w:rsidRDefault="006D4B20" w:rsidP="00F86F78">
      <w:pPr>
        <w:jc w:val="both"/>
        <w:rPr>
          <w:rFonts w:ascii="Cambria" w:hAnsi="Cambria"/>
          <w:bCs/>
          <w:sz w:val="20"/>
          <w:szCs w:val="20"/>
        </w:rPr>
      </w:pPr>
      <w:r w:rsidRPr="00F86F78">
        <w:rPr>
          <w:rFonts w:ascii="Cambria" w:hAnsi="Cambria"/>
          <w:bCs/>
          <w:sz w:val="20"/>
          <w:szCs w:val="20"/>
        </w:rPr>
        <w:t>À cette fin, toutefois, les CPC doivent reconnaître les différents travaux et délais du système basé sur le commerce. À titre d’exemple, le système basé sur les captures impliquera que les pêcheurs enregistrent leur capture dans le système et que chaque CPC vérifie les registres dans un court délai avant la distribution, en particulier pour les produits frais.</w:t>
      </w:r>
    </w:p>
    <w:p w14:paraId="35CEAB34" w14:textId="77777777" w:rsidR="00F11139" w:rsidRPr="00F86F78" w:rsidRDefault="00F11139" w:rsidP="00F86F78">
      <w:pPr>
        <w:jc w:val="both"/>
        <w:rPr>
          <w:rFonts w:ascii="Cambria" w:hAnsi="Cambria"/>
          <w:bCs/>
          <w:sz w:val="20"/>
          <w:szCs w:val="20"/>
        </w:rPr>
      </w:pPr>
    </w:p>
    <w:p w14:paraId="0ACFC917" w14:textId="77777777" w:rsidR="009A1455" w:rsidRPr="00F86F78" w:rsidRDefault="009A1455" w:rsidP="00F86F78">
      <w:pPr>
        <w:jc w:val="both"/>
        <w:rPr>
          <w:rFonts w:ascii="Cambria" w:hAnsi="Cambria"/>
          <w:bCs/>
          <w:sz w:val="20"/>
          <w:szCs w:val="20"/>
        </w:rPr>
      </w:pPr>
    </w:p>
    <w:p w14:paraId="7E19D3AF"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4.</w:t>
      </w:r>
      <w:r w:rsidRPr="00F86F78">
        <w:rPr>
          <w:rFonts w:ascii="Cambria" w:hAnsi="Cambria"/>
          <w:b/>
          <w:sz w:val="20"/>
          <w:szCs w:val="20"/>
        </w:rPr>
        <w:tab/>
        <w:t>Champs de données</w:t>
      </w:r>
    </w:p>
    <w:p w14:paraId="180A183F" w14:textId="77777777" w:rsidR="00F11139" w:rsidRPr="00F86F78" w:rsidRDefault="00F11139" w:rsidP="00F86F78">
      <w:pPr>
        <w:tabs>
          <w:tab w:val="left" w:pos="426"/>
        </w:tabs>
        <w:jc w:val="both"/>
        <w:rPr>
          <w:rFonts w:ascii="Cambria" w:hAnsi="Cambria"/>
          <w:bCs/>
          <w:sz w:val="20"/>
          <w:szCs w:val="20"/>
        </w:rPr>
      </w:pPr>
    </w:p>
    <w:p w14:paraId="3FDADAA2" w14:textId="77777777" w:rsidR="006D4B20" w:rsidRPr="00F86F78" w:rsidRDefault="006D4B20" w:rsidP="00F86F78">
      <w:pPr>
        <w:jc w:val="both"/>
        <w:rPr>
          <w:rFonts w:ascii="Cambria" w:hAnsi="Cambria"/>
          <w:bCs/>
          <w:sz w:val="20"/>
          <w:szCs w:val="20"/>
        </w:rPr>
      </w:pPr>
      <w:r w:rsidRPr="00F86F78">
        <w:rPr>
          <w:rFonts w:ascii="Cambria" w:hAnsi="Cambria"/>
          <w:bCs/>
          <w:sz w:val="20"/>
          <w:szCs w:val="20"/>
        </w:rPr>
        <w:t>Les WG ont convenu que les champs de données requis devraient être compatibles avec d’autres mécanismes existants, notamment le programme de certification des captures de l'UE (CC de l’UE) afin de recevoir une dérogation du CC de l’UE.</w:t>
      </w:r>
    </w:p>
    <w:p w14:paraId="4A024EA5" w14:textId="27161EFD" w:rsidR="006D4B20" w:rsidRPr="00F86F78" w:rsidRDefault="006D4B20" w:rsidP="00F86F78">
      <w:pPr>
        <w:jc w:val="both"/>
        <w:rPr>
          <w:rFonts w:ascii="Cambria" w:hAnsi="Cambria"/>
          <w:bCs/>
          <w:sz w:val="20"/>
          <w:szCs w:val="20"/>
        </w:rPr>
      </w:pPr>
    </w:p>
    <w:p w14:paraId="558FE8F5" w14:textId="4CCEDCB2" w:rsidR="006D4B20" w:rsidRPr="00F86F78" w:rsidRDefault="006D4B20" w:rsidP="00F86F78">
      <w:pPr>
        <w:jc w:val="both"/>
        <w:rPr>
          <w:rFonts w:ascii="Cambria" w:hAnsi="Cambria"/>
          <w:bCs/>
          <w:sz w:val="20"/>
          <w:szCs w:val="20"/>
        </w:rPr>
      </w:pPr>
      <w:r w:rsidRPr="00F86F78">
        <w:rPr>
          <w:rFonts w:ascii="Cambria" w:hAnsi="Cambria"/>
          <w:sz w:val="20"/>
          <w:szCs w:val="20"/>
        </w:rPr>
        <w:t xml:space="preserve">Aux réunions des </w:t>
      </w:r>
      <w:r w:rsidRPr="00F86F78">
        <w:rPr>
          <w:rFonts w:ascii="Cambria" w:hAnsi="Cambria"/>
          <w:bCs/>
          <w:sz w:val="20"/>
          <w:szCs w:val="20"/>
        </w:rPr>
        <w:t xml:space="preserve">WG, notant que le CC de l’UE comporte un « mécanisme UE simplifié pour la pêcherie artisanale », certaines CPC ont indiqué qu’une approche similaire devrait être adoptée dans le CDS élargi. </w:t>
      </w:r>
      <w:r w:rsidRPr="00F86F78">
        <w:rPr>
          <w:rFonts w:ascii="Cambria" w:hAnsi="Cambria"/>
          <w:sz w:val="20"/>
          <w:szCs w:val="20"/>
        </w:rPr>
        <w:t>Les données requises du CC de l’UE simplifié sont incluses à l’</w:t>
      </w:r>
      <w:r w:rsidRPr="00F86F78">
        <w:rPr>
          <w:rFonts w:ascii="Cambria" w:hAnsi="Cambria"/>
          <w:b/>
          <w:sz w:val="20"/>
          <w:szCs w:val="20"/>
        </w:rPr>
        <w:t>appendice 1</w:t>
      </w:r>
      <w:r w:rsidRPr="00F86F78">
        <w:rPr>
          <w:rFonts w:ascii="Cambria" w:hAnsi="Cambria"/>
          <w:bCs/>
          <w:sz w:val="20"/>
          <w:szCs w:val="20"/>
        </w:rPr>
        <w:t xml:space="preserve"> à des fins de discussion l’an prochain</w:t>
      </w:r>
      <w:r w:rsidRPr="00F86F78">
        <w:rPr>
          <w:rFonts w:ascii="Cambria" w:hAnsi="Cambria"/>
          <w:sz w:val="20"/>
          <w:szCs w:val="20"/>
        </w:rPr>
        <w:t>.</w:t>
      </w:r>
    </w:p>
    <w:p w14:paraId="7930B5CA" w14:textId="60621ED7" w:rsidR="009A1455" w:rsidRPr="00F86F78" w:rsidRDefault="009A1455" w:rsidP="00F86F78">
      <w:pPr>
        <w:spacing w:after="160" w:line="259" w:lineRule="auto"/>
        <w:rPr>
          <w:rFonts w:ascii="Cambria" w:hAnsi="Cambria"/>
          <w:b/>
          <w:sz w:val="20"/>
          <w:szCs w:val="20"/>
        </w:rPr>
      </w:pPr>
      <w:r w:rsidRPr="00F86F78">
        <w:rPr>
          <w:rFonts w:ascii="Cambria" w:hAnsi="Cambria"/>
          <w:b/>
          <w:sz w:val="20"/>
          <w:szCs w:val="20"/>
        </w:rPr>
        <w:br w:type="page"/>
      </w:r>
    </w:p>
    <w:p w14:paraId="5A9D361B"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lastRenderedPageBreak/>
        <w:t>5.</w:t>
      </w:r>
      <w:r w:rsidRPr="00F86F78">
        <w:rPr>
          <w:rFonts w:ascii="Cambria" w:hAnsi="Cambria"/>
          <w:b/>
          <w:sz w:val="20"/>
          <w:szCs w:val="20"/>
        </w:rPr>
        <w:tab/>
        <w:t>Système électronique</w:t>
      </w:r>
    </w:p>
    <w:p w14:paraId="0A1E8687" w14:textId="77777777" w:rsidR="00F11139" w:rsidRPr="00F86F78" w:rsidRDefault="00F11139" w:rsidP="00F86F78">
      <w:pPr>
        <w:jc w:val="both"/>
        <w:rPr>
          <w:rFonts w:ascii="Cambria" w:hAnsi="Cambria"/>
          <w:bCs/>
          <w:sz w:val="20"/>
          <w:szCs w:val="20"/>
        </w:rPr>
      </w:pPr>
    </w:p>
    <w:p w14:paraId="5C319A46" w14:textId="77777777"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Notant que le système eBCD actuel pourrait couvrir des espèces supplémentaires et doit être renouvelé, les WG ont demandé au Secrétariat d’estimer le coût de la refonte, y compris l’inclusion de nouvelles espèces dans le système eBCD, et de l’établissement d’un nouveau système CDS pour les autres espèces, respectivement. </w:t>
      </w:r>
    </w:p>
    <w:p w14:paraId="6B786D0D" w14:textId="77777777" w:rsidR="00F11139" w:rsidRPr="00F86F78" w:rsidRDefault="00F11139" w:rsidP="00F86F78">
      <w:pPr>
        <w:jc w:val="both"/>
        <w:rPr>
          <w:rFonts w:ascii="Cambria" w:hAnsi="Cambria"/>
          <w:bCs/>
          <w:sz w:val="20"/>
          <w:szCs w:val="20"/>
        </w:rPr>
      </w:pPr>
    </w:p>
    <w:p w14:paraId="54D16330" w14:textId="12D500D7"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La </w:t>
      </w:r>
      <w:hyperlink r:id="rId8" w:history="1">
        <w:r w:rsidRPr="00F86F78">
          <w:rPr>
            <w:rStyle w:val="Hyperlink"/>
            <w:rFonts w:ascii="Cambria" w:hAnsi="Cambria"/>
            <w:bCs/>
            <w:sz w:val="20"/>
            <w:szCs w:val="20"/>
            <w:u w:val="none"/>
          </w:rPr>
          <w:t>Rec. 23-22</w:t>
        </w:r>
      </w:hyperlink>
      <w:r w:rsidRPr="00F86F78">
        <w:rPr>
          <w:rFonts w:ascii="Cambria" w:hAnsi="Cambria"/>
          <w:bCs/>
          <w:sz w:val="20"/>
          <w:szCs w:val="20"/>
        </w:rPr>
        <w:t xml:space="preserve"> chargeait le CDS WG d’examiner la question de savoir s’il est possible et opportun d’élargir le système eBCD à d’autres espèces, ou s’il est plus approprié de développer un système électronique distinct. Dans le cas où le système eBCD gèrerait des espèces supplémentaires, il est nécessaire de déterminer les fonctionnalités qui sont inutiles (par ex. mise en cage et élevage) et les fonctionnalités additionnelles qui sont requises (par ex. thon obèse capturé par des navires affrétés, transbordement en mer). </w:t>
      </w:r>
    </w:p>
    <w:p w14:paraId="7FD71B26" w14:textId="77777777" w:rsidR="006D4B20" w:rsidRPr="00F86F78" w:rsidRDefault="006D4B20" w:rsidP="00F86F78">
      <w:pPr>
        <w:jc w:val="both"/>
        <w:rPr>
          <w:rFonts w:ascii="Cambria" w:hAnsi="Cambria"/>
          <w:bCs/>
          <w:sz w:val="20"/>
          <w:szCs w:val="20"/>
        </w:rPr>
      </w:pPr>
    </w:p>
    <w:p w14:paraId="236B514C" w14:textId="77777777" w:rsidR="00F11139" w:rsidRPr="00F86F78" w:rsidRDefault="00F11139" w:rsidP="00F86F78">
      <w:pPr>
        <w:jc w:val="both"/>
        <w:rPr>
          <w:rFonts w:ascii="Cambria" w:hAnsi="Cambria"/>
          <w:bCs/>
          <w:sz w:val="20"/>
          <w:szCs w:val="20"/>
        </w:rPr>
      </w:pPr>
    </w:p>
    <w:p w14:paraId="7A398487"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6.</w:t>
      </w:r>
      <w:r w:rsidRPr="00F86F78">
        <w:rPr>
          <w:rFonts w:ascii="Cambria" w:hAnsi="Cambria"/>
          <w:b/>
          <w:sz w:val="20"/>
          <w:szCs w:val="20"/>
        </w:rPr>
        <w:tab/>
        <w:t>Mécanisme de partage des coûts</w:t>
      </w:r>
    </w:p>
    <w:p w14:paraId="4191954A" w14:textId="77777777" w:rsidR="00F11139" w:rsidRPr="00F86F78" w:rsidRDefault="00F11139" w:rsidP="00F86F78">
      <w:pPr>
        <w:tabs>
          <w:tab w:val="left" w:pos="426"/>
        </w:tabs>
        <w:jc w:val="both"/>
        <w:rPr>
          <w:rFonts w:ascii="Cambria" w:hAnsi="Cambria"/>
          <w:bCs/>
          <w:sz w:val="20"/>
          <w:szCs w:val="20"/>
        </w:rPr>
      </w:pPr>
    </w:p>
    <w:p w14:paraId="0B9E1579" w14:textId="1C1CF5E5" w:rsidR="006D4B20" w:rsidRPr="00F86F78" w:rsidRDefault="006D4B20" w:rsidP="00F86F78">
      <w:pPr>
        <w:jc w:val="both"/>
        <w:rPr>
          <w:rFonts w:ascii="Cambria" w:hAnsi="Cambria"/>
          <w:bCs/>
          <w:sz w:val="20"/>
          <w:szCs w:val="20"/>
        </w:rPr>
      </w:pPr>
      <w:r w:rsidRPr="00F86F78">
        <w:rPr>
          <w:rFonts w:ascii="Cambria" w:hAnsi="Cambria"/>
          <w:bCs/>
          <w:sz w:val="20"/>
          <w:szCs w:val="20"/>
        </w:rPr>
        <w:t>Une discussion plus approfondie est nécessaire sur deux options (ou peut-être plus) pour le recouvrement des coûts : 1) faire assumer les coûts par les Parties contractantes qui capturent et/ou commercialisent les espèces, ou 2) utiliser le budget de la Commission. Étant donné que les WG ont conclu que les spécifications du système devraient être étudiées en premier lieu, il n’y avait pas d'orientation claire quant à savoir qui partagerait le coût du CDS élargi.</w:t>
      </w:r>
    </w:p>
    <w:p w14:paraId="4AAA821F" w14:textId="77777777" w:rsidR="006D4B20" w:rsidRPr="00F86F78" w:rsidRDefault="006D4B20" w:rsidP="00F86F78">
      <w:pPr>
        <w:jc w:val="both"/>
        <w:rPr>
          <w:rFonts w:ascii="Cambria" w:hAnsi="Cambria"/>
          <w:bCs/>
          <w:sz w:val="20"/>
          <w:szCs w:val="20"/>
        </w:rPr>
      </w:pPr>
    </w:p>
    <w:p w14:paraId="0A4EBDD3" w14:textId="77777777"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Conformément au paragraphe 1bis de l'article 4 du Règlement financier de l’ICCAT, les contributions supplémentaires des membres de la Commission qui capturent et/ou commercialisent du thon rouge de l'Atlantique sont utilisées pour couvrir le coût de l'eBCD. Ce budget se compose (a) d'une redevance de base payée à parts égales par les Parties contractantes concernées et (b) d'une redevance variable calculée en fonction (i) du poids des captures de thon rouge, (ii) du nombre total de transactions commerciales et (iii) du volume total de thon rouge importé dans le système eBCD. </w:t>
      </w:r>
    </w:p>
    <w:p w14:paraId="09D503F9" w14:textId="77777777" w:rsidR="006D4B20" w:rsidRPr="00F86F78" w:rsidRDefault="006D4B20" w:rsidP="00F86F78">
      <w:pPr>
        <w:jc w:val="both"/>
        <w:rPr>
          <w:rFonts w:ascii="Cambria" w:hAnsi="Cambria"/>
          <w:bCs/>
          <w:sz w:val="20"/>
          <w:szCs w:val="20"/>
        </w:rPr>
      </w:pPr>
    </w:p>
    <w:p w14:paraId="4C062366" w14:textId="77777777" w:rsidR="006D4B20" w:rsidRPr="00F86F78" w:rsidRDefault="006D4B20" w:rsidP="00F86F78">
      <w:pPr>
        <w:jc w:val="both"/>
        <w:rPr>
          <w:rFonts w:ascii="Cambria" w:hAnsi="Cambria"/>
          <w:bCs/>
          <w:sz w:val="20"/>
          <w:szCs w:val="20"/>
        </w:rPr>
      </w:pPr>
      <w:r w:rsidRPr="00F86F78">
        <w:rPr>
          <w:rFonts w:ascii="Cambria" w:hAnsi="Cambria"/>
          <w:bCs/>
          <w:sz w:val="20"/>
          <w:szCs w:val="20"/>
        </w:rPr>
        <w:t>Presque toutes les Parties contractantes sont impliquées dans la pêche/le commerce du thon obèse et/ou de l'espadon, alors que seul un nombre limité de Parties contractantes utilisent l'eBCD. Par conséquent, le système CDS élargi peut être financé par le budget général de la Commission.</w:t>
      </w:r>
    </w:p>
    <w:p w14:paraId="119549D1" w14:textId="77777777" w:rsidR="00F11139" w:rsidRPr="00F86F78" w:rsidRDefault="00F11139" w:rsidP="00F86F78">
      <w:pPr>
        <w:jc w:val="both"/>
        <w:rPr>
          <w:rFonts w:ascii="Cambria" w:hAnsi="Cambria"/>
          <w:b/>
          <w:sz w:val="20"/>
          <w:szCs w:val="20"/>
        </w:rPr>
      </w:pPr>
    </w:p>
    <w:p w14:paraId="236B5952" w14:textId="77777777" w:rsidR="009A1455" w:rsidRPr="00F86F78" w:rsidRDefault="009A1455" w:rsidP="00F86F78">
      <w:pPr>
        <w:jc w:val="both"/>
        <w:rPr>
          <w:rFonts w:ascii="Cambria" w:hAnsi="Cambria"/>
          <w:b/>
          <w:sz w:val="20"/>
          <w:szCs w:val="20"/>
        </w:rPr>
      </w:pPr>
    </w:p>
    <w:p w14:paraId="78E7E32B"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7.</w:t>
      </w:r>
      <w:r w:rsidRPr="00F86F78">
        <w:rPr>
          <w:rFonts w:ascii="Cambria" w:hAnsi="Cambria"/>
          <w:b/>
          <w:sz w:val="20"/>
          <w:szCs w:val="20"/>
        </w:rPr>
        <w:tab/>
        <w:t>Transition vers le nouveau CDS</w:t>
      </w:r>
    </w:p>
    <w:p w14:paraId="2309248B" w14:textId="77777777" w:rsidR="00F11139" w:rsidRPr="00F86F78" w:rsidRDefault="00F11139" w:rsidP="00F86F78">
      <w:pPr>
        <w:tabs>
          <w:tab w:val="left" w:pos="426"/>
        </w:tabs>
        <w:jc w:val="both"/>
        <w:rPr>
          <w:rFonts w:ascii="Cambria" w:hAnsi="Cambria"/>
          <w:bCs/>
          <w:sz w:val="20"/>
          <w:szCs w:val="20"/>
        </w:rPr>
      </w:pPr>
    </w:p>
    <w:p w14:paraId="7302E12E" w14:textId="0730D694" w:rsidR="006D4B20" w:rsidRPr="00F86F78" w:rsidRDefault="006D4B20" w:rsidP="00F86F78">
      <w:pPr>
        <w:jc w:val="both"/>
        <w:rPr>
          <w:rFonts w:ascii="Cambria" w:hAnsi="Cambria"/>
          <w:bCs/>
          <w:sz w:val="20"/>
          <w:szCs w:val="20"/>
        </w:rPr>
      </w:pPr>
      <w:r w:rsidRPr="00F86F78">
        <w:rPr>
          <w:rFonts w:ascii="Cambria" w:hAnsi="Cambria"/>
          <w:bCs/>
          <w:sz w:val="20"/>
          <w:szCs w:val="20"/>
        </w:rPr>
        <w:t>Les WG ont reconnu qu’il est essentiel que le système électronique soit exhaustivement testé et bien compris par toutes les parties prenantes concernées avant sa pleine mise en œuvre. Aux réunions des WG, certaines CPC ont également souligné l’importance d’une « étude de faisabilité », comme des analyses de coût-bénéfice, avant l’adoption de la recommandation. Les détails spécifiques de l’étude de faisabilité nécessitent un examen plus approfondi.</w:t>
      </w:r>
    </w:p>
    <w:p w14:paraId="00DC0D1C" w14:textId="77777777" w:rsidR="00F11139" w:rsidRPr="00F86F78" w:rsidRDefault="00F11139" w:rsidP="00F86F78">
      <w:pPr>
        <w:tabs>
          <w:tab w:val="left" w:pos="426"/>
        </w:tabs>
        <w:jc w:val="both"/>
        <w:rPr>
          <w:rFonts w:ascii="Cambria" w:hAnsi="Cambria"/>
          <w:b/>
          <w:sz w:val="20"/>
          <w:szCs w:val="20"/>
        </w:rPr>
      </w:pPr>
    </w:p>
    <w:p w14:paraId="218E372B" w14:textId="77777777" w:rsidR="009A1455" w:rsidRPr="00F86F78" w:rsidRDefault="009A1455" w:rsidP="00F86F78">
      <w:pPr>
        <w:tabs>
          <w:tab w:val="left" w:pos="426"/>
        </w:tabs>
        <w:jc w:val="both"/>
        <w:rPr>
          <w:rFonts w:ascii="Cambria" w:hAnsi="Cambria"/>
          <w:b/>
          <w:sz w:val="20"/>
          <w:szCs w:val="20"/>
        </w:rPr>
      </w:pPr>
    </w:p>
    <w:p w14:paraId="2D62D0A4"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8.</w:t>
      </w:r>
      <w:r w:rsidRPr="00F86F78">
        <w:rPr>
          <w:rFonts w:ascii="Cambria" w:hAnsi="Cambria"/>
          <w:b/>
          <w:sz w:val="20"/>
          <w:szCs w:val="20"/>
        </w:rPr>
        <w:tab/>
        <w:t>Prise en compte des pêcheries artisanales</w:t>
      </w:r>
    </w:p>
    <w:p w14:paraId="4613AA15" w14:textId="77777777" w:rsidR="00F11139" w:rsidRPr="00F86F78" w:rsidRDefault="00F11139" w:rsidP="00F86F78">
      <w:pPr>
        <w:jc w:val="both"/>
        <w:rPr>
          <w:rFonts w:ascii="Cambria" w:hAnsi="Cambria"/>
          <w:bCs/>
          <w:sz w:val="20"/>
          <w:szCs w:val="20"/>
        </w:rPr>
      </w:pPr>
    </w:p>
    <w:p w14:paraId="42EAF4CD" w14:textId="77A49B44" w:rsidR="006D4B20" w:rsidRPr="00F86F78" w:rsidRDefault="006D4B20" w:rsidP="00F86F78">
      <w:pPr>
        <w:jc w:val="both"/>
        <w:rPr>
          <w:rFonts w:ascii="Cambria" w:hAnsi="Cambria"/>
          <w:bCs/>
          <w:sz w:val="20"/>
          <w:szCs w:val="20"/>
        </w:rPr>
      </w:pPr>
      <w:r w:rsidRPr="00F86F78">
        <w:rPr>
          <w:rFonts w:ascii="Cambria" w:hAnsi="Cambria"/>
          <w:bCs/>
          <w:sz w:val="20"/>
          <w:szCs w:val="20"/>
        </w:rPr>
        <w:t>Une plus ample discussion est nécessaire sur le traitement spécial des pêcheries artisanales. Le Japon demande aux CPC comptant des pêcheries artisanales de soumettre des idées concrètes sur le traitement spécial des pêcheries artisanales.</w:t>
      </w:r>
    </w:p>
    <w:p w14:paraId="4ABE326A" w14:textId="77777777" w:rsidR="006D4B20" w:rsidRPr="00F86F78" w:rsidRDefault="006D4B20" w:rsidP="00F86F78">
      <w:pPr>
        <w:jc w:val="both"/>
        <w:rPr>
          <w:rFonts w:ascii="Cambria" w:hAnsi="Cambria"/>
          <w:bCs/>
          <w:sz w:val="20"/>
          <w:szCs w:val="20"/>
        </w:rPr>
      </w:pPr>
    </w:p>
    <w:p w14:paraId="7DA0F375" w14:textId="5853A88F" w:rsidR="006D4B20" w:rsidRPr="00F86F78" w:rsidRDefault="006D4B20" w:rsidP="00F86F78">
      <w:pPr>
        <w:jc w:val="both"/>
        <w:rPr>
          <w:rFonts w:ascii="Cambria" w:hAnsi="Cambria"/>
          <w:bCs/>
          <w:sz w:val="20"/>
          <w:szCs w:val="20"/>
        </w:rPr>
      </w:pPr>
      <w:r w:rsidRPr="00F86F78">
        <w:rPr>
          <w:rFonts w:ascii="Cambria" w:hAnsi="Cambria"/>
          <w:bCs/>
          <w:sz w:val="20"/>
          <w:szCs w:val="20"/>
        </w:rPr>
        <w:t>Dans le cas du thon rouge, la section du BCD relative aux informations sur les captures devra être remplie au plus tard à la fin du transfert, du transbordement ou du débarquement (Rec. 23-21</w:t>
      </w:r>
      <w:r w:rsidR="0048626B" w:rsidRPr="00F86F78">
        <w:rPr>
          <w:rFonts w:ascii="Cambria" w:hAnsi="Cambria"/>
          <w:bCs/>
          <w:sz w:val="20"/>
          <w:szCs w:val="20"/>
        </w:rPr>
        <w:t>,</w:t>
      </w:r>
      <w:r w:rsidRPr="00F86F78">
        <w:rPr>
          <w:rFonts w:ascii="Cambria" w:hAnsi="Cambria"/>
          <w:bCs/>
          <w:sz w:val="20"/>
          <w:szCs w:val="20"/>
        </w:rPr>
        <w:t xml:space="preserve"> annexe 3 </w:t>
      </w:r>
      <w:proofErr w:type="gramStart"/>
      <w:r w:rsidRPr="00F86F78">
        <w:rPr>
          <w:rFonts w:ascii="Cambria" w:hAnsi="Cambria"/>
          <w:bCs/>
          <w:sz w:val="20"/>
          <w:szCs w:val="20"/>
        </w:rPr>
        <w:t>paragraphe</w:t>
      </w:r>
      <w:proofErr w:type="gramEnd"/>
      <w:r w:rsidRPr="00F86F78">
        <w:rPr>
          <w:rFonts w:ascii="Cambria" w:hAnsi="Cambria"/>
          <w:bCs/>
          <w:sz w:val="20"/>
          <w:szCs w:val="20"/>
        </w:rPr>
        <w:t xml:space="preserve"> 2. (1). (a)) alors que si les quantités de thon rouge capturées et débarquées sont inférieures à une (1) tonne métrique ou trois poissons, le livre de bord ou le bordereau de vente pourrait être utilisé comme BCD temporaire, dans l’attente de la validation du BCD dans un délai de sept jours et avant l’exportation (Rec.  23-21, paragraphe 13 (d)). Étant donné que l'application du seuil « moins d'une tonne métrique ou de trois poissons » n'est pas tout à fait appropriée pour le thon obèse ou pour l’espadon, en raison de leur taille relativement plus petite par rapport au thon rouge, l’ICCAT pourrait envisager un autre traitement spécial pour les pêcheries artisanales pêchant le thon obèse et l'espadon.</w:t>
      </w:r>
    </w:p>
    <w:p w14:paraId="0F65D1B4" w14:textId="77777777" w:rsidR="0048626B" w:rsidRPr="00F86F78" w:rsidRDefault="0048626B" w:rsidP="00F86F78">
      <w:pPr>
        <w:spacing w:after="160" w:line="259" w:lineRule="auto"/>
        <w:rPr>
          <w:rFonts w:ascii="Cambria" w:hAnsi="Cambria"/>
          <w:bCs/>
          <w:sz w:val="20"/>
          <w:szCs w:val="20"/>
        </w:rPr>
      </w:pPr>
      <w:r w:rsidRPr="00F86F78">
        <w:rPr>
          <w:rFonts w:ascii="Cambria" w:hAnsi="Cambria"/>
          <w:bCs/>
          <w:sz w:val="20"/>
          <w:szCs w:val="20"/>
        </w:rPr>
        <w:br w:type="page"/>
      </w:r>
    </w:p>
    <w:p w14:paraId="3EC280B2" w14:textId="2C27D6BD" w:rsidR="006D4B20" w:rsidRPr="00F86F78" w:rsidRDefault="006D4B20" w:rsidP="00F86F78">
      <w:pPr>
        <w:jc w:val="both"/>
        <w:rPr>
          <w:rFonts w:ascii="Cambria" w:hAnsi="Cambria"/>
          <w:bCs/>
          <w:sz w:val="20"/>
          <w:szCs w:val="20"/>
        </w:rPr>
      </w:pPr>
      <w:r w:rsidRPr="00F86F78">
        <w:rPr>
          <w:rFonts w:ascii="Cambria" w:hAnsi="Cambria"/>
          <w:bCs/>
          <w:sz w:val="20"/>
          <w:szCs w:val="20"/>
        </w:rPr>
        <w:lastRenderedPageBreak/>
        <w:t>Comme mentionné ci-dessus, les WG ont noté qu’un traitement spécial devrait être accordé aux pêcheries artisanales, comme un eBCD. Cependant, comme le Japon l’a mentionné aux réunions des WG, toutes les captures, y compris celles des pêcheries artisanales, devront être enregistrées sans exemption, même si un traitement spécial, comme des exigences de données assouplies et des délais de soumission des données flexibles, pourrait être envisagé.</w:t>
      </w:r>
    </w:p>
    <w:p w14:paraId="1901DBE0" w14:textId="77777777" w:rsidR="00F11139" w:rsidRPr="00F86F78" w:rsidRDefault="00F11139" w:rsidP="00F86F78">
      <w:pPr>
        <w:jc w:val="both"/>
        <w:rPr>
          <w:rFonts w:ascii="Cambria" w:hAnsi="Cambria"/>
          <w:b/>
          <w:sz w:val="20"/>
          <w:szCs w:val="20"/>
        </w:rPr>
      </w:pPr>
    </w:p>
    <w:p w14:paraId="2AE9582F" w14:textId="77777777" w:rsidR="009A1455" w:rsidRPr="00F86F78" w:rsidRDefault="009A1455" w:rsidP="00F86F78">
      <w:pPr>
        <w:jc w:val="both"/>
        <w:rPr>
          <w:rFonts w:ascii="Cambria" w:hAnsi="Cambria"/>
          <w:b/>
          <w:sz w:val="20"/>
          <w:szCs w:val="20"/>
        </w:rPr>
      </w:pPr>
    </w:p>
    <w:p w14:paraId="3337CFD3"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9.</w:t>
      </w:r>
      <w:r w:rsidRPr="00F86F78">
        <w:rPr>
          <w:rFonts w:ascii="Cambria" w:hAnsi="Cambria"/>
          <w:b/>
          <w:sz w:val="20"/>
          <w:szCs w:val="20"/>
        </w:rPr>
        <w:tab/>
        <w:t>Prises accessoires par les navires non autorisés à pêcher les thonidés tropicaux</w:t>
      </w:r>
    </w:p>
    <w:p w14:paraId="41296D7E" w14:textId="77777777" w:rsidR="00F11139" w:rsidRPr="00F86F78" w:rsidRDefault="00F11139" w:rsidP="00F86F78">
      <w:pPr>
        <w:jc w:val="both"/>
        <w:rPr>
          <w:rFonts w:ascii="Cambria" w:hAnsi="Cambria"/>
          <w:bCs/>
          <w:sz w:val="20"/>
          <w:szCs w:val="20"/>
        </w:rPr>
      </w:pPr>
    </w:p>
    <w:p w14:paraId="7F2C9E3A" w14:textId="1BCBCC5B" w:rsidR="006D4B20" w:rsidRPr="00F86F78" w:rsidRDefault="006D4B20" w:rsidP="00F86F78">
      <w:pPr>
        <w:jc w:val="both"/>
        <w:rPr>
          <w:rFonts w:ascii="Cambria" w:hAnsi="Cambria"/>
          <w:bCs/>
          <w:sz w:val="20"/>
          <w:szCs w:val="20"/>
        </w:rPr>
      </w:pPr>
      <w:r w:rsidRPr="00F86F78">
        <w:rPr>
          <w:rFonts w:ascii="Cambria" w:hAnsi="Cambria"/>
          <w:bCs/>
          <w:sz w:val="20"/>
          <w:szCs w:val="20"/>
        </w:rPr>
        <w:t>Dans le système eBCD, lorsqu'un navire non enregistré capture du thon rouge, l'</w:t>
      </w:r>
      <w:proofErr w:type="spellStart"/>
      <w:r w:rsidRPr="00F86F78">
        <w:rPr>
          <w:rFonts w:ascii="Cambria" w:hAnsi="Cambria"/>
          <w:bCs/>
          <w:sz w:val="20"/>
          <w:szCs w:val="20"/>
        </w:rPr>
        <w:t>auto-enregistrement</w:t>
      </w:r>
      <w:proofErr w:type="spellEnd"/>
      <w:r w:rsidRPr="00F86F78">
        <w:rPr>
          <w:rFonts w:ascii="Cambria" w:hAnsi="Cambria"/>
          <w:bCs/>
          <w:sz w:val="20"/>
          <w:szCs w:val="20"/>
        </w:rPr>
        <w:t xml:space="preserve"> dans l'eBCD </w:t>
      </w:r>
      <w:r w:rsidR="0095261E" w:rsidRPr="00F86F78">
        <w:rPr>
          <w:rFonts w:ascii="Cambria" w:hAnsi="Cambria"/>
          <w:bCs/>
          <w:sz w:val="20"/>
          <w:szCs w:val="20"/>
        </w:rPr>
        <w:t>au moyen</w:t>
      </w:r>
      <w:r w:rsidRPr="00F86F78">
        <w:rPr>
          <w:rFonts w:ascii="Cambria" w:hAnsi="Cambria"/>
          <w:bCs/>
          <w:sz w:val="20"/>
          <w:szCs w:val="20"/>
        </w:rPr>
        <w:t xml:space="preserve"> d'un numéro d'immatriculation national est autorisé puisque le navire n'est pas pré-enregistré en tant que navire de pêche (Rec. 22</w:t>
      </w:r>
      <w:r w:rsidRPr="00F86F78">
        <w:rPr>
          <w:rFonts w:ascii="Cambria" w:hAnsi="Cambria"/>
          <w:bCs/>
          <w:sz w:val="20"/>
          <w:szCs w:val="20"/>
        </w:rPr>
        <w:noBreakHyphen/>
        <w:t xml:space="preserve">16, paragraphe 5f). Les mesures de gestion relatives aux thonidés tropicaux et à l’espadon autorisent les prises accessoires si les CPC fixent une limite de prises accessoires (5% par sortie de pêche) et que les prises accessoires sont </w:t>
      </w:r>
      <w:r w:rsidR="008408A3" w:rsidRPr="00F86F78">
        <w:rPr>
          <w:rFonts w:ascii="Cambria" w:hAnsi="Cambria"/>
          <w:bCs/>
          <w:sz w:val="20"/>
          <w:szCs w:val="20"/>
        </w:rPr>
        <w:t>déduites</w:t>
      </w:r>
      <w:r w:rsidRPr="00F86F78">
        <w:rPr>
          <w:rFonts w:ascii="Cambria" w:hAnsi="Cambria"/>
          <w:bCs/>
          <w:sz w:val="20"/>
          <w:szCs w:val="20"/>
        </w:rPr>
        <w:t xml:space="preserve"> </w:t>
      </w:r>
      <w:r w:rsidR="008408A3" w:rsidRPr="00F86F78">
        <w:rPr>
          <w:rFonts w:ascii="Cambria" w:hAnsi="Cambria"/>
          <w:bCs/>
          <w:sz w:val="20"/>
          <w:szCs w:val="20"/>
        </w:rPr>
        <w:t>du</w:t>
      </w:r>
      <w:r w:rsidRPr="00F86F78">
        <w:rPr>
          <w:rFonts w:ascii="Cambria" w:hAnsi="Cambria"/>
          <w:bCs/>
          <w:sz w:val="20"/>
          <w:szCs w:val="20"/>
        </w:rPr>
        <w:t xml:space="preserve"> quota de la CPC (Rec. 24-01, paragraphe 55). Le système de CDS élargi doit comporter des fonctions similaires à celles de l’eBCD.</w:t>
      </w:r>
    </w:p>
    <w:p w14:paraId="10E12582" w14:textId="77777777" w:rsidR="007F6D34" w:rsidRPr="00F86F78" w:rsidRDefault="007F6D34" w:rsidP="00F86F78">
      <w:pPr>
        <w:jc w:val="both"/>
        <w:rPr>
          <w:rFonts w:ascii="Cambria" w:hAnsi="Cambria"/>
          <w:bCs/>
          <w:sz w:val="20"/>
          <w:szCs w:val="20"/>
        </w:rPr>
      </w:pPr>
    </w:p>
    <w:p w14:paraId="6DBF0955" w14:textId="00DE4B58" w:rsidR="006D4B20" w:rsidRPr="00F86F78" w:rsidRDefault="006D4B20" w:rsidP="00F86F78">
      <w:pPr>
        <w:jc w:val="both"/>
        <w:rPr>
          <w:rFonts w:ascii="Cambria" w:hAnsi="Cambria"/>
          <w:bCs/>
          <w:sz w:val="20"/>
          <w:szCs w:val="20"/>
        </w:rPr>
      </w:pPr>
      <w:r w:rsidRPr="00F86F78">
        <w:rPr>
          <w:rFonts w:ascii="Cambria" w:hAnsi="Cambria"/>
          <w:bCs/>
          <w:sz w:val="20"/>
          <w:szCs w:val="20"/>
        </w:rPr>
        <w:t>Les WG ont généralement soutenu l’utilisation du CDS élargi aux prises accessoires réalisées par les navires de pêche non autorisés à pêcher du thon obèse et de l’espadon. Une plus ample discussion est nécessaire sur la manière dont le thon obèse et l'espadon capturés accidentellement sont inclus dans le CDS élargi, notamment les produits capturés en tant que prises accessoires par les pêcheries artisanales. Le Japon demande aux CPC comptant des pêcheries artisanales de soumettre des idées plus spécifiques sur le traitement pour les prises accessoires.</w:t>
      </w:r>
    </w:p>
    <w:p w14:paraId="54D6023B" w14:textId="77777777" w:rsidR="006D4B20" w:rsidRPr="00F86F78" w:rsidRDefault="006D4B20" w:rsidP="00F86F78">
      <w:pPr>
        <w:jc w:val="both"/>
        <w:rPr>
          <w:rFonts w:ascii="Cambria" w:hAnsi="Cambria"/>
          <w:b/>
          <w:sz w:val="20"/>
          <w:szCs w:val="20"/>
        </w:rPr>
      </w:pPr>
    </w:p>
    <w:p w14:paraId="53C2F422" w14:textId="77777777" w:rsidR="00F11139" w:rsidRPr="00F86F78" w:rsidRDefault="00F11139" w:rsidP="00F86F78">
      <w:pPr>
        <w:tabs>
          <w:tab w:val="left" w:pos="426"/>
        </w:tabs>
        <w:jc w:val="both"/>
        <w:rPr>
          <w:rFonts w:ascii="Cambria" w:hAnsi="Cambria"/>
          <w:b/>
          <w:sz w:val="20"/>
          <w:szCs w:val="20"/>
        </w:rPr>
      </w:pPr>
    </w:p>
    <w:p w14:paraId="3120711E" w14:textId="2886BB0F"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10.</w:t>
      </w:r>
      <w:r w:rsidRPr="00F86F78">
        <w:rPr>
          <w:rFonts w:ascii="Cambria" w:hAnsi="Cambria"/>
          <w:b/>
          <w:sz w:val="20"/>
          <w:szCs w:val="20"/>
        </w:rPr>
        <w:tab/>
        <w:t>Pêcheries récréatives et sportives</w:t>
      </w:r>
    </w:p>
    <w:p w14:paraId="5715D6F8" w14:textId="77777777" w:rsidR="00F11139" w:rsidRPr="00F86F78" w:rsidRDefault="00F11139" w:rsidP="00F86F78">
      <w:pPr>
        <w:jc w:val="both"/>
        <w:rPr>
          <w:rFonts w:ascii="Cambria" w:hAnsi="Cambria"/>
          <w:bCs/>
          <w:sz w:val="20"/>
          <w:szCs w:val="20"/>
        </w:rPr>
      </w:pPr>
    </w:p>
    <w:p w14:paraId="44A06404" w14:textId="3DE87434"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Les WG ont généralement soutenu le fait que si la vente de thon obèse/d’espadon capturé dans le cadre de pêcheries sportives et récréatives est interdite, ces produits ne seraient peut-être pas forcément enregistrés dans le CDS élargi comme </w:t>
      </w:r>
      <w:r w:rsidR="00A77D1A" w:rsidRPr="00F86F78">
        <w:rPr>
          <w:rFonts w:ascii="Cambria" w:hAnsi="Cambria"/>
          <w:bCs/>
          <w:sz w:val="20"/>
          <w:szCs w:val="20"/>
        </w:rPr>
        <w:t xml:space="preserve">dans le cas du </w:t>
      </w:r>
      <w:r w:rsidRPr="00F86F78">
        <w:rPr>
          <w:rFonts w:ascii="Cambria" w:hAnsi="Cambria"/>
          <w:bCs/>
          <w:sz w:val="20"/>
          <w:szCs w:val="20"/>
        </w:rPr>
        <w:t>thon rouge. Si cette approche est adoptée, la vente des pêcheries sportives et récréatives doit être interdite en vertu des recommandations relatives à la gestion du thon obèse et de l’espadon (la Rec. 16-05 interdit déjà la commercialisation de l’espadon de la Méditerranée capturé dans le cadre de la pêche sportive et récréative).</w:t>
      </w:r>
    </w:p>
    <w:p w14:paraId="5829B84E" w14:textId="77777777" w:rsidR="006D4B20" w:rsidRPr="00F86F78" w:rsidRDefault="006D4B20" w:rsidP="00F86F78">
      <w:pPr>
        <w:jc w:val="both"/>
        <w:rPr>
          <w:rFonts w:ascii="Cambria" w:hAnsi="Cambria"/>
          <w:bCs/>
          <w:sz w:val="20"/>
          <w:szCs w:val="20"/>
        </w:rPr>
      </w:pPr>
    </w:p>
    <w:p w14:paraId="0202EA9E" w14:textId="77777777" w:rsidR="009A1455" w:rsidRPr="00F86F78" w:rsidRDefault="009A1455" w:rsidP="00F86F78">
      <w:pPr>
        <w:jc w:val="both"/>
        <w:rPr>
          <w:rFonts w:ascii="Cambria" w:hAnsi="Cambria"/>
          <w:bCs/>
          <w:sz w:val="20"/>
          <w:szCs w:val="20"/>
        </w:rPr>
      </w:pPr>
    </w:p>
    <w:p w14:paraId="539073C8"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11.</w:t>
      </w:r>
      <w:r w:rsidRPr="00F86F78">
        <w:rPr>
          <w:rFonts w:ascii="Cambria" w:hAnsi="Cambria"/>
          <w:b/>
          <w:sz w:val="20"/>
          <w:szCs w:val="20"/>
        </w:rPr>
        <w:tab/>
        <w:t>CPC chargées de la validation, considérations des accords d'affrètement</w:t>
      </w:r>
    </w:p>
    <w:p w14:paraId="65A0CBBE" w14:textId="77777777" w:rsidR="00F11139" w:rsidRPr="00F86F78" w:rsidRDefault="00F11139" w:rsidP="00F86F78">
      <w:pPr>
        <w:tabs>
          <w:tab w:val="left" w:pos="426"/>
        </w:tabs>
        <w:jc w:val="both"/>
        <w:rPr>
          <w:rFonts w:ascii="Cambria" w:hAnsi="Cambria"/>
          <w:bCs/>
          <w:sz w:val="20"/>
          <w:szCs w:val="20"/>
        </w:rPr>
      </w:pPr>
    </w:p>
    <w:p w14:paraId="67B6ABA0" w14:textId="77777777" w:rsidR="006D4B20" w:rsidRPr="00F86F78" w:rsidRDefault="006D4B20" w:rsidP="00F86F78">
      <w:pPr>
        <w:jc w:val="both"/>
        <w:rPr>
          <w:rFonts w:ascii="Cambria" w:hAnsi="Cambria"/>
          <w:bCs/>
          <w:sz w:val="20"/>
          <w:szCs w:val="20"/>
        </w:rPr>
      </w:pPr>
      <w:r w:rsidRPr="00F86F78">
        <w:rPr>
          <w:rFonts w:ascii="Cambria" w:hAnsi="Cambria"/>
          <w:bCs/>
          <w:sz w:val="20"/>
          <w:szCs w:val="20"/>
        </w:rPr>
        <w:t>Une plus ample discussion est nécessaire quant à savoir qui est responsable de la validation des produits capturés par des navires affrétés.</w:t>
      </w:r>
    </w:p>
    <w:p w14:paraId="65E30F82" w14:textId="77777777" w:rsidR="006D4B20" w:rsidRPr="00F86F78" w:rsidRDefault="006D4B20" w:rsidP="00F86F78">
      <w:pPr>
        <w:jc w:val="both"/>
        <w:rPr>
          <w:rFonts w:ascii="Cambria" w:hAnsi="Cambria"/>
          <w:bCs/>
          <w:sz w:val="20"/>
          <w:szCs w:val="20"/>
        </w:rPr>
      </w:pPr>
    </w:p>
    <w:p w14:paraId="52D6EE21" w14:textId="6BF722CE"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Dans le cadre des programmes de document statistique pour le thon obèse et l'espadon, si le navire opère dans le cadre d'un accord d'affrètement, le document statistique pour le thon obèse ou l’espadon doit être validé par la CPC exportatrice (Rec. 01-21 et 01-22, paragraphe 2(1)) car ces programmes de document statistique ne couvrent pas la capture. </w:t>
      </w:r>
    </w:p>
    <w:p w14:paraId="1A7A4427" w14:textId="77777777" w:rsidR="006D4B20" w:rsidRPr="00F86F78" w:rsidRDefault="006D4B20" w:rsidP="00F86F78">
      <w:pPr>
        <w:jc w:val="both"/>
        <w:rPr>
          <w:rFonts w:ascii="Cambria" w:hAnsi="Cambria"/>
          <w:bCs/>
          <w:sz w:val="20"/>
          <w:szCs w:val="20"/>
        </w:rPr>
      </w:pPr>
    </w:p>
    <w:p w14:paraId="5F954FAD" w14:textId="61E23302" w:rsidR="006D4B20" w:rsidRPr="00F86F78" w:rsidRDefault="006D4B20" w:rsidP="00F86F78">
      <w:pPr>
        <w:jc w:val="both"/>
        <w:rPr>
          <w:rFonts w:ascii="Cambria" w:hAnsi="Cambria"/>
          <w:bCs/>
          <w:sz w:val="20"/>
          <w:szCs w:val="20"/>
        </w:rPr>
      </w:pPr>
      <w:r w:rsidRPr="00F86F78">
        <w:rPr>
          <w:rFonts w:ascii="Cambria" w:hAnsi="Cambria"/>
          <w:bCs/>
          <w:sz w:val="20"/>
          <w:szCs w:val="20"/>
        </w:rPr>
        <w:t>Étant donné que la Rec. 13-14 (paragraphe 11) stipule que les navires affrétés devront décharger les produits exclusivement dans les ports de la Partie contractante affréteuse, et compte tenu du fait que de nombreuses Parties contractantes affréteuses, et non les CPC du pavillon, déclarent la capture de leur navire affrété, les produits halieutiques capturés par les navires affrétés pourraient être validés par la Partie contractante affréteuse dans le CDS élargi.</w:t>
      </w:r>
    </w:p>
    <w:p w14:paraId="7E1E92EF" w14:textId="77777777" w:rsidR="006D4B20" w:rsidRPr="00F86F78" w:rsidRDefault="006D4B20" w:rsidP="00F86F78">
      <w:pPr>
        <w:jc w:val="both"/>
        <w:rPr>
          <w:rFonts w:ascii="Cambria" w:hAnsi="Cambria"/>
          <w:bCs/>
          <w:sz w:val="20"/>
          <w:szCs w:val="20"/>
        </w:rPr>
      </w:pPr>
    </w:p>
    <w:p w14:paraId="75F7DB06" w14:textId="77777777"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Le Japon demande aux CPC qui participent à des accords d’affrètement de soumettre des idées spécifiques sur la responsabilité de la validation des produits capturés par des navires affrétés. </w:t>
      </w:r>
    </w:p>
    <w:p w14:paraId="409A6D4A" w14:textId="77777777" w:rsidR="006D4B20" w:rsidRPr="00F86F78" w:rsidRDefault="006D4B20" w:rsidP="00F86F78">
      <w:pPr>
        <w:jc w:val="both"/>
        <w:rPr>
          <w:rFonts w:ascii="Cambria" w:hAnsi="Cambria"/>
          <w:bCs/>
          <w:sz w:val="20"/>
          <w:szCs w:val="20"/>
        </w:rPr>
      </w:pPr>
    </w:p>
    <w:p w14:paraId="2FCAB060" w14:textId="0DDD2F0A" w:rsidR="009A1455" w:rsidRPr="00F86F78" w:rsidRDefault="009A1455" w:rsidP="00F86F78">
      <w:pPr>
        <w:spacing w:after="160" w:line="259" w:lineRule="auto"/>
        <w:rPr>
          <w:rFonts w:ascii="Cambria" w:hAnsi="Cambria"/>
          <w:bCs/>
          <w:sz w:val="20"/>
          <w:szCs w:val="20"/>
        </w:rPr>
      </w:pPr>
      <w:r w:rsidRPr="00F86F78">
        <w:rPr>
          <w:rFonts w:ascii="Cambria" w:hAnsi="Cambria"/>
          <w:bCs/>
          <w:sz w:val="20"/>
          <w:szCs w:val="20"/>
        </w:rPr>
        <w:br w:type="page"/>
      </w:r>
    </w:p>
    <w:p w14:paraId="7F5F9050"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lastRenderedPageBreak/>
        <w:t>12.</w:t>
      </w:r>
      <w:r w:rsidRPr="00F86F78">
        <w:rPr>
          <w:rFonts w:ascii="Cambria" w:hAnsi="Cambria"/>
          <w:b/>
          <w:sz w:val="20"/>
          <w:szCs w:val="20"/>
        </w:rPr>
        <w:tab/>
        <w:t>Dispense de validation par le gouvernement pour les poissons marqués</w:t>
      </w:r>
    </w:p>
    <w:p w14:paraId="13A30421" w14:textId="77777777" w:rsidR="00F11139" w:rsidRPr="00F86F78" w:rsidRDefault="00F11139" w:rsidP="00F86F78">
      <w:pPr>
        <w:jc w:val="both"/>
        <w:rPr>
          <w:rFonts w:ascii="Cambria" w:hAnsi="Cambria"/>
          <w:bCs/>
          <w:sz w:val="20"/>
          <w:szCs w:val="20"/>
        </w:rPr>
      </w:pPr>
    </w:p>
    <w:p w14:paraId="10304480" w14:textId="31E2F50B"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Les WG se sont montrés généralement favorables à un programme de marquage </w:t>
      </w:r>
      <w:r w:rsidR="000D697B" w:rsidRPr="00F86F78">
        <w:rPr>
          <w:rFonts w:ascii="Cambria" w:hAnsi="Cambria"/>
          <w:bCs/>
          <w:sz w:val="20"/>
          <w:szCs w:val="20"/>
        </w:rPr>
        <w:t>facultatif</w:t>
      </w:r>
      <w:r w:rsidRPr="00F86F78">
        <w:rPr>
          <w:rFonts w:ascii="Cambria" w:hAnsi="Cambria"/>
          <w:bCs/>
          <w:sz w:val="20"/>
          <w:szCs w:val="20"/>
        </w:rPr>
        <w:t xml:space="preserve">, comme </w:t>
      </w:r>
      <w:proofErr w:type="gramStart"/>
      <w:r w:rsidRPr="00F86F78">
        <w:rPr>
          <w:rFonts w:ascii="Cambria" w:hAnsi="Cambria"/>
          <w:bCs/>
          <w:sz w:val="20"/>
          <w:szCs w:val="20"/>
        </w:rPr>
        <w:t>le BCD</w:t>
      </w:r>
      <w:proofErr w:type="gramEnd"/>
      <w:r w:rsidRPr="00F86F78">
        <w:rPr>
          <w:rFonts w:ascii="Cambria" w:hAnsi="Cambria"/>
          <w:bCs/>
          <w:sz w:val="20"/>
          <w:szCs w:val="20"/>
        </w:rPr>
        <w:t>, en tant que dispense de validation. Une plus ample discussion est nécessaire sur les détails du programme de marquage pour le CDS élargi.</w:t>
      </w:r>
    </w:p>
    <w:p w14:paraId="26C0AAA8" w14:textId="77777777" w:rsidR="006D4B20" w:rsidRPr="00F86F78" w:rsidRDefault="006D4B20" w:rsidP="00F86F78">
      <w:pPr>
        <w:jc w:val="both"/>
        <w:rPr>
          <w:rFonts w:ascii="Cambria" w:hAnsi="Cambria"/>
          <w:bCs/>
          <w:sz w:val="20"/>
          <w:szCs w:val="20"/>
        </w:rPr>
      </w:pPr>
    </w:p>
    <w:p w14:paraId="3B80C976" w14:textId="77777777" w:rsidR="009A1455" w:rsidRPr="00F86F78" w:rsidRDefault="009A1455" w:rsidP="00F86F78">
      <w:pPr>
        <w:jc w:val="both"/>
        <w:rPr>
          <w:rFonts w:ascii="Cambria" w:hAnsi="Cambria"/>
          <w:bCs/>
          <w:sz w:val="20"/>
          <w:szCs w:val="20"/>
        </w:rPr>
      </w:pPr>
    </w:p>
    <w:p w14:paraId="485FC5CC"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13.</w:t>
      </w:r>
      <w:r w:rsidRPr="00F86F78">
        <w:rPr>
          <w:rFonts w:ascii="Cambria" w:hAnsi="Cambria"/>
          <w:b/>
          <w:sz w:val="20"/>
          <w:szCs w:val="20"/>
        </w:rPr>
        <w:tab/>
        <w:t xml:space="preserve">Documentation sur </w:t>
      </w:r>
      <w:proofErr w:type="gramStart"/>
      <w:r w:rsidRPr="00F86F78">
        <w:rPr>
          <w:rFonts w:ascii="Cambria" w:hAnsi="Cambria"/>
          <w:b/>
          <w:sz w:val="20"/>
          <w:szCs w:val="20"/>
        </w:rPr>
        <w:t>support papier</w:t>
      </w:r>
      <w:proofErr w:type="gramEnd"/>
    </w:p>
    <w:p w14:paraId="00859827" w14:textId="77777777" w:rsidR="00F11139" w:rsidRPr="00F86F78" w:rsidRDefault="00F11139" w:rsidP="00F86F78">
      <w:pPr>
        <w:jc w:val="both"/>
        <w:rPr>
          <w:rFonts w:ascii="Cambria" w:hAnsi="Cambria"/>
          <w:b/>
          <w:sz w:val="20"/>
          <w:szCs w:val="20"/>
        </w:rPr>
      </w:pPr>
    </w:p>
    <w:p w14:paraId="1D3409FD" w14:textId="77777777"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Les WG n’ont pas exprimé de préoccupations relatives à l’acceptation d’un CDS sur </w:t>
      </w:r>
      <w:proofErr w:type="gramStart"/>
      <w:r w:rsidRPr="00F86F78">
        <w:rPr>
          <w:rFonts w:ascii="Cambria" w:hAnsi="Cambria"/>
          <w:bCs/>
          <w:sz w:val="20"/>
          <w:szCs w:val="20"/>
        </w:rPr>
        <w:t>support papier</w:t>
      </w:r>
      <w:proofErr w:type="gramEnd"/>
      <w:r w:rsidRPr="00F86F78">
        <w:rPr>
          <w:rFonts w:ascii="Cambria" w:hAnsi="Cambria"/>
          <w:bCs/>
          <w:sz w:val="20"/>
          <w:szCs w:val="20"/>
        </w:rPr>
        <w:t xml:space="preserve"> dans les cas suivants, au moins :</w:t>
      </w:r>
    </w:p>
    <w:p w14:paraId="3586A181" w14:textId="77777777" w:rsidR="0086693C" w:rsidRPr="00F86F78" w:rsidRDefault="0086693C" w:rsidP="00F86F78">
      <w:pPr>
        <w:jc w:val="both"/>
        <w:rPr>
          <w:rFonts w:ascii="Cambria" w:hAnsi="Cambria"/>
          <w:bCs/>
          <w:sz w:val="20"/>
          <w:szCs w:val="20"/>
        </w:rPr>
      </w:pPr>
    </w:p>
    <w:p w14:paraId="706FF172" w14:textId="7844E414" w:rsidR="006D4B20" w:rsidRPr="00F86F78" w:rsidRDefault="006D4B20" w:rsidP="00F86F78">
      <w:pPr>
        <w:pStyle w:val="ListParagraph"/>
        <w:numPr>
          <w:ilvl w:val="0"/>
          <w:numId w:val="15"/>
        </w:numPr>
        <w:tabs>
          <w:tab w:val="left" w:pos="851"/>
        </w:tabs>
        <w:jc w:val="both"/>
        <w:rPr>
          <w:rFonts w:ascii="Cambria" w:hAnsi="Cambria"/>
          <w:bCs/>
          <w:sz w:val="20"/>
          <w:szCs w:val="20"/>
        </w:rPr>
      </w:pPr>
      <w:r w:rsidRPr="00F86F78">
        <w:rPr>
          <w:rFonts w:ascii="Cambria" w:hAnsi="Cambria"/>
          <w:bCs/>
          <w:sz w:val="20"/>
          <w:szCs w:val="20"/>
        </w:rPr>
        <w:t>Dans le cas où le système CDS présente des dysfonctionnements qui empêchent une CPC d'utiliser le système CDS.</w:t>
      </w:r>
    </w:p>
    <w:p w14:paraId="118E87A5" w14:textId="70CB9D6D" w:rsidR="006D4B20" w:rsidRPr="00F86F78" w:rsidRDefault="006D4B20" w:rsidP="00F86F78">
      <w:pPr>
        <w:pStyle w:val="ListParagraph"/>
        <w:numPr>
          <w:ilvl w:val="0"/>
          <w:numId w:val="15"/>
        </w:numPr>
        <w:tabs>
          <w:tab w:val="left" w:pos="851"/>
        </w:tabs>
        <w:jc w:val="both"/>
        <w:rPr>
          <w:rFonts w:ascii="Cambria" w:hAnsi="Cambria"/>
          <w:bCs/>
          <w:sz w:val="20"/>
          <w:szCs w:val="20"/>
        </w:rPr>
      </w:pPr>
      <w:r w:rsidRPr="00F86F78">
        <w:rPr>
          <w:rFonts w:ascii="Cambria" w:hAnsi="Cambria"/>
          <w:bCs/>
          <w:sz w:val="20"/>
          <w:szCs w:val="20"/>
        </w:rPr>
        <w:t>Dans le cas du commerce entre des CPC de l’ICCAT et des non-CPC, où l'accès au système CDS à travers le Secrétariat n'est pas possible ou ne peut pas être réalisé dans les meilleurs délais pour garantir que le commerce n'est pas indûment retardé ou interrompu.</w:t>
      </w:r>
    </w:p>
    <w:p w14:paraId="23F687B4" w14:textId="77777777" w:rsidR="006D4B20" w:rsidRPr="00F86F78" w:rsidRDefault="006D4B20" w:rsidP="00F86F78">
      <w:pPr>
        <w:jc w:val="both"/>
        <w:rPr>
          <w:rFonts w:ascii="Cambria" w:hAnsi="Cambria"/>
          <w:bCs/>
          <w:sz w:val="20"/>
          <w:szCs w:val="20"/>
        </w:rPr>
      </w:pPr>
    </w:p>
    <w:p w14:paraId="43C0D829" w14:textId="7A575E61" w:rsidR="006D4B20" w:rsidRPr="00F86F78" w:rsidRDefault="006D4B20" w:rsidP="00F86F78">
      <w:pPr>
        <w:jc w:val="both"/>
        <w:rPr>
          <w:rFonts w:ascii="Cambria" w:hAnsi="Cambria"/>
          <w:bCs/>
          <w:sz w:val="20"/>
          <w:szCs w:val="20"/>
        </w:rPr>
      </w:pPr>
      <w:r w:rsidRPr="00F86F78">
        <w:rPr>
          <w:rFonts w:ascii="Cambria" w:hAnsi="Cambria"/>
          <w:bCs/>
          <w:sz w:val="20"/>
          <w:szCs w:val="20"/>
        </w:rPr>
        <w:t>L</w:t>
      </w:r>
      <w:r w:rsidR="009A1455" w:rsidRPr="00F86F78">
        <w:rPr>
          <w:rFonts w:ascii="Cambria" w:hAnsi="Cambria"/>
          <w:bCs/>
          <w:sz w:val="20"/>
          <w:szCs w:val="20"/>
        </w:rPr>
        <w:t>e paragraphe 6 de l</w:t>
      </w:r>
      <w:r w:rsidRPr="00F86F78">
        <w:rPr>
          <w:rFonts w:ascii="Cambria" w:hAnsi="Cambria"/>
          <w:bCs/>
          <w:sz w:val="20"/>
          <w:szCs w:val="20"/>
        </w:rPr>
        <w:t>a Rec.</w:t>
      </w:r>
      <w:r w:rsidR="009A1455" w:rsidRPr="00F86F78">
        <w:rPr>
          <w:rFonts w:ascii="Cambria" w:hAnsi="Cambria"/>
          <w:bCs/>
          <w:sz w:val="20"/>
          <w:szCs w:val="20"/>
        </w:rPr>
        <w:t xml:space="preserve"> 22-16</w:t>
      </w:r>
      <w:r w:rsidRPr="00F86F78">
        <w:rPr>
          <w:rFonts w:ascii="Cambria" w:hAnsi="Cambria"/>
          <w:bCs/>
          <w:sz w:val="20"/>
          <w:szCs w:val="20"/>
        </w:rPr>
        <w:t xml:space="preserve"> autorise le BCD sur </w:t>
      </w:r>
      <w:proofErr w:type="gramStart"/>
      <w:r w:rsidRPr="00F86F78">
        <w:rPr>
          <w:rFonts w:ascii="Cambria" w:hAnsi="Cambria"/>
          <w:bCs/>
          <w:sz w:val="20"/>
          <w:szCs w:val="20"/>
        </w:rPr>
        <w:t>support papier</w:t>
      </w:r>
      <w:proofErr w:type="gramEnd"/>
      <w:r w:rsidRPr="00F86F78">
        <w:rPr>
          <w:rFonts w:ascii="Cambria" w:hAnsi="Cambria"/>
          <w:bCs/>
          <w:sz w:val="20"/>
          <w:szCs w:val="20"/>
        </w:rPr>
        <w:t xml:space="preserve"> dans les cas suivants. Les points (1) et (2) ci-dessus correspondent respectivement aux points (c) et (e) ci-dessous. De telles exceptions devraient également être envisagées dans le cadre du CDS élargi afin d'éviter tout retard ou toute perturbation du commerce.</w:t>
      </w:r>
    </w:p>
    <w:p w14:paraId="58317994" w14:textId="77777777" w:rsidR="006D4B20" w:rsidRPr="00F86F78" w:rsidRDefault="006D4B20" w:rsidP="00F86F78">
      <w:pPr>
        <w:jc w:val="both"/>
        <w:rPr>
          <w:rFonts w:ascii="Cambria" w:hAnsi="Cambria"/>
          <w:bCs/>
          <w:sz w:val="20"/>
          <w:szCs w:val="20"/>
        </w:rPr>
      </w:pPr>
    </w:p>
    <w:p w14:paraId="7D12170D" w14:textId="400485DC" w:rsidR="006D4B20" w:rsidRPr="00F86F78" w:rsidRDefault="006D4B20" w:rsidP="00F86F78">
      <w:pPr>
        <w:pStyle w:val="ListParagraph"/>
        <w:numPr>
          <w:ilvl w:val="0"/>
          <w:numId w:val="17"/>
        </w:numPr>
        <w:tabs>
          <w:tab w:val="left" w:pos="851"/>
        </w:tabs>
        <w:jc w:val="both"/>
        <w:rPr>
          <w:rFonts w:ascii="Cambria" w:hAnsi="Cambria"/>
          <w:bCs/>
          <w:sz w:val="20"/>
          <w:szCs w:val="20"/>
        </w:rPr>
      </w:pPr>
      <w:r w:rsidRPr="00F86F78">
        <w:rPr>
          <w:rFonts w:ascii="Cambria" w:hAnsi="Cambria"/>
          <w:bCs/>
          <w:sz w:val="20"/>
          <w:szCs w:val="20"/>
        </w:rPr>
        <w:t>Débarquements de quantités de thon rouge inférieures à 1 tonne métrique ou à trois poissons ;</w:t>
      </w:r>
    </w:p>
    <w:p w14:paraId="3A0B4A54" w14:textId="206FC1DE" w:rsidR="006D4B20" w:rsidRPr="00F86F78" w:rsidRDefault="006D4B20" w:rsidP="00F86F78">
      <w:pPr>
        <w:pStyle w:val="ListParagraph"/>
        <w:numPr>
          <w:ilvl w:val="0"/>
          <w:numId w:val="17"/>
        </w:numPr>
        <w:tabs>
          <w:tab w:val="left" w:pos="851"/>
        </w:tabs>
        <w:jc w:val="both"/>
        <w:rPr>
          <w:rFonts w:ascii="Cambria" w:hAnsi="Cambria"/>
          <w:bCs/>
          <w:sz w:val="20"/>
          <w:szCs w:val="20"/>
        </w:rPr>
      </w:pPr>
      <w:r w:rsidRPr="00F86F78">
        <w:rPr>
          <w:rFonts w:ascii="Cambria" w:hAnsi="Cambria"/>
          <w:bCs/>
          <w:sz w:val="20"/>
          <w:szCs w:val="20"/>
        </w:rPr>
        <w:t>Thon rouge capturé avant la mise en œuvre intégrale du système eBCD ;</w:t>
      </w:r>
    </w:p>
    <w:p w14:paraId="5E2F550D" w14:textId="51FCE57C" w:rsidR="006D4B20" w:rsidRPr="00F86F78" w:rsidRDefault="006D4B20" w:rsidP="00F86F78">
      <w:pPr>
        <w:pStyle w:val="ListParagraph"/>
        <w:numPr>
          <w:ilvl w:val="0"/>
          <w:numId w:val="17"/>
        </w:numPr>
        <w:tabs>
          <w:tab w:val="left" w:pos="851"/>
        </w:tabs>
        <w:jc w:val="both"/>
        <w:rPr>
          <w:rFonts w:ascii="Cambria" w:hAnsi="Cambria"/>
          <w:bCs/>
          <w:sz w:val="20"/>
          <w:szCs w:val="20"/>
        </w:rPr>
      </w:pPr>
      <w:r w:rsidRPr="00F86F78">
        <w:rPr>
          <w:rFonts w:ascii="Cambria" w:hAnsi="Cambria"/>
          <w:bCs/>
          <w:sz w:val="20"/>
          <w:szCs w:val="20"/>
        </w:rPr>
        <w:t>BCD sur support papier ou eBCD imprimés pour la sauvegarde des eBCD dans le cas limité où des difficultés techniques avec le système empêcheraient une CPC d'utiliser le système eBCD ;</w:t>
      </w:r>
    </w:p>
    <w:p w14:paraId="58DEBA13" w14:textId="6AACEB41" w:rsidR="006D4B20" w:rsidRPr="00F86F78" w:rsidRDefault="006D4B20" w:rsidP="00F86F78">
      <w:pPr>
        <w:pStyle w:val="ListParagraph"/>
        <w:numPr>
          <w:ilvl w:val="0"/>
          <w:numId w:val="17"/>
        </w:numPr>
        <w:tabs>
          <w:tab w:val="left" w:pos="851"/>
        </w:tabs>
        <w:jc w:val="both"/>
        <w:rPr>
          <w:rFonts w:ascii="Cambria" w:hAnsi="Cambria"/>
          <w:bCs/>
          <w:sz w:val="20"/>
          <w:szCs w:val="20"/>
        </w:rPr>
      </w:pPr>
      <w:r w:rsidRPr="00F86F78">
        <w:rPr>
          <w:rFonts w:ascii="Cambria" w:hAnsi="Cambria"/>
          <w:bCs/>
          <w:sz w:val="20"/>
          <w:szCs w:val="20"/>
        </w:rPr>
        <w:t>Dans le cas du commerce du thon rouge du Pacifique ; et</w:t>
      </w:r>
    </w:p>
    <w:p w14:paraId="73954962" w14:textId="6F829376" w:rsidR="006D4B20" w:rsidRPr="00F86F78" w:rsidRDefault="006D4B20" w:rsidP="00F86F78">
      <w:pPr>
        <w:pStyle w:val="ListParagraph"/>
        <w:numPr>
          <w:ilvl w:val="0"/>
          <w:numId w:val="17"/>
        </w:numPr>
        <w:tabs>
          <w:tab w:val="left" w:pos="851"/>
        </w:tabs>
        <w:jc w:val="both"/>
        <w:rPr>
          <w:rFonts w:ascii="Cambria" w:hAnsi="Cambria"/>
          <w:bCs/>
          <w:sz w:val="20"/>
          <w:szCs w:val="20"/>
        </w:rPr>
      </w:pPr>
      <w:r w:rsidRPr="00F86F78">
        <w:rPr>
          <w:rFonts w:ascii="Cambria" w:hAnsi="Cambria"/>
          <w:bCs/>
          <w:sz w:val="20"/>
          <w:szCs w:val="20"/>
        </w:rPr>
        <w:t>Dans le cas du commerce entre des CPC de l’ICCAT et des non-CPC, où l'accès au système eBCD à travers le Secrétariat n'est pas possible ou ne peut pas être réalisé dans les meilleurs délais pour garantir que le commerce n'est pas indûment retardé ou interrompu.</w:t>
      </w:r>
    </w:p>
    <w:p w14:paraId="412D36AD" w14:textId="77777777" w:rsidR="006D4B20" w:rsidRPr="00F86F78" w:rsidRDefault="006D4B20" w:rsidP="00F86F78">
      <w:pPr>
        <w:jc w:val="both"/>
        <w:rPr>
          <w:rFonts w:ascii="Cambria" w:hAnsi="Cambria"/>
          <w:bCs/>
          <w:sz w:val="20"/>
          <w:szCs w:val="20"/>
        </w:rPr>
      </w:pPr>
    </w:p>
    <w:p w14:paraId="7E977145" w14:textId="77777777"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Une plus ample discussion est nécessaire sur les conditions détaillées et l’application d’un CDS sur support papier une fois que les spécifications techniques auront été achevées. </w:t>
      </w:r>
    </w:p>
    <w:p w14:paraId="12E16FE3" w14:textId="77777777" w:rsidR="006D4B20" w:rsidRPr="00F86F78" w:rsidRDefault="006D4B20" w:rsidP="00F86F78">
      <w:pPr>
        <w:jc w:val="both"/>
        <w:rPr>
          <w:rFonts w:ascii="Cambria" w:hAnsi="Cambria"/>
          <w:bCs/>
          <w:sz w:val="20"/>
          <w:szCs w:val="20"/>
        </w:rPr>
      </w:pPr>
    </w:p>
    <w:p w14:paraId="03DD36C6" w14:textId="77777777" w:rsidR="004B31CF" w:rsidRPr="00F86F78" w:rsidRDefault="004B31CF" w:rsidP="00F86F78">
      <w:pPr>
        <w:jc w:val="both"/>
        <w:rPr>
          <w:rFonts w:ascii="Cambria" w:hAnsi="Cambria"/>
          <w:bCs/>
          <w:sz w:val="20"/>
          <w:szCs w:val="20"/>
        </w:rPr>
      </w:pPr>
    </w:p>
    <w:p w14:paraId="6D8E08D7" w14:textId="77777777" w:rsidR="006D4B20" w:rsidRPr="00F86F78" w:rsidRDefault="006D4B20" w:rsidP="00F86F78">
      <w:pPr>
        <w:tabs>
          <w:tab w:val="left" w:pos="426"/>
        </w:tabs>
        <w:jc w:val="both"/>
        <w:rPr>
          <w:rFonts w:ascii="Cambria" w:hAnsi="Cambria"/>
          <w:b/>
          <w:sz w:val="20"/>
          <w:szCs w:val="20"/>
        </w:rPr>
      </w:pPr>
      <w:r w:rsidRPr="00F86F78">
        <w:rPr>
          <w:rFonts w:ascii="Cambria" w:hAnsi="Cambria"/>
          <w:b/>
          <w:sz w:val="20"/>
          <w:szCs w:val="20"/>
        </w:rPr>
        <w:t>14.</w:t>
      </w:r>
      <w:r w:rsidRPr="00F86F78">
        <w:rPr>
          <w:rFonts w:ascii="Cambria" w:hAnsi="Cambria"/>
          <w:b/>
          <w:sz w:val="20"/>
          <w:szCs w:val="20"/>
        </w:rPr>
        <w:tab/>
        <w:t>Nouveaux problèmes identifiés</w:t>
      </w:r>
    </w:p>
    <w:p w14:paraId="1B6F2BDD" w14:textId="77777777" w:rsidR="00F11139" w:rsidRPr="00F86F78" w:rsidRDefault="00F11139" w:rsidP="00F86F78">
      <w:pPr>
        <w:tabs>
          <w:tab w:val="left" w:pos="426"/>
        </w:tabs>
        <w:jc w:val="both"/>
        <w:rPr>
          <w:rFonts w:ascii="Cambria" w:hAnsi="Cambria"/>
          <w:bCs/>
          <w:sz w:val="20"/>
          <w:szCs w:val="20"/>
        </w:rPr>
      </w:pPr>
    </w:p>
    <w:p w14:paraId="7CF614D7" w14:textId="5DF97FB5" w:rsidR="006D4B20" w:rsidRPr="00F86F78" w:rsidRDefault="006D4B20" w:rsidP="00F86F78">
      <w:pPr>
        <w:jc w:val="both"/>
        <w:rPr>
          <w:rFonts w:ascii="Cambria" w:hAnsi="Cambria"/>
          <w:bCs/>
          <w:sz w:val="20"/>
          <w:szCs w:val="20"/>
        </w:rPr>
      </w:pPr>
      <w:r w:rsidRPr="00F86F78">
        <w:rPr>
          <w:rFonts w:ascii="Cambria" w:hAnsi="Cambria"/>
          <w:bCs/>
          <w:sz w:val="20"/>
          <w:szCs w:val="20"/>
        </w:rPr>
        <w:t xml:space="preserve">En plus des éléments de discussion ci-dessus, le </w:t>
      </w:r>
      <w:r w:rsidR="00A73807" w:rsidRPr="00F86F78">
        <w:rPr>
          <w:rFonts w:ascii="Cambria" w:hAnsi="Cambria"/>
          <w:bCs/>
          <w:sz w:val="20"/>
          <w:szCs w:val="20"/>
        </w:rPr>
        <w:t xml:space="preserve">WG </w:t>
      </w:r>
      <w:r w:rsidRPr="00F86F78">
        <w:rPr>
          <w:rFonts w:ascii="Cambria" w:hAnsi="Cambria"/>
          <w:bCs/>
          <w:sz w:val="20"/>
          <w:szCs w:val="20"/>
        </w:rPr>
        <w:t>CDS</w:t>
      </w:r>
      <w:r w:rsidR="00A73807" w:rsidRPr="00F86F78">
        <w:rPr>
          <w:rFonts w:ascii="Cambria" w:hAnsi="Cambria"/>
          <w:bCs/>
          <w:sz w:val="20"/>
          <w:szCs w:val="20"/>
        </w:rPr>
        <w:t xml:space="preserve"> </w:t>
      </w:r>
      <w:r w:rsidRPr="00F86F78">
        <w:rPr>
          <w:rFonts w:ascii="Cambria" w:hAnsi="Cambria"/>
          <w:bCs/>
          <w:sz w:val="20"/>
          <w:szCs w:val="20"/>
        </w:rPr>
        <w:t xml:space="preserve">devrait discuter également du point </w:t>
      </w:r>
      <w:r w:rsidR="00F86F78">
        <w:rPr>
          <w:rFonts w:ascii="Cambria" w:hAnsi="Cambria"/>
          <w:bCs/>
          <w:sz w:val="20"/>
          <w:szCs w:val="20"/>
        </w:rPr>
        <w:t>ci-après</w:t>
      </w:r>
      <w:r w:rsidRPr="00F86F78">
        <w:rPr>
          <w:rFonts w:ascii="Cambria" w:hAnsi="Cambria"/>
          <w:bCs/>
          <w:sz w:val="20"/>
          <w:szCs w:val="20"/>
        </w:rPr>
        <w:t xml:space="preserve"> en 2026</w:t>
      </w:r>
      <w:r w:rsidR="00F86F78">
        <w:rPr>
          <w:rFonts w:ascii="Cambria" w:hAnsi="Cambria"/>
          <w:bCs/>
          <w:sz w:val="20"/>
          <w:szCs w:val="20"/>
        </w:rPr>
        <w:t>.</w:t>
      </w:r>
    </w:p>
    <w:p w14:paraId="440647C6" w14:textId="77777777" w:rsidR="005208CA" w:rsidRPr="00F86F78" w:rsidRDefault="005208CA" w:rsidP="00F86F78">
      <w:pPr>
        <w:jc w:val="both"/>
        <w:rPr>
          <w:rFonts w:ascii="Cambria" w:hAnsi="Cambria"/>
          <w:bCs/>
          <w:sz w:val="20"/>
          <w:szCs w:val="20"/>
        </w:rPr>
      </w:pPr>
    </w:p>
    <w:p w14:paraId="66CFB472" w14:textId="20B467FE" w:rsidR="006D4B20" w:rsidRPr="00F86F78" w:rsidRDefault="006D4B20" w:rsidP="00F86F78">
      <w:pPr>
        <w:jc w:val="both"/>
        <w:rPr>
          <w:rFonts w:ascii="Cambria" w:hAnsi="Cambria"/>
          <w:b/>
          <w:i/>
          <w:iCs/>
          <w:sz w:val="20"/>
          <w:szCs w:val="20"/>
        </w:rPr>
      </w:pPr>
      <w:r w:rsidRPr="00F86F78">
        <w:rPr>
          <w:rFonts w:ascii="Cambria" w:hAnsi="Cambria"/>
          <w:b/>
          <w:i/>
          <w:iCs/>
          <w:sz w:val="20"/>
          <w:szCs w:val="20"/>
        </w:rPr>
        <w:t>Relation entre le CDS élargi et les mesures commerciales d’autres ORGP</w:t>
      </w:r>
    </w:p>
    <w:p w14:paraId="31F240A9" w14:textId="77777777" w:rsidR="00A25925" w:rsidRPr="00F86F78" w:rsidRDefault="00A25925" w:rsidP="00F86F78">
      <w:pPr>
        <w:jc w:val="both"/>
        <w:rPr>
          <w:rFonts w:ascii="Cambria" w:hAnsi="Cambria"/>
          <w:bCs/>
          <w:i/>
          <w:iCs/>
          <w:sz w:val="20"/>
          <w:szCs w:val="20"/>
        </w:rPr>
      </w:pPr>
    </w:p>
    <w:p w14:paraId="3935FA06" w14:textId="5A2AC327" w:rsidR="00CE5E9C" w:rsidRPr="00C67938" w:rsidRDefault="006D4B20" w:rsidP="00F86F78">
      <w:pPr>
        <w:jc w:val="both"/>
        <w:rPr>
          <w:rFonts w:ascii="Cambria" w:hAnsi="Cambria"/>
          <w:bCs/>
          <w:sz w:val="20"/>
          <w:szCs w:val="20"/>
        </w:rPr>
      </w:pPr>
      <w:r w:rsidRPr="00F86F78">
        <w:rPr>
          <w:rFonts w:ascii="Cambria" w:hAnsi="Cambria"/>
          <w:bCs/>
          <w:sz w:val="20"/>
          <w:szCs w:val="20"/>
        </w:rPr>
        <w:t>D’autres ORGP ont déjà mis en œuvre des programmes de documentation statistique pour le thon obèse et l’espadon. Si les CPC de l’ICCAT exigent un CDS pour le thon obèse et l’espadon capturés en dehors de la zone de la Convention de l’ICCAT, des doublons pourraient se produire entre le CDS de l’ICCAT et les programmes de documentation statistique des autres ORGP. L’ICCAT devrait étudier comment mettre en œuvre le CDS élargi pour les poissons capturés en dehors de la zone de la Convention de l’ICCAT.</w:t>
      </w:r>
      <w:bookmarkEnd w:id="0"/>
      <w:bookmarkEnd w:id="1"/>
    </w:p>
    <w:sectPr w:rsidR="00CE5E9C" w:rsidRPr="00C67938" w:rsidSect="009B2BAE">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7FE4" w14:textId="77777777" w:rsidR="006C059E" w:rsidRDefault="006C059E" w:rsidP="00F35FE1">
      <w:r>
        <w:separator/>
      </w:r>
    </w:p>
  </w:endnote>
  <w:endnote w:type="continuationSeparator" w:id="0">
    <w:p w14:paraId="42F8B16E" w14:textId="77777777" w:rsidR="006C059E" w:rsidRDefault="006C059E" w:rsidP="00F35FE1">
      <w:r>
        <w:continuationSeparator/>
      </w:r>
    </w:p>
  </w:endnote>
  <w:endnote w:type="continuationNotice" w:id="1">
    <w:p w14:paraId="0CB5176B" w14:textId="77777777" w:rsidR="006C059E" w:rsidRDefault="006C0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000000"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Content>
        <w:r w:rsidR="00713AD4" w:rsidRPr="00713AD4">
          <w:rPr>
            <w:rFonts w:ascii="Cambria" w:eastAsia="Calibri" w:hAnsi="Cambria" w:cs="Calibri"/>
            <w:sz w:val="20"/>
            <w:szCs w:val="20"/>
          </w:rPr>
          <w:fldChar w:fldCharType="begin"/>
        </w:r>
        <w:r w:rsidR="00713AD4" w:rsidRPr="00713AD4">
          <w:rPr>
            <w:rFonts w:ascii="Cambria" w:eastAsia="Calibri" w:hAnsi="Cambria" w:cs="Calibri"/>
            <w:sz w:val="20"/>
            <w:szCs w:val="20"/>
          </w:rPr>
          <w:instrText xml:space="preserve"> PAGE </w:instrText>
        </w:r>
        <w:r w:rsidR="00713AD4" w:rsidRPr="00713AD4">
          <w:rPr>
            <w:rFonts w:ascii="Cambria" w:eastAsia="Calibri" w:hAnsi="Cambria" w:cs="Calibri"/>
            <w:sz w:val="20"/>
            <w:szCs w:val="20"/>
          </w:rPr>
          <w:fldChar w:fldCharType="separate"/>
        </w:r>
        <w:r w:rsidR="00713AD4" w:rsidRPr="00713AD4">
          <w:rPr>
            <w:rFonts w:ascii="Calibri" w:eastAsia="Calibri" w:hAnsi="Calibri" w:cs="Calibri"/>
            <w:sz w:val="20"/>
            <w:szCs w:val="20"/>
          </w:rPr>
          <w:t>1</w:t>
        </w:r>
        <w:r w:rsidR="00713AD4" w:rsidRPr="00713AD4">
          <w:rPr>
            <w:rFonts w:ascii="Cambria" w:eastAsia="Calibri" w:hAnsi="Cambria" w:cs="Calibri"/>
            <w:sz w:val="20"/>
            <w:szCs w:val="20"/>
          </w:rPr>
          <w:fldChar w:fldCharType="end"/>
        </w:r>
        <w:r w:rsidR="00191824">
          <w:t xml:space="preserve"> / </w:t>
        </w:r>
        <w:r w:rsidR="00713AD4" w:rsidRPr="00713AD4">
          <w:rPr>
            <w:rFonts w:ascii="Cambria" w:eastAsia="Calibri" w:hAnsi="Cambria" w:cs="Calibri"/>
            <w:sz w:val="20"/>
            <w:szCs w:val="20"/>
          </w:rPr>
          <w:fldChar w:fldCharType="begin"/>
        </w:r>
        <w:r w:rsidR="00713AD4" w:rsidRPr="00713AD4">
          <w:rPr>
            <w:rFonts w:ascii="Cambria" w:eastAsia="Calibri" w:hAnsi="Cambria" w:cs="Calibri"/>
            <w:sz w:val="20"/>
            <w:szCs w:val="20"/>
          </w:rPr>
          <w:instrText xml:space="preserve"> NUMPAGES  </w:instrText>
        </w:r>
        <w:r w:rsidR="00713AD4" w:rsidRPr="00713AD4">
          <w:rPr>
            <w:rFonts w:ascii="Cambria" w:eastAsia="Calibri" w:hAnsi="Cambria" w:cs="Calibri"/>
            <w:sz w:val="20"/>
            <w:szCs w:val="20"/>
          </w:rPr>
          <w:fldChar w:fldCharType="separate"/>
        </w:r>
        <w:r w:rsidR="00713AD4" w:rsidRPr="00713AD4">
          <w:rPr>
            <w:rFonts w:ascii="Calibri" w:eastAsia="Calibri" w:hAnsi="Calibri" w:cs="Calibri"/>
            <w:sz w:val="20"/>
            <w:szCs w:val="20"/>
          </w:rPr>
          <w:t>1</w:t>
        </w:r>
        <w:r w:rsidR="00713AD4"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6972" w14:textId="77777777" w:rsidR="006C059E" w:rsidRDefault="006C059E" w:rsidP="00F35FE1">
      <w:r>
        <w:separator/>
      </w:r>
    </w:p>
  </w:footnote>
  <w:footnote w:type="continuationSeparator" w:id="0">
    <w:p w14:paraId="5DE17B2C" w14:textId="77777777" w:rsidR="006C059E" w:rsidRDefault="006C059E" w:rsidP="00F35FE1">
      <w:r>
        <w:continuationSeparator/>
      </w:r>
    </w:p>
  </w:footnote>
  <w:footnote w:type="continuationNotice" w:id="1">
    <w:p w14:paraId="49F74C80" w14:textId="77777777" w:rsidR="006C059E" w:rsidRDefault="006C05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0B7C59BD" w:rsidR="00793F38" w:rsidRPr="00793F38" w:rsidRDefault="00435A72" w:rsidP="00793F38">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bCs/>
        <w:sz w:val="20"/>
        <w:szCs w:val="20"/>
      </w:rPr>
      <w:t>PWG_413/2025</w:t>
    </w:r>
  </w:p>
  <w:bookmarkEnd w:id="2"/>
  <w:bookmarkEnd w:id="3"/>
  <w:bookmarkEnd w:id="4"/>
  <w:bookmarkEnd w:id="5"/>
  <w:bookmarkEnd w:id="6"/>
  <w:bookmarkEnd w:id="7"/>
  <w:p w14:paraId="41BF1EAA" w14:textId="69F50B0B" w:rsidR="00793F38" w:rsidRPr="00793F38" w:rsidRDefault="00C67938" w:rsidP="00793F38">
    <w:pPr>
      <w:tabs>
        <w:tab w:val="left" w:pos="7320"/>
      </w:tabs>
      <w:spacing w:line="240" w:lineRule="exact"/>
      <w:jc w:val="right"/>
      <w:rPr>
        <w:rFonts w:ascii="Cambria" w:hAnsi="Cambria"/>
        <w:b/>
        <w:bCs/>
        <w:sz w:val="16"/>
        <w:szCs w:val="16"/>
      </w:rPr>
    </w:pPr>
    <w:r>
      <w:rPr>
        <w:rFonts w:ascii="Cambria" w:hAnsi="Cambria"/>
        <w:b/>
        <w:bCs/>
        <w:sz w:val="16"/>
        <w:szCs w:val="16"/>
      </w:rPr>
      <w:fldChar w:fldCharType="begin"/>
    </w:r>
    <w:r>
      <w:rPr>
        <w:rFonts w:ascii="Cambria" w:hAnsi="Cambria"/>
        <w:b/>
        <w:bCs/>
        <w:sz w:val="16"/>
        <w:szCs w:val="16"/>
      </w:rPr>
      <w:instrText xml:space="preserve"> TIME  \@ "dd/MM/yyyy HH:mm" </w:instrText>
    </w:r>
    <w:r>
      <w:rPr>
        <w:rFonts w:ascii="Cambria" w:hAnsi="Cambria"/>
        <w:b/>
        <w:bCs/>
        <w:sz w:val="16"/>
        <w:szCs w:val="16"/>
      </w:rPr>
      <w:fldChar w:fldCharType="separate"/>
    </w:r>
    <w:r w:rsidR="0095261E">
      <w:rPr>
        <w:rFonts w:ascii="Cambria" w:hAnsi="Cambria"/>
        <w:b/>
        <w:bCs/>
        <w:noProof/>
        <w:sz w:val="16"/>
        <w:szCs w:val="16"/>
      </w:rPr>
      <w:t>16/11/2025 17:22</w:t>
    </w:r>
    <w:r>
      <w:rPr>
        <w:rFonts w:ascii="Cambria" w:hAnsi="Cambria"/>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9"/>
    <w:multiLevelType w:val="hybridMultilevel"/>
    <w:tmpl w:val="739805D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01100F"/>
    <w:multiLevelType w:val="hybridMultilevel"/>
    <w:tmpl w:val="74E4CAF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3" w15:restartNumberingAfterBreak="0">
    <w:nsid w:val="0CF11BCE"/>
    <w:multiLevelType w:val="hybridMultilevel"/>
    <w:tmpl w:val="BDF4B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462E5"/>
    <w:multiLevelType w:val="multilevel"/>
    <w:tmpl w:val="7D6868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8B6D03"/>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86C6F39"/>
    <w:multiLevelType w:val="hybridMultilevel"/>
    <w:tmpl w:val="6A2208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DF3C29"/>
    <w:multiLevelType w:val="multilevel"/>
    <w:tmpl w:val="144E5A90"/>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336A3566"/>
    <w:multiLevelType w:val="multilevel"/>
    <w:tmpl w:val="208E5E8E"/>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11" w15:restartNumberingAfterBreak="0">
    <w:nsid w:val="3EDC4A2E"/>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0511B56"/>
    <w:multiLevelType w:val="multilevel"/>
    <w:tmpl w:val="BF40827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245632"/>
    <w:multiLevelType w:val="hybridMultilevel"/>
    <w:tmpl w:val="55201DF0"/>
    <w:lvl w:ilvl="0" w:tplc="79B4769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555C74BE"/>
    <w:multiLevelType w:val="hybridMultilevel"/>
    <w:tmpl w:val="D46E3A22"/>
    <w:lvl w:ilvl="0" w:tplc="5E0EBB9C">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57423C3B"/>
    <w:multiLevelType w:val="hybridMultilevel"/>
    <w:tmpl w:val="75E07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8814CB"/>
    <w:multiLevelType w:val="hybridMultilevel"/>
    <w:tmpl w:val="AA5C0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386408"/>
    <w:multiLevelType w:val="hybridMultilevel"/>
    <w:tmpl w:val="89AA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249A5"/>
    <w:multiLevelType w:val="multilevel"/>
    <w:tmpl w:val="0526D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C360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749820">
    <w:abstractNumId w:val="18"/>
  </w:num>
  <w:num w:numId="2" w16cid:durableId="1541286546">
    <w:abstractNumId w:val="16"/>
  </w:num>
  <w:num w:numId="3" w16cid:durableId="1495409687">
    <w:abstractNumId w:val="9"/>
  </w:num>
  <w:num w:numId="4" w16cid:durableId="1359702817">
    <w:abstractNumId w:val="8"/>
  </w:num>
  <w:num w:numId="5" w16cid:durableId="637416884">
    <w:abstractNumId w:val="1"/>
  </w:num>
  <w:num w:numId="6" w16cid:durableId="1237664837">
    <w:abstractNumId w:val="15"/>
  </w:num>
  <w:num w:numId="7" w16cid:durableId="944729078">
    <w:abstractNumId w:val="3"/>
  </w:num>
  <w:num w:numId="8" w16cid:durableId="1185360543">
    <w:abstractNumId w:val="17"/>
  </w:num>
  <w:num w:numId="9" w16cid:durableId="1707027479">
    <w:abstractNumId w:val="5"/>
  </w:num>
  <w:num w:numId="10" w16cid:durableId="632951162">
    <w:abstractNumId w:val="6"/>
  </w:num>
  <w:num w:numId="11" w16cid:durableId="499933998">
    <w:abstractNumId w:val="11"/>
  </w:num>
  <w:num w:numId="12" w16cid:durableId="548031238">
    <w:abstractNumId w:val="19"/>
  </w:num>
  <w:num w:numId="13" w16cid:durableId="974529229">
    <w:abstractNumId w:val="12"/>
  </w:num>
  <w:num w:numId="14" w16cid:durableId="1635868449">
    <w:abstractNumId w:val="4"/>
  </w:num>
  <w:num w:numId="15" w16cid:durableId="1481658169">
    <w:abstractNumId w:val="0"/>
  </w:num>
  <w:num w:numId="16" w16cid:durableId="725032185">
    <w:abstractNumId w:val="13"/>
  </w:num>
  <w:num w:numId="17" w16cid:durableId="610816322">
    <w:abstractNumId w:val="7"/>
  </w:num>
  <w:num w:numId="18" w16cid:durableId="843016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7E7"/>
    <w:rsid w:val="00055862"/>
    <w:rsid w:val="000569E4"/>
    <w:rsid w:val="00056CC2"/>
    <w:rsid w:val="00061B59"/>
    <w:rsid w:val="000630A8"/>
    <w:rsid w:val="000635C3"/>
    <w:rsid w:val="000636E5"/>
    <w:rsid w:val="00065594"/>
    <w:rsid w:val="000660A1"/>
    <w:rsid w:val="0006737A"/>
    <w:rsid w:val="000674D8"/>
    <w:rsid w:val="0006754B"/>
    <w:rsid w:val="00070979"/>
    <w:rsid w:val="00070A16"/>
    <w:rsid w:val="000714C0"/>
    <w:rsid w:val="000715E8"/>
    <w:rsid w:val="00072905"/>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0FD6"/>
    <w:rsid w:val="000C1E94"/>
    <w:rsid w:val="000C3802"/>
    <w:rsid w:val="000C43AF"/>
    <w:rsid w:val="000C7D16"/>
    <w:rsid w:val="000D2434"/>
    <w:rsid w:val="000D4477"/>
    <w:rsid w:val="000D64EF"/>
    <w:rsid w:val="000D697B"/>
    <w:rsid w:val="000E04FD"/>
    <w:rsid w:val="000E309F"/>
    <w:rsid w:val="000E31CD"/>
    <w:rsid w:val="000E3420"/>
    <w:rsid w:val="000F1293"/>
    <w:rsid w:val="000F1952"/>
    <w:rsid w:val="000F2494"/>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1E88"/>
    <w:rsid w:val="00113609"/>
    <w:rsid w:val="001142B9"/>
    <w:rsid w:val="00114B16"/>
    <w:rsid w:val="00115074"/>
    <w:rsid w:val="001157E6"/>
    <w:rsid w:val="001159D6"/>
    <w:rsid w:val="00120D6A"/>
    <w:rsid w:val="00124EFD"/>
    <w:rsid w:val="00127954"/>
    <w:rsid w:val="001279A2"/>
    <w:rsid w:val="00131BB8"/>
    <w:rsid w:val="00132EA6"/>
    <w:rsid w:val="00133B29"/>
    <w:rsid w:val="0013413D"/>
    <w:rsid w:val="00134851"/>
    <w:rsid w:val="00136097"/>
    <w:rsid w:val="00136BCE"/>
    <w:rsid w:val="00137682"/>
    <w:rsid w:val="001426D0"/>
    <w:rsid w:val="0014273D"/>
    <w:rsid w:val="00143015"/>
    <w:rsid w:val="00143B7C"/>
    <w:rsid w:val="001467F7"/>
    <w:rsid w:val="001474A2"/>
    <w:rsid w:val="00147AE9"/>
    <w:rsid w:val="00154FCB"/>
    <w:rsid w:val="001575A4"/>
    <w:rsid w:val="001576F3"/>
    <w:rsid w:val="00160639"/>
    <w:rsid w:val="00162E93"/>
    <w:rsid w:val="00163DC1"/>
    <w:rsid w:val="00164A87"/>
    <w:rsid w:val="00165759"/>
    <w:rsid w:val="001659FB"/>
    <w:rsid w:val="00167A27"/>
    <w:rsid w:val="0017041B"/>
    <w:rsid w:val="00172B77"/>
    <w:rsid w:val="00174695"/>
    <w:rsid w:val="001769BA"/>
    <w:rsid w:val="00177202"/>
    <w:rsid w:val="001776C6"/>
    <w:rsid w:val="001801BD"/>
    <w:rsid w:val="00180602"/>
    <w:rsid w:val="00180C47"/>
    <w:rsid w:val="00180DD8"/>
    <w:rsid w:val="00181F0F"/>
    <w:rsid w:val="00182C8F"/>
    <w:rsid w:val="00183040"/>
    <w:rsid w:val="00183DAE"/>
    <w:rsid w:val="00183F2B"/>
    <w:rsid w:val="001844C5"/>
    <w:rsid w:val="00185429"/>
    <w:rsid w:val="00191824"/>
    <w:rsid w:val="0019188C"/>
    <w:rsid w:val="00193237"/>
    <w:rsid w:val="001941AC"/>
    <w:rsid w:val="0019792C"/>
    <w:rsid w:val="001A1A28"/>
    <w:rsid w:val="001A3352"/>
    <w:rsid w:val="001A3DA4"/>
    <w:rsid w:val="001A4571"/>
    <w:rsid w:val="001A4CDA"/>
    <w:rsid w:val="001A53C9"/>
    <w:rsid w:val="001B05B2"/>
    <w:rsid w:val="001B0E84"/>
    <w:rsid w:val="001B1441"/>
    <w:rsid w:val="001B2BAE"/>
    <w:rsid w:val="001B4EB9"/>
    <w:rsid w:val="001B549B"/>
    <w:rsid w:val="001B71EA"/>
    <w:rsid w:val="001C301A"/>
    <w:rsid w:val="001C4869"/>
    <w:rsid w:val="001C6928"/>
    <w:rsid w:val="001C7696"/>
    <w:rsid w:val="001C7B82"/>
    <w:rsid w:val="001D0F16"/>
    <w:rsid w:val="001D13E2"/>
    <w:rsid w:val="001D28BD"/>
    <w:rsid w:val="001D5625"/>
    <w:rsid w:val="001D5ABA"/>
    <w:rsid w:val="001D6270"/>
    <w:rsid w:val="001D6ADD"/>
    <w:rsid w:val="001D7E0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58DD"/>
    <w:rsid w:val="00297F25"/>
    <w:rsid w:val="002A1A08"/>
    <w:rsid w:val="002A3149"/>
    <w:rsid w:val="002A38A1"/>
    <w:rsid w:val="002A445D"/>
    <w:rsid w:val="002A4EBC"/>
    <w:rsid w:val="002A5021"/>
    <w:rsid w:val="002A56D1"/>
    <w:rsid w:val="002A5EE5"/>
    <w:rsid w:val="002A5F65"/>
    <w:rsid w:val="002B094E"/>
    <w:rsid w:val="002B11BA"/>
    <w:rsid w:val="002B3FA5"/>
    <w:rsid w:val="002B60ED"/>
    <w:rsid w:val="002B7146"/>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5568"/>
    <w:rsid w:val="002F5D30"/>
    <w:rsid w:val="002F7D8F"/>
    <w:rsid w:val="003003FA"/>
    <w:rsid w:val="003011D1"/>
    <w:rsid w:val="00303D44"/>
    <w:rsid w:val="003106B0"/>
    <w:rsid w:val="00317637"/>
    <w:rsid w:val="00317C6C"/>
    <w:rsid w:val="00320775"/>
    <w:rsid w:val="00321880"/>
    <w:rsid w:val="00321B13"/>
    <w:rsid w:val="00323246"/>
    <w:rsid w:val="00327C99"/>
    <w:rsid w:val="00327C9E"/>
    <w:rsid w:val="003306F4"/>
    <w:rsid w:val="00331028"/>
    <w:rsid w:val="003356C2"/>
    <w:rsid w:val="003360C4"/>
    <w:rsid w:val="00337595"/>
    <w:rsid w:val="003405CC"/>
    <w:rsid w:val="003446DF"/>
    <w:rsid w:val="00346D92"/>
    <w:rsid w:val="003503B0"/>
    <w:rsid w:val="00350637"/>
    <w:rsid w:val="003516AE"/>
    <w:rsid w:val="00353D82"/>
    <w:rsid w:val="003545F9"/>
    <w:rsid w:val="003565C0"/>
    <w:rsid w:val="00360236"/>
    <w:rsid w:val="00361D8C"/>
    <w:rsid w:val="003647C8"/>
    <w:rsid w:val="003649AE"/>
    <w:rsid w:val="00374216"/>
    <w:rsid w:val="00374CD7"/>
    <w:rsid w:val="003756D7"/>
    <w:rsid w:val="00376149"/>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C3"/>
    <w:rsid w:val="003964D7"/>
    <w:rsid w:val="003969E9"/>
    <w:rsid w:val="00397F07"/>
    <w:rsid w:val="003A1013"/>
    <w:rsid w:val="003A1892"/>
    <w:rsid w:val="003A2724"/>
    <w:rsid w:val="003A39AE"/>
    <w:rsid w:val="003A7926"/>
    <w:rsid w:val="003B1639"/>
    <w:rsid w:val="003B3909"/>
    <w:rsid w:val="003C13AC"/>
    <w:rsid w:val="003C26EB"/>
    <w:rsid w:val="003C377D"/>
    <w:rsid w:val="003C566E"/>
    <w:rsid w:val="003C68FD"/>
    <w:rsid w:val="003D2061"/>
    <w:rsid w:val="003D2B02"/>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6770"/>
    <w:rsid w:val="003F7456"/>
    <w:rsid w:val="00400C91"/>
    <w:rsid w:val="004020BB"/>
    <w:rsid w:val="00403034"/>
    <w:rsid w:val="00404156"/>
    <w:rsid w:val="00404C64"/>
    <w:rsid w:val="004106DB"/>
    <w:rsid w:val="00412664"/>
    <w:rsid w:val="00412B91"/>
    <w:rsid w:val="00413D88"/>
    <w:rsid w:val="00414AB3"/>
    <w:rsid w:val="004151D3"/>
    <w:rsid w:val="00415632"/>
    <w:rsid w:val="004163B3"/>
    <w:rsid w:val="00416A6B"/>
    <w:rsid w:val="00421C13"/>
    <w:rsid w:val="00422855"/>
    <w:rsid w:val="00422876"/>
    <w:rsid w:val="00423A1A"/>
    <w:rsid w:val="00426190"/>
    <w:rsid w:val="00432284"/>
    <w:rsid w:val="0043296B"/>
    <w:rsid w:val="004331A9"/>
    <w:rsid w:val="0043364F"/>
    <w:rsid w:val="004349F0"/>
    <w:rsid w:val="00435A72"/>
    <w:rsid w:val="0043749E"/>
    <w:rsid w:val="00437D99"/>
    <w:rsid w:val="00442387"/>
    <w:rsid w:val="00442C11"/>
    <w:rsid w:val="00442D1C"/>
    <w:rsid w:val="00445A3C"/>
    <w:rsid w:val="00445C87"/>
    <w:rsid w:val="0044723C"/>
    <w:rsid w:val="00450745"/>
    <w:rsid w:val="00452AD7"/>
    <w:rsid w:val="0045338B"/>
    <w:rsid w:val="00453853"/>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450A"/>
    <w:rsid w:val="0048560A"/>
    <w:rsid w:val="00485A42"/>
    <w:rsid w:val="0048626B"/>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31CF"/>
    <w:rsid w:val="004B5BF8"/>
    <w:rsid w:val="004C00A9"/>
    <w:rsid w:val="004C1BB3"/>
    <w:rsid w:val="004C1F0B"/>
    <w:rsid w:val="004C2756"/>
    <w:rsid w:val="004C3831"/>
    <w:rsid w:val="004C5687"/>
    <w:rsid w:val="004C6944"/>
    <w:rsid w:val="004D0FF5"/>
    <w:rsid w:val="004D128C"/>
    <w:rsid w:val="004D601D"/>
    <w:rsid w:val="004D621F"/>
    <w:rsid w:val="004D727B"/>
    <w:rsid w:val="004D7DC2"/>
    <w:rsid w:val="004E16FC"/>
    <w:rsid w:val="004E2F50"/>
    <w:rsid w:val="004E3559"/>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3C1D"/>
    <w:rsid w:val="00513E3E"/>
    <w:rsid w:val="00514501"/>
    <w:rsid w:val="005155D2"/>
    <w:rsid w:val="00517778"/>
    <w:rsid w:val="00517A10"/>
    <w:rsid w:val="005208CA"/>
    <w:rsid w:val="005238CC"/>
    <w:rsid w:val="00523A4B"/>
    <w:rsid w:val="00523B70"/>
    <w:rsid w:val="0052410C"/>
    <w:rsid w:val="00525DC3"/>
    <w:rsid w:val="00525F82"/>
    <w:rsid w:val="00526014"/>
    <w:rsid w:val="005279FC"/>
    <w:rsid w:val="005305DB"/>
    <w:rsid w:val="00530D90"/>
    <w:rsid w:val="00530EFF"/>
    <w:rsid w:val="005310DC"/>
    <w:rsid w:val="005318E0"/>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C5E4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433"/>
    <w:rsid w:val="005F6810"/>
    <w:rsid w:val="005F7223"/>
    <w:rsid w:val="005F77DE"/>
    <w:rsid w:val="005F7D24"/>
    <w:rsid w:val="00601209"/>
    <w:rsid w:val="006026EE"/>
    <w:rsid w:val="00603F42"/>
    <w:rsid w:val="00605C9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25BC7"/>
    <w:rsid w:val="0063106F"/>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3367"/>
    <w:rsid w:val="00653877"/>
    <w:rsid w:val="006642E4"/>
    <w:rsid w:val="006643BF"/>
    <w:rsid w:val="00664D42"/>
    <w:rsid w:val="006668A9"/>
    <w:rsid w:val="0066704B"/>
    <w:rsid w:val="0067005E"/>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52C2"/>
    <w:rsid w:val="006B03C6"/>
    <w:rsid w:val="006B1696"/>
    <w:rsid w:val="006B1DB9"/>
    <w:rsid w:val="006B4892"/>
    <w:rsid w:val="006B4F55"/>
    <w:rsid w:val="006B65C1"/>
    <w:rsid w:val="006B7DFB"/>
    <w:rsid w:val="006C0429"/>
    <w:rsid w:val="006C059E"/>
    <w:rsid w:val="006C116C"/>
    <w:rsid w:val="006C17D1"/>
    <w:rsid w:val="006C2063"/>
    <w:rsid w:val="006C5DE6"/>
    <w:rsid w:val="006C6EDC"/>
    <w:rsid w:val="006C72D6"/>
    <w:rsid w:val="006C7A9A"/>
    <w:rsid w:val="006D0F10"/>
    <w:rsid w:val="006D1D3E"/>
    <w:rsid w:val="006D1FFA"/>
    <w:rsid w:val="006D35D5"/>
    <w:rsid w:val="006D4B20"/>
    <w:rsid w:val="006D5517"/>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173C"/>
    <w:rsid w:val="00772829"/>
    <w:rsid w:val="00773142"/>
    <w:rsid w:val="00773305"/>
    <w:rsid w:val="00773D72"/>
    <w:rsid w:val="00774F59"/>
    <w:rsid w:val="00775E1C"/>
    <w:rsid w:val="00777246"/>
    <w:rsid w:val="007813AC"/>
    <w:rsid w:val="0078294B"/>
    <w:rsid w:val="00782E68"/>
    <w:rsid w:val="007855E0"/>
    <w:rsid w:val="00785F12"/>
    <w:rsid w:val="00786E2B"/>
    <w:rsid w:val="00790464"/>
    <w:rsid w:val="00790E49"/>
    <w:rsid w:val="00791710"/>
    <w:rsid w:val="00793F38"/>
    <w:rsid w:val="007950CD"/>
    <w:rsid w:val="007A1027"/>
    <w:rsid w:val="007A2583"/>
    <w:rsid w:val="007A326E"/>
    <w:rsid w:val="007B28E6"/>
    <w:rsid w:val="007B2DEC"/>
    <w:rsid w:val="007B3895"/>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AE2"/>
    <w:rsid w:val="007D6ED2"/>
    <w:rsid w:val="007E16E4"/>
    <w:rsid w:val="007E1F85"/>
    <w:rsid w:val="007E45DD"/>
    <w:rsid w:val="007E474E"/>
    <w:rsid w:val="007E4B0E"/>
    <w:rsid w:val="007E52CF"/>
    <w:rsid w:val="007E62A4"/>
    <w:rsid w:val="007F0024"/>
    <w:rsid w:val="007F332B"/>
    <w:rsid w:val="007F3D03"/>
    <w:rsid w:val="007F6D34"/>
    <w:rsid w:val="00800F7F"/>
    <w:rsid w:val="00802211"/>
    <w:rsid w:val="00802C11"/>
    <w:rsid w:val="00805C8E"/>
    <w:rsid w:val="00805FE5"/>
    <w:rsid w:val="008157C7"/>
    <w:rsid w:val="00822184"/>
    <w:rsid w:val="008235EE"/>
    <w:rsid w:val="00824764"/>
    <w:rsid w:val="008272DE"/>
    <w:rsid w:val="00827C99"/>
    <w:rsid w:val="0083064F"/>
    <w:rsid w:val="0083139F"/>
    <w:rsid w:val="0083328A"/>
    <w:rsid w:val="008356E9"/>
    <w:rsid w:val="008408A3"/>
    <w:rsid w:val="00842490"/>
    <w:rsid w:val="00842D48"/>
    <w:rsid w:val="0085234E"/>
    <w:rsid w:val="008541DD"/>
    <w:rsid w:val="00855553"/>
    <w:rsid w:val="0085557D"/>
    <w:rsid w:val="008563A9"/>
    <w:rsid w:val="008569F9"/>
    <w:rsid w:val="0085747D"/>
    <w:rsid w:val="00860549"/>
    <w:rsid w:val="00861CBD"/>
    <w:rsid w:val="00861FAF"/>
    <w:rsid w:val="008656A4"/>
    <w:rsid w:val="0086693C"/>
    <w:rsid w:val="00866E4F"/>
    <w:rsid w:val="008671FF"/>
    <w:rsid w:val="0086734F"/>
    <w:rsid w:val="008722F9"/>
    <w:rsid w:val="00872A23"/>
    <w:rsid w:val="00873564"/>
    <w:rsid w:val="00873E00"/>
    <w:rsid w:val="008802FF"/>
    <w:rsid w:val="008805DD"/>
    <w:rsid w:val="00880720"/>
    <w:rsid w:val="00880780"/>
    <w:rsid w:val="008815B0"/>
    <w:rsid w:val="00882CC8"/>
    <w:rsid w:val="0088302A"/>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D1260"/>
    <w:rsid w:val="008D2FA6"/>
    <w:rsid w:val="008E001C"/>
    <w:rsid w:val="008E06F2"/>
    <w:rsid w:val="008E0D4D"/>
    <w:rsid w:val="008E26A7"/>
    <w:rsid w:val="008E2BBA"/>
    <w:rsid w:val="008E40EE"/>
    <w:rsid w:val="008E500B"/>
    <w:rsid w:val="008E7F42"/>
    <w:rsid w:val="008F1C12"/>
    <w:rsid w:val="008F2599"/>
    <w:rsid w:val="008F30DC"/>
    <w:rsid w:val="008F4AB1"/>
    <w:rsid w:val="008F6D62"/>
    <w:rsid w:val="00902DB7"/>
    <w:rsid w:val="009066B9"/>
    <w:rsid w:val="00906727"/>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261E"/>
    <w:rsid w:val="00954668"/>
    <w:rsid w:val="00955A86"/>
    <w:rsid w:val="00957EBC"/>
    <w:rsid w:val="00961621"/>
    <w:rsid w:val="00963DEE"/>
    <w:rsid w:val="00966648"/>
    <w:rsid w:val="009669D3"/>
    <w:rsid w:val="00967190"/>
    <w:rsid w:val="0096741D"/>
    <w:rsid w:val="00967F64"/>
    <w:rsid w:val="00972321"/>
    <w:rsid w:val="00973556"/>
    <w:rsid w:val="009748AF"/>
    <w:rsid w:val="00977D58"/>
    <w:rsid w:val="009817B1"/>
    <w:rsid w:val="009838C6"/>
    <w:rsid w:val="00984D7A"/>
    <w:rsid w:val="00984DA7"/>
    <w:rsid w:val="0098510B"/>
    <w:rsid w:val="00985309"/>
    <w:rsid w:val="0098622F"/>
    <w:rsid w:val="009A0614"/>
    <w:rsid w:val="009A1455"/>
    <w:rsid w:val="009A1F26"/>
    <w:rsid w:val="009A2B05"/>
    <w:rsid w:val="009A3CD1"/>
    <w:rsid w:val="009A3DEC"/>
    <w:rsid w:val="009B045F"/>
    <w:rsid w:val="009B0AA3"/>
    <w:rsid w:val="009B2BAE"/>
    <w:rsid w:val="009B43FB"/>
    <w:rsid w:val="009B6AB3"/>
    <w:rsid w:val="009C109C"/>
    <w:rsid w:val="009C2B14"/>
    <w:rsid w:val="009C682E"/>
    <w:rsid w:val="009C6CF7"/>
    <w:rsid w:val="009C7CC9"/>
    <w:rsid w:val="009D2502"/>
    <w:rsid w:val="009D5A7D"/>
    <w:rsid w:val="009D5E11"/>
    <w:rsid w:val="009D6B67"/>
    <w:rsid w:val="009D7805"/>
    <w:rsid w:val="009E074A"/>
    <w:rsid w:val="009E5C18"/>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1942"/>
    <w:rsid w:val="00A22330"/>
    <w:rsid w:val="00A22A4F"/>
    <w:rsid w:val="00A2300F"/>
    <w:rsid w:val="00A23824"/>
    <w:rsid w:val="00A24265"/>
    <w:rsid w:val="00A24730"/>
    <w:rsid w:val="00A25925"/>
    <w:rsid w:val="00A327E8"/>
    <w:rsid w:val="00A34B06"/>
    <w:rsid w:val="00A358A6"/>
    <w:rsid w:val="00A3787B"/>
    <w:rsid w:val="00A41378"/>
    <w:rsid w:val="00A461E3"/>
    <w:rsid w:val="00A479F3"/>
    <w:rsid w:val="00A50E57"/>
    <w:rsid w:val="00A5159E"/>
    <w:rsid w:val="00A5184E"/>
    <w:rsid w:val="00A51F7D"/>
    <w:rsid w:val="00A57BA9"/>
    <w:rsid w:val="00A61647"/>
    <w:rsid w:val="00A62CFB"/>
    <w:rsid w:val="00A64026"/>
    <w:rsid w:val="00A65EB4"/>
    <w:rsid w:val="00A667DC"/>
    <w:rsid w:val="00A723FF"/>
    <w:rsid w:val="00A72589"/>
    <w:rsid w:val="00A73807"/>
    <w:rsid w:val="00A7538E"/>
    <w:rsid w:val="00A75FB7"/>
    <w:rsid w:val="00A773B1"/>
    <w:rsid w:val="00A77D1A"/>
    <w:rsid w:val="00A84005"/>
    <w:rsid w:val="00A8456B"/>
    <w:rsid w:val="00A85A78"/>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307B7"/>
    <w:rsid w:val="00B31C4B"/>
    <w:rsid w:val="00B34D74"/>
    <w:rsid w:val="00B37A5D"/>
    <w:rsid w:val="00B41166"/>
    <w:rsid w:val="00B41944"/>
    <w:rsid w:val="00B41D5A"/>
    <w:rsid w:val="00B42A17"/>
    <w:rsid w:val="00B432AB"/>
    <w:rsid w:val="00B43A6E"/>
    <w:rsid w:val="00B44276"/>
    <w:rsid w:val="00B45EF2"/>
    <w:rsid w:val="00B46659"/>
    <w:rsid w:val="00B470B1"/>
    <w:rsid w:val="00B517A6"/>
    <w:rsid w:val="00B52040"/>
    <w:rsid w:val="00B52C5E"/>
    <w:rsid w:val="00B532DB"/>
    <w:rsid w:val="00B60DA2"/>
    <w:rsid w:val="00B6134B"/>
    <w:rsid w:val="00B625E0"/>
    <w:rsid w:val="00B63301"/>
    <w:rsid w:val="00B63B3F"/>
    <w:rsid w:val="00B65F31"/>
    <w:rsid w:val="00B70681"/>
    <w:rsid w:val="00B70C2E"/>
    <w:rsid w:val="00B72194"/>
    <w:rsid w:val="00B735BF"/>
    <w:rsid w:val="00B73B64"/>
    <w:rsid w:val="00B84186"/>
    <w:rsid w:val="00B90036"/>
    <w:rsid w:val="00B90A89"/>
    <w:rsid w:val="00B91623"/>
    <w:rsid w:val="00B91EC9"/>
    <w:rsid w:val="00B93483"/>
    <w:rsid w:val="00B94891"/>
    <w:rsid w:val="00BA03BB"/>
    <w:rsid w:val="00BA2FFC"/>
    <w:rsid w:val="00BA48CD"/>
    <w:rsid w:val="00BA4BA1"/>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3557"/>
    <w:rsid w:val="00BF493C"/>
    <w:rsid w:val="00BF6CE1"/>
    <w:rsid w:val="00BF79C6"/>
    <w:rsid w:val="00C009BC"/>
    <w:rsid w:val="00C00A13"/>
    <w:rsid w:val="00C01515"/>
    <w:rsid w:val="00C01F6A"/>
    <w:rsid w:val="00C025B6"/>
    <w:rsid w:val="00C04639"/>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5E0"/>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67938"/>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2CF9"/>
    <w:rsid w:val="00CC3CF8"/>
    <w:rsid w:val="00CC420D"/>
    <w:rsid w:val="00CC577D"/>
    <w:rsid w:val="00CC6501"/>
    <w:rsid w:val="00CC680F"/>
    <w:rsid w:val="00CD04E6"/>
    <w:rsid w:val="00CD0CC6"/>
    <w:rsid w:val="00CD2576"/>
    <w:rsid w:val="00CD3C52"/>
    <w:rsid w:val="00CD5C81"/>
    <w:rsid w:val="00CD7235"/>
    <w:rsid w:val="00CE14B9"/>
    <w:rsid w:val="00CE3C5B"/>
    <w:rsid w:val="00CE5057"/>
    <w:rsid w:val="00CE5E9C"/>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265A9"/>
    <w:rsid w:val="00D30451"/>
    <w:rsid w:val="00D30B73"/>
    <w:rsid w:val="00D3463F"/>
    <w:rsid w:val="00D34A36"/>
    <w:rsid w:val="00D350BE"/>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3144"/>
    <w:rsid w:val="00D84992"/>
    <w:rsid w:val="00D872CF"/>
    <w:rsid w:val="00D90B9F"/>
    <w:rsid w:val="00D939F8"/>
    <w:rsid w:val="00D94E66"/>
    <w:rsid w:val="00D95305"/>
    <w:rsid w:val="00D9707F"/>
    <w:rsid w:val="00D97C51"/>
    <w:rsid w:val="00DA0927"/>
    <w:rsid w:val="00DA12D7"/>
    <w:rsid w:val="00DA18FD"/>
    <w:rsid w:val="00DA4D97"/>
    <w:rsid w:val="00DB017A"/>
    <w:rsid w:val="00DB12E0"/>
    <w:rsid w:val="00DB182B"/>
    <w:rsid w:val="00DB1E29"/>
    <w:rsid w:val="00DB1F21"/>
    <w:rsid w:val="00DB2AFF"/>
    <w:rsid w:val="00DB4885"/>
    <w:rsid w:val="00DB4923"/>
    <w:rsid w:val="00DB49E7"/>
    <w:rsid w:val="00DB5B66"/>
    <w:rsid w:val="00DC16AB"/>
    <w:rsid w:val="00DC340A"/>
    <w:rsid w:val="00DC3B23"/>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5B40"/>
    <w:rsid w:val="00DF711B"/>
    <w:rsid w:val="00DF72ED"/>
    <w:rsid w:val="00DF7E05"/>
    <w:rsid w:val="00E00C19"/>
    <w:rsid w:val="00E00D95"/>
    <w:rsid w:val="00E022AB"/>
    <w:rsid w:val="00E04314"/>
    <w:rsid w:val="00E0505A"/>
    <w:rsid w:val="00E05DB3"/>
    <w:rsid w:val="00E13599"/>
    <w:rsid w:val="00E20267"/>
    <w:rsid w:val="00E208ED"/>
    <w:rsid w:val="00E21287"/>
    <w:rsid w:val="00E21E71"/>
    <w:rsid w:val="00E21E88"/>
    <w:rsid w:val="00E22460"/>
    <w:rsid w:val="00E23E11"/>
    <w:rsid w:val="00E2527A"/>
    <w:rsid w:val="00E26C8C"/>
    <w:rsid w:val="00E27221"/>
    <w:rsid w:val="00E3056A"/>
    <w:rsid w:val="00E3360C"/>
    <w:rsid w:val="00E33E85"/>
    <w:rsid w:val="00E34DCE"/>
    <w:rsid w:val="00E3521C"/>
    <w:rsid w:val="00E35FB9"/>
    <w:rsid w:val="00E36E50"/>
    <w:rsid w:val="00E42769"/>
    <w:rsid w:val="00E42D68"/>
    <w:rsid w:val="00E42F22"/>
    <w:rsid w:val="00E4459F"/>
    <w:rsid w:val="00E44DB2"/>
    <w:rsid w:val="00E521A0"/>
    <w:rsid w:val="00E5349A"/>
    <w:rsid w:val="00E534C2"/>
    <w:rsid w:val="00E5480B"/>
    <w:rsid w:val="00E55E81"/>
    <w:rsid w:val="00E616E4"/>
    <w:rsid w:val="00E647AC"/>
    <w:rsid w:val="00E67E0F"/>
    <w:rsid w:val="00E70F0B"/>
    <w:rsid w:val="00E72DA3"/>
    <w:rsid w:val="00E75767"/>
    <w:rsid w:val="00E75D3F"/>
    <w:rsid w:val="00E766E4"/>
    <w:rsid w:val="00E804D2"/>
    <w:rsid w:val="00E81C5F"/>
    <w:rsid w:val="00E82404"/>
    <w:rsid w:val="00E86240"/>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3444"/>
    <w:rsid w:val="00ED4E71"/>
    <w:rsid w:val="00ED579C"/>
    <w:rsid w:val="00ED6F0F"/>
    <w:rsid w:val="00ED7F75"/>
    <w:rsid w:val="00EE273E"/>
    <w:rsid w:val="00EE5715"/>
    <w:rsid w:val="00EE789B"/>
    <w:rsid w:val="00EF0189"/>
    <w:rsid w:val="00EF1E24"/>
    <w:rsid w:val="00EF2746"/>
    <w:rsid w:val="00EF53C7"/>
    <w:rsid w:val="00F010BD"/>
    <w:rsid w:val="00F0184A"/>
    <w:rsid w:val="00F05E41"/>
    <w:rsid w:val="00F11139"/>
    <w:rsid w:val="00F13002"/>
    <w:rsid w:val="00F1379F"/>
    <w:rsid w:val="00F144FA"/>
    <w:rsid w:val="00F14D92"/>
    <w:rsid w:val="00F15902"/>
    <w:rsid w:val="00F15F5C"/>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354E"/>
    <w:rsid w:val="00F460CB"/>
    <w:rsid w:val="00F5235F"/>
    <w:rsid w:val="00F56C0A"/>
    <w:rsid w:val="00F57D4D"/>
    <w:rsid w:val="00F60396"/>
    <w:rsid w:val="00F61460"/>
    <w:rsid w:val="00F64ABF"/>
    <w:rsid w:val="00F67B34"/>
    <w:rsid w:val="00F7111B"/>
    <w:rsid w:val="00F71E86"/>
    <w:rsid w:val="00F7336E"/>
    <w:rsid w:val="00F75D08"/>
    <w:rsid w:val="00F80C39"/>
    <w:rsid w:val="00F81976"/>
    <w:rsid w:val="00F819F5"/>
    <w:rsid w:val="00F86556"/>
    <w:rsid w:val="00F86F78"/>
    <w:rsid w:val="00F90BFC"/>
    <w:rsid w:val="00F9403A"/>
    <w:rsid w:val="00F9460C"/>
    <w:rsid w:val="00F970F0"/>
    <w:rsid w:val="00F97924"/>
    <w:rsid w:val="00FA0F40"/>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D457FB08-726B-4F5D-B7BB-E4F6E9C3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fr-FR"/>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fr-FR"/>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fr-FR"/>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fr-FR"/>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fr-FR"/>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fr-FR"/>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fr-FR"/>
    </w:rPr>
  </w:style>
  <w:style w:type="character" w:styleId="FootnoteReference">
    <w:name w:val="footnote reference"/>
    <w:rsid w:val="0054598F"/>
    <w:rPr>
      <w:vertAlign w:val="superscript"/>
    </w:rPr>
  </w:style>
  <w:style w:type="paragraph" w:customStyle="1" w:styleId="Paragraphedeliste1">
    <w:name w:val="Paragraphe de liste1"/>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fr-FR"/>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fr-FR"/>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fr-FR"/>
    </w:rPr>
  </w:style>
  <w:style w:type="character" w:customStyle="1" w:styleId="VerbatimChar">
    <w:name w:val="Verbatim Char"/>
    <w:basedOn w:val="CaptionChar"/>
    <w:link w:val="SourceCode"/>
    <w:rsid w:val="002C38FA"/>
    <w:rPr>
      <w:rFonts w:ascii="Consolas" w:hAnsi="Consolas"/>
      <w:i/>
      <w:sz w:val="24"/>
      <w:szCs w:val="24"/>
      <w:shd w:val="clear" w:color="auto" w:fill="F8F8F8"/>
      <w:lang w:val="fr-FR"/>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fr-FR"/>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3-22-f.pdf" TargetMode="External"/><Relationship Id="rId3" Type="http://schemas.openxmlformats.org/officeDocument/2006/relationships/settings" Target="settings.xml"/><Relationship Id="rId7" Type="http://schemas.openxmlformats.org/officeDocument/2006/relationships/hyperlink" Target="https://www.iccat.int/Documents/Recs/compendiopdf-f/2023-22-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Dorothee Pinet</cp:lastModifiedBy>
  <cp:revision>58</cp:revision>
  <dcterms:created xsi:type="dcterms:W3CDTF">2025-07-18T08:40:00Z</dcterms:created>
  <dcterms:modified xsi:type="dcterms:W3CDTF">2025-11-16T16:31:00Z</dcterms:modified>
</cp:coreProperties>
</file>