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D35B" w14:textId="34C3CDA5" w:rsidR="000D2BFA" w:rsidRPr="000D671A" w:rsidRDefault="000D2BFA" w:rsidP="008412E3">
      <w:pPr>
        <w:spacing w:after="0"/>
        <w:contextualSpacing/>
        <w:jc w:val="right"/>
        <w:rPr>
          <w:rFonts w:ascii="Cambria" w:hAnsi="Cambria"/>
          <w:b/>
          <w:bCs/>
          <w:sz w:val="20"/>
          <w:szCs w:val="20"/>
        </w:rPr>
      </w:pPr>
      <w:r w:rsidRPr="000D671A">
        <w:rPr>
          <w:rFonts w:ascii="Cambria" w:hAnsi="Cambria"/>
          <w:b/>
          <w:sz w:val="20"/>
          <w:szCs w:val="20"/>
        </w:rPr>
        <w:t xml:space="preserve">Original : </w:t>
      </w:r>
      <w:r w:rsidRPr="000D671A">
        <w:rPr>
          <w:rFonts w:ascii="Cambria" w:hAnsi="Cambria"/>
          <w:b/>
          <w:bCs/>
          <w:sz w:val="20"/>
          <w:szCs w:val="20"/>
        </w:rPr>
        <w:t>anglais</w:t>
      </w:r>
    </w:p>
    <w:p w14:paraId="7926C3A3" w14:textId="77777777" w:rsidR="000F163C" w:rsidRPr="000D671A" w:rsidRDefault="000F163C" w:rsidP="008412E3">
      <w:pPr>
        <w:spacing w:after="0"/>
        <w:contextualSpacing/>
        <w:jc w:val="center"/>
        <w:rPr>
          <w:rFonts w:ascii="Cambria" w:hAnsi="Cambria"/>
          <w:b/>
          <w:bCs/>
          <w:sz w:val="20"/>
          <w:szCs w:val="20"/>
        </w:rPr>
      </w:pPr>
    </w:p>
    <w:p w14:paraId="5981C396" w14:textId="77777777" w:rsidR="005A5E99" w:rsidRPr="000D671A" w:rsidRDefault="002508A0" w:rsidP="008412E3">
      <w:pPr>
        <w:spacing w:after="0"/>
        <w:contextualSpacing/>
        <w:jc w:val="center"/>
        <w:rPr>
          <w:rFonts w:ascii="Cambria" w:hAnsi="Cambria"/>
          <w:b/>
          <w:bCs/>
          <w:sz w:val="20"/>
          <w:szCs w:val="20"/>
        </w:rPr>
      </w:pPr>
      <w:r w:rsidRPr="000D671A">
        <w:rPr>
          <w:rFonts w:ascii="Cambria" w:hAnsi="Cambria"/>
          <w:b/>
          <w:sz w:val="20"/>
          <w:szCs w:val="20"/>
        </w:rPr>
        <w:t xml:space="preserve">État actuel du mécanisme de communication avec le </w:t>
      </w:r>
    </w:p>
    <w:p w14:paraId="02EF13FF" w14:textId="425EEF13" w:rsidR="002508A0" w:rsidRPr="000D671A" w:rsidRDefault="002508A0" w:rsidP="008412E3">
      <w:pPr>
        <w:spacing w:after="0"/>
        <w:contextualSpacing/>
        <w:jc w:val="center"/>
        <w:rPr>
          <w:rFonts w:ascii="Cambria" w:hAnsi="Cambria"/>
          <w:b/>
          <w:bCs/>
          <w:sz w:val="20"/>
          <w:szCs w:val="20"/>
        </w:rPr>
      </w:pPr>
      <w:r w:rsidRPr="000D671A">
        <w:rPr>
          <w:rFonts w:ascii="Cambria" w:hAnsi="Cambria"/>
          <w:b/>
          <w:sz w:val="20"/>
          <w:szCs w:val="20"/>
        </w:rPr>
        <w:t>Système mondial d'échange d'informations (</w:t>
      </w:r>
      <w:r w:rsidR="000D671A" w:rsidRPr="000D671A">
        <w:rPr>
          <w:rFonts w:ascii="Cambria" w:hAnsi="Cambria"/>
          <w:b/>
          <w:sz w:val="20"/>
          <w:szCs w:val="20"/>
        </w:rPr>
        <w:t>GIES) de</w:t>
      </w:r>
      <w:r w:rsidRPr="000D671A">
        <w:rPr>
          <w:rFonts w:ascii="Cambria" w:hAnsi="Cambria"/>
          <w:b/>
          <w:sz w:val="20"/>
          <w:szCs w:val="20"/>
        </w:rPr>
        <w:t xml:space="preserve"> la FAO </w:t>
      </w:r>
    </w:p>
    <w:p w14:paraId="75541E0D" w14:textId="2FF2713E" w:rsidR="000D2BFA" w:rsidRPr="000D671A" w:rsidRDefault="005E232C" w:rsidP="008412E3">
      <w:pPr>
        <w:spacing w:after="0"/>
        <w:contextualSpacing/>
        <w:jc w:val="center"/>
        <w:rPr>
          <w:rFonts w:ascii="Cambria" w:hAnsi="Cambria"/>
          <w:i/>
          <w:iCs/>
          <w:sz w:val="20"/>
          <w:szCs w:val="20"/>
        </w:rPr>
      </w:pPr>
      <w:r w:rsidRPr="000D671A">
        <w:rPr>
          <w:rFonts w:ascii="Cambria" w:hAnsi="Cambria"/>
          <w:i/>
          <w:sz w:val="20"/>
          <w:szCs w:val="20"/>
        </w:rPr>
        <w:t>(Secrétariat de l’ICCAT)</w:t>
      </w:r>
    </w:p>
    <w:p w14:paraId="524F861C" w14:textId="6B1026B9" w:rsidR="00541705" w:rsidRPr="000D671A" w:rsidRDefault="00541705" w:rsidP="000F163C">
      <w:pPr>
        <w:spacing w:after="0"/>
        <w:contextualSpacing/>
        <w:jc w:val="both"/>
        <w:rPr>
          <w:rFonts w:ascii="Cambria" w:hAnsi="Cambria"/>
          <w:b/>
          <w:bCs/>
          <w:sz w:val="20"/>
          <w:szCs w:val="20"/>
        </w:rPr>
      </w:pPr>
    </w:p>
    <w:p w14:paraId="3059B49F" w14:textId="45006D8C" w:rsidR="001002A3" w:rsidRPr="000D671A" w:rsidRDefault="001002A3" w:rsidP="00586FB4">
      <w:pPr>
        <w:spacing w:after="0"/>
        <w:contextualSpacing/>
        <w:jc w:val="both"/>
        <w:rPr>
          <w:rFonts w:ascii="Cambria" w:hAnsi="Cambria"/>
          <w:sz w:val="20"/>
          <w:szCs w:val="20"/>
        </w:rPr>
      </w:pPr>
      <w:r w:rsidRPr="000D671A">
        <w:rPr>
          <w:rFonts w:ascii="Cambria" w:hAnsi="Cambria"/>
          <w:sz w:val="20"/>
          <w:szCs w:val="20"/>
        </w:rPr>
        <w:t xml:space="preserve">Lors de la 18ème réunion du Groupe de travail chargé d’élaborer des mesures de contrôle intégré (IMM) (Bruxelles, Belgique, 17-20 juin 2025), certaines CPC ont fait part de leurs préoccupations concernant les pratiques actuelles des mesures du ressort de l'État du port (PSMA) de l'ICCAT, notamment en ce qui concerne la déclaration des rapports d'inspection qui diffère légèrement des obligations établies dans le PSMA. Le Secrétariat a été chargé d'engager des discussions avec l'Organisation des Nations Unies pour l'alimentation et l'agriculture (FAO) sur l'optimisation du Système mondial d'échange d'informations (GIES). Cet effort vise à étudier l'interopérabilité des systèmes électroniques existants, rationalisant ainsi la déclaration, évitant la duplication et facilitant le travail des CPC et du Secrétariat de l'ICCAT. L'objectif plus large est d'harmoniser l'accord PSMA avec la </w:t>
      </w:r>
      <w:hyperlink r:id="rId7" w:history="1">
        <w:r w:rsidRPr="000D671A">
          <w:rPr>
            <w:rStyle w:val="Hyperlink"/>
            <w:rFonts w:ascii="Cambria" w:hAnsi="Cambria"/>
            <w:sz w:val="20"/>
            <w:szCs w:val="20"/>
          </w:rPr>
          <w:t xml:space="preserve"> </w:t>
        </w:r>
        <w:hyperlink r:id="rId8" w:history="1">
          <w:r w:rsidRPr="000D671A">
            <w:rPr>
              <w:rStyle w:val="Hyperlink"/>
              <w:rFonts w:ascii="Cambria" w:hAnsi="Cambria"/>
              <w:sz w:val="20"/>
              <w:szCs w:val="20"/>
              <w:u w:val="none"/>
            </w:rPr>
            <w:t xml:space="preserve"> </w:t>
          </w:r>
          <w:r w:rsidRPr="000D671A">
            <w:rPr>
              <w:rStyle w:val="Hyperlink"/>
              <w:rFonts w:ascii="Cambria" w:hAnsi="Cambria"/>
              <w:i/>
              <w:iCs/>
              <w:sz w:val="20"/>
              <w:szCs w:val="20"/>
              <w:u w:val="none"/>
            </w:rPr>
            <w:t>Recommandation de l’ICCAT amendant la Recommandation 18-09 concernant des mesures du ressort de l’État du port visant à prévenir, contrecarrer et éliminer la pêche illicite, non déclarée et non règlementée</w:t>
          </w:r>
          <w:r w:rsidRPr="000D671A">
            <w:rPr>
              <w:rStyle w:val="Hyperlink"/>
              <w:rFonts w:ascii="Cambria" w:hAnsi="Cambria"/>
              <w:sz w:val="20"/>
              <w:szCs w:val="20"/>
              <w:u w:val="none"/>
            </w:rPr>
            <w:t xml:space="preserve"> (Rec. 23-17)</w:t>
          </w:r>
          <w:r w:rsidRPr="000D671A">
            <w:rPr>
              <w:rStyle w:val="Hyperlink"/>
              <w:rFonts w:ascii="Cambria" w:hAnsi="Cambria"/>
              <w:color w:val="auto"/>
              <w:sz w:val="20"/>
              <w:szCs w:val="20"/>
              <w:u w:val="none"/>
            </w:rPr>
            <w:t>.</w:t>
          </w:r>
        </w:hyperlink>
      </w:hyperlink>
    </w:p>
    <w:p w14:paraId="470A6E73" w14:textId="77777777" w:rsidR="002C0449" w:rsidRPr="000D671A" w:rsidRDefault="002C0449" w:rsidP="00586FB4">
      <w:pPr>
        <w:spacing w:after="0"/>
        <w:contextualSpacing/>
        <w:jc w:val="both"/>
        <w:rPr>
          <w:rFonts w:ascii="Cambria" w:hAnsi="Cambria"/>
          <w:sz w:val="20"/>
          <w:szCs w:val="20"/>
        </w:rPr>
      </w:pPr>
    </w:p>
    <w:p w14:paraId="165A605E" w14:textId="00E977FF" w:rsidR="001678BB" w:rsidRPr="000D671A" w:rsidRDefault="001678BB" w:rsidP="00586FB4">
      <w:pPr>
        <w:spacing w:after="0"/>
        <w:contextualSpacing/>
        <w:jc w:val="both"/>
        <w:rPr>
          <w:rFonts w:ascii="Cambria" w:hAnsi="Cambria"/>
          <w:sz w:val="20"/>
          <w:szCs w:val="20"/>
        </w:rPr>
      </w:pPr>
      <w:r w:rsidRPr="000D671A">
        <w:rPr>
          <w:rFonts w:ascii="Cambria" w:hAnsi="Cambria"/>
          <w:sz w:val="20"/>
          <w:szCs w:val="20"/>
        </w:rPr>
        <w:t>Le 1er octobre 2025, les Secrétariats de l’ICCAT et du PSMA se sont réunis au bureau de Madrid pour examiner les procédures de mise en œuvre et d'échange de données.</w:t>
      </w:r>
    </w:p>
    <w:p w14:paraId="04F4EC01" w14:textId="77777777" w:rsidR="002C0449" w:rsidRPr="000D671A" w:rsidRDefault="002C0449" w:rsidP="00586FB4">
      <w:pPr>
        <w:spacing w:after="0"/>
        <w:contextualSpacing/>
        <w:jc w:val="both"/>
        <w:rPr>
          <w:rFonts w:ascii="Cambria" w:hAnsi="Cambria"/>
          <w:sz w:val="20"/>
          <w:szCs w:val="20"/>
        </w:rPr>
      </w:pPr>
    </w:p>
    <w:p w14:paraId="7E923EF3" w14:textId="138DF74A" w:rsidR="001002A3" w:rsidRPr="000D671A" w:rsidRDefault="00EB3F68" w:rsidP="00586FB4">
      <w:pPr>
        <w:spacing w:after="0"/>
        <w:contextualSpacing/>
        <w:jc w:val="both"/>
        <w:rPr>
          <w:rFonts w:ascii="Cambria" w:hAnsi="Cambria"/>
          <w:sz w:val="20"/>
          <w:szCs w:val="20"/>
        </w:rPr>
      </w:pPr>
      <w:r w:rsidRPr="000D671A">
        <w:rPr>
          <w:rFonts w:ascii="Cambria" w:hAnsi="Cambria"/>
          <w:sz w:val="20"/>
          <w:szCs w:val="20"/>
        </w:rPr>
        <w:t xml:space="preserve">Actuellement, l’ICCAT ne dispose pas d'un système électronique centralisé ou d'une plateforme dédiée à l'échange de données du PSMA, mais elle tient à jour des listes de ports autorisés et de points de contact communiquées par les CPC. Ces CPC sont tenues d'inspecter chaque année au moins 5% de toutes les opérations de débarquement et de transbordement effectuées tous les ans par des navires de pêche étrangers ; toutefois, le rapport d'inspection n'est partagé que lorsqu'une inspection révèle une infraction aux mesures de conservation et de gestion de l’ICCAT. Toutes les autres données requises, y compris le nombre total de débarquements, de transbordements, de refus d’accès au port/retraits de refus et d'informations générales sur les inspections, sont compilées par les CPC portuaires et soumises dans le </w:t>
      </w:r>
      <w:hyperlink r:id="rId9" w:history="1">
        <w:r w:rsidRPr="000D671A">
          <w:rPr>
            <w:rStyle w:val="Hyperlink"/>
            <w:rFonts w:ascii="Cambria" w:hAnsi="Cambria"/>
            <w:sz w:val="20"/>
            <w:szCs w:val="20"/>
            <w:u w:val="none"/>
          </w:rPr>
          <w:t>formulaire CP58</w:t>
        </w:r>
      </w:hyperlink>
      <w:r w:rsidRPr="000D671A">
        <w:rPr>
          <w:rFonts w:ascii="Cambria" w:hAnsi="Cambria"/>
          <w:sz w:val="20"/>
          <w:szCs w:val="20"/>
        </w:rPr>
        <w:t xml:space="preserve"> (déclaration annuelle sur l'activité d'inspection portuaire), qui est publié sur la partie sécurisée du </w:t>
      </w:r>
      <w:hyperlink r:id="rId10" w:history="1">
        <w:r w:rsidRPr="000D671A">
          <w:rPr>
            <w:rStyle w:val="Hyperlink"/>
            <w:rFonts w:ascii="Cambria" w:hAnsi="Cambria"/>
            <w:sz w:val="20"/>
            <w:szCs w:val="20"/>
            <w:u w:val="none"/>
          </w:rPr>
          <w:t>site web de l'ICCAT</w:t>
        </w:r>
      </w:hyperlink>
      <w:r w:rsidRPr="000D671A">
        <w:rPr>
          <w:rFonts w:ascii="Cambria" w:hAnsi="Cambria"/>
          <w:sz w:val="20"/>
          <w:szCs w:val="20"/>
        </w:rPr>
        <w:t>. En 2025, plus de 75% des CPC/CP de l'ICCAT (44 sur 58) sont également Parties au PSMA.</w:t>
      </w:r>
    </w:p>
    <w:p w14:paraId="587F85EE" w14:textId="77777777" w:rsidR="001002A3" w:rsidRPr="000D671A" w:rsidRDefault="001002A3" w:rsidP="00586FB4">
      <w:pPr>
        <w:spacing w:after="0"/>
        <w:contextualSpacing/>
        <w:jc w:val="both"/>
        <w:rPr>
          <w:rFonts w:ascii="Cambria" w:hAnsi="Cambria"/>
          <w:b/>
          <w:bCs/>
          <w:sz w:val="20"/>
          <w:szCs w:val="20"/>
        </w:rPr>
      </w:pPr>
    </w:p>
    <w:p w14:paraId="7E2722C0" w14:textId="6D8CEC17" w:rsidR="00541705" w:rsidRPr="000D671A" w:rsidRDefault="00187414" w:rsidP="00586FB4">
      <w:pPr>
        <w:jc w:val="both"/>
        <w:rPr>
          <w:rFonts w:ascii="Cambria" w:hAnsi="Cambria"/>
          <w:sz w:val="20"/>
          <w:szCs w:val="20"/>
        </w:rPr>
      </w:pPr>
      <w:r w:rsidRPr="000D671A">
        <w:rPr>
          <w:rFonts w:ascii="Cambria" w:hAnsi="Cambria"/>
          <w:sz w:val="20"/>
          <w:szCs w:val="20"/>
        </w:rPr>
        <w:t xml:space="preserve">Le </w:t>
      </w:r>
      <w:hyperlink r:id="rId11" w:history="1">
        <w:r w:rsidRPr="000D671A">
          <w:rPr>
            <w:rStyle w:val="Hyperlink"/>
            <w:rFonts w:ascii="Cambria" w:hAnsi="Cambria"/>
            <w:sz w:val="20"/>
            <w:szCs w:val="20"/>
            <w:u w:val="none"/>
          </w:rPr>
          <w:t>GIES</w:t>
        </w:r>
      </w:hyperlink>
      <w:r w:rsidRPr="000D671A">
        <w:rPr>
          <w:rFonts w:ascii="Cambria" w:hAnsi="Cambria"/>
          <w:sz w:val="20"/>
          <w:szCs w:val="20"/>
        </w:rPr>
        <w:t xml:space="preserve"> est une application logicielle développée par la FAO pour soutenir la mise en œuvre du PSMA. Depuis décembre 2023, le GIES soutient le PSMA en permettant aux États côtiers, portuaires et du pavillon, ainsi qu'aux organisations concernées, d'échanger des informations et des données et de partager des informations clés : </w:t>
      </w:r>
    </w:p>
    <w:p w14:paraId="09AB9A57" w14:textId="16705EEB" w:rsidR="00541705" w:rsidRPr="000D671A" w:rsidRDefault="00187414" w:rsidP="00586FB4">
      <w:pPr>
        <w:pStyle w:val="ListParagraph"/>
        <w:numPr>
          <w:ilvl w:val="0"/>
          <w:numId w:val="3"/>
        </w:numPr>
        <w:jc w:val="both"/>
        <w:rPr>
          <w:rFonts w:ascii="Cambria" w:hAnsi="Cambria"/>
          <w:sz w:val="20"/>
          <w:szCs w:val="20"/>
        </w:rPr>
      </w:pPr>
      <w:r w:rsidRPr="000D671A">
        <w:rPr>
          <w:rFonts w:ascii="Cambria" w:hAnsi="Cambria"/>
          <w:sz w:val="20"/>
          <w:szCs w:val="20"/>
        </w:rPr>
        <w:t xml:space="preserve">le refus d'autoriser les navires battant pavillon étranger à entrer dans les ports ou à les utiliser ; et </w:t>
      </w:r>
    </w:p>
    <w:p w14:paraId="71BAEF4E" w14:textId="77777777" w:rsidR="00541705" w:rsidRPr="000D671A" w:rsidRDefault="00187414" w:rsidP="00586FB4">
      <w:pPr>
        <w:pStyle w:val="ListParagraph"/>
        <w:numPr>
          <w:ilvl w:val="0"/>
          <w:numId w:val="3"/>
        </w:numPr>
        <w:jc w:val="both"/>
        <w:rPr>
          <w:rFonts w:ascii="Cambria" w:hAnsi="Cambria"/>
          <w:sz w:val="20"/>
          <w:szCs w:val="20"/>
        </w:rPr>
      </w:pPr>
      <w:r w:rsidRPr="000D671A">
        <w:rPr>
          <w:rFonts w:ascii="Cambria" w:hAnsi="Cambria"/>
          <w:sz w:val="20"/>
          <w:szCs w:val="20"/>
        </w:rPr>
        <w:t xml:space="preserve">les rapports des inspections réalisées sur ces navires au port. </w:t>
      </w:r>
    </w:p>
    <w:p w14:paraId="2F3308E0" w14:textId="59420094" w:rsidR="00B77E8D" w:rsidRPr="000D671A" w:rsidRDefault="00187414" w:rsidP="007B6B47">
      <w:pPr>
        <w:jc w:val="both"/>
        <w:rPr>
          <w:rFonts w:ascii="Cambria" w:hAnsi="Cambria"/>
          <w:sz w:val="20"/>
          <w:szCs w:val="20"/>
        </w:rPr>
      </w:pPr>
      <w:r w:rsidRPr="000D671A">
        <w:rPr>
          <w:rFonts w:ascii="Cambria" w:hAnsi="Cambria"/>
          <w:sz w:val="20"/>
          <w:szCs w:val="20"/>
        </w:rPr>
        <w:t xml:space="preserve">Ces informations aident les Parties à prendre des mesures à l'encontre des navires non respectueux des règles, à établir un historique d’application des navires pour l'analyse des risques ou à faciliter les actions de coopération entre les Parties. </w:t>
      </w:r>
    </w:p>
    <w:p w14:paraId="25A3F1B0" w14:textId="77777777" w:rsidR="00284DB7" w:rsidRPr="000D671A" w:rsidRDefault="00284DB7" w:rsidP="00586FB4">
      <w:pPr>
        <w:spacing w:after="0"/>
        <w:contextualSpacing/>
        <w:jc w:val="both"/>
        <w:rPr>
          <w:rFonts w:ascii="Cambria" w:hAnsi="Cambria"/>
          <w:sz w:val="20"/>
          <w:szCs w:val="20"/>
        </w:rPr>
      </w:pPr>
      <w:bookmarkStart w:id="0" w:name="_Hlk213255009"/>
      <w:r w:rsidRPr="000D671A">
        <w:rPr>
          <w:rFonts w:ascii="Cambria" w:hAnsi="Cambria"/>
          <w:sz w:val="20"/>
          <w:szCs w:val="20"/>
        </w:rPr>
        <w:t>Afin que l'ICCAT puisse échanger des informations avec le GIES de la FAO et, par conséquent, réduire la charge de déclaration des CPC de l'ICCAT qui sont également Parties au PSMA, certains points clés doivent être explorés :</w:t>
      </w:r>
    </w:p>
    <w:p w14:paraId="512D4876" w14:textId="77777777" w:rsidR="00284DB7" w:rsidRPr="000D671A" w:rsidRDefault="00284DB7" w:rsidP="00586FB4">
      <w:pPr>
        <w:spacing w:after="0"/>
        <w:contextualSpacing/>
        <w:jc w:val="both"/>
        <w:rPr>
          <w:rFonts w:ascii="Cambria" w:hAnsi="Cambria"/>
          <w:sz w:val="20"/>
          <w:szCs w:val="20"/>
        </w:rPr>
      </w:pPr>
    </w:p>
    <w:p w14:paraId="24964644" w14:textId="77777777" w:rsidR="00284DB7" w:rsidRPr="000D671A" w:rsidRDefault="00284DB7" w:rsidP="00586FB4">
      <w:pPr>
        <w:pStyle w:val="ListParagraph"/>
        <w:numPr>
          <w:ilvl w:val="0"/>
          <w:numId w:val="5"/>
        </w:numPr>
        <w:spacing w:after="0"/>
        <w:jc w:val="both"/>
        <w:rPr>
          <w:rFonts w:ascii="Cambria" w:hAnsi="Cambria"/>
          <w:sz w:val="20"/>
          <w:szCs w:val="20"/>
        </w:rPr>
      </w:pPr>
      <w:r w:rsidRPr="000D671A">
        <w:rPr>
          <w:rFonts w:ascii="Cambria" w:hAnsi="Cambria"/>
          <w:sz w:val="20"/>
          <w:szCs w:val="20"/>
        </w:rPr>
        <w:t>développer des fonctionnalités améliorées, telles que des filtres avancés permettant de rechercher et de classer efficacement les informations, ainsi que des capacités d'exportation directe afin que les données puissent être facilement extraites et utilisées à des fins d'analyse sans traitement manuel supplémentaire ;</w:t>
      </w:r>
    </w:p>
    <w:p w14:paraId="6BEAFD8E" w14:textId="77777777" w:rsidR="00284DB7" w:rsidRPr="000D671A" w:rsidRDefault="00284DB7" w:rsidP="007B6B47">
      <w:pPr>
        <w:pStyle w:val="ListParagraph"/>
        <w:spacing w:after="0"/>
        <w:jc w:val="both"/>
        <w:rPr>
          <w:rFonts w:ascii="Cambria" w:hAnsi="Cambria"/>
          <w:sz w:val="20"/>
          <w:szCs w:val="20"/>
        </w:rPr>
      </w:pPr>
    </w:p>
    <w:p w14:paraId="47381B2D" w14:textId="738225E9" w:rsidR="00284DB7" w:rsidRPr="000D671A" w:rsidRDefault="00284DB7" w:rsidP="00586FB4">
      <w:pPr>
        <w:pStyle w:val="ListParagraph"/>
        <w:numPr>
          <w:ilvl w:val="0"/>
          <w:numId w:val="5"/>
        </w:numPr>
        <w:spacing w:after="0"/>
        <w:jc w:val="both"/>
        <w:rPr>
          <w:rFonts w:ascii="Cambria" w:hAnsi="Cambria"/>
          <w:sz w:val="20"/>
          <w:szCs w:val="20"/>
        </w:rPr>
      </w:pPr>
      <w:r w:rsidRPr="000D671A">
        <w:rPr>
          <w:rFonts w:ascii="Cambria" w:hAnsi="Cambria"/>
          <w:sz w:val="20"/>
          <w:szCs w:val="20"/>
        </w:rPr>
        <w:t xml:space="preserve">l'interopérabilité avec le GIES doit être étudiée dans le contexte du projet à long terme du Système intégré de gestion en ligne (IOMS) de l’ICCAT, qui vise à centraliser et à gérer la plupart des </w:t>
      </w:r>
      <w:r w:rsidRPr="000D671A">
        <w:rPr>
          <w:rFonts w:ascii="Cambria" w:hAnsi="Cambria"/>
          <w:sz w:val="20"/>
          <w:szCs w:val="20"/>
        </w:rPr>
        <w:lastRenderedPageBreak/>
        <w:t>exigences en matière de déclaration de données. Tout développement dans ce sens doit s'inscrire dans ce cadre, en analysant les besoins ainsi que la faisabilité technique et les coûts potentiels. Toutes ces activités doivent être reflétées dans le plan de travail du Groupe de travail sur les technologies de déclaration en ligne (WG ORT) ;</w:t>
      </w:r>
    </w:p>
    <w:p w14:paraId="15422070" w14:textId="77777777" w:rsidR="000945E0" w:rsidRPr="000D671A" w:rsidRDefault="000945E0" w:rsidP="007B6B47">
      <w:pPr>
        <w:pStyle w:val="ListParagraph"/>
        <w:spacing w:after="0"/>
        <w:jc w:val="both"/>
        <w:rPr>
          <w:rFonts w:ascii="Cambria" w:hAnsi="Cambria"/>
          <w:sz w:val="20"/>
          <w:szCs w:val="20"/>
        </w:rPr>
      </w:pPr>
    </w:p>
    <w:p w14:paraId="2DD4CCFD" w14:textId="77777777" w:rsidR="00284DB7" w:rsidRPr="000D671A" w:rsidRDefault="00284DB7" w:rsidP="00586FB4">
      <w:pPr>
        <w:pStyle w:val="ListParagraph"/>
        <w:numPr>
          <w:ilvl w:val="0"/>
          <w:numId w:val="5"/>
        </w:numPr>
        <w:spacing w:after="0"/>
        <w:jc w:val="both"/>
        <w:rPr>
          <w:rFonts w:ascii="Cambria" w:hAnsi="Cambria"/>
          <w:sz w:val="20"/>
          <w:szCs w:val="20"/>
        </w:rPr>
      </w:pPr>
      <w:r w:rsidRPr="000D671A">
        <w:rPr>
          <w:rFonts w:ascii="Cambria" w:hAnsi="Cambria"/>
          <w:sz w:val="20"/>
          <w:szCs w:val="20"/>
        </w:rPr>
        <w:t>Compte tenu du fait que certaines CPC de l'ICCAT ne sont pas Parties au PSMA, et afin d'assurer la continuité de la déclaration pour toutes les CPC sans perturber les exigences, le Secrétariat suggère ce qui suit :</w:t>
      </w:r>
    </w:p>
    <w:p w14:paraId="6909FB61" w14:textId="77777777" w:rsidR="00D74190" w:rsidRPr="000D671A" w:rsidRDefault="00D74190" w:rsidP="00D74190">
      <w:pPr>
        <w:pStyle w:val="ListParagraph"/>
        <w:tabs>
          <w:tab w:val="left" w:pos="1134"/>
        </w:tabs>
        <w:spacing w:after="0"/>
        <w:ind w:left="993" w:hanging="284"/>
        <w:jc w:val="both"/>
        <w:rPr>
          <w:rFonts w:ascii="Cambria" w:hAnsi="Cambria"/>
          <w:sz w:val="20"/>
          <w:szCs w:val="20"/>
        </w:rPr>
      </w:pPr>
    </w:p>
    <w:p w14:paraId="51C720DF" w14:textId="1B75BD08" w:rsidR="00586FB4" w:rsidRPr="000D671A" w:rsidRDefault="00284DB7" w:rsidP="00D74190">
      <w:pPr>
        <w:pStyle w:val="ListParagraph"/>
        <w:numPr>
          <w:ilvl w:val="0"/>
          <w:numId w:val="6"/>
        </w:numPr>
        <w:spacing w:after="0"/>
        <w:ind w:left="993" w:hanging="284"/>
        <w:jc w:val="both"/>
        <w:rPr>
          <w:rFonts w:ascii="Cambria" w:hAnsi="Cambria"/>
          <w:sz w:val="20"/>
          <w:szCs w:val="20"/>
        </w:rPr>
      </w:pPr>
      <w:r w:rsidRPr="000D671A">
        <w:rPr>
          <w:rFonts w:ascii="Cambria" w:hAnsi="Cambria"/>
          <w:sz w:val="20"/>
          <w:szCs w:val="20"/>
        </w:rPr>
        <w:t xml:space="preserve">Les CPC de l’ICCAT devraient continuer à suivre les dispositions relatives aux mesures d'inspection portuaire en vertu des règlements de </w:t>
      </w:r>
      <w:r w:rsidR="000D671A" w:rsidRPr="000D671A">
        <w:rPr>
          <w:rFonts w:ascii="Cambria" w:hAnsi="Cambria"/>
          <w:sz w:val="20"/>
          <w:szCs w:val="20"/>
        </w:rPr>
        <w:t>l’ICCAT ;</w:t>
      </w:r>
      <w:r w:rsidRPr="000D671A">
        <w:rPr>
          <w:rFonts w:ascii="Cambria" w:hAnsi="Cambria"/>
          <w:sz w:val="20"/>
          <w:szCs w:val="20"/>
        </w:rPr>
        <w:t xml:space="preserve"> </w:t>
      </w:r>
    </w:p>
    <w:p w14:paraId="44392479" w14:textId="77777777" w:rsidR="00D74190" w:rsidRPr="000D671A" w:rsidRDefault="00D74190" w:rsidP="00D74190">
      <w:pPr>
        <w:pStyle w:val="ListParagraph"/>
        <w:spacing w:after="0"/>
        <w:ind w:left="993"/>
        <w:jc w:val="both"/>
        <w:rPr>
          <w:rFonts w:ascii="Cambria" w:hAnsi="Cambria"/>
          <w:sz w:val="20"/>
          <w:szCs w:val="20"/>
        </w:rPr>
      </w:pPr>
    </w:p>
    <w:p w14:paraId="57E37568" w14:textId="01E6EA81" w:rsidR="00284DB7" w:rsidRPr="000D671A" w:rsidRDefault="000D671A" w:rsidP="00D74190">
      <w:pPr>
        <w:pStyle w:val="ListParagraph"/>
        <w:numPr>
          <w:ilvl w:val="0"/>
          <w:numId w:val="6"/>
        </w:numPr>
        <w:spacing w:after="0"/>
        <w:ind w:left="993" w:hanging="284"/>
        <w:jc w:val="both"/>
        <w:rPr>
          <w:rFonts w:ascii="Cambria" w:hAnsi="Cambria"/>
          <w:sz w:val="20"/>
          <w:szCs w:val="20"/>
        </w:rPr>
      </w:pPr>
      <w:r w:rsidRPr="000D671A">
        <w:rPr>
          <w:rFonts w:ascii="Cambria" w:hAnsi="Cambria"/>
          <w:sz w:val="20"/>
          <w:szCs w:val="20"/>
        </w:rPr>
        <w:t>Une</w:t>
      </w:r>
      <w:r w:rsidR="00284DB7" w:rsidRPr="000D671A">
        <w:rPr>
          <w:rFonts w:ascii="Cambria" w:hAnsi="Cambria"/>
          <w:sz w:val="20"/>
          <w:szCs w:val="20"/>
        </w:rPr>
        <w:t xml:space="preserve"> fois que l'interopérabilité entre les deux systèmes a été testée et réalisée, les données saisies dans le système ICCAT devraient être transmises au GIES pour les CPC concernées. L'échange de données dans le sens inverse est considéré comme moins efficace, étant donné que certaines CPC de l’ICCAT ne déclarent pas au GIES leurs informations sur les inspections portuaires, car elles ne sont pas Parties au PSMA.</w:t>
      </w:r>
    </w:p>
    <w:bookmarkEnd w:id="0"/>
    <w:p w14:paraId="30578F42" w14:textId="77777777" w:rsidR="002059FF" w:rsidRPr="000D671A" w:rsidRDefault="002059FF" w:rsidP="00586FB4">
      <w:pPr>
        <w:pStyle w:val="ListParagraph"/>
        <w:spacing w:after="0"/>
        <w:jc w:val="both"/>
        <w:rPr>
          <w:rFonts w:ascii="Cambria" w:hAnsi="Cambria"/>
          <w:sz w:val="20"/>
          <w:szCs w:val="20"/>
        </w:rPr>
      </w:pPr>
    </w:p>
    <w:sectPr w:rsidR="002059FF" w:rsidRPr="000D671A" w:rsidSect="008412E3">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C87F" w14:textId="77777777" w:rsidR="00966B19" w:rsidRDefault="00966B19" w:rsidP="006813B1">
      <w:pPr>
        <w:spacing w:after="0" w:line="240" w:lineRule="auto"/>
      </w:pPr>
      <w:r>
        <w:separator/>
      </w:r>
    </w:p>
  </w:endnote>
  <w:endnote w:type="continuationSeparator" w:id="0">
    <w:p w14:paraId="7CA5CC32" w14:textId="77777777" w:rsidR="00966B19" w:rsidRDefault="00966B19" w:rsidP="0068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637" w14:textId="1A7F93CC" w:rsidR="000B3BB3" w:rsidRPr="000B3BB3" w:rsidRDefault="000B3BB3" w:rsidP="000B3BB3">
    <w:pPr>
      <w:tabs>
        <w:tab w:val="center" w:pos="4535"/>
        <w:tab w:val="center" w:pos="4680"/>
        <w:tab w:val="left" w:pos="6150"/>
        <w:tab w:val="right" w:pos="9360"/>
      </w:tabs>
      <w:spacing w:after="0" w:line="240" w:lineRule="auto"/>
      <w:jc w:val="center"/>
      <w:rPr>
        <w:rFonts w:ascii="Cambria" w:eastAsia="Calibri" w:hAnsi="Cambria" w:cs="Calibri"/>
        <w:sz w:val="20"/>
      </w:rPr>
    </w:pPr>
    <w:r w:rsidRPr="000D5240">
      <w:rPr>
        <w:rFonts w:ascii="Cambria" w:eastAsia="Calibri" w:hAnsi="Cambria" w:cs="Calibri"/>
        <w:sz w:val="20"/>
      </w:rPr>
      <w:fldChar w:fldCharType="begin"/>
    </w:r>
    <w:r w:rsidRPr="000D5240">
      <w:rPr>
        <w:rFonts w:ascii="Cambria" w:eastAsia="Calibri" w:hAnsi="Cambria" w:cs="Calibri"/>
        <w:sz w:val="20"/>
      </w:rPr>
      <w:instrText xml:space="preserve"> PAGE </w:instrText>
    </w:r>
    <w:r w:rsidRPr="000D5240">
      <w:rPr>
        <w:rFonts w:ascii="Cambria" w:eastAsia="Calibri" w:hAnsi="Cambria" w:cs="Calibri"/>
        <w:sz w:val="20"/>
      </w:rPr>
      <w:fldChar w:fldCharType="separate"/>
    </w:r>
    <w:r>
      <w:rPr>
        <w:rFonts w:ascii="Cambria" w:eastAsia="Calibri" w:hAnsi="Cambria" w:cs="Calibri"/>
        <w:sz w:val="20"/>
      </w:rPr>
      <w:t>1</w:t>
    </w:r>
    <w:r w:rsidRPr="000D5240">
      <w:rPr>
        <w:rFonts w:ascii="Cambria" w:eastAsia="Calibri" w:hAnsi="Cambria" w:cs="Calibri"/>
        <w:sz w:val="20"/>
      </w:rPr>
      <w:fldChar w:fldCharType="end"/>
    </w:r>
    <w:r>
      <w:rPr>
        <w:rFonts w:ascii="Cambria" w:hAnsi="Cambria"/>
        <w:sz w:val="20"/>
      </w:rPr>
      <w:t xml:space="preserve"> / </w:t>
    </w:r>
    <w:r w:rsidRPr="000D5240">
      <w:rPr>
        <w:rFonts w:ascii="Cambria" w:eastAsia="Calibri" w:hAnsi="Cambria" w:cs="Calibri"/>
        <w:sz w:val="20"/>
      </w:rPr>
      <w:fldChar w:fldCharType="begin"/>
    </w:r>
    <w:r w:rsidRPr="000D5240">
      <w:rPr>
        <w:rFonts w:ascii="Cambria" w:eastAsia="Calibri" w:hAnsi="Cambria" w:cs="Calibri"/>
        <w:sz w:val="20"/>
      </w:rPr>
      <w:instrText xml:space="preserve"> NUMPAGES  </w:instrText>
    </w:r>
    <w:r w:rsidRPr="000D5240">
      <w:rPr>
        <w:rFonts w:ascii="Cambria" w:eastAsia="Calibri" w:hAnsi="Cambria" w:cs="Calibri"/>
        <w:sz w:val="20"/>
      </w:rPr>
      <w:fldChar w:fldCharType="separate"/>
    </w:r>
    <w:r>
      <w:rPr>
        <w:rFonts w:ascii="Cambria" w:eastAsia="Calibri" w:hAnsi="Cambria" w:cs="Calibri"/>
        <w:sz w:val="20"/>
      </w:rPr>
      <w:t>5</w:t>
    </w:r>
    <w:r w:rsidRPr="000D524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2112" w14:textId="77777777" w:rsidR="00966B19" w:rsidRDefault="00966B19" w:rsidP="006813B1">
      <w:pPr>
        <w:spacing w:after="0" w:line="240" w:lineRule="auto"/>
      </w:pPr>
      <w:r>
        <w:separator/>
      </w:r>
    </w:p>
  </w:footnote>
  <w:footnote w:type="continuationSeparator" w:id="0">
    <w:p w14:paraId="2F95EF5C" w14:textId="77777777" w:rsidR="00966B19" w:rsidRDefault="00966B19" w:rsidP="0068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3823" w14:textId="06CE8F08" w:rsidR="001638CA" w:rsidRPr="000D5240" w:rsidRDefault="001638CA" w:rsidP="001638CA">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sz w:val="20"/>
      </w:rPr>
      <w:t>PWG_411/2025</w:t>
    </w:r>
  </w:p>
  <w:p w14:paraId="68CECBCD" w14:textId="2B965416" w:rsidR="006813B1" w:rsidRPr="001638CA" w:rsidRDefault="001638CA" w:rsidP="001638CA">
    <w:pPr>
      <w:tabs>
        <w:tab w:val="left" w:pos="7320"/>
      </w:tabs>
      <w:spacing w:after="0" w:line="240" w:lineRule="exact"/>
      <w:jc w:val="right"/>
    </w:pPr>
    <w:r w:rsidRPr="000D5240">
      <w:rPr>
        <w:rFonts w:ascii="Cambria" w:eastAsia="Times New Roman" w:hAnsi="Cambria" w:cs="Times New Roman"/>
        <w:b/>
        <w:sz w:val="16"/>
      </w:rPr>
      <w:fldChar w:fldCharType="begin"/>
    </w:r>
    <w:r w:rsidRPr="000D5240">
      <w:rPr>
        <w:rFonts w:ascii="Cambria" w:eastAsia="Times New Roman" w:hAnsi="Cambria" w:cs="Times New Roman"/>
        <w:b/>
        <w:sz w:val="16"/>
      </w:rPr>
      <w:instrText xml:space="preserve"> TIME \@ "dd/MM/yyyy H:mm" </w:instrText>
    </w:r>
    <w:r w:rsidRPr="000D5240">
      <w:rPr>
        <w:rFonts w:ascii="Cambria" w:eastAsia="Times New Roman" w:hAnsi="Cambria" w:cs="Times New Roman"/>
        <w:b/>
        <w:sz w:val="16"/>
      </w:rPr>
      <w:fldChar w:fldCharType="separate"/>
    </w:r>
    <w:r w:rsidR="000D671A">
      <w:rPr>
        <w:rFonts w:ascii="Cambria" w:eastAsia="Times New Roman" w:hAnsi="Cambria" w:cs="Times New Roman"/>
        <w:b/>
        <w:noProof/>
        <w:sz w:val="16"/>
      </w:rPr>
      <w:t>16/11/2025 17:52</w:t>
    </w:r>
    <w:r w:rsidRPr="000D5240">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AD1"/>
    <w:multiLevelType w:val="hybridMultilevel"/>
    <w:tmpl w:val="683AF742"/>
    <w:lvl w:ilvl="0" w:tplc="46E674BA">
      <w:start w:val="2"/>
      <w:numFmt w:val="bullet"/>
      <w:lvlText w:val="-"/>
      <w:lvlJc w:val="left"/>
      <w:pPr>
        <w:ind w:left="720" w:hanging="360"/>
      </w:pPr>
      <w:rPr>
        <w:rFonts w:ascii="Cambria" w:eastAsiaTheme="minorHAnsi"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F95275"/>
    <w:multiLevelType w:val="hybridMultilevel"/>
    <w:tmpl w:val="4B543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BDD3BA5"/>
    <w:multiLevelType w:val="hybridMultilevel"/>
    <w:tmpl w:val="684462A8"/>
    <w:lvl w:ilvl="0" w:tplc="D83C2B7A">
      <w:start w:val="1"/>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31F4D15"/>
    <w:multiLevelType w:val="hybridMultilevel"/>
    <w:tmpl w:val="A2B220B2"/>
    <w:lvl w:ilvl="0" w:tplc="46E674BA">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B25E37"/>
    <w:multiLevelType w:val="hybridMultilevel"/>
    <w:tmpl w:val="3972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1172F"/>
    <w:multiLevelType w:val="hybridMultilevel"/>
    <w:tmpl w:val="43AA3B1C"/>
    <w:lvl w:ilvl="0" w:tplc="67B289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7137830">
    <w:abstractNumId w:val="5"/>
  </w:num>
  <w:num w:numId="2" w16cid:durableId="1368332008">
    <w:abstractNumId w:val="2"/>
  </w:num>
  <w:num w:numId="3" w16cid:durableId="1997345049">
    <w:abstractNumId w:val="3"/>
  </w:num>
  <w:num w:numId="4" w16cid:durableId="24715921">
    <w:abstractNumId w:val="4"/>
  </w:num>
  <w:num w:numId="5" w16cid:durableId="134414712">
    <w:abstractNumId w:val="0"/>
  </w:num>
  <w:num w:numId="6" w16cid:durableId="46832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8B"/>
    <w:rsid w:val="0000438F"/>
    <w:rsid w:val="000141F6"/>
    <w:rsid w:val="00024E4C"/>
    <w:rsid w:val="00042B75"/>
    <w:rsid w:val="0004313A"/>
    <w:rsid w:val="00067B8C"/>
    <w:rsid w:val="00092E09"/>
    <w:rsid w:val="000945E0"/>
    <w:rsid w:val="000A3A29"/>
    <w:rsid w:val="000B3BB3"/>
    <w:rsid w:val="000B40F3"/>
    <w:rsid w:val="000C5122"/>
    <w:rsid w:val="000D2BFA"/>
    <w:rsid w:val="000D671A"/>
    <w:rsid w:val="000F163C"/>
    <w:rsid w:val="000F3DA6"/>
    <w:rsid w:val="001002A3"/>
    <w:rsid w:val="001014F7"/>
    <w:rsid w:val="00104A75"/>
    <w:rsid w:val="00110698"/>
    <w:rsid w:val="00110FFE"/>
    <w:rsid w:val="0012332A"/>
    <w:rsid w:val="00136442"/>
    <w:rsid w:val="00145AC0"/>
    <w:rsid w:val="00163114"/>
    <w:rsid w:val="001638CA"/>
    <w:rsid w:val="001678BB"/>
    <w:rsid w:val="001850A6"/>
    <w:rsid w:val="00187414"/>
    <w:rsid w:val="001904FE"/>
    <w:rsid w:val="00193608"/>
    <w:rsid w:val="001B7DD1"/>
    <w:rsid w:val="001C1269"/>
    <w:rsid w:val="001E0F8E"/>
    <w:rsid w:val="001E4F5D"/>
    <w:rsid w:val="001F00BE"/>
    <w:rsid w:val="001F1494"/>
    <w:rsid w:val="001F406D"/>
    <w:rsid w:val="00200734"/>
    <w:rsid w:val="002059FF"/>
    <w:rsid w:val="00210F38"/>
    <w:rsid w:val="00212F6F"/>
    <w:rsid w:val="00215E12"/>
    <w:rsid w:val="00221407"/>
    <w:rsid w:val="0023004D"/>
    <w:rsid w:val="00232706"/>
    <w:rsid w:val="002508A0"/>
    <w:rsid w:val="00262F07"/>
    <w:rsid w:val="002650BB"/>
    <w:rsid w:val="0027031E"/>
    <w:rsid w:val="00280548"/>
    <w:rsid w:val="00284DB7"/>
    <w:rsid w:val="00294C6F"/>
    <w:rsid w:val="00297956"/>
    <w:rsid w:val="002B08D6"/>
    <w:rsid w:val="002C0449"/>
    <w:rsid w:val="002D52E5"/>
    <w:rsid w:val="002D701F"/>
    <w:rsid w:val="002F0AAB"/>
    <w:rsid w:val="00317ECE"/>
    <w:rsid w:val="003274F4"/>
    <w:rsid w:val="003420C4"/>
    <w:rsid w:val="00353FFC"/>
    <w:rsid w:val="0035672C"/>
    <w:rsid w:val="00377108"/>
    <w:rsid w:val="00381651"/>
    <w:rsid w:val="00385DF5"/>
    <w:rsid w:val="00390C38"/>
    <w:rsid w:val="003D12B5"/>
    <w:rsid w:val="003E1478"/>
    <w:rsid w:val="003F2996"/>
    <w:rsid w:val="003F3D55"/>
    <w:rsid w:val="004142BC"/>
    <w:rsid w:val="0043091C"/>
    <w:rsid w:val="00431B61"/>
    <w:rsid w:val="00445B0C"/>
    <w:rsid w:val="004634F9"/>
    <w:rsid w:val="004A1D0E"/>
    <w:rsid w:val="004B685B"/>
    <w:rsid w:val="004C16D1"/>
    <w:rsid w:val="004E068D"/>
    <w:rsid w:val="004E606D"/>
    <w:rsid w:val="004F04B8"/>
    <w:rsid w:val="0050530A"/>
    <w:rsid w:val="0051324E"/>
    <w:rsid w:val="00541705"/>
    <w:rsid w:val="00545299"/>
    <w:rsid w:val="005625BE"/>
    <w:rsid w:val="00571F9B"/>
    <w:rsid w:val="00571FA6"/>
    <w:rsid w:val="0057270A"/>
    <w:rsid w:val="00581EE6"/>
    <w:rsid w:val="00586FB4"/>
    <w:rsid w:val="005A5958"/>
    <w:rsid w:val="005A5E99"/>
    <w:rsid w:val="005B7340"/>
    <w:rsid w:val="005C658E"/>
    <w:rsid w:val="005D22D1"/>
    <w:rsid w:val="005E232C"/>
    <w:rsid w:val="005F6842"/>
    <w:rsid w:val="006031E6"/>
    <w:rsid w:val="00630183"/>
    <w:rsid w:val="00632C30"/>
    <w:rsid w:val="00646559"/>
    <w:rsid w:val="00663248"/>
    <w:rsid w:val="00665561"/>
    <w:rsid w:val="006669D6"/>
    <w:rsid w:val="006813B1"/>
    <w:rsid w:val="00694ED2"/>
    <w:rsid w:val="006A4864"/>
    <w:rsid w:val="006B000D"/>
    <w:rsid w:val="006B5C1E"/>
    <w:rsid w:val="006B5DEA"/>
    <w:rsid w:val="006F05BC"/>
    <w:rsid w:val="007140B8"/>
    <w:rsid w:val="0072477A"/>
    <w:rsid w:val="00732B88"/>
    <w:rsid w:val="007651D2"/>
    <w:rsid w:val="0077239D"/>
    <w:rsid w:val="00786FB0"/>
    <w:rsid w:val="0079078C"/>
    <w:rsid w:val="007933B3"/>
    <w:rsid w:val="007939DD"/>
    <w:rsid w:val="0079400A"/>
    <w:rsid w:val="007957FF"/>
    <w:rsid w:val="007A16C8"/>
    <w:rsid w:val="007B267C"/>
    <w:rsid w:val="007B54E5"/>
    <w:rsid w:val="007B6B47"/>
    <w:rsid w:val="007D300A"/>
    <w:rsid w:val="007E1633"/>
    <w:rsid w:val="007E5FC7"/>
    <w:rsid w:val="007F3CFC"/>
    <w:rsid w:val="008000E0"/>
    <w:rsid w:val="00814841"/>
    <w:rsid w:val="0081699B"/>
    <w:rsid w:val="00821383"/>
    <w:rsid w:val="008412E3"/>
    <w:rsid w:val="00866CDF"/>
    <w:rsid w:val="00872ABE"/>
    <w:rsid w:val="00875BBB"/>
    <w:rsid w:val="00882D69"/>
    <w:rsid w:val="00886642"/>
    <w:rsid w:val="00892A7B"/>
    <w:rsid w:val="008B0007"/>
    <w:rsid w:val="008C1644"/>
    <w:rsid w:val="008C310B"/>
    <w:rsid w:val="008E001B"/>
    <w:rsid w:val="008E5413"/>
    <w:rsid w:val="00903A08"/>
    <w:rsid w:val="009377A2"/>
    <w:rsid w:val="009409DA"/>
    <w:rsid w:val="00941803"/>
    <w:rsid w:val="0095172C"/>
    <w:rsid w:val="0095648C"/>
    <w:rsid w:val="00966B19"/>
    <w:rsid w:val="009A12FC"/>
    <w:rsid w:val="009C6AD4"/>
    <w:rsid w:val="009C6F5D"/>
    <w:rsid w:val="009D24B2"/>
    <w:rsid w:val="009D4CD0"/>
    <w:rsid w:val="009E2953"/>
    <w:rsid w:val="009F00AF"/>
    <w:rsid w:val="00A0799E"/>
    <w:rsid w:val="00A07A27"/>
    <w:rsid w:val="00A2387C"/>
    <w:rsid w:val="00A24EE6"/>
    <w:rsid w:val="00A259F5"/>
    <w:rsid w:val="00A46914"/>
    <w:rsid w:val="00AA3745"/>
    <w:rsid w:val="00AB6B98"/>
    <w:rsid w:val="00AB74C8"/>
    <w:rsid w:val="00AC2F67"/>
    <w:rsid w:val="00AD6627"/>
    <w:rsid w:val="00B03542"/>
    <w:rsid w:val="00B14449"/>
    <w:rsid w:val="00B37C24"/>
    <w:rsid w:val="00B517D6"/>
    <w:rsid w:val="00B53E4A"/>
    <w:rsid w:val="00B66C99"/>
    <w:rsid w:val="00B75DA2"/>
    <w:rsid w:val="00B77E8D"/>
    <w:rsid w:val="00B846F9"/>
    <w:rsid w:val="00BB32D9"/>
    <w:rsid w:val="00BE0C36"/>
    <w:rsid w:val="00BE5162"/>
    <w:rsid w:val="00BE691E"/>
    <w:rsid w:val="00C150A0"/>
    <w:rsid w:val="00C2558B"/>
    <w:rsid w:val="00C31F4C"/>
    <w:rsid w:val="00C329DB"/>
    <w:rsid w:val="00C46F0A"/>
    <w:rsid w:val="00C73531"/>
    <w:rsid w:val="00C74FA8"/>
    <w:rsid w:val="00C86A4F"/>
    <w:rsid w:val="00C93451"/>
    <w:rsid w:val="00D17DED"/>
    <w:rsid w:val="00D232D8"/>
    <w:rsid w:val="00D45C88"/>
    <w:rsid w:val="00D74190"/>
    <w:rsid w:val="00D77274"/>
    <w:rsid w:val="00D8164C"/>
    <w:rsid w:val="00D84B62"/>
    <w:rsid w:val="00D92DA8"/>
    <w:rsid w:val="00DA317F"/>
    <w:rsid w:val="00DA5F6B"/>
    <w:rsid w:val="00DB14A9"/>
    <w:rsid w:val="00DC0279"/>
    <w:rsid w:val="00DD2A14"/>
    <w:rsid w:val="00DE347E"/>
    <w:rsid w:val="00DE5D5D"/>
    <w:rsid w:val="00DF5931"/>
    <w:rsid w:val="00E02AF3"/>
    <w:rsid w:val="00E11E26"/>
    <w:rsid w:val="00E22CC9"/>
    <w:rsid w:val="00E27006"/>
    <w:rsid w:val="00E31A2B"/>
    <w:rsid w:val="00E40AD7"/>
    <w:rsid w:val="00E441B7"/>
    <w:rsid w:val="00E45A21"/>
    <w:rsid w:val="00E62A36"/>
    <w:rsid w:val="00E66D0D"/>
    <w:rsid w:val="00E67123"/>
    <w:rsid w:val="00E67569"/>
    <w:rsid w:val="00EB3A58"/>
    <w:rsid w:val="00EB3F68"/>
    <w:rsid w:val="00EB45EE"/>
    <w:rsid w:val="00EC7C9B"/>
    <w:rsid w:val="00EF266D"/>
    <w:rsid w:val="00F672E9"/>
    <w:rsid w:val="00F93AE5"/>
    <w:rsid w:val="00FB3E41"/>
    <w:rsid w:val="00FE5D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9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58B"/>
    <w:pPr>
      <w:ind w:left="720"/>
      <w:contextualSpacing/>
    </w:pPr>
  </w:style>
  <w:style w:type="paragraph" w:styleId="Header">
    <w:name w:val="header"/>
    <w:basedOn w:val="Normal"/>
    <w:link w:val="HeaderChar"/>
    <w:uiPriority w:val="99"/>
    <w:unhideWhenUsed/>
    <w:rsid w:val="00681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B1"/>
  </w:style>
  <w:style w:type="paragraph" w:styleId="Footer">
    <w:name w:val="footer"/>
    <w:basedOn w:val="Normal"/>
    <w:link w:val="FooterChar"/>
    <w:uiPriority w:val="99"/>
    <w:unhideWhenUsed/>
    <w:rsid w:val="00681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B1"/>
  </w:style>
  <w:style w:type="paragraph" w:styleId="Revision">
    <w:name w:val="Revision"/>
    <w:hidden/>
    <w:uiPriority w:val="99"/>
    <w:semiHidden/>
    <w:rsid w:val="008B0007"/>
    <w:pPr>
      <w:spacing w:after="0" w:line="240" w:lineRule="auto"/>
    </w:pPr>
  </w:style>
  <w:style w:type="paragraph" w:styleId="HTMLPreformatted">
    <w:name w:val="HTML Preformatted"/>
    <w:basedOn w:val="Normal"/>
    <w:link w:val="HTMLPreformattedChar"/>
    <w:uiPriority w:val="99"/>
    <w:semiHidden/>
    <w:unhideWhenUsed/>
    <w:rsid w:val="002214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1407"/>
    <w:rPr>
      <w:rFonts w:ascii="Consolas" w:hAnsi="Consolas"/>
      <w:sz w:val="20"/>
      <w:szCs w:val="20"/>
    </w:rPr>
  </w:style>
  <w:style w:type="character" w:styleId="Hyperlink">
    <w:name w:val="Hyperlink"/>
    <w:basedOn w:val="DefaultParagraphFont"/>
    <w:uiPriority w:val="99"/>
    <w:unhideWhenUsed/>
    <w:rsid w:val="00541705"/>
    <w:rPr>
      <w:color w:val="0563C1" w:themeColor="hyperlink"/>
      <w:u w:val="single"/>
    </w:rPr>
  </w:style>
  <w:style w:type="character" w:styleId="UnresolvedMention">
    <w:name w:val="Unresolved Mention"/>
    <w:basedOn w:val="DefaultParagraphFont"/>
    <w:uiPriority w:val="99"/>
    <w:semiHidden/>
    <w:unhideWhenUsed/>
    <w:rsid w:val="00541705"/>
    <w:rPr>
      <w:color w:val="605E5C"/>
      <w:shd w:val="clear" w:color="auto" w:fill="E1DFDD"/>
    </w:rPr>
  </w:style>
  <w:style w:type="character" w:styleId="CommentReference">
    <w:name w:val="annotation reference"/>
    <w:basedOn w:val="DefaultParagraphFont"/>
    <w:uiPriority w:val="99"/>
    <w:semiHidden/>
    <w:unhideWhenUsed/>
    <w:rsid w:val="00665561"/>
    <w:rPr>
      <w:sz w:val="16"/>
      <w:szCs w:val="16"/>
    </w:rPr>
  </w:style>
  <w:style w:type="paragraph" w:styleId="CommentText">
    <w:name w:val="annotation text"/>
    <w:basedOn w:val="Normal"/>
    <w:link w:val="CommentTextChar"/>
    <w:uiPriority w:val="99"/>
    <w:unhideWhenUsed/>
    <w:rsid w:val="00665561"/>
    <w:pPr>
      <w:spacing w:line="240" w:lineRule="auto"/>
    </w:pPr>
    <w:rPr>
      <w:sz w:val="20"/>
      <w:szCs w:val="20"/>
    </w:rPr>
  </w:style>
  <w:style w:type="character" w:customStyle="1" w:styleId="CommentTextChar">
    <w:name w:val="Comment Text Char"/>
    <w:basedOn w:val="DefaultParagraphFont"/>
    <w:link w:val="CommentText"/>
    <w:uiPriority w:val="99"/>
    <w:rsid w:val="00665561"/>
    <w:rPr>
      <w:sz w:val="20"/>
      <w:szCs w:val="20"/>
    </w:rPr>
  </w:style>
  <w:style w:type="paragraph" w:styleId="CommentSubject">
    <w:name w:val="annotation subject"/>
    <w:basedOn w:val="CommentText"/>
    <w:next w:val="CommentText"/>
    <w:link w:val="CommentSubjectChar"/>
    <w:uiPriority w:val="99"/>
    <w:semiHidden/>
    <w:unhideWhenUsed/>
    <w:rsid w:val="00665561"/>
    <w:rPr>
      <w:b/>
      <w:bCs/>
    </w:rPr>
  </w:style>
  <w:style w:type="character" w:customStyle="1" w:styleId="CommentSubjectChar">
    <w:name w:val="Comment Subject Char"/>
    <w:basedOn w:val="CommentTextChar"/>
    <w:link w:val="CommentSubject"/>
    <w:uiPriority w:val="99"/>
    <w:semiHidden/>
    <w:rsid w:val="00665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9143">
      <w:bodyDiv w:val="1"/>
      <w:marLeft w:val="0"/>
      <w:marRight w:val="0"/>
      <w:marTop w:val="0"/>
      <w:marBottom w:val="0"/>
      <w:divBdr>
        <w:top w:val="none" w:sz="0" w:space="0" w:color="auto"/>
        <w:left w:val="none" w:sz="0" w:space="0" w:color="auto"/>
        <w:bottom w:val="none" w:sz="0" w:space="0" w:color="auto"/>
        <w:right w:val="none" w:sz="0" w:space="0" w:color="auto"/>
      </w:divBdr>
    </w:div>
    <w:div w:id="611320718">
      <w:bodyDiv w:val="1"/>
      <w:marLeft w:val="0"/>
      <w:marRight w:val="0"/>
      <w:marTop w:val="0"/>
      <w:marBottom w:val="0"/>
      <w:divBdr>
        <w:top w:val="none" w:sz="0" w:space="0" w:color="auto"/>
        <w:left w:val="none" w:sz="0" w:space="0" w:color="auto"/>
        <w:bottom w:val="none" w:sz="0" w:space="0" w:color="auto"/>
        <w:right w:val="none" w:sz="0" w:space="0" w:color="auto"/>
      </w:divBdr>
    </w:div>
    <w:div w:id="1005981231">
      <w:bodyDiv w:val="1"/>
      <w:marLeft w:val="0"/>
      <w:marRight w:val="0"/>
      <w:marTop w:val="0"/>
      <w:marBottom w:val="0"/>
      <w:divBdr>
        <w:top w:val="none" w:sz="0" w:space="0" w:color="auto"/>
        <w:left w:val="none" w:sz="0" w:space="0" w:color="auto"/>
        <w:bottom w:val="none" w:sz="0" w:space="0" w:color="auto"/>
        <w:right w:val="none" w:sz="0" w:space="0" w:color="auto"/>
      </w:divBdr>
    </w:div>
    <w:div w:id="1593587471">
      <w:bodyDiv w:val="1"/>
      <w:marLeft w:val="0"/>
      <w:marRight w:val="0"/>
      <w:marTop w:val="0"/>
      <w:marBottom w:val="0"/>
      <w:divBdr>
        <w:top w:val="none" w:sz="0" w:space="0" w:color="auto"/>
        <w:left w:val="none" w:sz="0" w:space="0" w:color="auto"/>
        <w:bottom w:val="none" w:sz="0" w:space="0" w:color="auto"/>
        <w:right w:val="none" w:sz="0" w:space="0" w:color="auto"/>
      </w:divBdr>
    </w:div>
    <w:div w:id="1658462353">
      <w:bodyDiv w:val="1"/>
      <w:marLeft w:val="0"/>
      <w:marRight w:val="0"/>
      <w:marTop w:val="0"/>
      <w:marBottom w:val="0"/>
      <w:divBdr>
        <w:top w:val="none" w:sz="0" w:space="0" w:color="auto"/>
        <w:left w:val="none" w:sz="0" w:space="0" w:color="auto"/>
        <w:bottom w:val="none" w:sz="0" w:space="0" w:color="auto"/>
        <w:right w:val="none" w:sz="0" w:space="0" w:color="auto"/>
      </w:divBdr>
    </w:div>
    <w:div w:id="18879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3-17-f.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cat.int/Documents/Recs/compendiopdf-f/2023-17-f.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ma-gies.fao.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cat.int/FR/portinspection.html" TargetMode="External"/><Relationship Id="rId4" Type="http://schemas.openxmlformats.org/officeDocument/2006/relationships/webSettings" Target="webSettings.xml"/><Relationship Id="rId9" Type="http://schemas.openxmlformats.org/officeDocument/2006/relationships/hyperlink" Target="https://iccat.int/Forms/CP58-AnnRepPIs.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4630</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2025-11-06T14:16:00Z</dcterms:created>
  <dcterms:modified xsi:type="dcterms:W3CDTF">2025-11-16T16:53:00Z</dcterms:modified>
</cp:coreProperties>
</file>