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1D1B" w14:textId="5030817D" w:rsidR="00341303" w:rsidRPr="00B00089" w:rsidRDefault="00341303" w:rsidP="00341303">
      <w:pPr>
        <w:spacing w:after="0" w:line="240" w:lineRule="auto"/>
        <w:jc w:val="right"/>
        <w:rPr>
          <w:rFonts w:ascii="Cambria" w:hAnsi="Cambria"/>
          <w:b/>
          <w:color w:val="000000" w:themeColor="text1"/>
          <w:sz w:val="20"/>
        </w:rPr>
      </w:pPr>
      <w:r w:rsidRPr="00B00089">
        <w:rPr>
          <w:rFonts w:ascii="Cambria" w:hAnsi="Cambria"/>
          <w:b/>
          <w:color w:val="000000" w:themeColor="text1"/>
          <w:sz w:val="20"/>
        </w:rPr>
        <w:t>Original: inglés</w:t>
      </w:r>
    </w:p>
    <w:p w14:paraId="56E64D0C" w14:textId="77777777" w:rsidR="00341303" w:rsidRPr="00B00089" w:rsidRDefault="00341303" w:rsidP="00341303">
      <w:pPr>
        <w:spacing w:after="0" w:line="240" w:lineRule="auto"/>
        <w:jc w:val="right"/>
        <w:rPr>
          <w:rFonts w:ascii="Cambria" w:hAnsi="Cambria"/>
          <w:b/>
          <w:color w:val="000000" w:themeColor="text1"/>
          <w:sz w:val="20"/>
        </w:rPr>
      </w:pPr>
    </w:p>
    <w:p w14:paraId="68D4C349" w14:textId="67192130" w:rsidR="00806318" w:rsidRPr="00B00089" w:rsidRDefault="4BC23E5B" w:rsidP="00741B44">
      <w:pPr>
        <w:spacing w:after="0" w:line="240" w:lineRule="auto"/>
        <w:jc w:val="center"/>
        <w:rPr>
          <w:rFonts w:ascii="Cambria" w:hAnsi="Cambria"/>
          <w:b/>
          <w:color w:val="000000" w:themeColor="text1"/>
          <w:sz w:val="20"/>
        </w:rPr>
      </w:pPr>
      <w:r w:rsidRPr="00B00089">
        <w:rPr>
          <w:rFonts w:ascii="Cambria" w:hAnsi="Cambria"/>
          <w:b/>
          <w:color w:val="000000" w:themeColor="text1"/>
          <w:sz w:val="20"/>
        </w:rPr>
        <w:t xml:space="preserve">   Informe sobre la implementación de la derogación para la validación de los BCD</w:t>
      </w:r>
    </w:p>
    <w:p w14:paraId="5BE1767F" w14:textId="77777777" w:rsidR="00806318" w:rsidRPr="00B00089" w:rsidRDefault="4BC23E5B" w:rsidP="00741B44">
      <w:pPr>
        <w:spacing w:after="0" w:line="240" w:lineRule="auto"/>
        <w:jc w:val="center"/>
        <w:rPr>
          <w:rFonts w:ascii="Cambria" w:hAnsi="Cambria"/>
          <w:b/>
          <w:color w:val="000000" w:themeColor="text1"/>
          <w:sz w:val="20"/>
        </w:rPr>
      </w:pPr>
      <w:r w:rsidRPr="00B00089">
        <w:rPr>
          <w:rFonts w:ascii="Cambria" w:hAnsi="Cambria"/>
          <w:b/>
          <w:color w:val="000000" w:themeColor="text1"/>
          <w:sz w:val="20"/>
        </w:rPr>
        <w:t xml:space="preserve">para el comercio de atún rojo entre los Estados miembros de la UE en 2024 </w:t>
      </w:r>
    </w:p>
    <w:p w14:paraId="4E0CB13E" w14:textId="5C26A617" w:rsidR="009E4402" w:rsidRPr="00B00089" w:rsidRDefault="4BC23E5B" w:rsidP="00741B44">
      <w:pPr>
        <w:spacing w:after="0" w:line="240" w:lineRule="auto"/>
        <w:jc w:val="center"/>
        <w:rPr>
          <w:rFonts w:ascii="Cambria" w:eastAsia="Times New Roman" w:hAnsi="Cambria" w:cs="Times New Roman"/>
          <w:b/>
          <w:bCs/>
          <w:color w:val="000000" w:themeColor="text1"/>
          <w:sz w:val="20"/>
          <w:szCs w:val="20"/>
        </w:rPr>
      </w:pPr>
      <w:r w:rsidRPr="00B00089">
        <w:rPr>
          <w:rFonts w:ascii="Cambria" w:hAnsi="Cambria"/>
          <w:b/>
          <w:color w:val="000000" w:themeColor="text1"/>
          <w:sz w:val="20"/>
        </w:rPr>
        <w:t xml:space="preserve">(párrafo 5b de la Recomendación 24-16 de ICCAT) </w:t>
      </w:r>
    </w:p>
    <w:p w14:paraId="69C2F03C" w14:textId="7B462BD6" w:rsidR="4BC23E5B" w:rsidRPr="00B00089" w:rsidRDefault="4BC23E5B" w:rsidP="00741B44">
      <w:pPr>
        <w:spacing w:after="0" w:line="240" w:lineRule="auto"/>
        <w:jc w:val="center"/>
        <w:rPr>
          <w:rFonts w:ascii="Cambria" w:eastAsia="Times New Roman" w:hAnsi="Cambria" w:cs="Times New Roman"/>
          <w:b/>
          <w:bCs/>
          <w:color w:val="000000" w:themeColor="text1"/>
          <w:sz w:val="20"/>
          <w:szCs w:val="20"/>
        </w:rPr>
      </w:pPr>
      <w:r w:rsidRPr="00B00089">
        <w:rPr>
          <w:rFonts w:ascii="Cambria" w:hAnsi="Cambria"/>
          <w:b/>
          <w:color w:val="000000" w:themeColor="text1"/>
          <w:sz w:val="20"/>
        </w:rPr>
        <w:t xml:space="preserve"> </w:t>
      </w:r>
    </w:p>
    <w:p w14:paraId="5858B356" w14:textId="6022BD30" w:rsidR="4BC23E5B" w:rsidRPr="00B00089" w:rsidRDefault="4BC23E5B" w:rsidP="00741B44">
      <w:pPr>
        <w:keepNext/>
        <w:spacing w:after="0" w:line="240" w:lineRule="auto"/>
        <w:jc w:val="center"/>
        <w:rPr>
          <w:rFonts w:ascii="Cambria" w:eastAsia="Times New Roman" w:hAnsi="Cambria" w:cs="Times New Roman"/>
          <w:i/>
          <w:iCs/>
          <w:color w:val="000000" w:themeColor="text1"/>
          <w:sz w:val="20"/>
          <w:szCs w:val="20"/>
        </w:rPr>
      </w:pPr>
      <w:r w:rsidRPr="00B00089">
        <w:rPr>
          <w:rFonts w:ascii="Cambria" w:hAnsi="Cambria"/>
          <w:i/>
          <w:color w:val="000000" w:themeColor="text1"/>
          <w:sz w:val="20"/>
        </w:rPr>
        <w:t xml:space="preserve"> (</w:t>
      </w:r>
      <w:r w:rsidR="00341303" w:rsidRPr="00B00089">
        <w:rPr>
          <w:rFonts w:ascii="Cambria" w:hAnsi="Cambria"/>
          <w:i/>
          <w:color w:val="000000" w:themeColor="text1"/>
          <w:sz w:val="20"/>
        </w:rPr>
        <w:t>p</w:t>
      </w:r>
      <w:r w:rsidRPr="00B00089">
        <w:rPr>
          <w:rFonts w:ascii="Cambria" w:hAnsi="Cambria"/>
          <w:i/>
          <w:color w:val="000000" w:themeColor="text1"/>
          <w:sz w:val="20"/>
        </w:rPr>
        <w:t>resent</w:t>
      </w:r>
      <w:r w:rsidR="00341303" w:rsidRPr="00B00089">
        <w:rPr>
          <w:rFonts w:ascii="Cambria" w:hAnsi="Cambria"/>
          <w:i/>
          <w:color w:val="000000" w:themeColor="text1"/>
          <w:sz w:val="20"/>
        </w:rPr>
        <w:t xml:space="preserve">ado por </w:t>
      </w:r>
      <w:r w:rsidRPr="00B00089">
        <w:rPr>
          <w:rFonts w:ascii="Cambria" w:hAnsi="Cambria"/>
          <w:i/>
          <w:color w:val="000000" w:themeColor="text1"/>
          <w:sz w:val="20"/>
        </w:rPr>
        <w:t xml:space="preserve">la </w:t>
      </w:r>
      <w:r w:rsidR="00341303" w:rsidRPr="00B00089">
        <w:rPr>
          <w:rFonts w:ascii="Cambria" w:hAnsi="Cambria"/>
          <w:i/>
          <w:color w:val="000000" w:themeColor="text1"/>
          <w:sz w:val="20"/>
        </w:rPr>
        <w:t>Unión Europea</w:t>
      </w:r>
      <w:r w:rsidRPr="00B00089">
        <w:rPr>
          <w:rFonts w:ascii="Cambria" w:hAnsi="Cambria"/>
          <w:i/>
          <w:color w:val="000000" w:themeColor="text1"/>
          <w:sz w:val="20"/>
        </w:rPr>
        <w:t xml:space="preserve">)  </w:t>
      </w:r>
    </w:p>
    <w:p w14:paraId="10207FBA" w14:textId="77777777" w:rsidR="00741B44" w:rsidRPr="00B00089" w:rsidRDefault="00741B44" w:rsidP="00741B44">
      <w:pPr>
        <w:keepNext/>
        <w:spacing w:after="0" w:line="240" w:lineRule="auto"/>
        <w:jc w:val="center"/>
        <w:rPr>
          <w:rFonts w:ascii="Cambria" w:eastAsia="Times New Roman" w:hAnsi="Cambria" w:cs="Times New Roman"/>
          <w:b/>
          <w:bCs/>
          <w:color w:val="000000" w:themeColor="text1"/>
          <w:sz w:val="20"/>
          <w:szCs w:val="20"/>
        </w:rPr>
      </w:pPr>
    </w:p>
    <w:p w14:paraId="7A3F7E00" w14:textId="526ECB64" w:rsidR="4BC23E5B" w:rsidRPr="00B00089" w:rsidRDefault="007E7AC9" w:rsidP="00741B44">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sidRPr="00B00089">
        <w:rPr>
          <w:rFonts w:ascii="Cambria" w:hAnsi="Cambria"/>
          <w:b/>
          <w:color w:val="000000" w:themeColor="text1"/>
          <w:sz w:val="20"/>
        </w:rPr>
        <w:t>Introducción</w:t>
      </w:r>
    </w:p>
    <w:p w14:paraId="42BEEBB3" w14:textId="77777777" w:rsidR="007E7AC9" w:rsidRPr="00B00089" w:rsidRDefault="007E7AC9" w:rsidP="00741B44">
      <w:pPr>
        <w:keepNext/>
        <w:spacing w:after="0" w:line="240" w:lineRule="auto"/>
        <w:jc w:val="both"/>
        <w:rPr>
          <w:rFonts w:ascii="Cambria" w:eastAsia="Times New Roman" w:hAnsi="Cambria" w:cs="Times New Roman"/>
          <w:color w:val="000000" w:themeColor="text1"/>
          <w:sz w:val="20"/>
          <w:szCs w:val="20"/>
        </w:rPr>
      </w:pPr>
    </w:p>
    <w:p w14:paraId="31A45D16" w14:textId="600BA957" w:rsidR="4BC23E5B" w:rsidRPr="00B00089" w:rsidRDefault="4BC23E5B" w:rsidP="00741B44">
      <w:pPr>
        <w:keepNext/>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 xml:space="preserve">Al igual que otras Partes contratantes (CPC) de ICCAT, la Unión Europea (UE) </w:t>
      </w:r>
      <w:r w:rsidR="00341303" w:rsidRPr="00B00089">
        <w:rPr>
          <w:rFonts w:ascii="Cambria" w:hAnsi="Cambria"/>
          <w:color w:val="000000" w:themeColor="text1"/>
          <w:sz w:val="20"/>
        </w:rPr>
        <w:t xml:space="preserve">implementa </w:t>
      </w:r>
      <w:r w:rsidRPr="00B00089">
        <w:rPr>
          <w:rFonts w:ascii="Cambria" w:hAnsi="Cambria"/>
          <w:color w:val="000000" w:themeColor="text1"/>
          <w:sz w:val="20"/>
        </w:rPr>
        <w:t>el sistema eBCD desde el 26 de mayo de 2016 para el atún rojo (BFT) capturado por los cerqueros y almadrabas y desde el 1 de julio de 2016 para los peces capturados por otros artes. Todos los operadores implementan el sistema en su totalidad desde enero de 2017.</w:t>
      </w:r>
    </w:p>
    <w:p w14:paraId="0A3D8F94" w14:textId="77777777" w:rsidR="007E7AC9" w:rsidRPr="00B00089" w:rsidRDefault="007E7AC9" w:rsidP="00741B44">
      <w:pPr>
        <w:keepNext/>
        <w:spacing w:after="0" w:line="240" w:lineRule="auto"/>
        <w:jc w:val="both"/>
        <w:rPr>
          <w:rFonts w:ascii="Cambria" w:eastAsia="Times New Roman" w:hAnsi="Cambria" w:cs="Times New Roman"/>
          <w:b/>
          <w:bCs/>
          <w:color w:val="000000" w:themeColor="text1"/>
          <w:sz w:val="20"/>
          <w:szCs w:val="20"/>
        </w:rPr>
      </w:pPr>
    </w:p>
    <w:p w14:paraId="0E740359" w14:textId="371C1C38" w:rsidR="00C34E8E" w:rsidRPr="00B00089" w:rsidRDefault="0735E4F6" w:rsidP="00741B44">
      <w:pPr>
        <w:keepNext/>
        <w:spacing w:after="0" w:line="240" w:lineRule="auto"/>
        <w:jc w:val="both"/>
        <w:rPr>
          <w:rFonts w:ascii="Cambria" w:eastAsia="Times New Roman" w:hAnsi="Cambria" w:cs="Times New Roman"/>
          <w:b/>
          <w:bCs/>
          <w:color w:val="000000" w:themeColor="text1"/>
          <w:sz w:val="20"/>
          <w:szCs w:val="20"/>
        </w:rPr>
      </w:pPr>
      <w:r w:rsidRPr="00B00089">
        <w:rPr>
          <w:rFonts w:ascii="Cambria" w:hAnsi="Cambria"/>
          <w:color w:val="000000" w:themeColor="text1"/>
          <w:sz w:val="20"/>
        </w:rPr>
        <w:t xml:space="preserve">El párrafo 5b de la Recomendación 24-16 establece una derogación para la validación </w:t>
      </w:r>
      <w:r w:rsidR="00E45ABE" w:rsidRPr="00B00089">
        <w:rPr>
          <w:rFonts w:ascii="Cambria" w:hAnsi="Cambria"/>
          <w:color w:val="000000" w:themeColor="text1"/>
          <w:sz w:val="20"/>
        </w:rPr>
        <w:t xml:space="preserve">de los BCD para el  </w:t>
      </w:r>
      <w:r w:rsidRPr="00B00089">
        <w:rPr>
          <w:rFonts w:ascii="Cambria" w:hAnsi="Cambria"/>
          <w:color w:val="000000" w:themeColor="text1"/>
          <w:sz w:val="20"/>
        </w:rPr>
        <w:t>comercio de atún rojo entre los Estados miembros de la UE</w:t>
      </w:r>
      <w:r w:rsidR="00E45ABE" w:rsidRPr="00B00089">
        <w:rPr>
          <w:rFonts w:ascii="Cambria" w:hAnsi="Cambria"/>
          <w:color w:val="000000" w:themeColor="text1"/>
          <w:sz w:val="20"/>
        </w:rPr>
        <w:t>.</w:t>
      </w:r>
      <w:r w:rsidRPr="00B00089">
        <w:rPr>
          <w:rFonts w:ascii="Cambria" w:hAnsi="Cambria"/>
          <w:color w:val="000000" w:themeColor="text1"/>
          <w:sz w:val="20"/>
        </w:rPr>
        <w:t xml:space="preserve"> La </w:t>
      </w:r>
      <w:r w:rsidR="00E45ABE" w:rsidRPr="00B00089">
        <w:rPr>
          <w:rFonts w:ascii="Cambria" w:hAnsi="Cambria"/>
          <w:color w:val="000000" w:themeColor="text1"/>
          <w:sz w:val="20"/>
        </w:rPr>
        <w:t xml:space="preserve">UE </w:t>
      </w:r>
      <w:r w:rsidRPr="00B00089">
        <w:rPr>
          <w:rFonts w:ascii="Cambria" w:hAnsi="Cambria"/>
          <w:color w:val="000000" w:themeColor="text1"/>
          <w:sz w:val="20"/>
        </w:rPr>
        <w:t xml:space="preserve">debe informar a la Comisión sobre la implementación de esta </w:t>
      </w:r>
      <w:r w:rsidR="00E45ABE" w:rsidRPr="00B00089">
        <w:rPr>
          <w:rFonts w:ascii="Cambria" w:hAnsi="Cambria"/>
          <w:color w:val="000000" w:themeColor="text1"/>
          <w:sz w:val="20"/>
        </w:rPr>
        <w:t>derogación</w:t>
      </w:r>
      <w:r w:rsidRPr="00B00089">
        <w:rPr>
          <w:rFonts w:ascii="Cambria" w:hAnsi="Cambria"/>
          <w:color w:val="000000" w:themeColor="text1"/>
          <w:sz w:val="20"/>
        </w:rPr>
        <w:t xml:space="preserve"> antes del 1 de octubre de cada año, aunque las estadísticas que figuran en este informe no pueden generarse mediante el sistema eBCD ni ponerse automáticamente a disposición de toda la Comisión de ICCAT y las CPC para su consulta. </w:t>
      </w:r>
    </w:p>
    <w:p w14:paraId="10C54E86" w14:textId="77777777" w:rsidR="00C34E8E" w:rsidRPr="00B00089" w:rsidRDefault="00C34E8E" w:rsidP="00741B44">
      <w:pPr>
        <w:pStyle w:val="ListParagraph"/>
        <w:keepNext/>
        <w:spacing w:after="0" w:line="240" w:lineRule="auto"/>
        <w:jc w:val="both"/>
        <w:rPr>
          <w:rFonts w:ascii="Cambria" w:eastAsia="Times New Roman" w:hAnsi="Cambria" w:cs="Times New Roman"/>
          <w:b/>
          <w:bCs/>
          <w:color w:val="000000" w:themeColor="text1"/>
          <w:sz w:val="20"/>
          <w:szCs w:val="20"/>
        </w:rPr>
      </w:pPr>
    </w:p>
    <w:p w14:paraId="4E85FB57" w14:textId="77777777" w:rsidR="00001C64" w:rsidRPr="00B00089" w:rsidRDefault="00001C64" w:rsidP="00741B44">
      <w:pPr>
        <w:pStyle w:val="ListParagraph"/>
        <w:keepNext/>
        <w:spacing w:after="0" w:line="240" w:lineRule="auto"/>
        <w:jc w:val="both"/>
        <w:rPr>
          <w:rFonts w:ascii="Cambria" w:eastAsia="Times New Roman" w:hAnsi="Cambria" w:cs="Times New Roman"/>
          <w:b/>
          <w:bCs/>
          <w:color w:val="000000" w:themeColor="text1"/>
          <w:sz w:val="20"/>
          <w:szCs w:val="20"/>
        </w:rPr>
      </w:pPr>
    </w:p>
    <w:p w14:paraId="1BA86DFA" w14:textId="4C736F47" w:rsidR="4BC23E5B" w:rsidRPr="00B00089" w:rsidRDefault="00AA2A52" w:rsidP="00AA2A52">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sidRPr="00B00089">
        <w:rPr>
          <w:rFonts w:ascii="Cambria" w:hAnsi="Cambria"/>
          <w:b/>
          <w:color w:val="000000" w:themeColor="text1"/>
          <w:sz w:val="20"/>
        </w:rPr>
        <w:t>Derogación con arreglo al párrafo 5b de la Recomendación 24-16  de ICCAT</w:t>
      </w:r>
    </w:p>
    <w:p w14:paraId="411F0AD0"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54C8FAFA" w14:textId="1816E36A" w:rsidR="4BC23E5B" w:rsidRPr="00B00089" w:rsidRDefault="4BC23E5B"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Los datos presentados a continuación corresponden al periodo comprendido entre el 1 de enero de 2024 y el 31 de diciembre de 2024. Estos datos se extrajeron parcialmente mediante la funcionalidad del sistema eBCD. Las administraciones de los Estados miembros aportaron datos adicionales sobre la verificación.</w:t>
      </w:r>
    </w:p>
    <w:p w14:paraId="01D5CBE8"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621B9235" w14:textId="71331B7A" w:rsidR="4BC23E5B" w:rsidRPr="00B00089" w:rsidRDefault="0735E4F6"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El alcance de este informe se ha restringido a los eventos comerciales de atún rojo de los Estados miembros de la UE vendedores, para evitar la duplicación, y porque el Estado miembro vendedor es responsable de la validación del comercio en el eBCD.</w:t>
      </w:r>
    </w:p>
    <w:p w14:paraId="462EE6BC"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2AB09F67" w14:textId="13618E61" w:rsidR="1C116FD1" w:rsidRPr="00B00089" w:rsidRDefault="1C116FD1"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En 2024, los Estados miembros de la UE registraron 229.139 eventos comerciales</w:t>
      </w:r>
      <w:r w:rsidRPr="00B00089">
        <w:rPr>
          <w:rStyle w:val="FootnoteReference"/>
          <w:rFonts w:ascii="Cambria" w:eastAsia="Times New Roman" w:hAnsi="Cambria" w:cs="Times New Roman"/>
          <w:color w:val="000000" w:themeColor="text1"/>
          <w:sz w:val="20"/>
          <w:szCs w:val="20"/>
        </w:rPr>
        <w:footnoteReference w:id="1"/>
      </w:r>
      <w:r w:rsidRPr="00B00089">
        <w:rPr>
          <w:rFonts w:ascii="Cambria" w:hAnsi="Cambria"/>
          <w:color w:val="000000" w:themeColor="text1"/>
          <w:sz w:val="20"/>
        </w:rPr>
        <w:t xml:space="preserve"> en el sistema eBCD que implicaron 49.506 t. El Reglamento (UE) 640/2010</w:t>
      </w:r>
      <w:r w:rsidRPr="00B00089">
        <w:rPr>
          <w:rStyle w:val="FootnoteReference"/>
          <w:rFonts w:ascii="Cambria" w:eastAsia="Times New Roman" w:hAnsi="Cambria" w:cs="Times New Roman"/>
          <w:color w:val="000000" w:themeColor="text1"/>
          <w:sz w:val="20"/>
          <w:szCs w:val="20"/>
        </w:rPr>
        <w:footnoteReference w:id="2"/>
      </w:r>
      <w:r w:rsidRPr="00B00089">
        <w:rPr>
          <w:rFonts w:ascii="Cambria" w:hAnsi="Cambria"/>
          <w:color w:val="000000" w:themeColor="text1"/>
          <w:sz w:val="20"/>
        </w:rPr>
        <w:t xml:space="preserve"> establece la obligación de registrar los eventos comerciales dentro de los Estados miembros de la UE. En consecuencia, el 71 % de las operaciones comerciales registradas en el eBCD por la UE son operaciones comerciales internas dentro de los territorios de los Estados miembros de la UE (161.920 operaciones). El resto de las operaciones comerciales incluyen 26.826 exportaciones a otros países no pertenecientes a la UE (ya sean CPC de ICCAT o no) (12</w:t>
      </w:r>
      <w:r w:rsidR="0026568C" w:rsidRPr="00B00089">
        <w:rPr>
          <w:rFonts w:ascii="Cambria" w:hAnsi="Cambria"/>
          <w:color w:val="000000" w:themeColor="text1"/>
          <w:sz w:val="20"/>
        </w:rPr>
        <w:t> </w:t>
      </w:r>
      <w:r w:rsidRPr="00B00089">
        <w:rPr>
          <w:rFonts w:ascii="Cambria" w:hAnsi="Cambria"/>
          <w:color w:val="000000" w:themeColor="text1"/>
          <w:sz w:val="20"/>
        </w:rPr>
        <w:t>%), y 55.863 operaciones comerciales entre los Estados miembros de la UE (24</w:t>
      </w:r>
      <w:r w:rsidR="00341303" w:rsidRPr="00B00089">
        <w:rPr>
          <w:rFonts w:ascii="Cambria" w:hAnsi="Cambria"/>
          <w:color w:val="000000" w:themeColor="text1"/>
          <w:sz w:val="20"/>
        </w:rPr>
        <w:t> </w:t>
      </w:r>
      <w:r w:rsidRPr="00B00089">
        <w:rPr>
          <w:rFonts w:ascii="Cambria" w:hAnsi="Cambria"/>
          <w:color w:val="000000" w:themeColor="text1"/>
          <w:sz w:val="20"/>
        </w:rPr>
        <w:t xml:space="preserve">%). </w:t>
      </w:r>
    </w:p>
    <w:p w14:paraId="636C92AA"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7951CF13" w14:textId="402329CE" w:rsidR="1C116FD1" w:rsidRPr="00B00089" w:rsidRDefault="1C116FD1"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Las cantidades en cuestión ascendieron a 13.689 t (28</w:t>
      </w:r>
      <w:r w:rsidR="00341303" w:rsidRPr="00B00089">
        <w:rPr>
          <w:rFonts w:ascii="Cambria" w:hAnsi="Cambria"/>
          <w:color w:val="000000" w:themeColor="text1"/>
          <w:sz w:val="20"/>
        </w:rPr>
        <w:t> </w:t>
      </w:r>
      <w:r w:rsidRPr="00B00089">
        <w:rPr>
          <w:rFonts w:ascii="Cambria" w:hAnsi="Cambria"/>
          <w:color w:val="000000" w:themeColor="text1"/>
          <w:sz w:val="20"/>
        </w:rPr>
        <w:t>%) para el comercio interno y 30.956 t (63</w:t>
      </w:r>
      <w:r w:rsidR="00341303" w:rsidRPr="00B00089">
        <w:rPr>
          <w:rFonts w:ascii="Cambria" w:hAnsi="Cambria"/>
          <w:color w:val="000000" w:themeColor="text1"/>
          <w:sz w:val="20"/>
        </w:rPr>
        <w:t> </w:t>
      </w:r>
      <w:r w:rsidRPr="00B00089">
        <w:rPr>
          <w:rFonts w:ascii="Cambria" w:hAnsi="Cambria"/>
          <w:color w:val="000000" w:themeColor="text1"/>
          <w:sz w:val="20"/>
        </w:rPr>
        <w:t>%) para las exportaciones. Las operaciones comerciales entre los Estados miembros de la UE ascendieron a 4.048 t, lo que representa el 8</w:t>
      </w:r>
      <w:r w:rsidR="00096837" w:rsidRPr="00B00089">
        <w:rPr>
          <w:rFonts w:ascii="Cambria" w:hAnsi="Cambria"/>
          <w:color w:val="000000" w:themeColor="text1"/>
          <w:sz w:val="20"/>
        </w:rPr>
        <w:t> </w:t>
      </w:r>
      <w:r w:rsidRPr="00B00089">
        <w:rPr>
          <w:rFonts w:ascii="Cambria" w:hAnsi="Cambria"/>
          <w:color w:val="000000" w:themeColor="text1"/>
          <w:sz w:val="20"/>
        </w:rPr>
        <w:t>% del peso total comercializado (</w:t>
      </w:r>
      <w:r w:rsidRPr="00B00089">
        <w:rPr>
          <w:rFonts w:ascii="Cambria" w:hAnsi="Cambria"/>
          <w:b/>
          <w:bCs/>
          <w:color w:val="000000" w:themeColor="text1"/>
          <w:sz w:val="20"/>
        </w:rPr>
        <w:t>Figura 1</w:t>
      </w:r>
      <w:r w:rsidRPr="00B00089">
        <w:rPr>
          <w:rFonts w:ascii="Cambria" w:hAnsi="Cambria"/>
          <w:color w:val="000000" w:themeColor="text1"/>
          <w:sz w:val="20"/>
        </w:rPr>
        <w:t>).</w:t>
      </w:r>
    </w:p>
    <w:p w14:paraId="0F8CA766" w14:textId="38165E65" w:rsidR="31DB0E87" w:rsidRPr="00B00089" w:rsidRDefault="31DB0E87" w:rsidP="00741B44">
      <w:pPr>
        <w:spacing w:after="0" w:line="240" w:lineRule="auto"/>
        <w:jc w:val="center"/>
        <w:rPr>
          <w:rFonts w:ascii="Cambria" w:hAnsi="Cambria"/>
          <w:sz w:val="20"/>
          <w:szCs w:val="20"/>
        </w:rPr>
      </w:pPr>
      <w:r w:rsidRPr="00B00089">
        <w:rPr>
          <w:rFonts w:ascii="Cambria" w:hAnsi="Cambria"/>
          <w:noProof/>
          <w:sz w:val="20"/>
        </w:rPr>
        <w:lastRenderedPageBreak/>
        <w:drawing>
          <wp:inline distT="0" distB="0" distL="0" distR="0" wp14:anchorId="7730E4AD" wp14:editId="3EA9A6DA">
            <wp:extent cx="3860353" cy="2802466"/>
            <wp:effectExtent l="0" t="0" r="6985" b="0"/>
            <wp:docPr id="17863109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34684" name=""/>
                    <pic:cNvPicPr/>
                  </pic:nvPicPr>
                  <pic:blipFill>
                    <a:blip r:embed="rId7">
                      <a:extLst>
                        <a:ext uri="{28A0092B-C50C-407E-A947-70E740481C1C}">
                          <a14:useLocalDpi xmlns:a14="http://schemas.microsoft.com/office/drawing/2010/main"/>
                        </a:ext>
                      </a:extLst>
                    </a:blip>
                    <a:stretch>
                      <a:fillRect/>
                    </a:stretch>
                  </pic:blipFill>
                  <pic:spPr>
                    <a:xfrm>
                      <a:off x="0" y="0"/>
                      <a:ext cx="3868105" cy="2808093"/>
                    </a:xfrm>
                    <a:prstGeom prst="rect">
                      <a:avLst/>
                    </a:prstGeom>
                  </pic:spPr>
                </pic:pic>
              </a:graphicData>
            </a:graphic>
          </wp:inline>
        </w:drawing>
      </w:r>
    </w:p>
    <w:p w14:paraId="269B6053" w14:textId="77777777" w:rsidR="00096837" w:rsidRPr="00B00089" w:rsidRDefault="00096837" w:rsidP="00741B44">
      <w:pPr>
        <w:spacing w:after="0" w:line="240" w:lineRule="auto"/>
        <w:jc w:val="both"/>
        <w:rPr>
          <w:rFonts w:ascii="Cambria" w:hAnsi="Cambria"/>
          <w:i/>
          <w:color w:val="000000" w:themeColor="text1"/>
          <w:sz w:val="20"/>
        </w:rPr>
      </w:pPr>
    </w:p>
    <w:p w14:paraId="26D3209E" w14:textId="0D0C295C" w:rsidR="4F76BCD6" w:rsidRPr="00B00089" w:rsidRDefault="4F76BCD6" w:rsidP="00741B44">
      <w:pPr>
        <w:spacing w:after="0" w:line="240" w:lineRule="auto"/>
        <w:jc w:val="both"/>
        <w:rPr>
          <w:rFonts w:ascii="Cambria" w:eastAsia="Times New Roman" w:hAnsi="Cambria" w:cs="Times New Roman"/>
          <w:sz w:val="20"/>
          <w:szCs w:val="20"/>
        </w:rPr>
      </w:pPr>
      <w:r w:rsidRPr="00B00089">
        <w:rPr>
          <w:rFonts w:ascii="Cambria" w:hAnsi="Cambria"/>
          <w:i/>
          <w:color w:val="000000" w:themeColor="text1"/>
          <w:sz w:val="20"/>
        </w:rPr>
        <w:t>Exportaciones: operaciones comerciales desde la UE a otras CPC. Operaciones comerciales entre EM-UE: operaciones comerciales entre Estados miembros de la UE. Operaciones comerciales internas: operaciones comerciales dentro de los territorios de los Estados miembros de la UE.</w:t>
      </w:r>
    </w:p>
    <w:p w14:paraId="3EF4493E"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0F133028" w14:textId="206FF36C" w:rsidR="289210A1" w:rsidRPr="00B00089" w:rsidRDefault="4F76BCD6" w:rsidP="00741B44">
      <w:pPr>
        <w:spacing w:after="0" w:line="240" w:lineRule="auto"/>
        <w:jc w:val="both"/>
        <w:rPr>
          <w:rFonts w:ascii="Cambria" w:eastAsia="Times New Roman" w:hAnsi="Cambria" w:cs="Times New Roman"/>
          <w:sz w:val="20"/>
          <w:szCs w:val="20"/>
        </w:rPr>
      </w:pPr>
      <w:r w:rsidRPr="00B00089">
        <w:rPr>
          <w:rFonts w:ascii="Cambria" w:hAnsi="Cambria"/>
          <w:color w:val="000000" w:themeColor="text1"/>
          <w:sz w:val="20"/>
        </w:rPr>
        <w:t>El 47 % (107.926) del total de l</w:t>
      </w:r>
      <w:r w:rsidR="003247AB" w:rsidRPr="00B00089">
        <w:rPr>
          <w:rFonts w:ascii="Cambria" w:hAnsi="Cambria"/>
          <w:color w:val="000000" w:themeColor="text1"/>
          <w:sz w:val="20"/>
        </w:rPr>
        <w:t>as operaciones comerciales</w:t>
      </w:r>
      <w:r w:rsidRPr="00B00089">
        <w:rPr>
          <w:rFonts w:ascii="Cambria" w:hAnsi="Cambria"/>
          <w:color w:val="000000" w:themeColor="text1"/>
          <w:sz w:val="20"/>
        </w:rPr>
        <w:t xml:space="preserve"> fue validado, y el 54 % (123.273) quedó exento de validación, para una cantidad de 40.140 t (81 %) y 9.329 t (19 %) respectivamente (</w:t>
      </w:r>
      <w:r w:rsidRPr="00B00089">
        <w:rPr>
          <w:rFonts w:ascii="Cambria" w:hAnsi="Cambria"/>
          <w:b/>
          <w:bCs/>
          <w:color w:val="000000" w:themeColor="text1"/>
          <w:sz w:val="20"/>
        </w:rPr>
        <w:t>Figura 2</w:t>
      </w:r>
      <w:r w:rsidRPr="00B00089">
        <w:rPr>
          <w:rFonts w:ascii="Cambria" w:hAnsi="Cambria"/>
          <w:color w:val="000000" w:themeColor="text1"/>
          <w:sz w:val="20"/>
        </w:rPr>
        <w:t>). Además del comercio entre Estados miembros, las exenciones incluyen tanto la derogación con arreglo al párrafo</w:t>
      </w:r>
      <w:r w:rsidR="003247AB" w:rsidRPr="00B00089">
        <w:rPr>
          <w:rFonts w:ascii="Cambria" w:hAnsi="Cambria"/>
          <w:color w:val="000000" w:themeColor="text1"/>
          <w:sz w:val="20"/>
        </w:rPr>
        <w:t> </w:t>
      </w:r>
      <w:r w:rsidRPr="00B00089">
        <w:rPr>
          <w:rFonts w:ascii="Cambria" w:hAnsi="Cambria"/>
          <w:color w:val="000000" w:themeColor="text1"/>
          <w:sz w:val="20"/>
        </w:rPr>
        <w:t xml:space="preserve">5b de la Recomendación 24-16 como la exención para el pescado marcado con arreglo al párrafo 5d de la Recomendación 24-16. </w:t>
      </w:r>
      <w:r w:rsidRPr="00B00089">
        <w:rPr>
          <w:rFonts w:ascii="Cambria" w:hAnsi="Cambria"/>
          <w:sz w:val="20"/>
        </w:rPr>
        <w:t xml:space="preserve"> </w:t>
      </w:r>
    </w:p>
    <w:p w14:paraId="78923914" w14:textId="77777777" w:rsidR="00AA2A52" w:rsidRPr="00B00089" w:rsidRDefault="00AA2A52" w:rsidP="00741B44">
      <w:pPr>
        <w:spacing w:after="0" w:line="240" w:lineRule="auto"/>
        <w:jc w:val="both"/>
        <w:rPr>
          <w:rFonts w:ascii="Cambria" w:eastAsia="Times New Roman" w:hAnsi="Cambria" w:cs="Times New Roman"/>
          <w:sz w:val="20"/>
          <w:szCs w:val="20"/>
        </w:rPr>
      </w:pPr>
    </w:p>
    <w:p w14:paraId="2B93710B" w14:textId="29B6F894" w:rsidR="3352C9AE" w:rsidRPr="00B00089" w:rsidRDefault="3352C9AE" w:rsidP="00741B44">
      <w:pPr>
        <w:spacing w:after="0" w:line="240" w:lineRule="auto"/>
        <w:jc w:val="center"/>
        <w:rPr>
          <w:rFonts w:ascii="Cambria" w:hAnsi="Cambria"/>
          <w:sz w:val="20"/>
          <w:szCs w:val="20"/>
        </w:rPr>
      </w:pPr>
      <w:r w:rsidRPr="00B00089">
        <w:rPr>
          <w:rFonts w:ascii="Cambria" w:hAnsi="Cambria"/>
          <w:noProof/>
          <w:sz w:val="20"/>
        </w:rPr>
        <w:drawing>
          <wp:inline distT="0" distB="0" distL="0" distR="0" wp14:anchorId="2111D3F9" wp14:editId="05734447">
            <wp:extent cx="3566416" cy="2954867"/>
            <wp:effectExtent l="0" t="0" r="0" b="0"/>
            <wp:docPr id="851240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0318" name=""/>
                    <pic:cNvPicPr/>
                  </pic:nvPicPr>
                  <pic:blipFill>
                    <a:blip r:embed="rId8">
                      <a:extLst>
                        <a:ext uri="{28A0092B-C50C-407E-A947-70E740481C1C}">
                          <a14:useLocalDpi xmlns:a14="http://schemas.microsoft.com/office/drawing/2010/main"/>
                        </a:ext>
                      </a:extLst>
                    </a:blip>
                    <a:stretch>
                      <a:fillRect/>
                    </a:stretch>
                  </pic:blipFill>
                  <pic:spPr>
                    <a:xfrm>
                      <a:off x="0" y="0"/>
                      <a:ext cx="3569739" cy="2957620"/>
                    </a:xfrm>
                    <a:prstGeom prst="rect">
                      <a:avLst/>
                    </a:prstGeom>
                  </pic:spPr>
                </pic:pic>
              </a:graphicData>
            </a:graphic>
          </wp:inline>
        </w:drawing>
      </w:r>
    </w:p>
    <w:p w14:paraId="2B16997A" w14:textId="77777777" w:rsidR="00C34E8E" w:rsidRPr="00B00089" w:rsidRDefault="00C34E8E" w:rsidP="00741B44">
      <w:pPr>
        <w:spacing w:after="0" w:line="240" w:lineRule="auto"/>
        <w:jc w:val="both"/>
        <w:rPr>
          <w:rFonts w:ascii="Cambria" w:eastAsia="Times New Roman" w:hAnsi="Cambria" w:cs="Times New Roman"/>
          <w:color w:val="000000" w:themeColor="text1"/>
          <w:sz w:val="20"/>
          <w:szCs w:val="20"/>
        </w:rPr>
      </w:pPr>
    </w:p>
    <w:p w14:paraId="32F09B31" w14:textId="694F87B8" w:rsidR="3352C9AE" w:rsidRPr="00B00089" w:rsidRDefault="3352C9AE"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En cuanto a los eventos comerciales exentos de validación</w:t>
      </w:r>
      <w:r w:rsidRPr="00B00089">
        <w:rPr>
          <w:rStyle w:val="FootnoteReference"/>
          <w:rFonts w:ascii="Cambria" w:eastAsia="Times New Roman" w:hAnsi="Cambria" w:cs="Times New Roman"/>
          <w:color w:val="000000" w:themeColor="text1"/>
          <w:sz w:val="20"/>
          <w:szCs w:val="20"/>
        </w:rPr>
        <w:footnoteReference w:id="3"/>
      </w:r>
      <w:r w:rsidRPr="00B00089">
        <w:rPr>
          <w:rFonts w:ascii="Cambria" w:hAnsi="Cambria"/>
          <w:color w:val="000000" w:themeColor="text1"/>
          <w:sz w:val="20"/>
        </w:rPr>
        <w:t>, 36.419 se referían al comercio entre los Estados miembros de la UE (derogación con arreglo al párr. 5b) (30 %) con una cantidad de 2.744 t. Los demás eventos exentos están relacionados con el comercio interno (</w:t>
      </w:r>
      <w:r w:rsidRPr="00B00089">
        <w:rPr>
          <w:rFonts w:ascii="Cambria" w:hAnsi="Cambria"/>
          <w:b/>
          <w:bCs/>
          <w:color w:val="000000" w:themeColor="text1"/>
          <w:sz w:val="20"/>
        </w:rPr>
        <w:t>Figura 3</w:t>
      </w:r>
      <w:r w:rsidRPr="00B00089">
        <w:rPr>
          <w:rFonts w:ascii="Cambria" w:hAnsi="Cambria"/>
          <w:color w:val="000000" w:themeColor="text1"/>
          <w:sz w:val="20"/>
        </w:rPr>
        <w:t xml:space="preserve">). </w:t>
      </w:r>
    </w:p>
    <w:p w14:paraId="370DFA06" w14:textId="6187E485" w:rsidR="5E68D399" w:rsidRPr="00B00089" w:rsidRDefault="5E68D399" w:rsidP="00741B44">
      <w:pPr>
        <w:spacing w:after="0" w:line="240" w:lineRule="auto"/>
        <w:jc w:val="center"/>
        <w:rPr>
          <w:rFonts w:ascii="Cambria" w:hAnsi="Cambria"/>
          <w:sz w:val="20"/>
          <w:szCs w:val="20"/>
        </w:rPr>
      </w:pPr>
      <w:r w:rsidRPr="00B00089">
        <w:rPr>
          <w:rFonts w:ascii="Cambria" w:hAnsi="Cambria"/>
          <w:noProof/>
          <w:sz w:val="20"/>
        </w:rPr>
        <w:lastRenderedPageBreak/>
        <w:drawing>
          <wp:inline distT="0" distB="0" distL="0" distR="0" wp14:anchorId="631AEF32" wp14:editId="7E416CCA">
            <wp:extent cx="3710479" cy="2759075"/>
            <wp:effectExtent l="0" t="0" r="4445" b="3175"/>
            <wp:docPr id="271550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0094" name=""/>
                    <pic:cNvPicPr/>
                  </pic:nvPicPr>
                  <pic:blipFill>
                    <a:blip r:embed="rId9">
                      <a:extLst>
                        <a:ext uri="{28A0092B-C50C-407E-A947-70E740481C1C}">
                          <a14:useLocalDpi xmlns:a14="http://schemas.microsoft.com/office/drawing/2010/main"/>
                        </a:ext>
                      </a:extLst>
                    </a:blip>
                    <a:stretch>
                      <a:fillRect/>
                    </a:stretch>
                  </pic:blipFill>
                  <pic:spPr>
                    <a:xfrm>
                      <a:off x="0" y="0"/>
                      <a:ext cx="3713281" cy="2761159"/>
                    </a:xfrm>
                    <a:prstGeom prst="rect">
                      <a:avLst/>
                    </a:prstGeom>
                  </pic:spPr>
                </pic:pic>
              </a:graphicData>
            </a:graphic>
          </wp:inline>
        </w:drawing>
      </w:r>
    </w:p>
    <w:p w14:paraId="2B6A269A" w14:textId="4535F9E0" w:rsidR="09A42DB3" w:rsidRPr="00B00089" w:rsidRDefault="09A42DB3"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i/>
          <w:color w:val="000000" w:themeColor="text1"/>
          <w:sz w:val="20"/>
        </w:rPr>
        <w:t xml:space="preserve">  </w:t>
      </w:r>
    </w:p>
    <w:p w14:paraId="750575D6" w14:textId="55C92558" w:rsidR="09A42DB3" w:rsidRPr="00B00089" w:rsidRDefault="09A42DB3"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La cantidad media por operación comercial (por eBCD) fue de 80 kg para las operaciones comerciales exentas de validación debido a la derogación con arreglo al párrafo 5b (</w:t>
      </w:r>
      <w:r w:rsidRPr="00B00089">
        <w:rPr>
          <w:rFonts w:ascii="Cambria" w:hAnsi="Cambria"/>
          <w:b/>
          <w:bCs/>
          <w:color w:val="000000" w:themeColor="text1"/>
          <w:sz w:val="20"/>
        </w:rPr>
        <w:t>Figura 4</w:t>
      </w:r>
      <w:r w:rsidRPr="00B00089">
        <w:rPr>
          <w:rFonts w:ascii="Cambria" w:hAnsi="Cambria"/>
          <w:color w:val="000000" w:themeColor="text1"/>
          <w:sz w:val="20"/>
        </w:rPr>
        <w:t>).</w:t>
      </w:r>
    </w:p>
    <w:p w14:paraId="064B1226"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38DC669C" w14:textId="07B66398" w:rsidR="6D52B617" w:rsidRPr="00B00089" w:rsidRDefault="6D52B617" w:rsidP="00741B44">
      <w:pPr>
        <w:spacing w:after="0" w:line="240" w:lineRule="auto"/>
        <w:jc w:val="center"/>
        <w:rPr>
          <w:rFonts w:ascii="Cambria" w:hAnsi="Cambria"/>
          <w:sz w:val="20"/>
          <w:szCs w:val="20"/>
        </w:rPr>
      </w:pPr>
      <w:r w:rsidRPr="00B00089">
        <w:rPr>
          <w:rFonts w:ascii="Cambria" w:hAnsi="Cambria"/>
          <w:noProof/>
          <w:sz w:val="20"/>
        </w:rPr>
        <w:drawing>
          <wp:inline distT="0" distB="0" distL="0" distR="0" wp14:anchorId="001A2082" wp14:editId="317B5579">
            <wp:extent cx="4470400" cy="2571913"/>
            <wp:effectExtent l="0" t="0" r="6350" b="0"/>
            <wp:docPr id="1880502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02502" name=""/>
                    <pic:cNvPicPr/>
                  </pic:nvPicPr>
                  <pic:blipFill>
                    <a:blip r:embed="rId10">
                      <a:extLst>
                        <a:ext uri="{28A0092B-C50C-407E-A947-70E740481C1C}">
                          <a14:useLocalDpi xmlns:a14="http://schemas.microsoft.com/office/drawing/2010/main"/>
                        </a:ext>
                      </a:extLst>
                    </a:blip>
                    <a:stretch>
                      <a:fillRect/>
                    </a:stretch>
                  </pic:blipFill>
                  <pic:spPr>
                    <a:xfrm>
                      <a:off x="0" y="0"/>
                      <a:ext cx="4474754" cy="2574418"/>
                    </a:xfrm>
                    <a:prstGeom prst="rect">
                      <a:avLst/>
                    </a:prstGeom>
                  </pic:spPr>
                </pic:pic>
              </a:graphicData>
            </a:graphic>
          </wp:inline>
        </w:drawing>
      </w:r>
    </w:p>
    <w:p w14:paraId="2DB4F682" w14:textId="77777777" w:rsidR="00327BAC" w:rsidRPr="00B00089" w:rsidRDefault="00327BAC" w:rsidP="00741B44">
      <w:pPr>
        <w:spacing w:after="0" w:line="240" w:lineRule="auto"/>
        <w:jc w:val="both"/>
        <w:rPr>
          <w:rFonts w:ascii="Cambria" w:hAnsi="Cambria"/>
          <w:i/>
          <w:color w:val="000000" w:themeColor="text1"/>
          <w:sz w:val="20"/>
        </w:rPr>
      </w:pPr>
    </w:p>
    <w:p w14:paraId="7CD90E03" w14:textId="5B502C01" w:rsidR="297D4CAF" w:rsidRPr="00B00089" w:rsidRDefault="297D4CAF" w:rsidP="00741B44">
      <w:pPr>
        <w:spacing w:after="0" w:line="240" w:lineRule="auto"/>
        <w:jc w:val="both"/>
        <w:rPr>
          <w:rFonts w:ascii="Cambria" w:eastAsia="Times New Roman" w:hAnsi="Cambria" w:cs="Times New Roman"/>
          <w:i/>
          <w:iCs/>
          <w:color w:val="000000" w:themeColor="text1"/>
          <w:sz w:val="20"/>
          <w:szCs w:val="20"/>
        </w:rPr>
      </w:pPr>
      <w:proofErr w:type="spellStart"/>
      <w:r w:rsidRPr="00B00089">
        <w:rPr>
          <w:rFonts w:ascii="Cambria" w:hAnsi="Cambria"/>
          <w:i/>
          <w:color w:val="000000" w:themeColor="text1"/>
          <w:sz w:val="20"/>
        </w:rPr>
        <w:t>EXP</w:t>
      </w:r>
      <w:proofErr w:type="spellEnd"/>
      <w:r w:rsidRPr="00B00089">
        <w:rPr>
          <w:rFonts w:ascii="Cambria" w:hAnsi="Cambria"/>
          <w:i/>
          <w:color w:val="000000" w:themeColor="text1"/>
          <w:sz w:val="20"/>
        </w:rPr>
        <w:t xml:space="preserve"> (operaciones comerciales desde la UE a otras CPC), </w:t>
      </w:r>
      <w:proofErr w:type="spellStart"/>
      <w:r w:rsidRPr="00B00089">
        <w:rPr>
          <w:rFonts w:ascii="Cambria" w:hAnsi="Cambria"/>
          <w:i/>
          <w:color w:val="000000" w:themeColor="text1"/>
          <w:sz w:val="20"/>
        </w:rPr>
        <w:t>STA</w:t>
      </w:r>
      <w:proofErr w:type="spellEnd"/>
      <w:r w:rsidRPr="00B00089">
        <w:rPr>
          <w:rFonts w:ascii="Cambria" w:hAnsi="Cambria"/>
          <w:i/>
          <w:color w:val="000000" w:themeColor="text1"/>
          <w:sz w:val="20"/>
        </w:rPr>
        <w:t xml:space="preserve"> (operaciones comerciales entre Estados miembros de la UE), </w:t>
      </w:r>
      <w:proofErr w:type="spellStart"/>
      <w:r w:rsidRPr="00B00089">
        <w:rPr>
          <w:rFonts w:ascii="Cambria" w:hAnsi="Cambria"/>
          <w:i/>
          <w:color w:val="000000" w:themeColor="text1"/>
          <w:sz w:val="20"/>
        </w:rPr>
        <w:t>INT</w:t>
      </w:r>
      <w:proofErr w:type="spellEnd"/>
      <w:r w:rsidRPr="00B00089">
        <w:rPr>
          <w:rFonts w:ascii="Cambria" w:hAnsi="Cambria"/>
          <w:i/>
          <w:color w:val="000000" w:themeColor="text1"/>
          <w:sz w:val="20"/>
        </w:rPr>
        <w:t xml:space="preserve"> (operaciones comerciales internas dentro de territorios de Estados miembros de la UE), VAL (operaciones comerciales validadas), EXE (operaciones comerciales exentas de validación), EXE </w:t>
      </w:r>
      <w:proofErr w:type="spellStart"/>
      <w:r w:rsidRPr="00B00089">
        <w:rPr>
          <w:rFonts w:ascii="Cambria" w:hAnsi="Cambria"/>
          <w:i/>
          <w:color w:val="000000" w:themeColor="text1"/>
          <w:sz w:val="20"/>
        </w:rPr>
        <w:t>STA</w:t>
      </w:r>
      <w:proofErr w:type="spellEnd"/>
      <w:r w:rsidRPr="00B00089">
        <w:rPr>
          <w:rFonts w:ascii="Cambria" w:hAnsi="Cambria"/>
          <w:i/>
          <w:color w:val="000000" w:themeColor="text1"/>
          <w:sz w:val="20"/>
        </w:rPr>
        <w:t xml:space="preserve"> (operaciones comerciales entre Estados miembros de la UE exentas de validación - derogación 5b).</w:t>
      </w:r>
    </w:p>
    <w:p w14:paraId="757B6049" w14:textId="77777777" w:rsidR="00AA2A52" w:rsidRPr="00B00089" w:rsidRDefault="00AA2A52" w:rsidP="00741B44">
      <w:pPr>
        <w:spacing w:after="0" w:line="240" w:lineRule="auto"/>
        <w:jc w:val="both"/>
        <w:rPr>
          <w:rFonts w:ascii="Cambria" w:eastAsia="Times New Roman" w:hAnsi="Cambria" w:cs="Times New Roman"/>
          <w:i/>
          <w:iCs/>
          <w:color w:val="000000" w:themeColor="text1"/>
          <w:sz w:val="20"/>
          <w:szCs w:val="20"/>
        </w:rPr>
      </w:pPr>
    </w:p>
    <w:p w14:paraId="591986C4" w14:textId="63CC9577" w:rsidR="297D4CAF" w:rsidRPr="00B00089" w:rsidRDefault="297D4CAF"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 xml:space="preserve">En el </w:t>
      </w:r>
      <w:r w:rsidRPr="00B00089">
        <w:rPr>
          <w:rFonts w:ascii="Cambria" w:hAnsi="Cambria"/>
          <w:b/>
          <w:bCs/>
          <w:color w:val="000000" w:themeColor="text1"/>
          <w:sz w:val="20"/>
        </w:rPr>
        <w:t>Anexo</w:t>
      </w:r>
      <w:r w:rsidRPr="00B00089">
        <w:rPr>
          <w:rFonts w:ascii="Cambria" w:hAnsi="Cambria"/>
          <w:color w:val="000000" w:themeColor="text1"/>
          <w:sz w:val="20"/>
        </w:rPr>
        <w:t xml:space="preserve"> se facilitan detalles adicionales de los Estados miembros de la UE.</w:t>
      </w:r>
    </w:p>
    <w:p w14:paraId="1928C1DD"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1E73FEF6"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3D0A3E03" w14:textId="5BBE66F8" w:rsidR="313C39DB" w:rsidRPr="00B00089" w:rsidRDefault="313C39DB" w:rsidP="00AA2A52">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sidRPr="00B00089">
        <w:rPr>
          <w:rFonts w:ascii="Cambria" w:hAnsi="Cambria"/>
          <w:b/>
          <w:color w:val="000000" w:themeColor="text1"/>
          <w:sz w:val="20"/>
        </w:rPr>
        <w:t>Verificaciones</w:t>
      </w:r>
    </w:p>
    <w:p w14:paraId="692BFFD7" w14:textId="77777777" w:rsidR="00AA2A52" w:rsidRPr="00B00089" w:rsidRDefault="00AA2A52" w:rsidP="00AA2A52">
      <w:pPr>
        <w:pStyle w:val="ListParagraph"/>
        <w:keepNext/>
        <w:spacing w:after="0" w:line="240" w:lineRule="auto"/>
        <w:ind w:left="426"/>
        <w:rPr>
          <w:rFonts w:ascii="Cambria" w:eastAsia="Times New Roman" w:hAnsi="Cambria" w:cs="Times New Roman"/>
          <w:b/>
          <w:bCs/>
          <w:color w:val="000000" w:themeColor="text1"/>
          <w:sz w:val="20"/>
          <w:szCs w:val="20"/>
        </w:rPr>
      </w:pPr>
    </w:p>
    <w:p w14:paraId="28297592" w14:textId="56120F43" w:rsidR="313C39DB" w:rsidRPr="00B00089" w:rsidRDefault="313C39DB"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 xml:space="preserve">En cuanto a las verificaciones de la información en el eBCD, como parte del procedimiento estándar de validación, las autoridades de control realizan verificaciones y comprobaciones cruzadas de todos los documentos pertinentes, incluidos los datos del cuaderno de pesca, las declaraciones de desembarque, las notas de venta, las autorizaciones de ICCAT, etc. De conformidad con la legislación de la UE, las autoridades de control realizan verificaciones e inspecciones físicas en el desembarque, en el mercado interno y en la entrada en los Estados miembros de la UE sobre la base de una evaluación de riesgos. Todas las capturas se pesan en el momento del desembarque utilizando balanzas certificadas y calibradas. </w:t>
      </w:r>
    </w:p>
    <w:p w14:paraId="72C27D6D"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54B951CA" w14:textId="77777777" w:rsidR="00806318" w:rsidRPr="00B00089" w:rsidRDefault="313C39DB" w:rsidP="00741B44">
      <w:pPr>
        <w:spacing w:after="0" w:line="240" w:lineRule="auto"/>
        <w:jc w:val="both"/>
        <w:rPr>
          <w:rFonts w:ascii="Cambria" w:hAnsi="Cambria"/>
          <w:color w:val="000000" w:themeColor="text1"/>
          <w:sz w:val="20"/>
        </w:rPr>
      </w:pPr>
      <w:r w:rsidRPr="00B00089">
        <w:rPr>
          <w:rFonts w:ascii="Cambria" w:hAnsi="Cambria"/>
          <w:color w:val="000000" w:themeColor="text1"/>
          <w:sz w:val="20"/>
        </w:rPr>
        <w:lastRenderedPageBreak/>
        <w:t xml:space="preserve">En el punto de salida y entrada de la UE, las verificaciones incluyen comprobaciones cruzadas de los eBCD mediante conocimientos de embarque y notas de venta, así como verificaciones físicas. Las importaciones a la Unión Europea siguen los procedimientos aduaneros. </w:t>
      </w:r>
    </w:p>
    <w:p w14:paraId="6A21B5D9" w14:textId="4297CDA7" w:rsidR="313C39DB" w:rsidRPr="00B00089" w:rsidRDefault="313C39DB"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 xml:space="preserve"> </w:t>
      </w:r>
    </w:p>
    <w:p w14:paraId="67624835" w14:textId="34EEE234" w:rsidR="313C39DB" w:rsidRPr="00B00089" w:rsidRDefault="313C39DB"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 xml:space="preserve">Se realizó una verificación cruzada de todos los eBCD sujetos a validación. Incluso cuando no se requiere validación, las autoridades de control realizan comprobaciones cruzadas con las declaraciones de capturas y la información de los eBCD en conjunción con otros Estados miembros interesados, lo que permite una vigilancia eficaz de las operaciones exentas de validación. Además, las autoridades de control verifican la validación de captura o los detalles de las marcas, analizan la coherencia de las fechas de los mensajes de validación, así como los posibles mensajes de alerta en el eBCD. </w:t>
      </w:r>
    </w:p>
    <w:p w14:paraId="17F8657E"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7B7DF0A9" w14:textId="0AD88F34" w:rsidR="313C39DB" w:rsidRPr="00B00089" w:rsidRDefault="313C39DB"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Las funciones de extracción de datos, comprobaciones cruzadas y verificación en el sistema eBCD en sí mismo permiten a los Estados miembros de la UE establecer procedimientos de evaluación del riesgo mejorados para concentrarse específicamente en operaciones comerciales con miras a su verificación cruzada y comprobación.</w:t>
      </w:r>
    </w:p>
    <w:p w14:paraId="3839D4E9"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13F9002E"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73B04E2F" w14:textId="7088B2BE" w:rsidR="54E8B0A9" w:rsidRPr="00B00089" w:rsidRDefault="54E8B0A9" w:rsidP="00AA2A52">
      <w:pPr>
        <w:pStyle w:val="Heading1"/>
        <w:numPr>
          <w:ilvl w:val="0"/>
          <w:numId w:val="3"/>
        </w:numPr>
        <w:spacing w:before="0" w:after="0" w:line="240" w:lineRule="auto"/>
        <w:ind w:left="426" w:hanging="426"/>
        <w:jc w:val="both"/>
        <w:rPr>
          <w:rFonts w:ascii="Cambria" w:eastAsia="Times New Roman" w:hAnsi="Cambria" w:cs="Times New Roman"/>
          <w:b/>
          <w:bCs/>
          <w:color w:val="000000" w:themeColor="text1"/>
          <w:sz w:val="20"/>
          <w:szCs w:val="20"/>
        </w:rPr>
      </w:pPr>
      <w:r w:rsidRPr="00B00089">
        <w:rPr>
          <w:rFonts w:ascii="Cambria" w:hAnsi="Cambria"/>
          <w:b/>
          <w:color w:val="000000" w:themeColor="text1"/>
          <w:sz w:val="20"/>
        </w:rPr>
        <w:t>Conclusión</w:t>
      </w:r>
    </w:p>
    <w:p w14:paraId="13B0A674"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3CFAB1FD" w14:textId="1C47BD75" w:rsidR="54E8B0A9" w:rsidRPr="00B00089" w:rsidRDefault="54E8B0A9"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El número de eventos comerciales afectados por la derogación del párrafo 5b de la Recomendación 24-16 es significativo, pero se trata en la mayoría de los casos de pequeñas cantidades de atún de rojo, ya que se trata de presentaciones en filetes (</w:t>
      </w:r>
      <w:proofErr w:type="spellStart"/>
      <w:r w:rsidRPr="00B00089">
        <w:rPr>
          <w:rFonts w:ascii="Cambria" w:hAnsi="Cambria"/>
          <w:color w:val="000000" w:themeColor="text1"/>
          <w:sz w:val="20"/>
        </w:rPr>
        <w:t>FL</w:t>
      </w:r>
      <w:proofErr w:type="spellEnd"/>
      <w:r w:rsidRPr="00B00089">
        <w:rPr>
          <w:rFonts w:ascii="Cambria" w:hAnsi="Cambria"/>
          <w:color w:val="000000" w:themeColor="text1"/>
          <w:sz w:val="20"/>
        </w:rPr>
        <w:t>) y otras (OT). Además, el 71 % de las operaciones comerciales registrad</w:t>
      </w:r>
      <w:r w:rsidR="00327BAC" w:rsidRPr="00B00089">
        <w:rPr>
          <w:rFonts w:ascii="Cambria" w:hAnsi="Cambria"/>
          <w:color w:val="000000" w:themeColor="text1"/>
          <w:sz w:val="20"/>
        </w:rPr>
        <w:t>a</w:t>
      </w:r>
      <w:r w:rsidRPr="00B00089">
        <w:rPr>
          <w:rFonts w:ascii="Cambria" w:hAnsi="Cambria"/>
          <w:color w:val="000000" w:themeColor="text1"/>
          <w:sz w:val="20"/>
        </w:rPr>
        <w:t xml:space="preserve">s por la UE son operaciones comerciales internas dentro de los Estados miembros de la UE que contribuyen a la trazabilidad del pescado a lo largo de la cadena. </w:t>
      </w:r>
    </w:p>
    <w:p w14:paraId="263CB866" w14:textId="77777777" w:rsidR="00AA2A52" w:rsidRPr="00B00089" w:rsidRDefault="00AA2A52" w:rsidP="00741B44">
      <w:pPr>
        <w:spacing w:after="0" w:line="240" w:lineRule="auto"/>
        <w:jc w:val="both"/>
        <w:rPr>
          <w:rFonts w:ascii="Cambria" w:eastAsia="Times New Roman" w:hAnsi="Cambria" w:cs="Times New Roman"/>
          <w:color w:val="000000" w:themeColor="text1"/>
          <w:sz w:val="20"/>
          <w:szCs w:val="20"/>
        </w:rPr>
      </w:pPr>
    </w:p>
    <w:p w14:paraId="0F2C4E6A" w14:textId="330667EE" w:rsidR="54E8B0A9" w:rsidRPr="00B00089" w:rsidRDefault="54E8B0A9" w:rsidP="00741B44">
      <w:pPr>
        <w:spacing w:after="0" w:line="240" w:lineRule="auto"/>
        <w:jc w:val="both"/>
        <w:rPr>
          <w:rFonts w:ascii="Cambria" w:eastAsia="Times New Roman" w:hAnsi="Cambria" w:cs="Times New Roman"/>
          <w:color w:val="000000" w:themeColor="text1"/>
          <w:sz w:val="20"/>
          <w:szCs w:val="20"/>
        </w:rPr>
      </w:pPr>
      <w:r w:rsidRPr="00B00089">
        <w:rPr>
          <w:rFonts w:ascii="Cambria" w:hAnsi="Cambria"/>
          <w:color w:val="000000" w:themeColor="text1"/>
          <w:sz w:val="20"/>
        </w:rPr>
        <w:t xml:space="preserve">La derogación prevista en el párrafo 5b de la Recomendación 24-16 elimina una importante carga administrativa relacionada con la validación y contribuye a lograr una mayor igualdad de condiciones entre la UE y las demás CPC de ICCAT y, además, es coherente con el principio de mercado interior </w:t>
      </w:r>
      <w:r w:rsidR="00124EDF" w:rsidRPr="00B00089">
        <w:rPr>
          <w:rFonts w:ascii="Cambria" w:hAnsi="Cambria"/>
          <w:color w:val="000000" w:themeColor="text1"/>
          <w:sz w:val="20"/>
        </w:rPr>
        <w:t xml:space="preserve">único </w:t>
      </w:r>
      <w:r w:rsidRPr="00B00089">
        <w:rPr>
          <w:rFonts w:ascii="Cambria" w:hAnsi="Cambria"/>
          <w:color w:val="000000" w:themeColor="text1"/>
          <w:sz w:val="20"/>
        </w:rPr>
        <w:t xml:space="preserve">de la UE. Es importante señalar que desde que se concedió esta derogación a la UE no hay información sobre un posible impacto negativo de estas medidas en la trazabilidad de los productos de atún rojo, teniendo especialmente en cuenta que todas las operaciones comerciales iniciales están validadas. </w:t>
      </w:r>
    </w:p>
    <w:p w14:paraId="75B4733A" w14:textId="5BDE20EA" w:rsidR="54E8B0A9" w:rsidRPr="00B00089" w:rsidRDefault="54E8B0A9" w:rsidP="00741B44">
      <w:pPr>
        <w:spacing w:after="0" w:line="240" w:lineRule="auto"/>
        <w:jc w:val="both"/>
        <w:rPr>
          <w:rFonts w:ascii="Cambria" w:eastAsia="Times New Roman" w:hAnsi="Cambria" w:cs="Times New Roman"/>
          <w:color w:val="000000" w:themeColor="text1"/>
          <w:sz w:val="20"/>
          <w:szCs w:val="20"/>
        </w:rPr>
      </w:pPr>
    </w:p>
    <w:p w14:paraId="6E25F306" w14:textId="1D0AABEC" w:rsidR="5FEF55A3" w:rsidRPr="00B00089" w:rsidRDefault="5FEF55A3" w:rsidP="00741B44">
      <w:pPr>
        <w:spacing w:after="0" w:line="240" w:lineRule="auto"/>
        <w:rPr>
          <w:rFonts w:ascii="Cambria" w:hAnsi="Cambria"/>
          <w:sz w:val="20"/>
          <w:szCs w:val="20"/>
        </w:rPr>
      </w:pPr>
    </w:p>
    <w:p w14:paraId="4284FA09" w14:textId="77777777" w:rsidR="00AA2A52" w:rsidRPr="00B00089" w:rsidRDefault="00AA2A52">
      <w:pPr>
        <w:rPr>
          <w:rFonts w:ascii="Cambria" w:eastAsia="Times New Roman" w:hAnsi="Cambria" w:cs="Times New Roman"/>
          <w:b/>
          <w:bCs/>
          <w:color w:val="000000" w:themeColor="text1"/>
          <w:sz w:val="20"/>
          <w:szCs w:val="20"/>
        </w:rPr>
      </w:pPr>
      <w:r w:rsidRPr="00B00089">
        <w:br w:type="page"/>
      </w:r>
    </w:p>
    <w:p w14:paraId="3CD3DDB0" w14:textId="027AF7E7" w:rsidR="46ABD34F" w:rsidRPr="00B00089" w:rsidRDefault="46ABD34F" w:rsidP="00AA2A52">
      <w:pPr>
        <w:spacing w:after="0" w:line="240" w:lineRule="auto"/>
        <w:jc w:val="right"/>
        <w:rPr>
          <w:rFonts w:ascii="Cambria" w:eastAsia="Times New Roman" w:hAnsi="Cambria" w:cs="Times New Roman"/>
          <w:color w:val="000000" w:themeColor="text1"/>
          <w:sz w:val="20"/>
          <w:szCs w:val="20"/>
        </w:rPr>
      </w:pPr>
      <w:r w:rsidRPr="00B00089">
        <w:rPr>
          <w:rFonts w:ascii="Cambria" w:hAnsi="Cambria"/>
          <w:b/>
          <w:color w:val="000000" w:themeColor="text1"/>
          <w:sz w:val="20"/>
        </w:rPr>
        <w:lastRenderedPageBreak/>
        <w:t>Anexo</w:t>
      </w:r>
    </w:p>
    <w:p w14:paraId="5C8B3ACD" w14:textId="2F78BEBF" w:rsidR="46ABD34F" w:rsidRPr="00B00089" w:rsidRDefault="46ABD34F" w:rsidP="00741B44">
      <w:pPr>
        <w:spacing w:after="0" w:line="240" w:lineRule="auto"/>
        <w:jc w:val="center"/>
        <w:rPr>
          <w:rFonts w:ascii="Cambria" w:eastAsia="Times New Roman" w:hAnsi="Cambria" w:cs="Times New Roman"/>
          <w:color w:val="000000" w:themeColor="text1"/>
          <w:sz w:val="20"/>
          <w:szCs w:val="20"/>
        </w:rPr>
      </w:pPr>
      <w:r w:rsidRPr="00B00089">
        <w:rPr>
          <w:rFonts w:ascii="Cambria" w:hAnsi="Cambria"/>
          <w:b/>
          <w:color w:val="000000" w:themeColor="text1"/>
          <w:sz w:val="20"/>
        </w:rPr>
        <w:t>Información detallada por Estado miembro de la UE</w:t>
      </w:r>
    </w:p>
    <w:tbl>
      <w:tblPr>
        <w:tblW w:w="0" w:type="auto"/>
        <w:tblLook w:val="06A0" w:firstRow="1" w:lastRow="0" w:firstColumn="1" w:lastColumn="0" w:noHBand="1" w:noVBand="1"/>
      </w:tblPr>
      <w:tblGrid>
        <w:gridCol w:w="2892"/>
        <w:gridCol w:w="566"/>
        <w:gridCol w:w="902"/>
        <w:gridCol w:w="802"/>
        <w:gridCol w:w="665"/>
        <w:gridCol w:w="802"/>
        <w:gridCol w:w="802"/>
        <w:gridCol w:w="902"/>
        <w:gridCol w:w="665"/>
      </w:tblGrid>
      <w:tr w:rsidR="5FEF55A3" w:rsidRPr="00B00089" w14:paraId="48D8A69C" w14:textId="77777777" w:rsidTr="00124EDF">
        <w:trPr>
          <w:trHeight w:val="561"/>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9353684" w14:textId="6C212BF8" w:rsidR="5FEF55A3" w:rsidRPr="00B00089" w:rsidRDefault="5FEF55A3" w:rsidP="00124EDF">
            <w:pPr>
              <w:spacing w:after="0" w:line="240" w:lineRule="auto"/>
              <w:rPr>
                <w:rFonts w:ascii="Cambria" w:hAnsi="Cambria"/>
                <w:i/>
                <w:iCs/>
                <w:sz w:val="18"/>
                <w:szCs w:val="18"/>
              </w:rPr>
            </w:pPr>
          </w:p>
        </w:tc>
        <w:tc>
          <w:tcPr>
            <w:tcW w:w="0" w:type="auto"/>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43BA0723" w14:textId="5FACB920"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CYP</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D4BB663" w14:textId="17CDEC61"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ESP</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7D4DAA66" w14:textId="101B62DC"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FRA</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45C6A73" w14:textId="51F213B0"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GRC</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0CC1E931" w14:textId="27AFE109"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HRV</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66D30212" w14:textId="334ECE5D"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ITA</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6F95125" w14:textId="1CB5980F"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MLT</w:t>
            </w:r>
            <w:proofErr w:type="spellEnd"/>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171CB25E" w14:textId="34DA9088" w:rsidR="5FEF55A3" w:rsidRPr="00B00089" w:rsidRDefault="5FEF55A3" w:rsidP="00124EDF">
            <w:pPr>
              <w:spacing w:after="0" w:line="240" w:lineRule="auto"/>
              <w:jc w:val="center"/>
              <w:rPr>
                <w:rFonts w:ascii="Cambria" w:hAnsi="Cambria"/>
                <w:i/>
                <w:iCs/>
                <w:sz w:val="18"/>
                <w:szCs w:val="18"/>
              </w:rPr>
            </w:pPr>
            <w:proofErr w:type="spellStart"/>
            <w:r w:rsidRPr="00B00089">
              <w:rPr>
                <w:rFonts w:ascii="Cambria" w:hAnsi="Cambria"/>
                <w:b/>
                <w:i/>
                <w:color w:val="000000" w:themeColor="text1"/>
                <w:sz w:val="18"/>
                <w:szCs w:val="18"/>
              </w:rPr>
              <w:t>PRT</w:t>
            </w:r>
            <w:proofErr w:type="spellEnd"/>
          </w:p>
        </w:tc>
      </w:tr>
      <w:tr w:rsidR="5FEF55A3" w:rsidRPr="00B00089" w14:paraId="25699950" w14:textId="77777777" w:rsidTr="00124EDF">
        <w:trPr>
          <w:trHeight w:val="561"/>
        </w:trPr>
        <w:tc>
          <w:tcPr>
            <w:tcW w:w="0" w:type="auto"/>
            <w:tcBorders>
              <w:top w:val="single" w:sz="8" w:space="0" w:color="auto"/>
              <w:left w:val="single" w:sz="8" w:space="0" w:color="auto"/>
              <w:bottom w:val="single" w:sz="4" w:space="0" w:color="auto"/>
              <w:right w:val="single" w:sz="8" w:space="0" w:color="auto"/>
            </w:tcBorders>
            <w:tcMar>
              <w:top w:w="15" w:type="dxa"/>
              <w:left w:w="15" w:type="dxa"/>
              <w:right w:w="15" w:type="dxa"/>
            </w:tcMar>
            <w:vAlign w:val="center"/>
          </w:tcPr>
          <w:p w14:paraId="123917F8" w14:textId="4EEA2798"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N.º eventos comerciales</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4A4E7629" w14:textId="305BD82C"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292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70E5E29" w14:textId="4035B0B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89.589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2B69947" w14:textId="771539B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32.685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322F82B" w14:textId="4225F941"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5.489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D49C0D3" w14:textId="0C76AEE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4.881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7FFCD7A" w14:textId="47D24B4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88.762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3C1A793" w14:textId="152880B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3.069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F80760F" w14:textId="1BEEB963"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4.372</w:t>
            </w:r>
          </w:p>
        </w:tc>
      </w:tr>
      <w:tr w:rsidR="5FEF55A3" w:rsidRPr="00B00089" w14:paraId="6AE0560E" w14:textId="77777777" w:rsidTr="00124ED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1A425B01" w14:textId="17390B86"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Kg</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042C506F" w14:textId="304AC1F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90.865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4E60AC6" w14:textId="7959F17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20.110.361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9F3CF64" w14:textId="7620CA5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2.136.661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DF1D835" w14:textId="21A62295"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447.813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58DC672" w14:textId="1E40BD2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4.597.274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D7EBF0" w14:textId="32EF503D"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4.077.597</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40B0EB9" w14:textId="0E4A0EF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17.092.238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EEBC6AA" w14:textId="59FC43F5"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952.781</w:t>
            </w:r>
          </w:p>
        </w:tc>
      </w:tr>
      <w:tr w:rsidR="5FEF55A3" w:rsidRPr="00B00089" w14:paraId="28E42CCF" w14:textId="77777777" w:rsidTr="00124EDF">
        <w:trPr>
          <w:trHeight w:val="561"/>
        </w:trPr>
        <w:tc>
          <w:tcPr>
            <w:tcW w:w="0" w:type="auto"/>
            <w:tcBorders>
              <w:top w:val="single" w:sz="8" w:space="0" w:color="auto"/>
              <w:left w:val="single" w:sz="8" w:space="0" w:color="auto"/>
              <w:bottom w:val="nil"/>
              <w:right w:val="single" w:sz="8" w:space="0" w:color="auto"/>
            </w:tcBorders>
            <w:tcMar>
              <w:top w:w="15" w:type="dxa"/>
              <w:left w:w="15" w:type="dxa"/>
              <w:right w:w="15" w:type="dxa"/>
            </w:tcMar>
            <w:vAlign w:val="center"/>
          </w:tcPr>
          <w:p w14:paraId="6016F158" w14:textId="28575460"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Exportación (CPC)</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1B8399E6" w14:textId="3DC7FC8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B010F3B" w14:textId="0406374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20.823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BB3981B" w14:textId="4B38AFE2"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153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5DC4DA6" w14:textId="665236D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1.895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ED8088" w14:textId="7DEDE3A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360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9D72D5B" w14:textId="10B5A31C"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1.270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9CEE3F" w14:textId="491AE861"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2.003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6A90158" w14:textId="6064CCB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321</w:t>
            </w:r>
          </w:p>
        </w:tc>
      </w:tr>
      <w:tr w:rsidR="5FEF55A3" w:rsidRPr="00B00089" w14:paraId="4A173710" w14:textId="77777777" w:rsidTr="00124ED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1071F124" w14:textId="715CBB62"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2F83ABA1" w14:textId="160DFAD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DD30210" w14:textId="590B0E40"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9.902.388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702E63E" w14:textId="4D37C10F"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3.842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1449FA0" w14:textId="78C6ACF2"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96.150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618B067" w14:textId="1F6A2345"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4.307.246</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6FBC892" w14:textId="04D798C1"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43.443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8E0EAC6" w14:textId="05F05DD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16.373.693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71318FE" w14:textId="12BBF001"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229.151</w:t>
            </w:r>
          </w:p>
        </w:tc>
      </w:tr>
      <w:tr w:rsidR="5FEF55A3" w:rsidRPr="00B00089" w14:paraId="307B49A5" w14:textId="77777777" w:rsidTr="00124EDF">
        <w:trPr>
          <w:trHeight w:val="561"/>
        </w:trPr>
        <w:tc>
          <w:tcPr>
            <w:tcW w:w="0" w:type="auto"/>
            <w:tcBorders>
              <w:top w:val="single" w:sz="8" w:space="0" w:color="auto"/>
              <w:left w:val="single" w:sz="8" w:space="0" w:color="auto"/>
              <w:bottom w:val="nil"/>
              <w:right w:val="single" w:sz="8" w:space="0" w:color="auto"/>
            </w:tcBorders>
            <w:tcMar>
              <w:top w:w="15" w:type="dxa"/>
              <w:left w:w="15" w:type="dxa"/>
              <w:right w:w="15" w:type="dxa"/>
            </w:tcMar>
            <w:vAlign w:val="center"/>
          </w:tcPr>
          <w:p w14:paraId="4ED60B44" w14:textId="772BD8F7"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Comercio interior (intracomunitario)</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63DA6874" w14:textId="4EF311A2"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164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D181CB7" w14:textId="17EF0650"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48.801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2506AAC" w14:textId="5D6C569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23.359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F7BB4BD" w14:textId="4AAEBE4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883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173D486" w14:textId="7FADB79C"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3.792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A0C922B" w14:textId="662D91CF"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82.884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BC50971" w14:textId="0A174B5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615</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C3E9B8" w14:textId="038C5AB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1.422</w:t>
            </w:r>
          </w:p>
        </w:tc>
      </w:tr>
      <w:tr w:rsidR="5FEF55A3" w:rsidRPr="00B00089" w14:paraId="22C386B2" w14:textId="77777777" w:rsidTr="00124ED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CCA59D4" w14:textId="5F7A8CD1"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0CEA6ECE" w14:textId="3A80B14A"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7.035</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E675A03" w14:textId="7ED9EEE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8.135.730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097738" w14:textId="1F2D5DC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1.244.561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00E917A" w14:textId="2F830FEC"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62.630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69F69A4" w14:textId="643241ED"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247.006</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53D096B" w14:textId="71EDCDB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3.166.825</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3FE92BC" w14:textId="788CD8FF"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600.864</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72A400F" w14:textId="5EF375C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223.914</w:t>
            </w:r>
          </w:p>
        </w:tc>
      </w:tr>
      <w:tr w:rsidR="5FEF55A3" w:rsidRPr="00B00089" w14:paraId="5D27009F" w14:textId="77777777" w:rsidTr="00124EDF">
        <w:trPr>
          <w:trHeight w:val="561"/>
        </w:trPr>
        <w:tc>
          <w:tcPr>
            <w:tcW w:w="0" w:type="auto"/>
            <w:tcBorders>
              <w:top w:val="single" w:sz="8" w:space="0" w:color="auto"/>
              <w:left w:val="single" w:sz="8" w:space="0" w:color="auto"/>
              <w:bottom w:val="nil"/>
              <w:right w:val="single" w:sz="8" w:space="0" w:color="auto"/>
            </w:tcBorders>
            <w:tcMar>
              <w:top w:w="15" w:type="dxa"/>
              <w:left w:w="15" w:type="dxa"/>
              <w:right w:w="15" w:type="dxa"/>
            </w:tcMar>
            <w:vAlign w:val="center"/>
          </w:tcPr>
          <w:p w14:paraId="684757A1" w14:textId="479429E6" w:rsidR="5FEF55A3" w:rsidRPr="00B00089" w:rsidRDefault="5FEF55A3" w:rsidP="00124EDF">
            <w:pPr>
              <w:spacing w:after="0" w:line="240" w:lineRule="auto"/>
              <w:rPr>
                <w:rFonts w:ascii="Cambria" w:hAnsi="Cambria"/>
                <w:sz w:val="18"/>
                <w:szCs w:val="18"/>
              </w:rPr>
            </w:pPr>
            <w:proofErr w:type="spellStart"/>
            <w:r w:rsidRPr="00B00089">
              <w:rPr>
                <w:rFonts w:ascii="Cambria" w:hAnsi="Cambria"/>
                <w:color w:val="000000" w:themeColor="text1"/>
                <w:sz w:val="18"/>
                <w:szCs w:val="18"/>
              </w:rPr>
              <w:t>STA</w:t>
            </w:r>
            <w:proofErr w:type="spellEnd"/>
            <w:r w:rsidRPr="00B00089">
              <w:rPr>
                <w:rFonts w:ascii="Cambria" w:hAnsi="Cambria"/>
                <w:color w:val="000000" w:themeColor="text1"/>
                <w:sz w:val="18"/>
                <w:szCs w:val="18"/>
              </w:rPr>
              <w:t xml:space="preserve"> (entre Estados miembros)</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5330EE5B" w14:textId="3CFA66E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166</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760DA65" w14:textId="5E030045"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22.520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891E0AF" w14:textId="6C6476F3"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10.263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21DEB64" w14:textId="1F15C7B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1.861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068524A" w14:textId="7A5656D2"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484</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0A41C8E" w14:textId="088CFB0A"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17.280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BD4B8F2" w14:textId="1CE8310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507</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09BADEB" w14:textId="400F0A3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2.782</w:t>
            </w:r>
          </w:p>
        </w:tc>
      </w:tr>
      <w:tr w:rsidR="5FEF55A3" w:rsidRPr="00B00089" w14:paraId="0DF348E5" w14:textId="77777777" w:rsidTr="00124EDF">
        <w:trPr>
          <w:trHeight w:val="561"/>
        </w:trPr>
        <w:tc>
          <w:tcPr>
            <w:tcW w:w="0" w:type="auto"/>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35C939A" w14:textId="0BC8AF9F" w:rsidR="5FEF55A3" w:rsidRPr="00B00089" w:rsidRDefault="5FEF55A3" w:rsidP="00124EDF">
            <w:pPr>
              <w:spacing w:after="0" w:line="240" w:lineRule="auto"/>
              <w:rPr>
                <w:rFonts w:ascii="Cambria" w:hAnsi="Cambria"/>
                <w:sz w:val="18"/>
                <w:szCs w:val="18"/>
              </w:rPr>
            </w:pPr>
            <w:r w:rsidRPr="00B00089">
              <w:rPr>
                <w:rFonts w:ascii="Cambria" w:hAnsi="Cambria"/>
                <w:color w:val="000000" w:themeColor="text1"/>
                <w:sz w:val="18"/>
                <w:szCs w:val="18"/>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43487F30" w14:textId="1C07F51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83.802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93894B6" w14:textId="0554AC4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2.072.242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8F2CA0F" w14:textId="6C9FF60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88.258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78BE3FD" w14:textId="5EC68801"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289.033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0B4031B" w14:textId="5102457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30.333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87E132D" w14:textId="4A29BEA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867.329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1767B94" w14:textId="71101212"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117.681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E6F31DD" w14:textId="515FC2B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499.716</w:t>
            </w:r>
          </w:p>
        </w:tc>
      </w:tr>
      <w:tr w:rsidR="5FEF55A3" w:rsidRPr="00B00089" w14:paraId="6452BA69" w14:textId="77777777" w:rsidTr="00124EDF">
        <w:trPr>
          <w:trHeight w:val="561"/>
        </w:trPr>
        <w:tc>
          <w:tcPr>
            <w:tcW w:w="0" w:type="auto"/>
            <w:tcBorders>
              <w:top w:val="single" w:sz="8" w:space="0" w:color="auto"/>
              <w:left w:val="single" w:sz="8" w:space="0" w:color="auto"/>
              <w:bottom w:val="single" w:sz="12" w:space="0" w:color="000000" w:themeColor="text1"/>
              <w:right w:val="single" w:sz="8" w:space="0" w:color="auto"/>
            </w:tcBorders>
            <w:shd w:val="clear" w:color="auto" w:fill="FFFFFF" w:themeFill="background1"/>
            <w:tcMar>
              <w:top w:w="15" w:type="dxa"/>
              <w:left w:w="15" w:type="dxa"/>
              <w:right w:w="15" w:type="dxa"/>
            </w:tcMar>
            <w:vAlign w:val="center"/>
          </w:tcPr>
          <w:p w14:paraId="2F0AABD1" w14:textId="54240F02" w:rsidR="5FEF55A3" w:rsidRPr="00B00089" w:rsidRDefault="5FEF55A3" w:rsidP="00124EDF">
            <w:pPr>
              <w:spacing w:after="0" w:line="240" w:lineRule="auto"/>
              <w:rPr>
                <w:rFonts w:ascii="Cambria" w:eastAsia="Calibri" w:hAnsi="Cambria" w:cs="Calibri"/>
                <w:color w:val="000000" w:themeColor="text1"/>
                <w:sz w:val="18"/>
                <w:szCs w:val="18"/>
              </w:rPr>
            </w:pPr>
            <w:r w:rsidRPr="00B00089">
              <w:rPr>
                <w:rFonts w:ascii="Cambria" w:hAnsi="Cambria"/>
                <w:color w:val="000000" w:themeColor="text1"/>
                <w:sz w:val="18"/>
                <w:szCs w:val="18"/>
              </w:rPr>
              <w:t>VAL</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04EB95D4" w14:textId="61BEC11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27</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412A4A2" w14:textId="7A969E8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30.978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B95FCFE" w14:textId="6302654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1.803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F01C1B5" w14:textId="3B490B5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62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80D20BF" w14:textId="78B30C7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4.482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0045A6" w14:textId="6E2EE5CC"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64.309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53DE7A" w14:textId="6CA15B3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3.072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D25991A" w14:textId="6F0EAEA3"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3.193</w:t>
            </w:r>
          </w:p>
        </w:tc>
      </w:tr>
      <w:tr w:rsidR="5FEF55A3" w:rsidRPr="00B00089" w14:paraId="5DE54B68" w14:textId="77777777" w:rsidTr="00124EDF">
        <w:trPr>
          <w:trHeight w:val="561"/>
        </w:trPr>
        <w:tc>
          <w:tcPr>
            <w:tcW w:w="0" w:type="auto"/>
            <w:tcBorders>
              <w:top w:val="single" w:sz="12" w:space="0" w:color="000000" w:themeColor="text1"/>
              <w:left w:val="single" w:sz="8" w:space="0" w:color="auto"/>
              <w:bottom w:val="single" w:sz="8" w:space="0" w:color="auto"/>
              <w:right w:val="single" w:sz="8" w:space="0" w:color="auto"/>
            </w:tcBorders>
            <w:shd w:val="clear" w:color="auto" w:fill="FFFFFF" w:themeFill="background1"/>
            <w:tcMar>
              <w:top w:w="15" w:type="dxa"/>
              <w:left w:w="15" w:type="dxa"/>
              <w:right w:w="15" w:type="dxa"/>
            </w:tcMar>
            <w:vAlign w:val="center"/>
          </w:tcPr>
          <w:p w14:paraId="4547FFFE" w14:textId="55F61408" w:rsidR="5FEF55A3" w:rsidRPr="00B00089" w:rsidRDefault="5FEF55A3" w:rsidP="00124EDF">
            <w:pPr>
              <w:spacing w:after="0" w:line="240" w:lineRule="auto"/>
              <w:rPr>
                <w:rFonts w:ascii="Cambria" w:eastAsia="Calibri" w:hAnsi="Cambria" w:cs="Calibri"/>
                <w:color w:val="000000" w:themeColor="text1"/>
                <w:sz w:val="18"/>
                <w:szCs w:val="18"/>
              </w:rPr>
            </w:pPr>
            <w:r w:rsidRPr="00B00089">
              <w:rPr>
                <w:rFonts w:ascii="Cambria" w:hAnsi="Cambria"/>
                <w:color w:val="000000" w:themeColor="text1"/>
                <w:sz w:val="18"/>
                <w:szCs w:val="18"/>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66F80DB8" w14:textId="214E834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553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64714AF" w14:textId="4314278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14.351.370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20C68CD" w14:textId="0B377D2A"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107.541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12F8A2" w14:textId="4AE5713F"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4.022</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71D819E" w14:textId="420CD50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4.584.014</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04979EF" w14:textId="4CCEF472"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3.115.848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D51049C" w14:textId="0A5A0A0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17.091.843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C1DD9DF" w14:textId="0D63202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885.030</w:t>
            </w:r>
          </w:p>
        </w:tc>
      </w:tr>
      <w:tr w:rsidR="5FEF55A3" w:rsidRPr="00B00089" w14:paraId="635F40B6" w14:textId="77777777" w:rsidTr="00124EDF">
        <w:trPr>
          <w:trHeight w:val="561"/>
        </w:trPr>
        <w:tc>
          <w:tcPr>
            <w:tcW w:w="0" w:type="auto"/>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14:paraId="36F22BD8" w14:textId="32487EEB" w:rsidR="5FEF55A3" w:rsidRPr="00B00089" w:rsidRDefault="5FEF55A3" w:rsidP="00124EDF">
            <w:pPr>
              <w:spacing w:after="0" w:line="240" w:lineRule="auto"/>
              <w:rPr>
                <w:rFonts w:ascii="Cambria" w:eastAsia="Calibri" w:hAnsi="Cambria" w:cs="Calibri"/>
                <w:color w:val="000000" w:themeColor="text1"/>
                <w:sz w:val="18"/>
                <w:szCs w:val="18"/>
              </w:rPr>
            </w:pPr>
            <w:r w:rsidRPr="00B00089">
              <w:rPr>
                <w:rFonts w:ascii="Cambria" w:hAnsi="Cambria"/>
                <w:color w:val="000000" w:themeColor="text1"/>
                <w:sz w:val="18"/>
                <w:szCs w:val="18"/>
              </w:rPr>
              <w:t>EXE</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42CEF4C3" w14:textId="2ED5C52C"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263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56F22C0" w14:textId="671D2C6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58.558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0B2C745" w14:textId="6D681E7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31.293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6FF796C" w14:textId="3BE957EB"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5.432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13F76AF" w14:textId="541D20D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288</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D639853" w14:textId="1014247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26.230</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136CC1" w14:textId="630E1C1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E3A5FC1" w14:textId="7ECEBDA4"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1.206</w:t>
            </w:r>
          </w:p>
        </w:tc>
      </w:tr>
      <w:tr w:rsidR="5FEF55A3" w:rsidRPr="00B00089" w14:paraId="435D3AFC" w14:textId="77777777" w:rsidTr="00124EDF">
        <w:trPr>
          <w:trHeight w:val="561"/>
        </w:trPr>
        <w:tc>
          <w:tcPr>
            <w:tcW w:w="0" w:type="auto"/>
            <w:tcBorders>
              <w:top w:val="single" w:sz="12" w:space="0" w:color="000000" w:themeColor="text1"/>
              <w:left w:val="single" w:sz="8" w:space="0" w:color="auto"/>
              <w:bottom w:val="single" w:sz="8" w:space="0" w:color="auto"/>
              <w:right w:val="single" w:sz="8" w:space="0" w:color="auto"/>
            </w:tcBorders>
            <w:tcMar>
              <w:top w:w="15" w:type="dxa"/>
              <w:left w:w="15" w:type="dxa"/>
              <w:right w:w="15" w:type="dxa"/>
            </w:tcMar>
            <w:vAlign w:val="center"/>
          </w:tcPr>
          <w:p w14:paraId="391C7FDF" w14:textId="088F4E16" w:rsidR="5FEF55A3" w:rsidRPr="00B00089" w:rsidRDefault="5FEF55A3" w:rsidP="00124EDF">
            <w:pPr>
              <w:spacing w:after="0" w:line="240" w:lineRule="auto"/>
              <w:rPr>
                <w:rFonts w:ascii="Cambria" w:eastAsia="Calibri" w:hAnsi="Cambria" w:cs="Calibri"/>
                <w:color w:val="000000" w:themeColor="text1"/>
                <w:sz w:val="18"/>
                <w:szCs w:val="18"/>
              </w:rPr>
            </w:pPr>
            <w:r w:rsidRPr="00B00089">
              <w:rPr>
                <w:rFonts w:ascii="Cambria" w:hAnsi="Cambria"/>
                <w:color w:val="000000" w:themeColor="text1"/>
                <w:sz w:val="18"/>
                <w:szCs w:val="18"/>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13E6C628" w14:textId="5C4E2E3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89.871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8FA2D44" w14:textId="42008EFD"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5.751.919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A9BE66D" w14:textId="3111809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2.021.523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CE4D0C1" w14:textId="376E1CB8"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443.773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90D80E7" w14:textId="2CB9465A"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8.299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F9D8AB8" w14:textId="7A1E6A2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946.269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B7BF3F1" w14:textId="22758D5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167</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F51925A" w14:textId="50FBC85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67.568</w:t>
            </w:r>
          </w:p>
        </w:tc>
      </w:tr>
      <w:tr w:rsidR="5FEF55A3" w:rsidRPr="00B00089" w14:paraId="522439E4" w14:textId="77777777" w:rsidTr="00124EDF">
        <w:trPr>
          <w:trHeight w:val="561"/>
        </w:trPr>
        <w:tc>
          <w:tcPr>
            <w:tcW w:w="0" w:type="auto"/>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14:paraId="25F641CA" w14:textId="62222D7C" w:rsidR="5FEF55A3" w:rsidRPr="00B00089" w:rsidRDefault="5FEF55A3" w:rsidP="00124EDF">
            <w:pPr>
              <w:spacing w:after="0" w:line="240" w:lineRule="auto"/>
              <w:rPr>
                <w:rFonts w:ascii="Cambria" w:eastAsia="Calibri" w:hAnsi="Cambria" w:cs="Calibri"/>
                <w:color w:val="000000" w:themeColor="text1"/>
                <w:sz w:val="18"/>
                <w:szCs w:val="18"/>
              </w:rPr>
            </w:pPr>
            <w:r w:rsidRPr="00B00089">
              <w:rPr>
                <w:rFonts w:ascii="Cambria" w:hAnsi="Cambria"/>
                <w:color w:val="000000" w:themeColor="text1"/>
                <w:sz w:val="18"/>
                <w:szCs w:val="18"/>
              </w:rPr>
              <w:t xml:space="preserve">EXE </w:t>
            </w:r>
            <w:proofErr w:type="spellStart"/>
            <w:r w:rsidRPr="00B00089">
              <w:rPr>
                <w:rFonts w:ascii="Cambria" w:hAnsi="Cambria"/>
                <w:color w:val="000000" w:themeColor="text1"/>
                <w:sz w:val="18"/>
                <w:szCs w:val="18"/>
              </w:rPr>
              <w:t>STA</w:t>
            </w:r>
            <w:proofErr w:type="spellEnd"/>
            <w:r w:rsidRPr="00B00089">
              <w:rPr>
                <w:rFonts w:ascii="Cambria" w:hAnsi="Cambria"/>
                <w:color w:val="000000" w:themeColor="text1"/>
                <w:sz w:val="18"/>
                <w:szCs w:val="18"/>
              </w:rPr>
              <w:t>*</w:t>
            </w:r>
          </w:p>
        </w:tc>
        <w:tc>
          <w:tcPr>
            <w:tcW w:w="0" w:type="auto"/>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16B1ABA7" w14:textId="6642A16D"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106</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DEE9EC2" w14:textId="67BEC9BD"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15.151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5999EE7" w14:textId="61232FB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8.452</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03384C" w14:textId="6A790369"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2.771</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B66C1B6" w14:textId="65D7ED10"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86</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217DEA9" w14:textId="68B69761"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8.959</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F03662C" w14:textId="3404E5FF"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w:t>
            </w:r>
          </w:p>
        </w:tc>
        <w:tc>
          <w:tcPr>
            <w:tcW w:w="0" w:type="auto"/>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3CF0186" w14:textId="60791C8D"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891</w:t>
            </w:r>
          </w:p>
        </w:tc>
      </w:tr>
      <w:tr w:rsidR="5FEF55A3" w:rsidRPr="00B00089" w14:paraId="49423CB0" w14:textId="77777777" w:rsidTr="00124EDF">
        <w:trPr>
          <w:trHeight w:val="561"/>
        </w:trPr>
        <w:tc>
          <w:tcPr>
            <w:tcW w:w="0" w:type="auto"/>
            <w:tcBorders>
              <w:top w:val="single" w:sz="12" w:space="0" w:color="000000" w:themeColor="text1"/>
              <w:left w:val="single" w:sz="8" w:space="0" w:color="auto"/>
              <w:bottom w:val="single" w:sz="8" w:space="0" w:color="auto"/>
              <w:right w:val="single" w:sz="8" w:space="0" w:color="auto"/>
            </w:tcBorders>
            <w:tcMar>
              <w:top w:w="15" w:type="dxa"/>
              <w:left w:w="15" w:type="dxa"/>
              <w:right w:w="15" w:type="dxa"/>
            </w:tcMar>
            <w:vAlign w:val="center"/>
          </w:tcPr>
          <w:p w14:paraId="53BF0F0B" w14:textId="0708A3E8" w:rsidR="5FEF55A3" w:rsidRPr="00B00089" w:rsidRDefault="5FEF55A3" w:rsidP="00124EDF">
            <w:pPr>
              <w:spacing w:after="0" w:line="240" w:lineRule="auto"/>
              <w:rPr>
                <w:rFonts w:ascii="Cambria" w:eastAsia="Calibri" w:hAnsi="Cambria" w:cs="Calibri"/>
                <w:color w:val="000000" w:themeColor="text1"/>
                <w:sz w:val="18"/>
                <w:szCs w:val="18"/>
              </w:rPr>
            </w:pPr>
            <w:r w:rsidRPr="00B00089">
              <w:rPr>
                <w:rFonts w:ascii="Cambria" w:hAnsi="Cambria"/>
                <w:color w:val="000000" w:themeColor="text1"/>
                <w:sz w:val="18"/>
                <w:szCs w:val="18"/>
              </w:rPr>
              <w:t>Kg</w:t>
            </w:r>
          </w:p>
        </w:tc>
        <w:tc>
          <w:tcPr>
            <w:tcW w:w="0" w:type="auto"/>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52D71EB6" w14:textId="21493E5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83.249</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D27DFB" w14:textId="6695AC6E"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1.073.068</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6B7CB3E" w14:textId="332A4685"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780.341</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ED11888" w14:textId="6D3A48D7"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284.993</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DC50541" w14:textId="336D00B0"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2.700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8A18524" w14:textId="22E2EB13"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481.060</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C92C488" w14:textId="7F60B7D6"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167</w:t>
            </w:r>
          </w:p>
        </w:tc>
        <w:tc>
          <w:tcPr>
            <w:tcW w:w="0" w:type="auto"/>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1F8D614" w14:textId="3C79976F" w:rsidR="5FEF55A3" w:rsidRPr="00B00089" w:rsidRDefault="5FEF55A3" w:rsidP="00124EDF">
            <w:pPr>
              <w:spacing w:after="0" w:line="240" w:lineRule="auto"/>
              <w:jc w:val="center"/>
              <w:rPr>
                <w:rFonts w:ascii="Cambria" w:hAnsi="Cambria"/>
                <w:sz w:val="18"/>
                <w:szCs w:val="18"/>
              </w:rPr>
            </w:pPr>
            <w:r w:rsidRPr="00B00089">
              <w:rPr>
                <w:rFonts w:ascii="Cambria" w:hAnsi="Cambria"/>
                <w:color w:val="000000" w:themeColor="text1"/>
                <w:sz w:val="18"/>
                <w:szCs w:val="18"/>
              </w:rPr>
              <w:t>38.184</w:t>
            </w:r>
          </w:p>
        </w:tc>
      </w:tr>
    </w:tbl>
    <w:p w14:paraId="759A0381" w14:textId="00BCE685" w:rsidR="5FEF55A3" w:rsidRDefault="00B00089" w:rsidP="00741B44">
      <w:pPr>
        <w:spacing w:after="0" w:line="240" w:lineRule="auto"/>
        <w:jc w:val="both"/>
        <w:rPr>
          <w:rFonts w:ascii="Cambria" w:eastAsia="Times New Roman" w:hAnsi="Cambria" w:cs="Times New Roman"/>
          <w:color w:val="000000" w:themeColor="text1"/>
          <w:sz w:val="16"/>
          <w:szCs w:val="16"/>
        </w:rPr>
      </w:pPr>
      <w:r w:rsidRPr="00B00089">
        <w:rPr>
          <w:rFonts w:ascii="Cambria" w:eastAsia="Times New Roman" w:hAnsi="Cambria" w:cs="Times New Roman"/>
          <w:color w:val="000000" w:themeColor="text1"/>
          <w:sz w:val="16"/>
          <w:szCs w:val="16"/>
        </w:rPr>
        <w:t>*</w:t>
      </w:r>
      <w:r w:rsidRPr="00B00089">
        <w:rPr>
          <w:rFonts w:ascii="Cambria" w:eastAsia="Times New Roman" w:hAnsi="Cambria" w:cs="Times New Roman"/>
          <w:color w:val="000000" w:themeColor="text1"/>
          <w:sz w:val="16"/>
          <w:szCs w:val="16"/>
        </w:rPr>
        <w:t xml:space="preserve"> Número y tonelaje de las </w:t>
      </w:r>
      <w:r w:rsidRPr="00B00089">
        <w:rPr>
          <w:rFonts w:ascii="Cambria" w:eastAsia="Times New Roman" w:hAnsi="Cambria" w:cs="Times New Roman"/>
          <w:color w:val="000000" w:themeColor="text1"/>
          <w:sz w:val="16"/>
          <w:szCs w:val="16"/>
        </w:rPr>
        <w:t>operaciones comerciales</w:t>
      </w:r>
      <w:r w:rsidRPr="00B00089">
        <w:rPr>
          <w:rFonts w:ascii="Cambria" w:eastAsia="Times New Roman" w:hAnsi="Cambria" w:cs="Times New Roman"/>
          <w:color w:val="000000" w:themeColor="text1"/>
          <w:sz w:val="16"/>
          <w:szCs w:val="16"/>
        </w:rPr>
        <w:t xml:space="preserve"> entre Estados miembros de la UE exentas de validación, con sujeción a la </w:t>
      </w:r>
      <w:r w:rsidRPr="00B00089">
        <w:rPr>
          <w:rFonts w:ascii="Cambria" w:eastAsia="Times New Roman" w:hAnsi="Cambria" w:cs="Times New Roman"/>
          <w:color w:val="000000" w:themeColor="text1"/>
          <w:sz w:val="16"/>
          <w:szCs w:val="16"/>
        </w:rPr>
        <w:t xml:space="preserve">derogación </w:t>
      </w:r>
      <w:r w:rsidRPr="00B00089">
        <w:rPr>
          <w:rFonts w:ascii="Cambria" w:eastAsia="Times New Roman" w:hAnsi="Cambria" w:cs="Times New Roman"/>
          <w:color w:val="000000" w:themeColor="text1"/>
          <w:sz w:val="16"/>
          <w:szCs w:val="16"/>
        </w:rPr>
        <w:t xml:space="preserve">prevista en el </w:t>
      </w:r>
      <w:r w:rsidRPr="00B00089">
        <w:rPr>
          <w:rFonts w:ascii="Cambria" w:eastAsia="Times New Roman" w:hAnsi="Cambria" w:cs="Times New Roman"/>
          <w:color w:val="000000" w:themeColor="text1"/>
          <w:sz w:val="16"/>
          <w:szCs w:val="16"/>
        </w:rPr>
        <w:t>párrafo </w:t>
      </w:r>
      <w:r w:rsidRPr="00B00089">
        <w:rPr>
          <w:rFonts w:ascii="Cambria" w:eastAsia="Times New Roman" w:hAnsi="Cambria" w:cs="Times New Roman"/>
          <w:color w:val="000000" w:themeColor="text1"/>
          <w:sz w:val="16"/>
          <w:szCs w:val="16"/>
        </w:rPr>
        <w:t>5</w:t>
      </w:r>
      <w:r w:rsidRPr="00B00089">
        <w:rPr>
          <w:rFonts w:ascii="Cambria" w:eastAsia="Times New Roman" w:hAnsi="Cambria" w:cs="Times New Roman"/>
          <w:color w:val="000000" w:themeColor="text1"/>
          <w:sz w:val="16"/>
          <w:szCs w:val="16"/>
        </w:rPr>
        <w:t xml:space="preserve">b </w:t>
      </w:r>
      <w:r w:rsidRPr="00B00089">
        <w:rPr>
          <w:rFonts w:ascii="Cambria" w:eastAsia="Times New Roman" w:hAnsi="Cambria" w:cs="Times New Roman"/>
          <w:color w:val="000000" w:themeColor="text1"/>
          <w:sz w:val="16"/>
          <w:szCs w:val="16"/>
        </w:rPr>
        <w:t>(</w:t>
      </w:r>
      <w:proofErr w:type="spellStart"/>
      <w:r w:rsidRPr="00B00089">
        <w:rPr>
          <w:rFonts w:ascii="Cambria" w:eastAsia="Times New Roman" w:hAnsi="Cambria" w:cs="Times New Roman"/>
          <w:color w:val="000000" w:themeColor="text1"/>
          <w:sz w:val="16"/>
          <w:szCs w:val="16"/>
        </w:rPr>
        <w:t>STA</w:t>
      </w:r>
      <w:proofErr w:type="spellEnd"/>
      <w:r w:rsidRPr="00B00089">
        <w:rPr>
          <w:rFonts w:ascii="Cambria" w:eastAsia="Times New Roman" w:hAnsi="Cambria" w:cs="Times New Roman"/>
          <w:color w:val="000000" w:themeColor="text1"/>
          <w:sz w:val="16"/>
          <w:szCs w:val="16"/>
        </w:rPr>
        <w:t>).</w:t>
      </w:r>
    </w:p>
    <w:p w14:paraId="70FC9F26" w14:textId="77777777" w:rsidR="00B00089" w:rsidRDefault="00B00089" w:rsidP="00741B44">
      <w:pPr>
        <w:spacing w:after="0" w:line="240" w:lineRule="auto"/>
        <w:jc w:val="both"/>
        <w:rPr>
          <w:rFonts w:ascii="Cambria" w:eastAsia="Times New Roman" w:hAnsi="Cambria" w:cs="Times New Roman"/>
          <w:color w:val="000000" w:themeColor="text1"/>
          <w:sz w:val="16"/>
          <w:szCs w:val="16"/>
        </w:rPr>
      </w:pPr>
    </w:p>
    <w:sectPr w:rsidR="00B00089" w:rsidSect="001D5290">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6AAC" w14:textId="77777777" w:rsidR="00F11A7C" w:rsidRDefault="00F11A7C">
      <w:pPr>
        <w:spacing w:after="0" w:line="240" w:lineRule="auto"/>
      </w:pPr>
      <w:r>
        <w:separator/>
      </w:r>
    </w:p>
  </w:endnote>
  <w:endnote w:type="continuationSeparator" w:id="0">
    <w:p w14:paraId="0C989DD6" w14:textId="77777777" w:rsidR="00F11A7C" w:rsidRDefault="00F1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42E3" w14:textId="3FEF1672" w:rsidR="00741B44" w:rsidRPr="00FA4F73" w:rsidRDefault="00741B44" w:rsidP="00942903">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rPr>
      <w:fldChar w:fldCharType="begin"/>
    </w:r>
    <w:r w:rsidRPr="00FA4F73">
      <w:rPr>
        <w:rFonts w:ascii="Cambria" w:eastAsia="Calibri" w:hAnsi="Cambria" w:cs="Calibri"/>
        <w:sz w:val="20"/>
      </w:rPr>
      <w:instrText xml:space="preserve"> PAGE </w:instrText>
    </w:r>
    <w:r w:rsidRPr="00FA4F73">
      <w:rPr>
        <w:rFonts w:ascii="Cambria" w:eastAsia="Calibri" w:hAnsi="Cambria" w:cs="Calibri"/>
        <w:sz w:val="20"/>
      </w:rPr>
      <w:fldChar w:fldCharType="separate"/>
    </w:r>
    <w:r w:rsidRPr="00FA4F73">
      <w:rPr>
        <w:rFonts w:ascii="Cambria" w:eastAsia="Calibri" w:hAnsi="Cambria" w:cs="Calibri"/>
        <w:sz w:val="20"/>
      </w:rPr>
      <w:t>1</w:t>
    </w:r>
    <w:r w:rsidRPr="00FA4F73">
      <w:rPr>
        <w:rFonts w:ascii="Cambria" w:eastAsia="Calibri" w:hAnsi="Cambria" w:cs="Calibri"/>
        <w:sz w:val="20"/>
      </w:rPr>
      <w:fldChar w:fldCharType="end"/>
    </w:r>
    <w:r>
      <w:rPr>
        <w:rFonts w:ascii="Cambria" w:hAnsi="Cambria"/>
        <w:sz w:val="20"/>
      </w:rPr>
      <w:t xml:space="preserve"> / </w:t>
    </w:r>
    <w:r w:rsidRPr="00FA4F73">
      <w:rPr>
        <w:rFonts w:ascii="Cambria" w:eastAsia="Calibri" w:hAnsi="Cambria" w:cs="Calibri"/>
        <w:sz w:val="20"/>
      </w:rPr>
      <w:fldChar w:fldCharType="begin"/>
    </w:r>
    <w:r w:rsidRPr="00FA4F73">
      <w:rPr>
        <w:rFonts w:ascii="Cambria" w:eastAsia="Calibri" w:hAnsi="Cambria" w:cs="Calibri"/>
        <w:sz w:val="20"/>
      </w:rPr>
      <w:instrText xml:space="preserve"> NUMPAGES  </w:instrText>
    </w:r>
    <w:r w:rsidRPr="00FA4F73">
      <w:rPr>
        <w:rFonts w:ascii="Cambria" w:eastAsia="Calibri" w:hAnsi="Cambria" w:cs="Calibri"/>
        <w:sz w:val="20"/>
      </w:rPr>
      <w:fldChar w:fldCharType="separate"/>
    </w:r>
    <w:r w:rsidRPr="00FA4F73">
      <w:rPr>
        <w:rFonts w:ascii="Cambria" w:eastAsia="Calibri" w:hAnsi="Cambria" w:cs="Calibri"/>
        <w:sz w:val="20"/>
      </w:rPr>
      <w:t>8</w:t>
    </w:r>
    <w:r w:rsidRPr="00FA4F7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3BC9" w14:textId="12996717" w:rsidR="5FEF55A3" w:rsidRDefault="5FEF55A3">
      <w:pPr>
        <w:spacing w:after="0" w:line="240" w:lineRule="auto"/>
      </w:pPr>
      <w:r>
        <w:separator/>
      </w:r>
    </w:p>
  </w:footnote>
  <w:footnote w:type="continuationSeparator" w:id="0">
    <w:p w14:paraId="146DF318" w14:textId="19DB8831" w:rsidR="5FEF55A3" w:rsidRDefault="5FEF55A3">
      <w:pPr>
        <w:spacing w:after="0" w:line="240" w:lineRule="auto"/>
      </w:pPr>
      <w:r>
        <w:continuationSeparator/>
      </w:r>
    </w:p>
  </w:footnote>
  <w:footnote w:id="1">
    <w:p w14:paraId="27992AF2" w14:textId="1C8FFB1E" w:rsidR="5FEF55A3" w:rsidRPr="00AA2A52" w:rsidRDefault="5FEF55A3" w:rsidP="00942903">
      <w:pPr>
        <w:pStyle w:val="FootnoteText"/>
        <w:jc w:val="both"/>
        <w:rPr>
          <w:rFonts w:ascii="Cambria" w:hAnsi="Cambria"/>
          <w:sz w:val="16"/>
          <w:szCs w:val="16"/>
        </w:rPr>
      </w:pPr>
      <w:r>
        <w:rPr>
          <w:rStyle w:val="FootnoteReference"/>
          <w:rFonts w:ascii="Cambria" w:hAnsi="Cambria"/>
          <w:sz w:val="16"/>
          <w:szCs w:val="16"/>
        </w:rPr>
        <w:footnoteRef/>
      </w:r>
      <w:r>
        <w:rPr>
          <w:rFonts w:ascii="Cambria" w:hAnsi="Cambria"/>
          <w:color w:val="000000" w:themeColor="text1"/>
          <w:sz w:val="16"/>
        </w:rPr>
        <w:t>Incluye operaciones comerciales entre los Estados miembros de la UE, operaciones comerciales de peces marcados y operaciones comerciales internas de peces no marcados.</w:t>
      </w:r>
    </w:p>
  </w:footnote>
  <w:footnote w:id="2">
    <w:p w14:paraId="33795562" w14:textId="6B2C08FC" w:rsidR="5FEF55A3" w:rsidRDefault="5FEF55A3" w:rsidP="00942903">
      <w:pPr>
        <w:pStyle w:val="FootnoteText"/>
        <w:jc w:val="both"/>
      </w:pPr>
      <w:r>
        <w:rPr>
          <w:rStyle w:val="FootnoteReference"/>
          <w:rFonts w:ascii="Cambria" w:hAnsi="Cambria"/>
          <w:sz w:val="16"/>
          <w:szCs w:val="16"/>
        </w:rPr>
        <w:footnoteRef/>
      </w:r>
      <w:r>
        <w:rPr>
          <w:rFonts w:ascii="Cambria" w:hAnsi="Cambria"/>
          <w:color w:val="000000" w:themeColor="text1"/>
          <w:sz w:val="16"/>
        </w:rPr>
        <w:t>Reglamento (UE) n.º 640/2010 del Parlamento europeo y del Consejo de 7 de julio de 2010, por el que se establece un programa de documentación de capturas de atún rojo (</w:t>
      </w:r>
      <w:proofErr w:type="spellStart"/>
      <w:r>
        <w:rPr>
          <w:rFonts w:ascii="Cambria" w:hAnsi="Cambria"/>
          <w:i/>
          <w:iCs/>
          <w:color w:val="000000" w:themeColor="text1"/>
          <w:sz w:val="16"/>
        </w:rPr>
        <w:t>Thunnus</w:t>
      </w:r>
      <w:proofErr w:type="spellEnd"/>
      <w:r>
        <w:rPr>
          <w:rFonts w:ascii="Cambria" w:hAnsi="Cambria"/>
          <w:i/>
          <w:iCs/>
          <w:color w:val="000000" w:themeColor="text1"/>
          <w:sz w:val="16"/>
        </w:rPr>
        <w:t xml:space="preserve"> </w:t>
      </w:r>
      <w:proofErr w:type="spellStart"/>
      <w:r>
        <w:rPr>
          <w:rFonts w:ascii="Cambria" w:hAnsi="Cambria"/>
          <w:i/>
          <w:iCs/>
          <w:color w:val="000000" w:themeColor="text1"/>
          <w:sz w:val="16"/>
        </w:rPr>
        <w:t>thynnus</w:t>
      </w:r>
      <w:proofErr w:type="spellEnd"/>
      <w:r>
        <w:rPr>
          <w:rFonts w:ascii="Cambria" w:hAnsi="Cambria"/>
          <w:sz w:val="16"/>
        </w:rPr>
        <w:t>)</w:t>
      </w:r>
      <w:r w:rsidR="0026568C">
        <w:rPr>
          <w:rFonts w:ascii="Cambria" w:hAnsi="Cambria"/>
          <w:sz w:val="16"/>
        </w:rPr>
        <w:t>.</w:t>
      </w:r>
    </w:p>
  </w:footnote>
  <w:footnote w:id="3">
    <w:p w14:paraId="1C1C0327" w14:textId="53BB908B" w:rsidR="5FEF55A3" w:rsidRPr="00806318" w:rsidRDefault="5FEF55A3" w:rsidP="00C34E8E">
      <w:pPr>
        <w:pStyle w:val="FootnoteText"/>
        <w:jc w:val="both"/>
        <w:rPr>
          <w:rFonts w:ascii="Cambria" w:hAnsi="Cambria"/>
          <w:sz w:val="16"/>
          <w:szCs w:val="16"/>
        </w:rPr>
      </w:pPr>
      <w:r w:rsidRPr="00806318">
        <w:rPr>
          <w:rStyle w:val="FootnoteReference"/>
          <w:rFonts w:ascii="Cambria" w:hAnsi="Cambria"/>
          <w:sz w:val="16"/>
          <w:szCs w:val="16"/>
        </w:rPr>
        <w:footnoteRef/>
      </w:r>
      <w:r w:rsidRPr="00806318">
        <w:rPr>
          <w:rFonts w:ascii="Cambria" w:hAnsi="Cambria"/>
          <w:color w:val="000000" w:themeColor="text1"/>
          <w:sz w:val="16"/>
          <w:szCs w:val="16"/>
        </w:rPr>
        <w:t>El pescado marcado podría referirse tanto al comercio entre los Estados miembros de la UE como al comercio interno dentro de un Estado miembro de la UE; número de eventos comerciales equivale a uno o varios peces marcados.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3D1D" w14:textId="2FB20F52" w:rsidR="00091A6F" w:rsidRPr="00091A6F" w:rsidRDefault="00091A6F" w:rsidP="00091A6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PWG_410/2025</w:t>
    </w:r>
  </w:p>
  <w:p w14:paraId="4CF186ED" w14:textId="6F86CE53" w:rsidR="00091A6F" w:rsidRPr="00341303" w:rsidRDefault="00091A6F" w:rsidP="00341303">
    <w:pPr>
      <w:widowControl w:val="0"/>
      <w:tabs>
        <w:tab w:val="left" w:pos="7320"/>
      </w:tabs>
      <w:autoSpaceDE w:val="0"/>
      <w:autoSpaceDN w:val="0"/>
      <w:spacing w:after="0" w:line="240" w:lineRule="exact"/>
      <w:jc w:val="right"/>
      <w:rPr>
        <w:rFonts w:ascii="Cambria" w:eastAsia="Cambria" w:hAnsi="Cambria" w:cs="Cambria"/>
        <w:sz w:val="22"/>
        <w:szCs w:val="22"/>
      </w:rPr>
    </w:pPr>
    <w:r w:rsidRPr="00091A6F">
      <w:rPr>
        <w:rFonts w:ascii="Cambria" w:eastAsia="Cambria" w:hAnsi="Cambria" w:cs="Cambria"/>
        <w:b/>
        <w:sz w:val="16"/>
      </w:rPr>
      <w:fldChar w:fldCharType="begin"/>
    </w:r>
    <w:r w:rsidRPr="00091A6F">
      <w:rPr>
        <w:rFonts w:ascii="Cambria" w:eastAsia="Cambria" w:hAnsi="Cambria" w:cs="Cambria"/>
        <w:b/>
        <w:sz w:val="16"/>
      </w:rPr>
      <w:instrText xml:space="preserve"> TIME \@ "dd/MM/yyyy H:mm" </w:instrText>
    </w:r>
    <w:r w:rsidRPr="00091A6F">
      <w:rPr>
        <w:rFonts w:ascii="Cambria" w:eastAsia="Cambria" w:hAnsi="Cambria" w:cs="Cambria"/>
        <w:b/>
        <w:sz w:val="16"/>
      </w:rPr>
      <w:fldChar w:fldCharType="separate"/>
    </w:r>
    <w:r w:rsidR="00B00089">
      <w:rPr>
        <w:rFonts w:ascii="Cambria" w:eastAsia="Cambria" w:hAnsi="Cambria" w:cs="Cambria"/>
        <w:b/>
        <w:noProof/>
        <w:sz w:val="16"/>
      </w:rPr>
      <w:t>17/11/2025 11:04</w:t>
    </w:r>
    <w:r w:rsidRPr="00091A6F">
      <w:rPr>
        <w:rFonts w:ascii="Cambria" w:eastAsia="Cambria" w:hAnsi="Cambria" w:cs="Cambria"/>
        <w:b/>
        <w:bCs/>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7283"/>
    <w:multiLevelType w:val="hybridMultilevel"/>
    <w:tmpl w:val="7188FE1A"/>
    <w:lvl w:ilvl="0" w:tplc="F8E4FEB6">
      <w:start w:val="1"/>
      <w:numFmt w:val="decimal"/>
      <w:lvlText w:val="%1."/>
      <w:lvlJc w:val="left"/>
      <w:pPr>
        <w:ind w:left="720" w:hanging="360"/>
      </w:pPr>
    </w:lvl>
    <w:lvl w:ilvl="1" w:tplc="35103036">
      <w:start w:val="1"/>
      <w:numFmt w:val="lowerLetter"/>
      <w:lvlText w:val="%2."/>
      <w:lvlJc w:val="left"/>
      <w:pPr>
        <w:ind w:left="1440" w:hanging="360"/>
      </w:pPr>
    </w:lvl>
    <w:lvl w:ilvl="2" w:tplc="12BCF700">
      <w:start w:val="1"/>
      <w:numFmt w:val="lowerRoman"/>
      <w:lvlText w:val="%3."/>
      <w:lvlJc w:val="right"/>
      <w:pPr>
        <w:ind w:left="2160" w:hanging="180"/>
      </w:pPr>
    </w:lvl>
    <w:lvl w:ilvl="3" w:tplc="74EAC8DA">
      <w:start w:val="1"/>
      <w:numFmt w:val="decimal"/>
      <w:lvlText w:val="%4."/>
      <w:lvlJc w:val="left"/>
      <w:pPr>
        <w:ind w:left="2880" w:hanging="360"/>
      </w:pPr>
    </w:lvl>
    <w:lvl w:ilvl="4" w:tplc="CD444898">
      <w:start w:val="1"/>
      <w:numFmt w:val="lowerLetter"/>
      <w:lvlText w:val="%5."/>
      <w:lvlJc w:val="left"/>
      <w:pPr>
        <w:ind w:left="3600" w:hanging="360"/>
      </w:pPr>
    </w:lvl>
    <w:lvl w:ilvl="5" w:tplc="83026504">
      <w:start w:val="1"/>
      <w:numFmt w:val="lowerRoman"/>
      <w:lvlText w:val="%6."/>
      <w:lvlJc w:val="right"/>
      <w:pPr>
        <w:ind w:left="4320" w:hanging="180"/>
      </w:pPr>
    </w:lvl>
    <w:lvl w:ilvl="6" w:tplc="B33A60C8">
      <w:start w:val="1"/>
      <w:numFmt w:val="decimal"/>
      <w:lvlText w:val="%7."/>
      <w:lvlJc w:val="left"/>
      <w:pPr>
        <w:ind w:left="5040" w:hanging="360"/>
      </w:pPr>
    </w:lvl>
    <w:lvl w:ilvl="7" w:tplc="5046ECC6">
      <w:start w:val="1"/>
      <w:numFmt w:val="lowerLetter"/>
      <w:lvlText w:val="%8."/>
      <w:lvlJc w:val="left"/>
      <w:pPr>
        <w:ind w:left="5760" w:hanging="360"/>
      </w:pPr>
    </w:lvl>
    <w:lvl w:ilvl="8" w:tplc="2CFAC524">
      <w:start w:val="1"/>
      <w:numFmt w:val="lowerRoman"/>
      <w:lvlText w:val="%9."/>
      <w:lvlJc w:val="right"/>
      <w:pPr>
        <w:ind w:left="6480" w:hanging="180"/>
      </w:pPr>
    </w:lvl>
  </w:abstractNum>
  <w:abstractNum w:abstractNumId="1" w15:restartNumberingAfterBreak="0">
    <w:nsid w:val="1B0B82B6"/>
    <w:multiLevelType w:val="multilevel"/>
    <w:tmpl w:val="E1DA12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C975AF2"/>
    <w:multiLevelType w:val="multilevel"/>
    <w:tmpl w:val="5A3C0BD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2688969"/>
    <w:multiLevelType w:val="hybridMultilevel"/>
    <w:tmpl w:val="73CA8132"/>
    <w:lvl w:ilvl="0" w:tplc="FBFC9D76">
      <w:start w:val="1"/>
      <w:numFmt w:val="bullet"/>
      <w:lvlText w:val=""/>
      <w:lvlJc w:val="left"/>
      <w:pPr>
        <w:ind w:left="720" w:hanging="360"/>
      </w:pPr>
      <w:rPr>
        <w:rFonts w:ascii="Symbol" w:hAnsi="Symbol" w:hint="default"/>
      </w:rPr>
    </w:lvl>
    <w:lvl w:ilvl="1" w:tplc="322C27D0">
      <w:start w:val="1"/>
      <w:numFmt w:val="bullet"/>
      <w:lvlText w:val="o"/>
      <w:lvlJc w:val="left"/>
      <w:pPr>
        <w:ind w:left="1440" w:hanging="360"/>
      </w:pPr>
      <w:rPr>
        <w:rFonts w:ascii="Courier New" w:hAnsi="Courier New" w:hint="default"/>
      </w:rPr>
    </w:lvl>
    <w:lvl w:ilvl="2" w:tplc="E10C4480">
      <w:start w:val="1"/>
      <w:numFmt w:val="bullet"/>
      <w:lvlText w:val=""/>
      <w:lvlJc w:val="left"/>
      <w:pPr>
        <w:ind w:left="2160" w:hanging="360"/>
      </w:pPr>
      <w:rPr>
        <w:rFonts w:ascii="Wingdings" w:hAnsi="Wingdings" w:hint="default"/>
      </w:rPr>
    </w:lvl>
    <w:lvl w:ilvl="3" w:tplc="36E0A558">
      <w:start w:val="1"/>
      <w:numFmt w:val="bullet"/>
      <w:lvlText w:val=""/>
      <w:lvlJc w:val="left"/>
      <w:pPr>
        <w:ind w:left="2880" w:hanging="360"/>
      </w:pPr>
      <w:rPr>
        <w:rFonts w:ascii="Symbol" w:hAnsi="Symbol" w:hint="default"/>
      </w:rPr>
    </w:lvl>
    <w:lvl w:ilvl="4" w:tplc="9F80A218">
      <w:start w:val="1"/>
      <w:numFmt w:val="bullet"/>
      <w:lvlText w:val="o"/>
      <w:lvlJc w:val="left"/>
      <w:pPr>
        <w:ind w:left="3600" w:hanging="360"/>
      </w:pPr>
      <w:rPr>
        <w:rFonts w:ascii="Courier New" w:hAnsi="Courier New" w:hint="default"/>
      </w:rPr>
    </w:lvl>
    <w:lvl w:ilvl="5" w:tplc="EE38870C">
      <w:start w:val="1"/>
      <w:numFmt w:val="bullet"/>
      <w:lvlText w:val=""/>
      <w:lvlJc w:val="left"/>
      <w:pPr>
        <w:ind w:left="4320" w:hanging="360"/>
      </w:pPr>
      <w:rPr>
        <w:rFonts w:ascii="Wingdings" w:hAnsi="Wingdings" w:hint="default"/>
      </w:rPr>
    </w:lvl>
    <w:lvl w:ilvl="6" w:tplc="7B0AACBA">
      <w:start w:val="1"/>
      <w:numFmt w:val="bullet"/>
      <w:lvlText w:val=""/>
      <w:lvlJc w:val="left"/>
      <w:pPr>
        <w:ind w:left="5040" w:hanging="360"/>
      </w:pPr>
      <w:rPr>
        <w:rFonts w:ascii="Symbol" w:hAnsi="Symbol" w:hint="default"/>
      </w:rPr>
    </w:lvl>
    <w:lvl w:ilvl="7" w:tplc="EC6C7984">
      <w:start w:val="1"/>
      <w:numFmt w:val="bullet"/>
      <w:lvlText w:val="o"/>
      <w:lvlJc w:val="left"/>
      <w:pPr>
        <w:ind w:left="5760" w:hanging="360"/>
      </w:pPr>
      <w:rPr>
        <w:rFonts w:ascii="Courier New" w:hAnsi="Courier New" w:hint="default"/>
      </w:rPr>
    </w:lvl>
    <w:lvl w:ilvl="8" w:tplc="50762144">
      <w:start w:val="1"/>
      <w:numFmt w:val="bullet"/>
      <w:lvlText w:val=""/>
      <w:lvlJc w:val="left"/>
      <w:pPr>
        <w:ind w:left="6480" w:hanging="360"/>
      </w:pPr>
      <w:rPr>
        <w:rFonts w:ascii="Wingdings" w:hAnsi="Wingdings" w:hint="default"/>
      </w:rPr>
    </w:lvl>
  </w:abstractNum>
  <w:abstractNum w:abstractNumId="4" w15:restartNumberingAfterBreak="0">
    <w:nsid w:val="6526FA96"/>
    <w:multiLevelType w:val="multilevel"/>
    <w:tmpl w:val="6144D7C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65165075">
    <w:abstractNumId w:val="0"/>
  </w:num>
  <w:num w:numId="2" w16cid:durableId="254172006">
    <w:abstractNumId w:val="4"/>
  </w:num>
  <w:num w:numId="3" w16cid:durableId="1551457161">
    <w:abstractNumId w:val="2"/>
  </w:num>
  <w:num w:numId="4" w16cid:durableId="1010525336">
    <w:abstractNumId w:val="1"/>
  </w:num>
  <w:num w:numId="5" w16cid:durableId="897739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4AE19"/>
    <w:rsid w:val="00001C64"/>
    <w:rsid w:val="00045769"/>
    <w:rsid w:val="00074638"/>
    <w:rsid w:val="00091A6F"/>
    <w:rsid w:val="00096837"/>
    <w:rsid w:val="00124EDF"/>
    <w:rsid w:val="001D5290"/>
    <w:rsid w:val="0026568C"/>
    <w:rsid w:val="003247AB"/>
    <w:rsid w:val="00327BAC"/>
    <w:rsid w:val="00341303"/>
    <w:rsid w:val="003B6CEC"/>
    <w:rsid w:val="00405299"/>
    <w:rsid w:val="00741B44"/>
    <w:rsid w:val="007E7AC9"/>
    <w:rsid w:val="00806318"/>
    <w:rsid w:val="008207DB"/>
    <w:rsid w:val="008905F5"/>
    <w:rsid w:val="00942903"/>
    <w:rsid w:val="009A4EEB"/>
    <w:rsid w:val="009E4402"/>
    <w:rsid w:val="00AA2A52"/>
    <w:rsid w:val="00AF6E38"/>
    <w:rsid w:val="00B00089"/>
    <w:rsid w:val="00C34E8E"/>
    <w:rsid w:val="00C7E3B2"/>
    <w:rsid w:val="00E45ABE"/>
    <w:rsid w:val="00F11A7C"/>
    <w:rsid w:val="00FA4F73"/>
    <w:rsid w:val="0164B6DB"/>
    <w:rsid w:val="029CC5D0"/>
    <w:rsid w:val="02AD7A3D"/>
    <w:rsid w:val="02C08927"/>
    <w:rsid w:val="035018AD"/>
    <w:rsid w:val="0362A356"/>
    <w:rsid w:val="036B0123"/>
    <w:rsid w:val="041CAFA6"/>
    <w:rsid w:val="041CE8BF"/>
    <w:rsid w:val="046B7AFE"/>
    <w:rsid w:val="05779752"/>
    <w:rsid w:val="0735E4F6"/>
    <w:rsid w:val="09A42DB3"/>
    <w:rsid w:val="0A727C19"/>
    <w:rsid w:val="0AD25D9B"/>
    <w:rsid w:val="0AF5315A"/>
    <w:rsid w:val="0C31B13D"/>
    <w:rsid w:val="0C5781F6"/>
    <w:rsid w:val="0CCD29B8"/>
    <w:rsid w:val="0CE8B054"/>
    <w:rsid w:val="0FB9728E"/>
    <w:rsid w:val="103C752E"/>
    <w:rsid w:val="107A3E20"/>
    <w:rsid w:val="10D27DA6"/>
    <w:rsid w:val="120CFA72"/>
    <w:rsid w:val="122C6A29"/>
    <w:rsid w:val="14AB76DB"/>
    <w:rsid w:val="14D25308"/>
    <w:rsid w:val="15BE6DB0"/>
    <w:rsid w:val="1635E60A"/>
    <w:rsid w:val="16452D5A"/>
    <w:rsid w:val="17AAB8FD"/>
    <w:rsid w:val="17DC8F4B"/>
    <w:rsid w:val="17EE37FF"/>
    <w:rsid w:val="184E8880"/>
    <w:rsid w:val="197D19D6"/>
    <w:rsid w:val="1A718A07"/>
    <w:rsid w:val="1AF170D1"/>
    <w:rsid w:val="1BE597C1"/>
    <w:rsid w:val="1C116FD1"/>
    <w:rsid w:val="1DB7A903"/>
    <w:rsid w:val="1E242695"/>
    <w:rsid w:val="231FE4A4"/>
    <w:rsid w:val="238DAB01"/>
    <w:rsid w:val="23ABF753"/>
    <w:rsid w:val="247E4AD8"/>
    <w:rsid w:val="24A1203D"/>
    <w:rsid w:val="2503A96C"/>
    <w:rsid w:val="264D8613"/>
    <w:rsid w:val="26BC4020"/>
    <w:rsid w:val="27AC1A03"/>
    <w:rsid w:val="28173ABD"/>
    <w:rsid w:val="284BCC11"/>
    <w:rsid w:val="2876E044"/>
    <w:rsid w:val="289210A1"/>
    <w:rsid w:val="297D4CAF"/>
    <w:rsid w:val="29A8F332"/>
    <w:rsid w:val="2C40A7F2"/>
    <w:rsid w:val="2CDBC568"/>
    <w:rsid w:val="2D1B0279"/>
    <w:rsid w:val="2D3A7EB5"/>
    <w:rsid w:val="2D5B001A"/>
    <w:rsid w:val="2DE1C514"/>
    <w:rsid w:val="2E43F3A3"/>
    <w:rsid w:val="2E4BB501"/>
    <w:rsid w:val="3021CC41"/>
    <w:rsid w:val="305ACE52"/>
    <w:rsid w:val="30F8CE66"/>
    <w:rsid w:val="313C39DB"/>
    <w:rsid w:val="31B93373"/>
    <w:rsid w:val="31DB0E87"/>
    <w:rsid w:val="3293AB9F"/>
    <w:rsid w:val="3352C9AE"/>
    <w:rsid w:val="338EF059"/>
    <w:rsid w:val="3449EE7C"/>
    <w:rsid w:val="35E24147"/>
    <w:rsid w:val="360DA119"/>
    <w:rsid w:val="361FA1CD"/>
    <w:rsid w:val="3637E44F"/>
    <w:rsid w:val="371E1094"/>
    <w:rsid w:val="373E697A"/>
    <w:rsid w:val="375FF729"/>
    <w:rsid w:val="37F2E016"/>
    <w:rsid w:val="38B94812"/>
    <w:rsid w:val="38F98508"/>
    <w:rsid w:val="391C4DFD"/>
    <w:rsid w:val="3B0E07F1"/>
    <w:rsid w:val="3B317381"/>
    <w:rsid w:val="3B70CFFC"/>
    <w:rsid w:val="3BFF3D14"/>
    <w:rsid w:val="3C344F06"/>
    <w:rsid w:val="3DE9B5D1"/>
    <w:rsid w:val="3E0261A9"/>
    <w:rsid w:val="3E479B51"/>
    <w:rsid w:val="3F94BB57"/>
    <w:rsid w:val="4089222D"/>
    <w:rsid w:val="4208B6EB"/>
    <w:rsid w:val="421F661D"/>
    <w:rsid w:val="42F2B46A"/>
    <w:rsid w:val="433EAA74"/>
    <w:rsid w:val="434F26D9"/>
    <w:rsid w:val="4351A5A3"/>
    <w:rsid w:val="43D879DE"/>
    <w:rsid w:val="43E423AC"/>
    <w:rsid w:val="447A54B2"/>
    <w:rsid w:val="452B8730"/>
    <w:rsid w:val="465044CD"/>
    <w:rsid w:val="46ABD34F"/>
    <w:rsid w:val="4709CB73"/>
    <w:rsid w:val="4877DAA3"/>
    <w:rsid w:val="49069F4C"/>
    <w:rsid w:val="494BB9BF"/>
    <w:rsid w:val="49A0EBDE"/>
    <w:rsid w:val="4A231918"/>
    <w:rsid w:val="4A626DC6"/>
    <w:rsid w:val="4A62A9A7"/>
    <w:rsid w:val="4B22F411"/>
    <w:rsid w:val="4BC23E5B"/>
    <w:rsid w:val="4C034F66"/>
    <w:rsid w:val="4C59C722"/>
    <w:rsid w:val="4CA30852"/>
    <w:rsid w:val="4E69E803"/>
    <w:rsid w:val="4F6DFDF6"/>
    <w:rsid w:val="4F76BCD6"/>
    <w:rsid w:val="50DADD18"/>
    <w:rsid w:val="526669E2"/>
    <w:rsid w:val="53488235"/>
    <w:rsid w:val="5388768B"/>
    <w:rsid w:val="53E4A7C0"/>
    <w:rsid w:val="54438448"/>
    <w:rsid w:val="54E8B0A9"/>
    <w:rsid w:val="5517905B"/>
    <w:rsid w:val="55B72B15"/>
    <w:rsid w:val="561A7B4A"/>
    <w:rsid w:val="56A1392D"/>
    <w:rsid w:val="58AE07EB"/>
    <w:rsid w:val="59A0B4CF"/>
    <w:rsid w:val="5BEAF884"/>
    <w:rsid w:val="5C143CDA"/>
    <w:rsid w:val="5C5477FD"/>
    <w:rsid w:val="5C60A672"/>
    <w:rsid w:val="5C94368E"/>
    <w:rsid w:val="5CA05036"/>
    <w:rsid w:val="5DCB4C9A"/>
    <w:rsid w:val="5E68D399"/>
    <w:rsid w:val="5E7AD693"/>
    <w:rsid w:val="5F4EFFA5"/>
    <w:rsid w:val="5F8AE4BD"/>
    <w:rsid w:val="5FD9157A"/>
    <w:rsid w:val="5FEF55A3"/>
    <w:rsid w:val="6055C090"/>
    <w:rsid w:val="61142022"/>
    <w:rsid w:val="61EE10AD"/>
    <w:rsid w:val="620325BF"/>
    <w:rsid w:val="624E55B3"/>
    <w:rsid w:val="6272449C"/>
    <w:rsid w:val="62961F71"/>
    <w:rsid w:val="631F0DB2"/>
    <w:rsid w:val="6476A0F3"/>
    <w:rsid w:val="6624B695"/>
    <w:rsid w:val="666C897D"/>
    <w:rsid w:val="676384AA"/>
    <w:rsid w:val="68566F55"/>
    <w:rsid w:val="6884E9C5"/>
    <w:rsid w:val="692F0395"/>
    <w:rsid w:val="692F7E41"/>
    <w:rsid w:val="6941F390"/>
    <w:rsid w:val="6954AE19"/>
    <w:rsid w:val="6B5B37FA"/>
    <w:rsid w:val="6C2C0044"/>
    <w:rsid w:val="6CCEA143"/>
    <w:rsid w:val="6D52B617"/>
    <w:rsid w:val="6E053065"/>
    <w:rsid w:val="7019A3E1"/>
    <w:rsid w:val="7118582E"/>
    <w:rsid w:val="71582869"/>
    <w:rsid w:val="71E9245E"/>
    <w:rsid w:val="73014B68"/>
    <w:rsid w:val="731B1337"/>
    <w:rsid w:val="73247B8D"/>
    <w:rsid w:val="75D20F95"/>
    <w:rsid w:val="766ED076"/>
    <w:rsid w:val="766FD795"/>
    <w:rsid w:val="77DE265B"/>
    <w:rsid w:val="78DFF35A"/>
    <w:rsid w:val="7928127A"/>
    <w:rsid w:val="797E3ADF"/>
    <w:rsid w:val="799A3007"/>
    <w:rsid w:val="79B7AF9A"/>
    <w:rsid w:val="7AB41A4E"/>
    <w:rsid w:val="7B234100"/>
    <w:rsid w:val="7BF38B66"/>
    <w:rsid w:val="7C4648C3"/>
    <w:rsid w:val="7FCC0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4AE19"/>
  <w15:chartTrackingRefBased/>
  <w15:docId w15:val="{73673305-5C65-47F8-BE8F-566A5B7C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F6DFDF6"/>
  </w:style>
  <w:style w:type="paragraph" w:styleId="Heading1">
    <w:name w:val="heading 1"/>
    <w:basedOn w:val="Normal"/>
    <w:next w:val="Normal"/>
    <w:uiPriority w:val="9"/>
    <w:qFormat/>
    <w:rsid w:val="4F6DF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F6DFDF6"/>
    <w:pPr>
      <w:ind w:left="720"/>
      <w:contextualSpacing/>
    </w:pPr>
  </w:style>
  <w:style w:type="paragraph" w:customStyle="1" w:styleId="ZFlag">
    <w:name w:val="Z_Flag"/>
    <w:basedOn w:val="Normal"/>
    <w:next w:val="Normal"/>
    <w:uiPriority w:val="99"/>
    <w:semiHidden/>
    <w:rsid w:val="4F6DFDF6"/>
    <w:pPr>
      <w:widowControl w:val="0"/>
      <w:spacing w:after="0"/>
      <w:ind w:right="85"/>
      <w:jc w:val="both"/>
    </w:pPr>
    <w:rPr>
      <w:rFonts w:ascii="Times New Roman" w:eastAsia="Times New Roman" w:hAnsi="Times New Roman" w:cs="Times New Roman"/>
    </w:rPr>
  </w:style>
  <w:style w:type="paragraph" w:customStyle="1" w:styleId="ZCom">
    <w:name w:val="Z_Com"/>
    <w:basedOn w:val="Normal"/>
    <w:next w:val="Normal"/>
    <w:uiPriority w:val="99"/>
    <w:semiHidden/>
    <w:rsid w:val="4F6DFDF6"/>
    <w:pPr>
      <w:widowControl w:val="0"/>
      <w:spacing w:before="90" w:after="0"/>
      <w:ind w:right="85"/>
      <w:jc w:val="both"/>
    </w:pPr>
    <w:rPr>
      <w:rFonts w:ascii="Times New Roman" w:eastAsia="Times New Roman" w:hAnsi="Times New Roman" w:cs="Times New Roman"/>
    </w:rPr>
  </w:style>
  <w:style w:type="paragraph" w:customStyle="1" w:styleId="ZDGName">
    <w:name w:val="Z_DGName"/>
    <w:basedOn w:val="Normal"/>
    <w:uiPriority w:val="99"/>
    <w:semiHidden/>
    <w:rsid w:val="4F6DFDF6"/>
    <w:pPr>
      <w:widowControl w:val="0"/>
      <w:spacing w:after="0"/>
      <w:ind w:right="85"/>
    </w:pPr>
    <w:rPr>
      <w:rFonts w:ascii="Times New Roman" w:eastAsia="Times New Roman" w:hAnsi="Times New Roman" w:cs="Times New Roman"/>
      <w:sz w:val="16"/>
      <w:szCs w:val="16"/>
    </w:rPr>
  </w:style>
  <w:style w:type="paragraph" w:customStyle="1" w:styleId="SubTitle1">
    <w:name w:val="SubTitle 1"/>
    <w:basedOn w:val="Normal"/>
    <w:uiPriority w:val="1"/>
    <w:rsid w:val="4F6DFDF6"/>
    <w:pPr>
      <w:spacing w:after="240"/>
      <w:jc w:val="center"/>
    </w:pPr>
    <w:rPr>
      <w:rFonts w:ascii="Times New Roman" w:eastAsia="Times New Roman" w:hAnsi="Times New Roman" w:cs="Times New Roman"/>
      <w:b/>
      <w:bCs/>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FEF55A3"/>
    <w:rPr>
      <w:color w:val="467886"/>
      <w:u w:val="single"/>
    </w:rPr>
  </w:style>
  <w:style w:type="paragraph" w:styleId="FootnoteText">
    <w:name w:val="footnote text"/>
    <w:basedOn w:val="Normal"/>
    <w:uiPriority w:val="99"/>
    <w:semiHidden/>
    <w:unhideWhenUsed/>
    <w:rsid w:val="5FEF55A3"/>
    <w:pPr>
      <w:spacing w:after="0" w:line="240" w:lineRule="auto"/>
    </w:pPr>
    <w:rPr>
      <w:sz w:val="20"/>
      <w:szCs w:val="20"/>
    </w:rPr>
  </w:style>
  <w:style w:type="paragraph" w:customStyle="1" w:styleId="Text1">
    <w:name w:val="Text 1"/>
    <w:basedOn w:val="Normal"/>
    <w:uiPriority w:val="90"/>
    <w:qFormat/>
    <w:rsid w:val="5FEF55A3"/>
    <w:pPr>
      <w:spacing w:after="240"/>
      <w:ind w:left="482"/>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E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4E8E"/>
    <w:pPr>
      <w:spacing w:after="0" w:line="240" w:lineRule="auto"/>
    </w:pPr>
  </w:style>
  <w:style w:type="paragraph" w:styleId="Header">
    <w:name w:val="header"/>
    <w:basedOn w:val="Normal"/>
    <w:link w:val="HeaderChar"/>
    <w:uiPriority w:val="99"/>
    <w:unhideWhenUsed/>
    <w:rsid w:val="00091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6F"/>
    <w:rPr>
      <w:lang w:val="es-ES"/>
    </w:rPr>
  </w:style>
  <w:style w:type="paragraph" w:styleId="Footer">
    <w:name w:val="footer"/>
    <w:basedOn w:val="Normal"/>
    <w:link w:val="FooterChar"/>
    <w:uiPriority w:val="99"/>
    <w:unhideWhenUsed/>
    <w:rsid w:val="00091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6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1322</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6</cp:revision>
  <dcterms:created xsi:type="dcterms:W3CDTF">2025-10-24T11:35:00Z</dcterms:created>
  <dcterms:modified xsi:type="dcterms:W3CDTF">2025-11-17T10:08:00Z</dcterms:modified>
</cp:coreProperties>
</file>