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3189" w14:textId="7AD2305E" w:rsidR="006F01E8" w:rsidRDefault="006F01E8" w:rsidP="006F01E8">
      <w:pPr>
        <w:spacing w:after="0" w:line="240" w:lineRule="auto"/>
        <w:jc w:val="right"/>
        <w:rPr>
          <w:rFonts w:ascii="Cambria" w:hAnsi="Cambria"/>
          <w:b/>
          <w:color w:val="000000" w:themeColor="text1"/>
          <w:sz w:val="20"/>
        </w:rPr>
      </w:pPr>
      <w:r>
        <w:rPr>
          <w:rFonts w:ascii="Cambria" w:hAnsi="Cambria"/>
          <w:b/>
          <w:color w:val="000000" w:themeColor="text1"/>
          <w:sz w:val="20"/>
        </w:rPr>
        <w:t>Original : anglais</w:t>
      </w:r>
    </w:p>
    <w:p w14:paraId="527F1A01" w14:textId="77777777" w:rsidR="006F01E8" w:rsidRDefault="006F01E8" w:rsidP="00741B44">
      <w:pPr>
        <w:spacing w:after="0" w:line="240" w:lineRule="auto"/>
        <w:jc w:val="center"/>
        <w:rPr>
          <w:rFonts w:ascii="Cambria" w:hAnsi="Cambria"/>
          <w:b/>
          <w:color w:val="000000" w:themeColor="text1"/>
          <w:sz w:val="20"/>
        </w:rPr>
      </w:pPr>
    </w:p>
    <w:p w14:paraId="4E0CB13E" w14:textId="6F7E11D5" w:rsidR="009E4402" w:rsidRPr="007E7AC9" w:rsidRDefault="4BC23E5B" w:rsidP="00741B44">
      <w:pPr>
        <w:spacing w:after="0" w:line="240" w:lineRule="auto"/>
        <w:jc w:val="center"/>
        <w:rPr>
          <w:rFonts w:ascii="Cambria" w:eastAsia="Times New Roman" w:hAnsi="Cambria" w:cs="Times New Roman"/>
          <w:b/>
          <w:bCs/>
          <w:color w:val="000000" w:themeColor="text1"/>
          <w:sz w:val="20"/>
          <w:szCs w:val="20"/>
        </w:rPr>
      </w:pPr>
      <w:r>
        <w:rPr>
          <w:rFonts w:ascii="Cambria" w:hAnsi="Cambria"/>
          <w:b/>
          <w:color w:val="000000" w:themeColor="text1"/>
          <w:sz w:val="20"/>
        </w:rPr>
        <w:t xml:space="preserve">Rapport sur la mise en œuvre de la dérogation de validation des BCD pour les opérations commerciales de thon rouge entre les États membres de l'UE en 2023 (paragraphe 5b de la Recommandation 24-16 de l’ICCAT) </w:t>
      </w:r>
    </w:p>
    <w:p w14:paraId="69C2F03C" w14:textId="6C968320" w:rsidR="4BC23E5B" w:rsidRPr="007E7AC9" w:rsidRDefault="4BC23E5B" w:rsidP="00741B44">
      <w:pPr>
        <w:spacing w:after="0" w:line="240" w:lineRule="auto"/>
        <w:jc w:val="center"/>
        <w:rPr>
          <w:rFonts w:ascii="Cambria" w:eastAsia="Times New Roman" w:hAnsi="Cambria" w:cs="Times New Roman"/>
          <w:b/>
          <w:bCs/>
          <w:color w:val="000000" w:themeColor="text1"/>
          <w:sz w:val="20"/>
          <w:szCs w:val="20"/>
        </w:rPr>
      </w:pPr>
    </w:p>
    <w:p w14:paraId="5858B356" w14:textId="56BAF2E8" w:rsidR="4BC23E5B" w:rsidRPr="007E7AC9" w:rsidRDefault="4BC23E5B" w:rsidP="00741B44">
      <w:pPr>
        <w:keepNext/>
        <w:spacing w:after="0" w:line="240" w:lineRule="auto"/>
        <w:jc w:val="center"/>
        <w:rPr>
          <w:rFonts w:ascii="Cambria" w:eastAsia="Times New Roman" w:hAnsi="Cambria" w:cs="Times New Roman"/>
          <w:i/>
          <w:iCs/>
          <w:color w:val="000000" w:themeColor="text1"/>
          <w:sz w:val="20"/>
          <w:szCs w:val="20"/>
        </w:rPr>
      </w:pPr>
      <w:r>
        <w:rPr>
          <w:rFonts w:ascii="Cambria" w:hAnsi="Cambria"/>
          <w:i/>
          <w:color w:val="000000" w:themeColor="text1"/>
          <w:sz w:val="20"/>
        </w:rPr>
        <w:t xml:space="preserve"> (Soumis par l’Union européenne</w:t>
      </w:r>
      <w:r w:rsidR="0058560E">
        <w:rPr>
          <w:rFonts w:ascii="Cambria" w:hAnsi="Cambria"/>
          <w:i/>
          <w:color w:val="000000" w:themeColor="text1"/>
          <w:sz w:val="20"/>
        </w:rPr>
        <w:t>)</w:t>
      </w:r>
    </w:p>
    <w:p w14:paraId="10207FBA" w14:textId="77777777" w:rsidR="00741B44" w:rsidRPr="007E7AC9" w:rsidRDefault="00741B44" w:rsidP="00741B44">
      <w:pPr>
        <w:keepNext/>
        <w:spacing w:after="0" w:line="240" w:lineRule="auto"/>
        <w:jc w:val="center"/>
        <w:rPr>
          <w:rFonts w:ascii="Cambria" w:eastAsia="Times New Roman" w:hAnsi="Cambria" w:cs="Times New Roman"/>
          <w:b/>
          <w:bCs/>
          <w:color w:val="000000" w:themeColor="text1"/>
          <w:sz w:val="20"/>
          <w:szCs w:val="20"/>
        </w:rPr>
      </w:pPr>
    </w:p>
    <w:p w14:paraId="7A3F7E00" w14:textId="526ECB64" w:rsidR="4BC23E5B" w:rsidRPr="007E7AC9" w:rsidRDefault="007E7AC9" w:rsidP="00741B44">
      <w:pPr>
        <w:pStyle w:val="ListParagraph"/>
        <w:keepNext/>
        <w:numPr>
          <w:ilvl w:val="0"/>
          <w:numId w:val="1"/>
        </w:numPr>
        <w:spacing w:after="0" w:line="240" w:lineRule="auto"/>
        <w:ind w:left="426" w:hanging="426"/>
        <w:rPr>
          <w:rFonts w:ascii="Cambria" w:eastAsia="Times New Roman" w:hAnsi="Cambria" w:cs="Times New Roman"/>
          <w:b/>
          <w:bCs/>
          <w:color w:val="000000" w:themeColor="text1"/>
          <w:sz w:val="20"/>
          <w:szCs w:val="20"/>
        </w:rPr>
      </w:pPr>
      <w:r>
        <w:rPr>
          <w:rFonts w:ascii="Cambria" w:hAnsi="Cambria"/>
          <w:b/>
          <w:color w:val="000000" w:themeColor="text1"/>
          <w:sz w:val="20"/>
        </w:rPr>
        <w:t>Introduction</w:t>
      </w:r>
    </w:p>
    <w:p w14:paraId="42BEEBB3" w14:textId="77777777" w:rsidR="007E7AC9" w:rsidRPr="007E7AC9" w:rsidRDefault="007E7AC9" w:rsidP="00741B44">
      <w:pPr>
        <w:keepNext/>
        <w:spacing w:after="0" w:line="240" w:lineRule="auto"/>
        <w:jc w:val="both"/>
        <w:rPr>
          <w:rFonts w:ascii="Cambria" w:eastAsia="Times New Roman" w:hAnsi="Cambria" w:cs="Times New Roman"/>
          <w:color w:val="000000" w:themeColor="text1"/>
          <w:sz w:val="20"/>
          <w:szCs w:val="20"/>
        </w:rPr>
      </w:pPr>
    </w:p>
    <w:p w14:paraId="31A45D16" w14:textId="7ADE78C4" w:rsidR="4BC23E5B" w:rsidRPr="007E7AC9" w:rsidRDefault="4BC23E5B" w:rsidP="00741B44">
      <w:pPr>
        <w:keepNext/>
        <w:spacing w:after="0" w:line="240" w:lineRule="auto"/>
        <w:jc w:val="both"/>
        <w:rPr>
          <w:rFonts w:ascii="Cambria" w:eastAsia="Times New Roman" w:hAnsi="Cambria" w:cs="Times New Roman"/>
          <w:color w:val="000000" w:themeColor="text1"/>
          <w:sz w:val="20"/>
          <w:szCs w:val="20"/>
        </w:rPr>
      </w:pPr>
      <w:r>
        <w:rPr>
          <w:rFonts w:ascii="Cambria" w:hAnsi="Cambria"/>
          <w:color w:val="000000" w:themeColor="text1"/>
          <w:sz w:val="20"/>
        </w:rPr>
        <w:t>Tout comme les autres Parties contractantes (CPC) de l’ICCAT, l’Union européenne (UE) met en œuvre le système eBCD depuis le 26 mai 2016 pour le thon rouge (BFT) capturé par les senneurs et les madragues et depuis le 1</w:t>
      </w:r>
      <w:r w:rsidRPr="00BE2C5A">
        <w:rPr>
          <w:rFonts w:ascii="Cambria" w:hAnsi="Cambria"/>
          <w:color w:val="000000" w:themeColor="text1"/>
          <w:sz w:val="20"/>
          <w:vertAlign w:val="superscript"/>
        </w:rPr>
        <w:t>er</w:t>
      </w:r>
      <w:r w:rsidR="00BE2C5A">
        <w:rPr>
          <w:rFonts w:ascii="Cambria" w:hAnsi="Cambria"/>
          <w:color w:val="000000" w:themeColor="text1"/>
          <w:sz w:val="20"/>
        </w:rPr>
        <w:t xml:space="preserve"> </w:t>
      </w:r>
      <w:r>
        <w:rPr>
          <w:rFonts w:ascii="Cambria" w:hAnsi="Cambria"/>
          <w:color w:val="000000" w:themeColor="text1"/>
          <w:sz w:val="20"/>
        </w:rPr>
        <w:t>juillet 2016 pour les poissons capturés par les autres engins. Depuis janvier 2017, tous les opérateurs mettent pleinement en œuvre le système.</w:t>
      </w:r>
    </w:p>
    <w:p w14:paraId="0A3D8F94" w14:textId="77777777" w:rsidR="007E7AC9" w:rsidRPr="007E7AC9" w:rsidRDefault="007E7AC9" w:rsidP="00741B44">
      <w:pPr>
        <w:keepNext/>
        <w:spacing w:after="0" w:line="240" w:lineRule="auto"/>
        <w:jc w:val="both"/>
        <w:rPr>
          <w:rFonts w:ascii="Cambria" w:eastAsia="Times New Roman" w:hAnsi="Cambria" w:cs="Times New Roman"/>
          <w:b/>
          <w:bCs/>
          <w:color w:val="000000" w:themeColor="text1"/>
          <w:sz w:val="20"/>
          <w:szCs w:val="20"/>
        </w:rPr>
      </w:pPr>
    </w:p>
    <w:p w14:paraId="0E740359" w14:textId="77777777" w:rsidR="00C34E8E" w:rsidRPr="007E7AC9" w:rsidRDefault="0735E4F6" w:rsidP="00741B44">
      <w:pPr>
        <w:keepNext/>
        <w:spacing w:after="0" w:line="240" w:lineRule="auto"/>
        <w:jc w:val="both"/>
        <w:rPr>
          <w:rFonts w:ascii="Cambria" w:eastAsia="Times New Roman" w:hAnsi="Cambria" w:cs="Times New Roman"/>
          <w:b/>
          <w:bCs/>
          <w:color w:val="000000" w:themeColor="text1"/>
          <w:sz w:val="20"/>
          <w:szCs w:val="20"/>
        </w:rPr>
      </w:pPr>
      <w:r>
        <w:rPr>
          <w:rFonts w:ascii="Cambria" w:hAnsi="Cambria"/>
          <w:color w:val="000000" w:themeColor="text1"/>
          <w:sz w:val="20"/>
        </w:rPr>
        <w:t xml:space="preserve">Le paragraphe 5b de la Recommandation 24-16 prévoit une dérogation de validation des BCD pour les opérations commerciales de thon rouge entre les États membres de l’UE. L'Union européenne devra faire rapport à la Commission sur la mise en œuvre de cette dérogation avant le 1er octobre de chaque année de la dérogation, et tant que les statistiques contenues dans ce rapport ne pourront pas être générées par le système eBCD, elles seront automatiquement mises à la disposition de la Commission et des CPC de l'ICCAT à des fins de consultation. </w:t>
      </w:r>
    </w:p>
    <w:p w14:paraId="10C54E86" w14:textId="77777777" w:rsidR="00C34E8E" w:rsidRDefault="00C34E8E" w:rsidP="00741B44">
      <w:pPr>
        <w:pStyle w:val="ListParagraph"/>
        <w:keepNext/>
        <w:spacing w:after="0" w:line="240" w:lineRule="auto"/>
        <w:jc w:val="both"/>
        <w:rPr>
          <w:rFonts w:ascii="Cambria" w:eastAsia="Times New Roman" w:hAnsi="Cambria" w:cs="Times New Roman"/>
          <w:b/>
          <w:bCs/>
          <w:color w:val="000000" w:themeColor="text1"/>
          <w:sz w:val="20"/>
          <w:szCs w:val="20"/>
        </w:rPr>
      </w:pPr>
    </w:p>
    <w:p w14:paraId="4E85FB57" w14:textId="77777777" w:rsidR="00001C64" w:rsidRPr="007E7AC9" w:rsidRDefault="00001C64" w:rsidP="00741B44">
      <w:pPr>
        <w:pStyle w:val="ListParagraph"/>
        <w:keepNext/>
        <w:spacing w:after="0" w:line="240" w:lineRule="auto"/>
        <w:jc w:val="both"/>
        <w:rPr>
          <w:rFonts w:ascii="Cambria" w:eastAsia="Times New Roman" w:hAnsi="Cambria" w:cs="Times New Roman"/>
          <w:b/>
          <w:bCs/>
          <w:color w:val="000000" w:themeColor="text1"/>
          <w:sz w:val="20"/>
          <w:szCs w:val="20"/>
        </w:rPr>
      </w:pPr>
    </w:p>
    <w:p w14:paraId="1BA86DFA" w14:textId="55716CD3" w:rsidR="4BC23E5B" w:rsidRPr="007E7AC9" w:rsidRDefault="00AA2A52" w:rsidP="00AA2A52">
      <w:pPr>
        <w:pStyle w:val="ListParagraph"/>
        <w:keepNext/>
        <w:numPr>
          <w:ilvl w:val="0"/>
          <w:numId w:val="1"/>
        </w:numPr>
        <w:spacing w:after="0" w:line="240" w:lineRule="auto"/>
        <w:ind w:left="426" w:hanging="426"/>
        <w:rPr>
          <w:rFonts w:ascii="Cambria" w:eastAsia="Times New Roman" w:hAnsi="Cambria" w:cs="Times New Roman"/>
          <w:b/>
          <w:bCs/>
          <w:color w:val="000000" w:themeColor="text1"/>
          <w:sz w:val="20"/>
          <w:szCs w:val="20"/>
        </w:rPr>
      </w:pPr>
      <w:r>
        <w:rPr>
          <w:rFonts w:ascii="Cambria" w:hAnsi="Cambria"/>
          <w:b/>
          <w:color w:val="000000" w:themeColor="text1"/>
          <w:sz w:val="20"/>
        </w:rPr>
        <w:t>Dérogation au titre du paragraphe 5b de la Recommandation 24-16 de l’ICCAT</w:t>
      </w:r>
    </w:p>
    <w:p w14:paraId="411F0AD0" w14:textId="77777777" w:rsidR="00AA2A52" w:rsidRDefault="00AA2A52" w:rsidP="00741B44">
      <w:pPr>
        <w:spacing w:after="0" w:line="240" w:lineRule="auto"/>
        <w:jc w:val="both"/>
        <w:rPr>
          <w:rFonts w:ascii="Cambria" w:eastAsia="Times New Roman" w:hAnsi="Cambria" w:cs="Times New Roman"/>
          <w:color w:val="000000" w:themeColor="text1"/>
          <w:sz w:val="20"/>
          <w:szCs w:val="20"/>
        </w:rPr>
      </w:pPr>
    </w:p>
    <w:p w14:paraId="54C8FAFA" w14:textId="479EEB59" w:rsidR="4BC23E5B" w:rsidRDefault="4BC23E5B" w:rsidP="00741B44">
      <w:pPr>
        <w:spacing w:after="0" w:line="240" w:lineRule="auto"/>
        <w:jc w:val="both"/>
        <w:rPr>
          <w:rFonts w:ascii="Cambria" w:eastAsia="Times New Roman" w:hAnsi="Cambria" w:cs="Times New Roman"/>
          <w:color w:val="000000" w:themeColor="text1"/>
          <w:sz w:val="20"/>
          <w:szCs w:val="20"/>
        </w:rPr>
      </w:pPr>
      <w:r>
        <w:rPr>
          <w:rFonts w:ascii="Cambria" w:hAnsi="Cambria"/>
          <w:color w:val="000000" w:themeColor="text1"/>
          <w:sz w:val="20"/>
        </w:rPr>
        <w:t>Les données présentées ci-dessous correspondent à la période comprise entre le 1er janvier 2024 et le 31</w:t>
      </w:r>
      <w:r w:rsidR="00E55BB1">
        <w:rPr>
          <w:rFonts w:ascii="Cambria" w:hAnsi="Cambria"/>
          <w:color w:val="000000" w:themeColor="text1"/>
          <w:sz w:val="20"/>
        </w:rPr>
        <w:t> </w:t>
      </w:r>
      <w:r>
        <w:rPr>
          <w:rFonts w:ascii="Cambria" w:hAnsi="Cambria"/>
          <w:color w:val="000000" w:themeColor="text1"/>
          <w:sz w:val="20"/>
        </w:rPr>
        <w:t>décembre 2024. Ces données ont été en partie extraites à travers la fonctionnalité du système eBCD. Les administrations des États membres ont soumis des données additionnelles sur des vérifications.</w:t>
      </w:r>
    </w:p>
    <w:p w14:paraId="01D5CBE8" w14:textId="77777777" w:rsidR="00AA2A52" w:rsidRPr="007E7AC9" w:rsidRDefault="00AA2A52" w:rsidP="00741B44">
      <w:pPr>
        <w:spacing w:after="0" w:line="240" w:lineRule="auto"/>
        <w:jc w:val="both"/>
        <w:rPr>
          <w:rFonts w:ascii="Cambria" w:eastAsia="Times New Roman" w:hAnsi="Cambria" w:cs="Times New Roman"/>
          <w:color w:val="000000" w:themeColor="text1"/>
          <w:sz w:val="20"/>
          <w:szCs w:val="20"/>
        </w:rPr>
      </w:pPr>
    </w:p>
    <w:p w14:paraId="621B9235" w14:textId="71331B7A" w:rsidR="4BC23E5B" w:rsidRDefault="0735E4F6" w:rsidP="00741B44">
      <w:pPr>
        <w:spacing w:after="0" w:line="240" w:lineRule="auto"/>
        <w:jc w:val="both"/>
        <w:rPr>
          <w:rFonts w:ascii="Cambria" w:eastAsia="Times New Roman" w:hAnsi="Cambria" w:cs="Times New Roman"/>
          <w:color w:val="000000" w:themeColor="text1"/>
          <w:sz w:val="20"/>
          <w:szCs w:val="20"/>
        </w:rPr>
      </w:pPr>
      <w:r>
        <w:rPr>
          <w:rFonts w:ascii="Cambria" w:hAnsi="Cambria"/>
          <w:color w:val="000000" w:themeColor="text1"/>
          <w:sz w:val="20"/>
        </w:rPr>
        <w:t>Le champ d’application de ce rapport a été limité aux opérations commerciales de thon rouge dans les États membres vendeurs de l’UE, afin d’éviter toute duplication, et compte tenu du fait que l’État membre vendeur est chargé de la validation des opérations commerciales dans l’eBCD.</w:t>
      </w:r>
    </w:p>
    <w:p w14:paraId="462EE6BC" w14:textId="77777777" w:rsidR="00AA2A52" w:rsidRPr="007E7AC9" w:rsidRDefault="00AA2A52" w:rsidP="00741B44">
      <w:pPr>
        <w:spacing w:after="0" w:line="240" w:lineRule="auto"/>
        <w:jc w:val="both"/>
        <w:rPr>
          <w:rFonts w:ascii="Cambria" w:eastAsia="Times New Roman" w:hAnsi="Cambria" w:cs="Times New Roman"/>
          <w:color w:val="000000" w:themeColor="text1"/>
          <w:sz w:val="20"/>
          <w:szCs w:val="20"/>
        </w:rPr>
      </w:pPr>
    </w:p>
    <w:p w14:paraId="2AB09F67" w14:textId="3286B251" w:rsidR="1C116FD1" w:rsidRDefault="1C116FD1" w:rsidP="00741B44">
      <w:pPr>
        <w:spacing w:after="0" w:line="240" w:lineRule="auto"/>
        <w:jc w:val="both"/>
        <w:rPr>
          <w:rFonts w:ascii="Cambria" w:eastAsia="Times New Roman" w:hAnsi="Cambria" w:cs="Times New Roman"/>
          <w:color w:val="000000" w:themeColor="text1"/>
          <w:sz w:val="20"/>
          <w:szCs w:val="20"/>
        </w:rPr>
      </w:pPr>
      <w:r>
        <w:rPr>
          <w:rFonts w:ascii="Cambria" w:hAnsi="Cambria"/>
          <w:color w:val="000000" w:themeColor="text1"/>
          <w:sz w:val="20"/>
        </w:rPr>
        <w:t>En 2024, les États membres de l'UE ont enregistré 229.139 opérations commerciales</w:t>
      </w:r>
      <w:r w:rsidRPr="007E7AC9">
        <w:rPr>
          <w:rStyle w:val="FootnoteReference"/>
          <w:rFonts w:ascii="Cambria" w:eastAsia="Times New Roman" w:hAnsi="Cambria" w:cs="Times New Roman"/>
          <w:color w:val="000000" w:themeColor="text1"/>
          <w:sz w:val="20"/>
          <w:szCs w:val="20"/>
        </w:rPr>
        <w:footnoteReference w:id="1"/>
      </w:r>
      <w:r>
        <w:rPr>
          <w:rFonts w:ascii="Cambria" w:hAnsi="Cambria"/>
          <w:color w:val="000000" w:themeColor="text1"/>
          <w:sz w:val="20"/>
        </w:rPr>
        <w:t xml:space="preserve"> dans le système eBCD, impliquant 49.506 t. Le Règlement (UE) 640/2010</w:t>
      </w:r>
      <w:r w:rsidRPr="007E7AC9">
        <w:rPr>
          <w:rStyle w:val="FootnoteReference"/>
          <w:rFonts w:ascii="Cambria" w:eastAsia="Times New Roman" w:hAnsi="Cambria" w:cs="Times New Roman"/>
          <w:color w:val="000000" w:themeColor="text1"/>
          <w:sz w:val="20"/>
          <w:szCs w:val="20"/>
        </w:rPr>
        <w:footnoteReference w:id="2"/>
      </w:r>
      <w:r>
        <w:rPr>
          <w:rFonts w:ascii="Cambria" w:hAnsi="Cambria"/>
          <w:color w:val="000000" w:themeColor="text1"/>
          <w:sz w:val="20"/>
        </w:rPr>
        <w:t xml:space="preserve"> prévoit l'obligation d'enregistrer les événements commerciaux dans les États membres de l'UE. Par conséquent, 71% des opérations commerciales enregistrées dans l’eBCD par l’UE sont des opérations commerciales internes au sein des seuls territoires des États membres de l’UE (161.920 opérations commerciales). Les opérations commerciales restantes incluent 26.826 exportations vers d’autres pays </w:t>
      </w:r>
      <w:r w:rsidR="006F01E8">
        <w:rPr>
          <w:rFonts w:ascii="Cambria" w:hAnsi="Cambria"/>
          <w:color w:val="000000" w:themeColor="text1"/>
          <w:sz w:val="20"/>
        </w:rPr>
        <w:t>non-membres</w:t>
      </w:r>
      <w:r>
        <w:rPr>
          <w:rFonts w:ascii="Cambria" w:hAnsi="Cambria"/>
          <w:color w:val="000000" w:themeColor="text1"/>
          <w:sz w:val="20"/>
        </w:rPr>
        <w:t xml:space="preserve"> de l’UE (CPC de l’ICCAT ou non) (12%), et 55.863 opérations commerciales entre des États membres de l’UE (24%). </w:t>
      </w:r>
    </w:p>
    <w:p w14:paraId="636C92AA" w14:textId="77777777" w:rsidR="00AA2A52" w:rsidRPr="007E7AC9" w:rsidRDefault="00AA2A52" w:rsidP="00741B44">
      <w:pPr>
        <w:spacing w:after="0" w:line="240" w:lineRule="auto"/>
        <w:jc w:val="both"/>
        <w:rPr>
          <w:rFonts w:ascii="Cambria" w:eastAsia="Times New Roman" w:hAnsi="Cambria" w:cs="Times New Roman"/>
          <w:color w:val="000000" w:themeColor="text1"/>
          <w:sz w:val="20"/>
          <w:szCs w:val="20"/>
        </w:rPr>
      </w:pPr>
    </w:p>
    <w:p w14:paraId="7951CF13" w14:textId="6DB1D0F0" w:rsidR="1C116FD1" w:rsidRPr="007E7AC9" w:rsidRDefault="1C116FD1" w:rsidP="00741B44">
      <w:pPr>
        <w:spacing w:after="0" w:line="240" w:lineRule="auto"/>
        <w:jc w:val="both"/>
        <w:rPr>
          <w:rFonts w:ascii="Cambria" w:eastAsia="Times New Roman" w:hAnsi="Cambria" w:cs="Times New Roman"/>
          <w:color w:val="000000" w:themeColor="text1"/>
          <w:sz w:val="20"/>
          <w:szCs w:val="20"/>
        </w:rPr>
      </w:pPr>
      <w:r>
        <w:rPr>
          <w:rFonts w:ascii="Cambria" w:hAnsi="Cambria"/>
          <w:color w:val="000000" w:themeColor="text1"/>
          <w:sz w:val="20"/>
        </w:rPr>
        <w:t>Les quantités concernées s’élevaient à 13.689 t (28%</w:t>
      </w:r>
      <w:r w:rsidRPr="00EB18B1">
        <w:rPr>
          <w:rFonts w:ascii="Cambria" w:hAnsi="Cambria"/>
          <w:color w:val="000000" w:themeColor="text1"/>
          <w:sz w:val="20"/>
        </w:rPr>
        <w:t>) pour les opérations commerciales internes et à 30.956 t (63%) pour les exportations. Les opérations commerciales entre des États membres de l’UE totalisaient 4.048 t, soit 8% du poids total commercialisé (</w:t>
      </w:r>
      <w:r w:rsidRPr="00EB18B1">
        <w:rPr>
          <w:rFonts w:ascii="Cambria" w:hAnsi="Cambria"/>
          <w:b/>
          <w:color w:val="000000" w:themeColor="text1"/>
          <w:sz w:val="20"/>
        </w:rPr>
        <w:t>figure 1</w:t>
      </w:r>
      <w:r w:rsidRPr="00EB18B1">
        <w:rPr>
          <w:rFonts w:ascii="Cambria" w:hAnsi="Cambria"/>
          <w:color w:val="000000" w:themeColor="text1"/>
          <w:sz w:val="20"/>
        </w:rPr>
        <w:t>).</w:t>
      </w:r>
    </w:p>
    <w:p w14:paraId="0F8CA766" w14:textId="38165E65" w:rsidR="31DB0E87" w:rsidRPr="007E7AC9" w:rsidRDefault="31DB0E87" w:rsidP="00741B44">
      <w:pPr>
        <w:spacing w:after="0" w:line="240" w:lineRule="auto"/>
        <w:jc w:val="center"/>
        <w:rPr>
          <w:rFonts w:ascii="Cambria" w:hAnsi="Cambria"/>
          <w:sz w:val="20"/>
          <w:szCs w:val="20"/>
        </w:rPr>
      </w:pPr>
      <w:r>
        <w:rPr>
          <w:rFonts w:ascii="Cambria" w:hAnsi="Cambria"/>
          <w:noProof/>
          <w:sz w:val="20"/>
        </w:rPr>
        <w:lastRenderedPageBreak/>
        <w:drawing>
          <wp:inline distT="0" distB="0" distL="0" distR="0" wp14:anchorId="7730E4AD" wp14:editId="3EA9A6DA">
            <wp:extent cx="3860353" cy="2802466"/>
            <wp:effectExtent l="0" t="0" r="6985" b="0"/>
            <wp:docPr id="17863109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34684" name=""/>
                    <pic:cNvPicPr/>
                  </pic:nvPicPr>
                  <pic:blipFill>
                    <a:blip r:embed="rId7">
                      <a:extLst>
                        <a:ext uri="{28A0092B-C50C-407E-A947-70E740481C1C}">
                          <a14:useLocalDpi xmlns:a14="http://schemas.microsoft.com/office/drawing/2010/main"/>
                        </a:ext>
                      </a:extLst>
                    </a:blip>
                    <a:stretch>
                      <a:fillRect/>
                    </a:stretch>
                  </pic:blipFill>
                  <pic:spPr>
                    <a:xfrm>
                      <a:off x="0" y="0"/>
                      <a:ext cx="3868105" cy="2808093"/>
                    </a:xfrm>
                    <a:prstGeom prst="rect">
                      <a:avLst/>
                    </a:prstGeom>
                  </pic:spPr>
                </pic:pic>
              </a:graphicData>
            </a:graphic>
          </wp:inline>
        </w:drawing>
      </w:r>
    </w:p>
    <w:p w14:paraId="2FE98802" w14:textId="77777777" w:rsidR="00481C96" w:rsidRDefault="00481C96" w:rsidP="00741B44">
      <w:pPr>
        <w:spacing w:after="0" w:line="240" w:lineRule="auto"/>
        <w:jc w:val="both"/>
        <w:rPr>
          <w:rFonts w:ascii="Cambria" w:hAnsi="Cambria"/>
          <w:i/>
          <w:color w:val="000000" w:themeColor="text1"/>
          <w:sz w:val="20"/>
        </w:rPr>
      </w:pPr>
    </w:p>
    <w:p w14:paraId="26D3209E" w14:textId="14954F22" w:rsidR="4F76BCD6" w:rsidRPr="007E7AC9" w:rsidRDefault="4F76BCD6" w:rsidP="00741B44">
      <w:pPr>
        <w:spacing w:after="0" w:line="240" w:lineRule="auto"/>
        <w:jc w:val="both"/>
        <w:rPr>
          <w:rFonts w:ascii="Cambria" w:eastAsia="Times New Roman" w:hAnsi="Cambria" w:cs="Times New Roman"/>
          <w:sz w:val="20"/>
          <w:szCs w:val="20"/>
        </w:rPr>
      </w:pPr>
      <w:r>
        <w:rPr>
          <w:rFonts w:ascii="Cambria" w:hAnsi="Cambria"/>
          <w:i/>
          <w:color w:val="000000" w:themeColor="text1"/>
          <w:sz w:val="20"/>
        </w:rPr>
        <w:t xml:space="preserve">Exportations : opérations commerciales de l'UE vers d'autres CPC. Opérations commerciales entre </w:t>
      </w:r>
      <w:r w:rsidR="00154D36">
        <w:rPr>
          <w:rFonts w:ascii="Cambria" w:hAnsi="Cambria"/>
          <w:i/>
          <w:color w:val="000000" w:themeColor="text1"/>
          <w:sz w:val="20"/>
        </w:rPr>
        <w:t>E</w:t>
      </w:r>
      <w:r w:rsidR="00DD4D31">
        <w:rPr>
          <w:rFonts w:ascii="Cambria" w:hAnsi="Cambria"/>
          <w:i/>
          <w:color w:val="000000" w:themeColor="text1"/>
          <w:sz w:val="20"/>
        </w:rPr>
        <w:t>M-</w:t>
      </w:r>
      <w:r>
        <w:rPr>
          <w:rFonts w:ascii="Cambria" w:hAnsi="Cambria"/>
          <w:i/>
          <w:color w:val="000000" w:themeColor="text1"/>
          <w:sz w:val="20"/>
        </w:rPr>
        <w:t>UE</w:t>
      </w:r>
      <w:r w:rsidR="00DD4D31">
        <w:rPr>
          <w:rFonts w:ascii="Cambria" w:hAnsi="Cambria"/>
          <w:i/>
          <w:color w:val="000000" w:themeColor="text1"/>
          <w:sz w:val="20"/>
        </w:rPr>
        <w:t> </w:t>
      </w:r>
      <w:r>
        <w:rPr>
          <w:rFonts w:ascii="Cambria" w:hAnsi="Cambria"/>
          <w:i/>
          <w:color w:val="000000" w:themeColor="text1"/>
          <w:sz w:val="20"/>
        </w:rPr>
        <w:t>: opérations commerciales entre des États Membres de l’UE Opérations commerciales internes : opérations commerciales au sein des territoires des États Membres de l’UE</w:t>
      </w:r>
      <w:r w:rsidR="00C818D7">
        <w:rPr>
          <w:rFonts w:ascii="Cambria" w:hAnsi="Cambria"/>
          <w:i/>
          <w:color w:val="000000" w:themeColor="text1"/>
          <w:sz w:val="20"/>
        </w:rPr>
        <w:t>.</w:t>
      </w:r>
    </w:p>
    <w:p w14:paraId="3EF4493E" w14:textId="77777777" w:rsidR="00AA2A52" w:rsidRDefault="00AA2A52" w:rsidP="00741B44">
      <w:pPr>
        <w:spacing w:after="0" w:line="240" w:lineRule="auto"/>
        <w:jc w:val="both"/>
        <w:rPr>
          <w:rFonts w:ascii="Cambria" w:eastAsia="Times New Roman" w:hAnsi="Cambria" w:cs="Times New Roman"/>
          <w:color w:val="000000" w:themeColor="text1"/>
          <w:sz w:val="20"/>
          <w:szCs w:val="20"/>
        </w:rPr>
      </w:pPr>
    </w:p>
    <w:p w14:paraId="0F133028" w14:textId="16F2C2C7" w:rsidR="289210A1" w:rsidRDefault="4F76BCD6" w:rsidP="00741B44">
      <w:pPr>
        <w:spacing w:after="0" w:line="240" w:lineRule="auto"/>
        <w:jc w:val="both"/>
        <w:rPr>
          <w:rFonts w:ascii="Cambria" w:eastAsia="Times New Roman" w:hAnsi="Cambria" w:cs="Times New Roman"/>
          <w:sz w:val="20"/>
          <w:szCs w:val="20"/>
        </w:rPr>
      </w:pPr>
      <w:r>
        <w:rPr>
          <w:rFonts w:ascii="Cambria" w:hAnsi="Cambria"/>
          <w:color w:val="000000" w:themeColor="text1"/>
          <w:sz w:val="20"/>
        </w:rPr>
        <w:t>Parmi les opérations commerciales totales, 47% (107</w:t>
      </w:r>
      <w:r w:rsidR="00C818D7">
        <w:rPr>
          <w:rFonts w:ascii="Cambria" w:hAnsi="Cambria"/>
          <w:color w:val="000000" w:themeColor="text1"/>
          <w:sz w:val="20"/>
        </w:rPr>
        <w:t>.</w:t>
      </w:r>
      <w:r>
        <w:rPr>
          <w:rFonts w:ascii="Cambria" w:hAnsi="Cambria"/>
          <w:color w:val="000000" w:themeColor="text1"/>
          <w:sz w:val="20"/>
        </w:rPr>
        <w:t>926) d’entre elles ont été validées et 54% (123</w:t>
      </w:r>
      <w:r w:rsidR="00C818D7">
        <w:rPr>
          <w:rFonts w:ascii="Cambria" w:hAnsi="Cambria"/>
          <w:color w:val="000000" w:themeColor="text1"/>
          <w:sz w:val="20"/>
        </w:rPr>
        <w:t>.</w:t>
      </w:r>
      <w:r>
        <w:rPr>
          <w:rFonts w:ascii="Cambria" w:hAnsi="Cambria"/>
          <w:color w:val="000000" w:themeColor="text1"/>
          <w:sz w:val="20"/>
        </w:rPr>
        <w:t>273) ont été exemptées de validation, pour une quantité de 40</w:t>
      </w:r>
      <w:r w:rsidR="004F393E">
        <w:rPr>
          <w:rFonts w:ascii="Cambria" w:hAnsi="Cambria"/>
          <w:color w:val="000000" w:themeColor="text1"/>
          <w:sz w:val="20"/>
        </w:rPr>
        <w:t>.</w:t>
      </w:r>
      <w:r>
        <w:rPr>
          <w:rFonts w:ascii="Cambria" w:hAnsi="Cambria"/>
          <w:color w:val="000000" w:themeColor="text1"/>
          <w:sz w:val="20"/>
        </w:rPr>
        <w:t>140 t (81%) et 9</w:t>
      </w:r>
      <w:r w:rsidR="004F393E">
        <w:rPr>
          <w:rFonts w:ascii="Cambria" w:hAnsi="Cambria"/>
          <w:color w:val="000000" w:themeColor="text1"/>
          <w:sz w:val="20"/>
        </w:rPr>
        <w:t>.</w:t>
      </w:r>
      <w:r>
        <w:rPr>
          <w:rFonts w:ascii="Cambria" w:hAnsi="Cambria"/>
          <w:color w:val="000000" w:themeColor="text1"/>
          <w:sz w:val="20"/>
        </w:rPr>
        <w:t>329 t (19%) respectivement (</w:t>
      </w:r>
      <w:r>
        <w:rPr>
          <w:rFonts w:ascii="Cambria" w:hAnsi="Cambria"/>
          <w:b/>
          <w:bCs/>
          <w:color w:val="000000" w:themeColor="text1"/>
          <w:sz w:val="20"/>
        </w:rPr>
        <w:t>figure 2</w:t>
      </w:r>
      <w:r>
        <w:rPr>
          <w:rFonts w:ascii="Cambria" w:hAnsi="Cambria"/>
          <w:color w:val="000000" w:themeColor="text1"/>
          <w:sz w:val="20"/>
        </w:rPr>
        <w:t xml:space="preserve">). En plus des opérations commerciales intra-États membres, les exemptions se rapportent tant à la dérogation au titre du paragraphe 5b de la Recommandation 24-16 qu’à l’exemption pour les poissons marqués conformément au paragraphe 5d de la Recommandation 24-16. </w:t>
      </w:r>
      <w:r>
        <w:rPr>
          <w:rFonts w:ascii="Cambria" w:hAnsi="Cambria"/>
          <w:sz w:val="20"/>
        </w:rPr>
        <w:t xml:space="preserve"> </w:t>
      </w:r>
    </w:p>
    <w:p w14:paraId="78923914" w14:textId="77777777" w:rsidR="00AA2A52" w:rsidRPr="007E7AC9" w:rsidRDefault="00AA2A52" w:rsidP="00741B44">
      <w:pPr>
        <w:spacing w:after="0" w:line="240" w:lineRule="auto"/>
        <w:jc w:val="both"/>
        <w:rPr>
          <w:rFonts w:ascii="Cambria" w:eastAsia="Times New Roman" w:hAnsi="Cambria" w:cs="Times New Roman"/>
          <w:sz w:val="20"/>
          <w:szCs w:val="20"/>
        </w:rPr>
      </w:pPr>
    </w:p>
    <w:p w14:paraId="2B93710B" w14:textId="29B6F894" w:rsidR="3352C9AE" w:rsidRPr="007E7AC9" w:rsidRDefault="3352C9AE" w:rsidP="00741B44">
      <w:pPr>
        <w:spacing w:after="0" w:line="240" w:lineRule="auto"/>
        <w:jc w:val="center"/>
        <w:rPr>
          <w:rFonts w:ascii="Cambria" w:hAnsi="Cambria"/>
          <w:sz w:val="20"/>
          <w:szCs w:val="20"/>
        </w:rPr>
      </w:pPr>
      <w:r>
        <w:rPr>
          <w:rFonts w:ascii="Cambria" w:hAnsi="Cambria"/>
          <w:noProof/>
          <w:sz w:val="20"/>
        </w:rPr>
        <w:drawing>
          <wp:inline distT="0" distB="0" distL="0" distR="0" wp14:anchorId="2111D3F9" wp14:editId="05734447">
            <wp:extent cx="3566416" cy="2954867"/>
            <wp:effectExtent l="0" t="0" r="0" b="0"/>
            <wp:docPr id="851240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40318" name=""/>
                    <pic:cNvPicPr/>
                  </pic:nvPicPr>
                  <pic:blipFill>
                    <a:blip r:embed="rId8">
                      <a:extLst>
                        <a:ext uri="{28A0092B-C50C-407E-A947-70E740481C1C}">
                          <a14:useLocalDpi xmlns:a14="http://schemas.microsoft.com/office/drawing/2010/main"/>
                        </a:ext>
                      </a:extLst>
                    </a:blip>
                    <a:stretch>
                      <a:fillRect/>
                    </a:stretch>
                  </pic:blipFill>
                  <pic:spPr>
                    <a:xfrm>
                      <a:off x="0" y="0"/>
                      <a:ext cx="3569739" cy="2957620"/>
                    </a:xfrm>
                    <a:prstGeom prst="rect">
                      <a:avLst/>
                    </a:prstGeom>
                  </pic:spPr>
                </pic:pic>
              </a:graphicData>
            </a:graphic>
          </wp:inline>
        </w:drawing>
      </w:r>
    </w:p>
    <w:p w14:paraId="2B16997A" w14:textId="77777777" w:rsidR="00C34E8E" w:rsidRPr="007E7AC9" w:rsidRDefault="00C34E8E" w:rsidP="00741B44">
      <w:pPr>
        <w:spacing w:after="0" w:line="240" w:lineRule="auto"/>
        <w:jc w:val="both"/>
        <w:rPr>
          <w:rFonts w:ascii="Cambria" w:eastAsia="Times New Roman" w:hAnsi="Cambria" w:cs="Times New Roman"/>
          <w:color w:val="000000" w:themeColor="text1"/>
          <w:sz w:val="20"/>
          <w:szCs w:val="20"/>
        </w:rPr>
      </w:pPr>
    </w:p>
    <w:p w14:paraId="32F09B31" w14:textId="66DDDB1B" w:rsidR="3352C9AE" w:rsidRPr="007E7AC9" w:rsidRDefault="3352C9AE" w:rsidP="00741B44">
      <w:pPr>
        <w:spacing w:after="0" w:line="240" w:lineRule="auto"/>
        <w:jc w:val="both"/>
        <w:rPr>
          <w:rFonts w:ascii="Cambria" w:eastAsia="Times New Roman" w:hAnsi="Cambria" w:cs="Times New Roman"/>
          <w:color w:val="000000" w:themeColor="text1"/>
          <w:sz w:val="20"/>
          <w:szCs w:val="20"/>
        </w:rPr>
      </w:pPr>
      <w:r>
        <w:rPr>
          <w:rFonts w:ascii="Cambria" w:hAnsi="Cambria"/>
          <w:color w:val="000000" w:themeColor="text1"/>
          <w:sz w:val="20"/>
        </w:rPr>
        <w:t>S’agissant des opérations commerciales exemptées de validation</w:t>
      </w:r>
      <w:r w:rsidRPr="007E7AC9">
        <w:rPr>
          <w:rStyle w:val="FootnoteReference"/>
          <w:rFonts w:ascii="Cambria" w:eastAsia="Times New Roman" w:hAnsi="Cambria" w:cs="Times New Roman"/>
          <w:color w:val="000000" w:themeColor="text1"/>
          <w:sz w:val="20"/>
          <w:szCs w:val="20"/>
        </w:rPr>
        <w:footnoteReference w:id="3"/>
      </w:r>
      <w:r>
        <w:rPr>
          <w:rFonts w:ascii="Cambria" w:hAnsi="Cambria"/>
          <w:color w:val="000000" w:themeColor="text1"/>
          <w:sz w:val="20"/>
        </w:rPr>
        <w:t>, 36.419 d’entre elles concernaient des opérations commerciales entre des États membres de l’UE (dérogation au titre du paragraphe 5b) (30%), pour un volume de 2.744 t. Les autres opérations exemptées se rapportent à des opérations commerciales internes (</w:t>
      </w:r>
      <w:r>
        <w:rPr>
          <w:rFonts w:ascii="Cambria" w:hAnsi="Cambria"/>
          <w:b/>
          <w:bCs/>
          <w:color w:val="000000" w:themeColor="text1"/>
          <w:sz w:val="20"/>
        </w:rPr>
        <w:t>figure 3</w:t>
      </w:r>
      <w:r>
        <w:rPr>
          <w:rFonts w:ascii="Cambria" w:hAnsi="Cambria"/>
          <w:color w:val="000000" w:themeColor="text1"/>
          <w:sz w:val="20"/>
        </w:rPr>
        <w:t>).</w:t>
      </w:r>
    </w:p>
    <w:p w14:paraId="370DFA06" w14:textId="6187E485" w:rsidR="5E68D399" w:rsidRPr="007E7AC9" w:rsidRDefault="5E68D399" w:rsidP="00741B44">
      <w:pPr>
        <w:spacing w:after="0" w:line="240" w:lineRule="auto"/>
        <w:jc w:val="center"/>
        <w:rPr>
          <w:rFonts w:ascii="Cambria" w:hAnsi="Cambria"/>
          <w:sz w:val="20"/>
          <w:szCs w:val="20"/>
        </w:rPr>
      </w:pPr>
      <w:r>
        <w:rPr>
          <w:rFonts w:ascii="Cambria" w:hAnsi="Cambria"/>
          <w:noProof/>
          <w:sz w:val="20"/>
        </w:rPr>
        <w:lastRenderedPageBreak/>
        <w:drawing>
          <wp:inline distT="0" distB="0" distL="0" distR="0" wp14:anchorId="631AEF32" wp14:editId="7E416CCA">
            <wp:extent cx="3710479" cy="2759075"/>
            <wp:effectExtent l="0" t="0" r="4445" b="3175"/>
            <wp:docPr id="2715500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50094" name=""/>
                    <pic:cNvPicPr/>
                  </pic:nvPicPr>
                  <pic:blipFill>
                    <a:blip r:embed="rId9">
                      <a:extLst>
                        <a:ext uri="{28A0092B-C50C-407E-A947-70E740481C1C}">
                          <a14:useLocalDpi xmlns:a14="http://schemas.microsoft.com/office/drawing/2010/main"/>
                        </a:ext>
                      </a:extLst>
                    </a:blip>
                    <a:stretch>
                      <a:fillRect/>
                    </a:stretch>
                  </pic:blipFill>
                  <pic:spPr>
                    <a:xfrm>
                      <a:off x="0" y="0"/>
                      <a:ext cx="3713281" cy="2761159"/>
                    </a:xfrm>
                    <a:prstGeom prst="rect">
                      <a:avLst/>
                    </a:prstGeom>
                  </pic:spPr>
                </pic:pic>
              </a:graphicData>
            </a:graphic>
          </wp:inline>
        </w:drawing>
      </w:r>
    </w:p>
    <w:p w14:paraId="2B6A269A" w14:textId="681DDF58" w:rsidR="09A42DB3" w:rsidRPr="007E7AC9" w:rsidRDefault="09A42DB3" w:rsidP="00741B44">
      <w:pPr>
        <w:spacing w:after="0" w:line="240" w:lineRule="auto"/>
        <w:jc w:val="both"/>
        <w:rPr>
          <w:rFonts w:ascii="Cambria" w:eastAsia="Times New Roman" w:hAnsi="Cambria" w:cs="Times New Roman"/>
          <w:color w:val="000000" w:themeColor="text1"/>
          <w:sz w:val="20"/>
          <w:szCs w:val="20"/>
        </w:rPr>
      </w:pPr>
    </w:p>
    <w:p w14:paraId="750575D6" w14:textId="55C92558" w:rsidR="09A42DB3" w:rsidRDefault="09A42DB3" w:rsidP="00741B44">
      <w:pPr>
        <w:spacing w:after="0" w:line="240" w:lineRule="auto"/>
        <w:jc w:val="both"/>
        <w:rPr>
          <w:rFonts w:ascii="Cambria" w:eastAsia="Times New Roman" w:hAnsi="Cambria" w:cs="Times New Roman"/>
          <w:color w:val="000000" w:themeColor="text1"/>
          <w:sz w:val="20"/>
          <w:szCs w:val="20"/>
        </w:rPr>
      </w:pPr>
      <w:r>
        <w:rPr>
          <w:rFonts w:ascii="Cambria" w:hAnsi="Cambria"/>
          <w:color w:val="000000" w:themeColor="text1"/>
          <w:sz w:val="20"/>
        </w:rPr>
        <w:t>La quantité moyenne par opération commerciale (par eBCD) était de 80 kg pour les opérations commerciales exemptées de validation conformément à la dérogation 5b (</w:t>
      </w:r>
      <w:r>
        <w:rPr>
          <w:rFonts w:ascii="Cambria" w:hAnsi="Cambria"/>
          <w:b/>
          <w:bCs/>
          <w:color w:val="000000" w:themeColor="text1"/>
          <w:sz w:val="20"/>
        </w:rPr>
        <w:t>figure 4</w:t>
      </w:r>
      <w:r>
        <w:rPr>
          <w:rFonts w:ascii="Cambria" w:hAnsi="Cambria"/>
          <w:color w:val="000000" w:themeColor="text1"/>
          <w:sz w:val="20"/>
        </w:rPr>
        <w:t>).</w:t>
      </w:r>
    </w:p>
    <w:p w14:paraId="064B1226" w14:textId="77777777" w:rsidR="00AA2A52" w:rsidRPr="007E7AC9" w:rsidRDefault="00AA2A52" w:rsidP="00741B44">
      <w:pPr>
        <w:spacing w:after="0" w:line="240" w:lineRule="auto"/>
        <w:jc w:val="both"/>
        <w:rPr>
          <w:rFonts w:ascii="Cambria" w:eastAsia="Times New Roman" w:hAnsi="Cambria" w:cs="Times New Roman"/>
          <w:color w:val="000000" w:themeColor="text1"/>
          <w:sz w:val="20"/>
          <w:szCs w:val="20"/>
        </w:rPr>
      </w:pPr>
    </w:p>
    <w:p w14:paraId="38DC669C" w14:textId="07B66398" w:rsidR="6D52B617" w:rsidRPr="007E7AC9" w:rsidRDefault="6D52B617" w:rsidP="00741B44">
      <w:pPr>
        <w:spacing w:after="0" w:line="240" w:lineRule="auto"/>
        <w:jc w:val="center"/>
        <w:rPr>
          <w:rFonts w:ascii="Cambria" w:hAnsi="Cambria"/>
          <w:sz w:val="20"/>
          <w:szCs w:val="20"/>
        </w:rPr>
      </w:pPr>
      <w:r>
        <w:rPr>
          <w:rFonts w:ascii="Cambria" w:hAnsi="Cambria"/>
          <w:noProof/>
          <w:sz w:val="20"/>
        </w:rPr>
        <w:drawing>
          <wp:inline distT="0" distB="0" distL="0" distR="0" wp14:anchorId="001A2082" wp14:editId="317B5579">
            <wp:extent cx="4470400" cy="2571913"/>
            <wp:effectExtent l="0" t="0" r="6350" b="0"/>
            <wp:docPr id="18805025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02502" name=""/>
                    <pic:cNvPicPr/>
                  </pic:nvPicPr>
                  <pic:blipFill>
                    <a:blip r:embed="rId10">
                      <a:extLst>
                        <a:ext uri="{28A0092B-C50C-407E-A947-70E740481C1C}">
                          <a14:useLocalDpi xmlns:a14="http://schemas.microsoft.com/office/drawing/2010/main"/>
                        </a:ext>
                      </a:extLst>
                    </a:blip>
                    <a:stretch>
                      <a:fillRect/>
                    </a:stretch>
                  </pic:blipFill>
                  <pic:spPr>
                    <a:xfrm>
                      <a:off x="0" y="0"/>
                      <a:ext cx="4474754" cy="2574418"/>
                    </a:xfrm>
                    <a:prstGeom prst="rect">
                      <a:avLst/>
                    </a:prstGeom>
                  </pic:spPr>
                </pic:pic>
              </a:graphicData>
            </a:graphic>
          </wp:inline>
        </w:drawing>
      </w:r>
    </w:p>
    <w:p w14:paraId="210A9D36" w14:textId="77777777" w:rsidR="00B62157" w:rsidRDefault="00B62157" w:rsidP="00741B44">
      <w:pPr>
        <w:spacing w:after="0" w:line="240" w:lineRule="auto"/>
        <w:jc w:val="both"/>
        <w:rPr>
          <w:rFonts w:ascii="Cambria" w:hAnsi="Cambria"/>
          <w:i/>
          <w:color w:val="000000" w:themeColor="text1"/>
          <w:sz w:val="20"/>
        </w:rPr>
      </w:pPr>
    </w:p>
    <w:p w14:paraId="7CD90E03" w14:textId="528EBEAB" w:rsidR="297D4CAF" w:rsidRDefault="297D4CAF" w:rsidP="00741B44">
      <w:pPr>
        <w:spacing w:after="0" w:line="240" w:lineRule="auto"/>
        <w:jc w:val="both"/>
        <w:rPr>
          <w:rFonts w:ascii="Cambria" w:eastAsia="Times New Roman" w:hAnsi="Cambria" w:cs="Times New Roman"/>
          <w:i/>
          <w:iCs/>
          <w:color w:val="000000" w:themeColor="text1"/>
          <w:sz w:val="20"/>
          <w:szCs w:val="20"/>
        </w:rPr>
      </w:pPr>
      <w:r>
        <w:rPr>
          <w:rFonts w:ascii="Cambria" w:hAnsi="Cambria"/>
          <w:i/>
          <w:color w:val="000000" w:themeColor="text1"/>
          <w:sz w:val="20"/>
        </w:rPr>
        <w:t xml:space="preserve">EXP (opérations commerciales de l'UE vers d'autres CPC), STA (opérations commerciales entre des États membres de l’UE, INT (opérations </w:t>
      </w:r>
      <w:r w:rsidRPr="00081B0A">
        <w:rPr>
          <w:rFonts w:ascii="Cambria" w:hAnsi="Cambria"/>
          <w:i/>
          <w:sz w:val="20"/>
        </w:rPr>
        <w:t xml:space="preserve">commerciales </w:t>
      </w:r>
      <w:r w:rsidR="00FC7DCA" w:rsidRPr="00081B0A">
        <w:rPr>
          <w:rFonts w:ascii="Cambria" w:hAnsi="Cambria"/>
          <w:i/>
          <w:sz w:val="20"/>
        </w:rPr>
        <w:t xml:space="preserve">internes </w:t>
      </w:r>
      <w:r w:rsidRPr="00081B0A">
        <w:rPr>
          <w:rFonts w:ascii="Cambria" w:hAnsi="Cambria"/>
          <w:i/>
          <w:sz w:val="20"/>
        </w:rPr>
        <w:t xml:space="preserve">au sein </w:t>
      </w:r>
      <w:r>
        <w:rPr>
          <w:rFonts w:ascii="Cambria" w:hAnsi="Cambria"/>
          <w:i/>
          <w:color w:val="000000" w:themeColor="text1"/>
          <w:sz w:val="20"/>
        </w:rPr>
        <w:t>des territoires des États Membres de l’UE), VAL (opérations commerciales validées), EXE (opérations commerciales exemptées de validation), EXE STA (opérations commerciales entre des États membres de l’UE exemptées de validation – dérogation 5b).</w:t>
      </w:r>
    </w:p>
    <w:p w14:paraId="757B6049" w14:textId="77777777" w:rsidR="00AA2A52" w:rsidRDefault="00AA2A52" w:rsidP="00741B44">
      <w:pPr>
        <w:spacing w:after="0" w:line="240" w:lineRule="auto"/>
        <w:jc w:val="both"/>
        <w:rPr>
          <w:rFonts w:ascii="Cambria" w:eastAsia="Times New Roman" w:hAnsi="Cambria" w:cs="Times New Roman"/>
          <w:i/>
          <w:iCs/>
          <w:color w:val="000000" w:themeColor="text1"/>
          <w:sz w:val="20"/>
          <w:szCs w:val="20"/>
        </w:rPr>
      </w:pPr>
    </w:p>
    <w:p w14:paraId="591986C4" w14:textId="63CC9577" w:rsidR="297D4CAF" w:rsidRDefault="297D4CAF" w:rsidP="00741B44">
      <w:pPr>
        <w:spacing w:after="0" w:line="240" w:lineRule="auto"/>
        <w:jc w:val="both"/>
        <w:rPr>
          <w:rFonts w:ascii="Cambria" w:eastAsia="Times New Roman" w:hAnsi="Cambria" w:cs="Times New Roman"/>
          <w:color w:val="000000" w:themeColor="text1"/>
          <w:sz w:val="20"/>
          <w:szCs w:val="20"/>
        </w:rPr>
      </w:pPr>
      <w:r>
        <w:rPr>
          <w:rFonts w:ascii="Cambria" w:hAnsi="Cambria"/>
          <w:color w:val="000000" w:themeColor="text1"/>
          <w:sz w:val="20"/>
        </w:rPr>
        <w:t>L’</w:t>
      </w:r>
      <w:r w:rsidRPr="00FC7DCA">
        <w:rPr>
          <w:rFonts w:ascii="Cambria" w:hAnsi="Cambria"/>
          <w:b/>
          <w:bCs/>
          <w:color w:val="000000" w:themeColor="text1"/>
          <w:sz w:val="20"/>
        </w:rPr>
        <w:t>Annexe</w:t>
      </w:r>
      <w:r>
        <w:rPr>
          <w:rFonts w:ascii="Cambria" w:hAnsi="Cambria"/>
          <w:color w:val="000000" w:themeColor="text1"/>
          <w:sz w:val="20"/>
        </w:rPr>
        <w:t xml:space="preserve"> comporte des informations détaillées supplémentaires par État Membre de l’UE.</w:t>
      </w:r>
    </w:p>
    <w:p w14:paraId="1928C1DD" w14:textId="77777777" w:rsidR="00AA2A52" w:rsidRDefault="00AA2A52" w:rsidP="00741B44">
      <w:pPr>
        <w:spacing w:after="0" w:line="240" w:lineRule="auto"/>
        <w:jc w:val="both"/>
        <w:rPr>
          <w:rFonts w:ascii="Cambria" w:eastAsia="Times New Roman" w:hAnsi="Cambria" w:cs="Times New Roman"/>
          <w:color w:val="000000" w:themeColor="text1"/>
          <w:sz w:val="20"/>
          <w:szCs w:val="20"/>
        </w:rPr>
      </w:pPr>
    </w:p>
    <w:p w14:paraId="1E73FEF6" w14:textId="77777777" w:rsidR="00AA2A52" w:rsidRPr="007E7AC9" w:rsidRDefault="00AA2A52" w:rsidP="00741B44">
      <w:pPr>
        <w:spacing w:after="0" w:line="240" w:lineRule="auto"/>
        <w:jc w:val="both"/>
        <w:rPr>
          <w:rFonts w:ascii="Cambria" w:eastAsia="Times New Roman" w:hAnsi="Cambria" w:cs="Times New Roman"/>
          <w:color w:val="000000" w:themeColor="text1"/>
          <w:sz w:val="20"/>
          <w:szCs w:val="20"/>
        </w:rPr>
      </w:pPr>
    </w:p>
    <w:p w14:paraId="3D0A3E03" w14:textId="5BBE66F8" w:rsidR="313C39DB" w:rsidRDefault="313C39DB" w:rsidP="00AA2A52">
      <w:pPr>
        <w:pStyle w:val="ListParagraph"/>
        <w:keepNext/>
        <w:numPr>
          <w:ilvl w:val="0"/>
          <w:numId w:val="1"/>
        </w:numPr>
        <w:spacing w:after="0" w:line="240" w:lineRule="auto"/>
        <w:ind w:left="426" w:hanging="426"/>
        <w:rPr>
          <w:rFonts w:ascii="Cambria" w:eastAsia="Times New Roman" w:hAnsi="Cambria" w:cs="Times New Roman"/>
          <w:b/>
          <w:bCs/>
          <w:color w:val="000000" w:themeColor="text1"/>
          <w:sz w:val="20"/>
          <w:szCs w:val="20"/>
        </w:rPr>
      </w:pPr>
      <w:r>
        <w:rPr>
          <w:rFonts w:ascii="Cambria" w:hAnsi="Cambria"/>
          <w:b/>
          <w:color w:val="000000" w:themeColor="text1"/>
          <w:sz w:val="20"/>
        </w:rPr>
        <w:t>Vérifications</w:t>
      </w:r>
    </w:p>
    <w:p w14:paraId="692BFFD7" w14:textId="77777777" w:rsidR="00AA2A52" w:rsidRPr="007E7AC9" w:rsidRDefault="00AA2A52" w:rsidP="00AA2A52">
      <w:pPr>
        <w:pStyle w:val="ListParagraph"/>
        <w:keepNext/>
        <w:spacing w:after="0" w:line="240" w:lineRule="auto"/>
        <w:ind w:left="426"/>
        <w:rPr>
          <w:rFonts w:ascii="Cambria" w:eastAsia="Times New Roman" w:hAnsi="Cambria" w:cs="Times New Roman"/>
          <w:b/>
          <w:bCs/>
          <w:color w:val="000000" w:themeColor="text1"/>
          <w:sz w:val="20"/>
          <w:szCs w:val="20"/>
        </w:rPr>
      </w:pPr>
    </w:p>
    <w:p w14:paraId="28297592" w14:textId="56120F43" w:rsidR="313C39DB" w:rsidRDefault="313C39DB" w:rsidP="00741B44">
      <w:pPr>
        <w:spacing w:after="0" w:line="240" w:lineRule="auto"/>
        <w:jc w:val="both"/>
        <w:rPr>
          <w:rFonts w:ascii="Cambria" w:eastAsia="Times New Roman" w:hAnsi="Cambria" w:cs="Times New Roman"/>
          <w:color w:val="000000" w:themeColor="text1"/>
          <w:sz w:val="20"/>
          <w:szCs w:val="20"/>
        </w:rPr>
      </w:pPr>
      <w:r>
        <w:rPr>
          <w:rFonts w:ascii="Cambria" w:hAnsi="Cambria"/>
          <w:color w:val="000000" w:themeColor="text1"/>
          <w:sz w:val="20"/>
        </w:rPr>
        <w:t xml:space="preserve">En termes de vérification des informations de l’eBCD, dans le cadre de la procédure standard de validation, les autorités de contrôle réalisent des contrôles et vérifications par recoupement de tous les documents pertinents, y compris les données des carnets de pêche, les déclarations de débarquement, les bordereaux de vente, les autorisations ICCAT, etc.  Conformément à la législation de l’UE, les autorités de contrôle réalisent des contrôles physiques et des inspections au débarquement, sur le marché interne et au point d’entrée des États Membres de l’UE, d’après une évaluation des risques. Toutes les prises sont pesées au débarquement au moyen de balances certifiées et calibrées. </w:t>
      </w:r>
    </w:p>
    <w:p w14:paraId="72C27D6D" w14:textId="77777777" w:rsidR="00AA2A52" w:rsidRDefault="00AA2A52" w:rsidP="00741B44">
      <w:pPr>
        <w:spacing w:after="0" w:line="240" w:lineRule="auto"/>
        <w:jc w:val="both"/>
        <w:rPr>
          <w:rFonts w:ascii="Cambria" w:eastAsia="Times New Roman" w:hAnsi="Cambria" w:cs="Times New Roman"/>
          <w:color w:val="000000" w:themeColor="text1"/>
          <w:sz w:val="20"/>
          <w:szCs w:val="20"/>
        </w:rPr>
      </w:pPr>
    </w:p>
    <w:p w14:paraId="6A21B5D9" w14:textId="73D83DDC" w:rsidR="313C39DB" w:rsidRDefault="313C39DB" w:rsidP="00741B44">
      <w:pPr>
        <w:spacing w:after="0" w:line="240" w:lineRule="auto"/>
        <w:jc w:val="both"/>
        <w:rPr>
          <w:rFonts w:ascii="Cambria" w:hAnsi="Cambria"/>
          <w:color w:val="000000" w:themeColor="text1"/>
          <w:sz w:val="20"/>
        </w:rPr>
      </w:pPr>
      <w:r>
        <w:rPr>
          <w:rFonts w:ascii="Cambria" w:hAnsi="Cambria"/>
          <w:color w:val="000000" w:themeColor="text1"/>
          <w:sz w:val="20"/>
        </w:rPr>
        <w:t xml:space="preserve">Au point d’entrée et de sortie de l’UE, les contrôles incluent des vérifications croisées des eBCD au moyen de bordereaux de transport aérien et de bordereaux de vente, ainsi que de contrôles physiques. Les importations dans l’Union Européenne suivent les procédures des douanes.  </w:t>
      </w:r>
    </w:p>
    <w:p w14:paraId="131BE036" w14:textId="77777777" w:rsidR="00D013E5" w:rsidRPr="007E7AC9" w:rsidRDefault="00D013E5" w:rsidP="00741B44">
      <w:pPr>
        <w:spacing w:after="0" w:line="240" w:lineRule="auto"/>
        <w:jc w:val="both"/>
        <w:rPr>
          <w:rFonts w:ascii="Cambria" w:eastAsia="Times New Roman" w:hAnsi="Cambria" w:cs="Times New Roman"/>
          <w:color w:val="000000" w:themeColor="text1"/>
          <w:sz w:val="20"/>
          <w:szCs w:val="20"/>
        </w:rPr>
      </w:pPr>
    </w:p>
    <w:p w14:paraId="67624835" w14:textId="34EEE234" w:rsidR="313C39DB" w:rsidRDefault="313C39DB" w:rsidP="00741B44">
      <w:pPr>
        <w:spacing w:after="0" w:line="240" w:lineRule="auto"/>
        <w:jc w:val="both"/>
        <w:rPr>
          <w:rFonts w:ascii="Cambria" w:eastAsia="Times New Roman" w:hAnsi="Cambria" w:cs="Times New Roman"/>
          <w:color w:val="000000" w:themeColor="text1"/>
          <w:sz w:val="20"/>
          <w:szCs w:val="20"/>
        </w:rPr>
      </w:pPr>
      <w:r>
        <w:rPr>
          <w:rFonts w:ascii="Cambria" w:hAnsi="Cambria"/>
          <w:color w:val="000000" w:themeColor="text1"/>
          <w:sz w:val="20"/>
        </w:rPr>
        <w:t xml:space="preserve">Tous les eBCD faisant l’objet de validation ont été vérifiés par recoupement. Même si la validation n’est pas requise, les autorités de contrôle réalisent des vérifications croisées des déclarations de capture et des informations de l’eBCD conjointement avec les autres États Membres concernés, ce qui permet un suivi efficace des opérations exemptées de validation. En outre, les autorités de contrôle vérifient la validation de la capture ou les détails des marques et analysent la cohérence du moment des messages de validation et les éventuels messages d’alerte dans l’eBCD. </w:t>
      </w:r>
    </w:p>
    <w:p w14:paraId="17F8657E" w14:textId="77777777" w:rsidR="00AA2A52" w:rsidRPr="007E7AC9" w:rsidRDefault="00AA2A52" w:rsidP="00741B44">
      <w:pPr>
        <w:spacing w:after="0" w:line="240" w:lineRule="auto"/>
        <w:jc w:val="both"/>
        <w:rPr>
          <w:rFonts w:ascii="Cambria" w:eastAsia="Times New Roman" w:hAnsi="Cambria" w:cs="Times New Roman"/>
          <w:color w:val="000000" w:themeColor="text1"/>
          <w:sz w:val="20"/>
          <w:szCs w:val="20"/>
        </w:rPr>
      </w:pPr>
    </w:p>
    <w:p w14:paraId="7B7DF0A9" w14:textId="0AD88F34" w:rsidR="313C39DB" w:rsidRDefault="313C39DB" w:rsidP="00741B44">
      <w:pPr>
        <w:spacing w:after="0" w:line="240" w:lineRule="auto"/>
        <w:jc w:val="both"/>
        <w:rPr>
          <w:rFonts w:ascii="Cambria" w:eastAsia="Times New Roman" w:hAnsi="Cambria" w:cs="Times New Roman"/>
          <w:color w:val="000000" w:themeColor="text1"/>
          <w:sz w:val="20"/>
          <w:szCs w:val="20"/>
        </w:rPr>
      </w:pPr>
      <w:r>
        <w:rPr>
          <w:rFonts w:ascii="Cambria" w:hAnsi="Cambria"/>
          <w:color w:val="000000" w:themeColor="text1"/>
          <w:sz w:val="20"/>
        </w:rPr>
        <w:t>Les fonctionnalités d’extraction des données, les vérifications croisées et les contrôles par le biais du système d’eBCD en lui-même permettent aux États Membres de l’UE de mettre en place de meilleures procédures d’évaluation des risques pour cibler précisément des opérations commerciales à des fins de vérification croisée et de contrôle.</w:t>
      </w:r>
    </w:p>
    <w:p w14:paraId="3839D4E9" w14:textId="77777777" w:rsidR="00AA2A52" w:rsidRDefault="00AA2A52" w:rsidP="00741B44">
      <w:pPr>
        <w:spacing w:after="0" w:line="240" w:lineRule="auto"/>
        <w:jc w:val="both"/>
        <w:rPr>
          <w:rFonts w:ascii="Cambria" w:eastAsia="Times New Roman" w:hAnsi="Cambria" w:cs="Times New Roman"/>
          <w:color w:val="000000" w:themeColor="text1"/>
          <w:sz w:val="20"/>
          <w:szCs w:val="20"/>
        </w:rPr>
      </w:pPr>
    </w:p>
    <w:p w14:paraId="13F9002E" w14:textId="77777777" w:rsidR="00AA2A52" w:rsidRPr="007E7AC9" w:rsidRDefault="00AA2A52" w:rsidP="00741B44">
      <w:pPr>
        <w:spacing w:after="0" w:line="240" w:lineRule="auto"/>
        <w:jc w:val="both"/>
        <w:rPr>
          <w:rFonts w:ascii="Cambria" w:eastAsia="Times New Roman" w:hAnsi="Cambria" w:cs="Times New Roman"/>
          <w:color w:val="000000" w:themeColor="text1"/>
          <w:sz w:val="20"/>
          <w:szCs w:val="20"/>
        </w:rPr>
      </w:pPr>
    </w:p>
    <w:p w14:paraId="73B04E2F" w14:textId="7088B2BE" w:rsidR="54E8B0A9" w:rsidRPr="007E7AC9" w:rsidRDefault="54E8B0A9" w:rsidP="00AA2A52">
      <w:pPr>
        <w:pStyle w:val="Heading1"/>
        <w:numPr>
          <w:ilvl w:val="0"/>
          <w:numId w:val="3"/>
        </w:numPr>
        <w:spacing w:before="0" w:after="0" w:line="240" w:lineRule="auto"/>
        <w:ind w:left="426" w:hanging="426"/>
        <w:jc w:val="both"/>
        <w:rPr>
          <w:rFonts w:ascii="Cambria" w:eastAsia="Times New Roman" w:hAnsi="Cambria" w:cs="Times New Roman"/>
          <w:b/>
          <w:bCs/>
          <w:color w:val="000000" w:themeColor="text1"/>
          <w:sz w:val="20"/>
          <w:szCs w:val="20"/>
        </w:rPr>
      </w:pPr>
      <w:r>
        <w:rPr>
          <w:rFonts w:ascii="Cambria" w:hAnsi="Cambria"/>
          <w:b/>
          <w:color w:val="000000" w:themeColor="text1"/>
          <w:sz w:val="20"/>
        </w:rPr>
        <w:t>Conclusion</w:t>
      </w:r>
    </w:p>
    <w:p w14:paraId="13B0A674" w14:textId="77777777" w:rsidR="00AA2A52" w:rsidRDefault="00AA2A52" w:rsidP="00741B44">
      <w:pPr>
        <w:spacing w:after="0" w:line="240" w:lineRule="auto"/>
        <w:jc w:val="both"/>
        <w:rPr>
          <w:rFonts w:ascii="Cambria" w:eastAsia="Times New Roman" w:hAnsi="Cambria" w:cs="Times New Roman"/>
          <w:color w:val="000000" w:themeColor="text1"/>
          <w:sz w:val="20"/>
          <w:szCs w:val="20"/>
        </w:rPr>
      </w:pPr>
    </w:p>
    <w:p w14:paraId="3CFAB1FD" w14:textId="642B0796" w:rsidR="54E8B0A9" w:rsidRPr="00081B0A" w:rsidRDefault="54E8B0A9" w:rsidP="00741B44">
      <w:pPr>
        <w:spacing w:after="0" w:line="240" w:lineRule="auto"/>
        <w:jc w:val="both"/>
        <w:rPr>
          <w:rFonts w:ascii="Cambria" w:eastAsia="Times New Roman" w:hAnsi="Cambria" w:cs="Times New Roman"/>
          <w:sz w:val="20"/>
          <w:szCs w:val="20"/>
        </w:rPr>
      </w:pPr>
      <w:r>
        <w:rPr>
          <w:rFonts w:ascii="Cambria" w:hAnsi="Cambria"/>
          <w:color w:val="000000" w:themeColor="text1"/>
          <w:sz w:val="20"/>
        </w:rPr>
        <w:t xml:space="preserve">Le nombre d’opérations commerciales concernées par la dérogation prévue au paragraphe 5b de la Recommandation 24-16 est important mais porte, dans la plupart </w:t>
      </w:r>
      <w:r w:rsidRPr="00081B0A">
        <w:rPr>
          <w:rFonts w:ascii="Cambria" w:hAnsi="Cambria"/>
          <w:sz w:val="20"/>
        </w:rPr>
        <w:t xml:space="preserve">des cas, sur de faibles volumes de thon rouge, concernant uniquement des présentations en filet (FL) et autres (OT). De plus, 71% des opérations commerciales enregistrées par l’UE sont des opérations commerciales internes au sein des États Membres de l’UE contribuant à la traçabilité des poissons tout au long de la chaîne. </w:t>
      </w:r>
    </w:p>
    <w:p w14:paraId="263CB866" w14:textId="77777777" w:rsidR="00AA2A52" w:rsidRPr="00081B0A" w:rsidRDefault="00AA2A52" w:rsidP="00741B44">
      <w:pPr>
        <w:spacing w:after="0" w:line="240" w:lineRule="auto"/>
        <w:jc w:val="both"/>
        <w:rPr>
          <w:rFonts w:ascii="Cambria" w:eastAsia="Times New Roman" w:hAnsi="Cambria" w:cs="Times New Roman"/>
          <w:sz w:val="20"/>
          <w:szCs w:val="20"/>
        </w:rPr>
      </w:pPr>
    </w:p>
    <w:p w14:paraId="0F2C4E6A" w14:textId="5D7A55D5" w:rsidR="54E8B0A9" w:rsidRPr="007E7AC9" w:rsidRDefault="54E8B0A9" w:rsidP="00741B44">
      <w:pPr>
        <w:spacing w:after="0" w:line="240" w:lineRule="auto"/>
        <w:jc w:val="both"/>
        <w:rPr>
          <w:rFonts w:ascii="Cambria" w:eastAsia="Times New Roman" w:hAnsi="Cambria" w:cs="Times New Roman"/>
          <w:color w:val="000000" w:themeColor="text1"/>
          <w:sz w:val="20"/>
          <w:szCs w:val="20"/>
        </w:rPr>
      </w:pPr>
      <w:r w:rsidRPr="00081B0A">
        <w:rPr>
          <w:rFonts w:ascii="Cambria" w:hAnsi="Cambria"/>
          <w:sz w:val="20"/>
        </w:rPr>
        <w:t xml:space="preserve">La dérogation au titre du paragraphe 5b de la Recommandation 24-16 élimine une charge administrative considérable en lien avec la validation, contribue à obtenir des conditions plus équitables entre l’UE et les autres CPC de l’ICCAT et est également en conformité avec le principe de </w:t>
      </w:r>
      <w:r w:rsidR="002C23AE" w:rsidRPr="00081B0A">
        <w:rPr>
          <w:rFonts w:ascii="Cambria" w:hAnsi="Cambria"/>
          <w:sz w:val="20"/>
        </w:rPr>
        <w:t>marché unique</w:t>
      </w:r>
      <w:r w:rsidRPr="00081B0A">
        <w:rPr>
          <w:rFonts w:ascii="Cambria" w:hAnsi="Cambria"/>
          <w:sz w:val="20"/>
        </w:rPr>
        <w:t xml:space="preserve"> de l’UE. Il est important de noter que depuis que cette dérogation a été accordée à l'UE, aucune information n’est </w:t>
      </w:r>
      <w:r>
        <w:rPr>
          <w:rFonts w:ascii="Cambria" w:hAnsi="Cambria"/>
          <w:color w:val="000000" w:themeColor="text1"/>
          <w:sz w:val="20"/>
        </w:rPr>
        <w:t xml:space="preserve">disponible en ce qui concerne un éventuel impact négatif de ces mesures sur la traçabilité des produits de thon rouge, en gardant particulièrement à l'esprit que toutes les premières opérations commerciales sont validées. </w:t>
      </w:r>
    </w:p>
    <w:p w14:paraId="75B4733A" w14:textId="5BDE20EA" w:rsidR="54E8B0A9" w:rsidRPr="007E7AC9" w:rsidRDefault="54E8B0A9" w:rsidP="00741B44">
      <w:pPr>
        <w:spacing w:after="0" w:line="240" w:lineRule="auto"/>
        <w:jc w:val="both"/>
        <w:rPr>
          <w:rFonts w:ascii="Cambria" w:eastAsia="Times New Roman" w:hAnsi="Cambria" w:cs="Times New Roman"/>
          <w:color w:val="000000" w:themeColor="text1"/>
          <w:sz w:val="20"/>
          <w:szCs w:val="20"/>
        </w:rPr>
      </w:pPr>
    </w:p>
    <w:p w14:paraId="6E25F306" w14:textId="1D0AABEC" w:rsidR="5FEF55A3" w:rsidRPr="007E7AC9" w:rsidRDefault="5FEF55A3" w:rsidP="00741B44">
      <w:pPr>
        <w:spacing w:after="0" w:line="240" w:lineRule="auto"/>
        <w:rPr>
          <w:rFonts w:ascii="Cambria" w:hAnsi="Cambria"/>
          <w:sz w:val="20"/>
          <w:szCs w:val="20"/>
        </w:rPr>
      </w:pPr>
    </w:p>
    <w:p w14:paraId="4284FA09" w14:textId="77777777" w:rsidR="00AA2A52" w:rsidRDefault="00AA2A52">
      <w:pPr>
        <w:rPr>
          <w:rFonts w:ascii="Cambria" w:eastAsia="Times New Roman" w:hAnsi="Cambria" w:cs="Times New Roman"/>
          <w:b/>
          <w:bCs/>
          <w:color w:val="000000" w:themeColor="text1"/>
          <w:sz w:val="20"/>
          <w:szCs w:val="20"/>
        </w:rPr>
      </w:pPr>
      <w:r>
        <w:br w:type="page"/>
      </w:r>
    </w:p>
    <w:p w14:paraId="3CD3DDB0" w14:textId="027AF7E7" w:rsidR="46ABD34F" w:rsidRPr="007E7AC9" w:rsidRDefault="46ABD34F" w:rsidP="00AA2A52">
      <w:pPr>
        <w:spacing w:after="0" w:line="240" w:lineRule="auto"/>
        <w:jc w:val="right"/>
        <w:rPr>
          <w:rFonts w:ascii="Cambria" w:eastAsia="Times New Roman" w:hAnsi="Cambria" w:cs="Times New Roman"/>
          <w:color w:val="000000" w:themeColor="text1"/>
          <w:sz w:val="20"/>
          <w:szCs w:val="20"/>
        </w:rPr>
      </w:pPr>
      <w:r>
        <w:rPr>
          <w:rFonts w:ascii="Cambria" w:hAnsi="Cambria"/>
          <w:b/>
          <w:color w:val="000000" w:themeColor="text1"/>
          <w:sz w:val="20"/>
        </w:rPr>
        <w:t>Annexe</w:t>
      </w:r>
    </w:p>
    <w:p w14:paraId="5C8B3ACD" w14:textId="2F78BEBF" w:rsidR="46ABD34F" w:rsidRPr="007E7AC9" w:rsidRDefault="46ABD34F" w:rsidP="00741B44">
      <w:pPr>
        <w:spacing w:after="0" w:line="240" w:lineRule="auto"/>
        <w:jc w:val="center"/>
        <w:rPr>
          <w:rFonts w:ascii="Cambria" w:eastAsia="Times New Roman" w:hAnsi="Cambria" w:cs="Times New Roman"/>
          <w:color w:val="000000" w:themeColor="text1"/>
          <w:sz w:val="20"/>
          <w:szCs w:val="20"/>
        </w:rPr>
      </w:pPr>
      <w:r>
        <w:rPr>
          <w:rFonts w:ascii="Cambria" w:hAnsi="Cambria"/>
          <w:b/>
          <w:color w:val="000000" w:themeColor="text1"/>
          <w:sz w:val="20"/>
        </w:rPr>
        <w:t>Informations détaillées par État membre de l’UE</w:t>
      </w:r>
    </w:p>
    <w:tbl>
      <w:tblPr>
        <w:tblW w:w="0" w:type="auto"/>
        <w:tblLook w:val="06A0" w:firstRow="1" w:lastRow="0" w:firstColumn="1" w:lastColumn="0" w:noHBand="1" w:noVBand="1"/>
      </w:tblPr>
      <w:tblGrid>
        <w:gridCol w:w="2299"/>
        <w:gridCol w:w="625"/>
        <w:gridCol w:w="998"/>
        <w:gridCol w:w="888"/>
        <w:gridCol w:w="736"/>
        <w:gridCol w:w="888"/>
        <w:gridCol w:w="888"/>
        <w:gridCol w:w="998"/>
        <w:gridCol w:w="736"/>
      </w:tblGrid>
      <w:tr w:rsidR="5FEF55A3" w:rsidRPr="007E7AC9" w14:paraId="48D8A69C" w14:textId="77777777" w:rsidTr="00DC4EBF">
        <w:trPr>
          <w:trHeight w:val="561"/>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59353684" w14:textId="6C212BF8" w:rsidR="5FEF55A3" w:rsidRPr="00FA4F73" w:rsidRDefault="5FEF55A3" w:rsidP="00741B44">
            <w:pPr>
              <w:spacing w:after="0" w:line="240" w:lineRule="auto"/>
              <w:rPr>
                <w:rFonts w:ascii="Cambria" w:hAnsi="Cambria"/>
                <w:i/>
                <w:iCs/>
                <w:sz w:val="20"/>
                <w:szCs w:val="20"/>
              </w:rPr>
            </w:pPr>
          </w:p>
        </w:tc>
        <w:tc>
          <w:tcPr>
            <w:tcW w:w="0" w:type="auto"/>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43BA0723" w14:textId="5FACB920" w:rsidR="5FEF55A3" w:rsidRPr="00FA4F73" w:rsidRDefault="5FEF55A3" w:rsidP="00741B44">
            <w:pPr>
              <w:spacing w:after="0" w:line="240" w:lineRule="auto"/>
              <w:jc w:val="center"/>
              <w:rPr>
                <w:rFonts w:ascii="Cambria" w:hAnsi="Cambria"/>
                <w:i/>
                <w:iCs/>
                <w:sz w:val="20"/>
                <w:szCs w:val="20"/>
              </w:rPr>
            </w:pPr>
            <w:r>
              <w:rPr>
                <w:rFonts w:ascii="Cambria" w:hAnsi="Cambria"/>
                <w:b/>
                <w:i/>
                <w:color w:val="000000" w:themeColor="text1"/>
                <w:sz w:val="20"/>
              </w:rPr>
              <w:t>CYP</w:t>
            </w:r>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2D4BB663" w14:textId="0FFDBB41" w:rsidR="5FEF55A3" w:rsidRPr="00FA4F73" w:rsidRDefault="5FEF55A3" w:rsidP="00741B44">
            <w:pPr>
              <w:spacing w:after="0" w:line="240" w:lineRule="auto"/>
              <w:jc w:val="center"/>
              <w:rPr>
                <w:rFonts w:ascii="Cambria" w:hAnsi="Cambria"/>
                <w:i/>
                <w:iCs/>
                <w:sz w:val="20"/>
                <w:szCs w:val="20"/>
              </w:rPr>
            </w:pPr>
            <w:r>
              <w:rPr>
                <w:rFonts w:ascii="Cambria" w:hAnsi="Cambria"/>
                <w:b/>
                <w:i/>
                <w:color w:val="000000" w:themeColor="text1"/>
                <w:sz w:val="20"/>
              </w:rPr>
              <w:t xml:space="preserve">ESP </w:t>
            </w:r>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7D4DAA66" w14:textId="101B62DC" w:rsidR="5FEF55A3" w:rsidRPr="00FA4F73" w:rsidRDefault="5FEF55A3" w:rsidP="00741B44">
            <w:pPr>
              <w:spacing w:after="0" w:line="240" w:lineRule="auto"/>
              <w:jc w:val="center"/>
              <w:rPr>
                <w:rFonts w:ascii="Cambria" w:hAnsi="Cambria"/>
                <w:i/>
                <w:iCs/>
                <w:sz w:val="20"/>
                <w:szCs w:val="20"/>
              </w:rPr>
            </w:pPr>
            <w:r>
              <w:rPr>
                <w:rFonts w:ascii="Cambria" w:hAnsi="Cambria"/>
                <w:b/>
                <w:i/>
                <w:color w:val="000000" w:themeColor="text1"/>
                <w:sz w:val="20"/>
              </w:rPr>
              <w:t>FRA</w:t>
            </w:r>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245C6A73" w14:textId="622F6905" w:rsidR="5FEF55A3" w:rsidRPr="00FA4F73" w:rsidRDefault="5FEF55A3" w:rsidP="00741B44">
            <w:pPr>
              <w:spacing w:after="0" w:line="240" w:lineRule="auto"/>
              <w:jc w:val="center"/>
              <w:rPr>
                <w:rFonts w:ascii="Cambria" w:hAnsi="Cambria"/>
                <w:i/>
                <w:iCs/>
                <w:sz w:val="20"/>
                <w:szCs w:val="20"/>
              </w:rPr>
            </w:pPr>
            <w:r>
              <w:rPr>
                <w:rFonts w:ascii="Cambria" w:hAnsi="Cambria"/>
                <w:b/>
                <w:i/>
                <w:color w:val="000000" w:themeColor="text1"/>
                <w:sz w:val="20"/>
              </w:rPr>
              <w:t xml:space="preserve">GRC </w:t>
            </w:r>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0CC1E931" w14:textId="27AFE109" w:rsidR="5FEF55A3" w:rsidRPr="00FA4F73" w:rsidRDefault="5FEF55A3" w:rsidP="00741B44">
            <w:pPr>
              <w:spacing w:after="0" w:line="240" w:lineRule="auto"/>
              <w:jc w:val="center"/>
              <w:rPr>
                <w:rFonts w:ascii="Cambria" w:hAnsi="Cambria"/>
                <w:i/>
                <w:iCs/>
                <w:sz w:val="20"/>
                <w:szCs w:val="20"/>
              </w:rPr>
            </w:pPr>
            <w:r>
              <w:rPr>
                <w:rFonts w:ascii="Cambria" w:hAnsi="Cambria"/>
                <w:b/>
                <w:i/>
                <w:color w:val="000000" w:themeColor="text1"/>
                <w:sz w:val="20"/>
              </w:rPr>
              <w:t>HRV</w:t>
            </w:r>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66D30212" w14:textId="334ECE5D" w:rsidR="5FEF55A3" w:rsidRPr="00FA4F73" w:rsidRDefault="5FEF55A3" w:rsidP="00741B44">
            <w:pPr>
              <w:spacing w:after="0" w:line="240" w:lineRule="auto"/>
              <w:jc w:val="center"/>
              <w:rPr>
                <w:rFonts w:ascii="Cambria" w:hAnsi="Cambria"/>
                <w:i/>
                <w:iCs/>
                <w:sz w:val="20"/>
                <w:szCs w:val="20"/>
              </w:rPr>
            </w:pPr>
            <w:r>
              <w:rPr>
                <w:rFonts w:ascii="Cambria" w:hAnsi="Cambria"/>
                <w:b/>
                <w:i/>
                <w:color w:val="000000" w:themeColor="text1"/>
                <w:sz w:val="20"/>
              </w:rPr>
              <w:t>ITA</w:t>
            </w:r>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26F95125" w14:textId="1CB5980F" w:rsidR="5FEF55A3" w:rsidRPr="00FA4F73" w:rsidRDefault="5FEF55A3" w:rsidP="00741B44">
            <w:pPr>
              <w:spacing w:after="0" w:line="240" w:lineRule="auto"/>
              <w:jc w:val="center"/>
              <w:rPr>
                <w:rFonts w:ascii="Cambria" w:hAnsi="Cambria"/>
                <w:i/>
                <w:iCs/>
                <w:sz w:val="20"/>
                <w:szCs w:val="20"/>
              </w:rPr>
            </w:pPr>
            <w:r>
              <w:rPr>
                <w:rFonts w:ascii="Cambria" w:hAnsi="Cambria"/>
                <w:b/>
                <w:i/>
                <w:color w:val="000000" w:themeColor="text1"/>
                <w:sz w:val="20"/>
              </w:rPr>
              <w:t>MLT</w:t>
            </w:r>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171CB25E" w14:textId="34DA9088" w:rsidR="5FEF55A3" w:rsidRPr="00FA4F73" w:rsidRDefault="5FEF55A3" w:rsidP="00741B44">
            <w:pPr>
              <w:spacing w:after="0" w:line="240" w:lineRule="auto"/>
              <w:jc w:val="center"/>
              <w:rPr>
                <w:rFonts w:ascii="Cambria" w:hAnsi="Cambria"/>
                <w:i/>
                <w:iCs/>
                <w:sz w:val="20"/>
                <w:szCs w:val="20"/>
              </w:rPr>
            </w:pPr>
            <w:r>
              <w:rPr>
                <w:rFonts w:ascii="Cambria" w:hAnsi="Cambria"/>
                <w:b/>
                <w:i/>
                <w:color w:val="000000" w:themeColor="text1"/>
                <w:sz w:val="20"/>
              </w:rPr>
              <w:t>PRT</w:t>
            </w:r>
          </w:p>
        </w:tc>
      </w:tr>
      <w:tr w:rsidR="5FEF55A3" w:rsidRPr="007E7AC9" w14:paraId="25699950" w14:textId="77777777" w:rsidTr="00DC4EBF">
        <w:trPr>
          <w:trHeight w:val="561"/>
        </w:trPr>
        <w:tc>
          <w:tcPr>
            <w:tcW w:w="0" w:type="auto"/>
            <w:tcBorders>
              <w:top w:val="single" w:sz="8" w:space="0" w:color="auto"/>
              <w:left w:val="single" w:sz="8" w:space="0" w:color="auto"/>
              <w:bottom w:val="single" w:sz="4" w:space="0" w:color="auto"/>
              <w:right w:val="single" w:sz="8" w:space="0" w:color="auto"/>
            </w:tcBorders>
            <w:tcMar>
              <w:top w:w="15" w:type="dxa"/>
              <w:left w:w="15" w:type="dxa"/>
              <w:right w:w="15" w:type="dxa"/>
            </w:tcMar>
            <w:vAlign w:val="center"/>
          </w:tcPr>
          <w:p w14:paraId="123917F8" w14:textId="485F703E" w:rsidR="5FEF55A3" w:rsidRPr="007E7AC9" w:rsidRDefault="5FEF55A3" w:rsidP="00741B44">
            <w:pPr>
              <w:spacing w:after="0" w:line="240" w:lineRule="auto"/>
              <w:rPr>
                <w:rFonts w:ascii="Cambria" w:hAnsi="Cambria"/>
                <w:sz w:val="20"/>
                <w:szCs w:val="20"/>
              </w:rPr>
            </w:pPr>
            <w:r>
              <w:rPr>
                <w:rFonts w:ascii="Cambria" w:hAnsi="Cambria"/>
                <w:color w:val="000000" w:themeColor="text1"/>
                <w:sz w:val="20"/>
              </w:rPr>
              <w:t xml:space="preserve">Nbre d’opérations commerciales </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4A4E7629" w14:textId="5F441ABE"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292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70E5E29" w14:textId="14AE07F8"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89.589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2B69947" w14:textId="55B105A1"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32.685</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322F82B" w14:textId="2B154760"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5.489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D49C0D3" w14:textId="7E90FD1F"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4.881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7FFCD7A" w14:textId="3B942930"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88.762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3C1A793" w14:textId="2CB738AA"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3.069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F80760F" w14:textId="4CDD690F"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4.372</w:t>
            </w:r>
          </w:p>
        </w:tc>
      </w:tr>
      <w:tr w:rsidR="5FEF55A3" w:rsidRPr="007E7AC9" w14:paraId="6AE0560E" w14:textId="77777777" w:rsidTr="00DC4EBF">
        <w:trPr>
          <w:trHeight w:val="561"/>
        </w:trPr>
        <w:tc>
          <w:tcPr>
            <w:tcW w:w="0" w:type="auto"/>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1A425B01" w14:textId="17390B86" w:rsidR="5FEF55A3" w:rsidRPr="007E7AC9" w:rsidRDefault="5FEF55A3" w:rsidP="00741B44">
            <w:pPr>
              <w:spacing w:after="0" w:line="240" w:lineRule="auto"/>
              <w:rPr>
                <w:rFonts w:ascii="Cambria" w:hAnsi="Cambria"/>
                <w:sz w:val="20"/>
                <w:szCs w:val="20"/>
              </w:rPr>
            </w:pPr>
            <w:r>
              <w:rPr>
                <w:rFonts w:ascii="Cambria" w:hAnsi="Cambria"/>
                <w:color w:val="000000" w:themeColor="text1"/>
                <w:sz w:val="20"/>
              </w:rPr>
              <w:t>kg</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042C506F" w14:textId="65145331"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90.865</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4E60AC6" w14:textId="3EA97E79"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20.110.361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9F3CF64" w14:textId="6275A70F"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2.136.661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DF1D835" w14:textId="7578A890"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447.813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58DC672" w14:textId="3F4CD2A2"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4.597.274</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3D7EBF0" w14:textId="123D7FCC"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4.077.597</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40B0EB9" w14:textId="5F1F8B6F"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17.092.238</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EEBC6AA" w14:textId="046BE23C"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952.781</w:t>
            </w:r>
          </w:p>
        </w:tc>
      </w:tr>
      <w:tr w:rsidR="5FEF55A3" w:rsidRPr="007E7AC9" w14:paraId="28E42CCF" w14:textId="77777777" w:rsidTr="00DC4EBF">
        <w:trPr>
          <w:trHeight w:val="561"/>
        </w:trPr>
        <w:tc>
          <w:tcPr>
            <w:tcW w:w="0" w:type="auto"/>
            <w:tcBorders>
              <w:top w:val="single" w:sz="8" w:space="0" w:color="auto"/>
              <w:left w:val="single" w:sz="8" w:space="0" w:color="auto"/>
              <w:bottom w:val="nil"/>
              <w:right w:val="single" w:sz="8" w:space="0" w:color="auto"/>
            </w:tcBorders>
            <w:tcMar>
              <w:top w:w="15" w:type="dxa"/>
              <w:left w:w="15" w:type="dxa"/>
              <w:right w:w="15" w:type="dxa"/>
            </w:tcMar>
            <w:vAlign w:val="center"/>
          </w:tcPr>
          <w:p w14:paraId="6016F158" w14:textId="28575460" w:rsidR="5FEF55A3" w:rsidRPr="007E7AC9" w:rsidRDefault="5FEF55A3" w:rsidP="00741B44">
            <w:pPr>
              <w:spacing w:after="0" w:line="240" w:lineRule="auto"/>
              <w:rPr>
                <w:rFonts w:ascii="Cambria" w:hAnsi="Cambria"/>
                <w:sz w:val="20"/>
                <w:szCs w:val="20"/>
              </w:rPr>
            </w:pPr>
            <w:r>
              <w:rPr>
                <w:rFonts w:ascii="Cambria" w:hAnsi="Cambria"/>
                <w:color w:val="000000" w:themeColor="text1"/>
                <w:sz w:val="20"/>
              </w:rPr>
              <w:t>Exportation (CPC)</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1B8399E6" w14:textId="39D2C8A7"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B010F3B" w14:textId="50025AA9"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20.823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BB3981B" w14:textId="58F7FAEE"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153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5DC4DA6" w14:textId="26197CAD"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1.895</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6ED8088" w14:textId="77C2408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360</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9D72D5B" w14:textId="0A96F169"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1.270</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69CEE3F" w14:textId="3E239D42"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2.003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6A90158" w14:textId="0BAF4257"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321</w:t>
            </w:r>
          </w:p>
        </w:tc>
      </w:tr>
      <w:tr w:rsidR="5FEF55A3" w:rsidRPr="007E7AC9" w14:paraId="4A173710" w14:textId="77777777" w:rsidTr="00DC4EBF">
        <w:trPr>
          <w:trHeight w:val="561"/>
        </w:trPr>
        <w:tc>
          <w:tcPr>
            <w:tcW w:w="0" w:type="auto"/>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1071F124" w14:textId="715CBB62" w:rsidR="5FEF55A3" w:rsidRPr="007E7AC9" w:rsidRDefault="5FEF55A3" w:rsidP="00741B44">
            <w:pPr>
              <w:spacing w:after="0" w:line="240" w:lineRule="auto"/>
              <w:rPr>
                <w:rFonts w:ascii="Cambria" w:hAnsi="Cambria"/>
                <w:sz w:val="20"/>
                <w:szCs w:val="20"/>
              </w:rPr>
            </w:pPr>
            <w:r>
              <w:rPr>
                <w:rFonts w:ascii="Cambria" w:hAnsi="Cambria"/>
                <w:color w:val="000000" w:themeColor="text1"/>
                <w:sz w:val="20"/>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2F83ABA1" w14:textId="5D90C311"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28</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DD30210" w14:textId="114BFBDF"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9.902.388</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702E63E" w14:textId="46C9D4E2"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3.842</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1449FA0" w14:textId="2A971203"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96.150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618B067" w14:textId="4BE44049"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4.307.246</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6FBC892" w14:textId="5256FDE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43.443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8E0EAC6" w14:textId="208DE737"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16.373.693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71318FE" w14:textId="3B07B412"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229.151</w:t>
            </w:r>
          </w:p>
        </w:tc>
      </w:tr>
      <w:tr w:rsidR="5FEF55A3" w:rsidRPr="007E7AC9" w14:paraId="307B49A5" w14:textId="77777777" w:rsidTr="00DC4EBF">
        <w:trPr>
          <w:trHeight w:val="561"/>
        </w:trPr>
        <w:tc>
          <w:tcPr>
            <w:tcW w:w="0" w:type="auto"/>
            <w:tcBorders>
              <w:top w:val="single" w:sz="8" w:space="0" w:color="auto"/>
              <w:left w:val="single" w:sz="8" w:space="0" w:color="auto"/>
              <w:bottom w:val="nil"/>
              <w:right w:val="single" w:sz="8" w:space="0" w:color="auto"/>
            </w:tcBorders>
            <w:tcMar>
              <w:top w:w="15" w:type="dxa"/>
              <w:left w:w="15" w:type="dxa"/>
              <w:right w:w="15" w:type="dxa"/>
            </w:tcMar>
            <w:vAlign w:val="center"/>
          </w:tcPr>
          <w:p w14:paraId="4ED60B44" w14:textId="772BD8F7" w:rsidR="5FEF55A3" w:rsidRPr="007E7AC9" w:rsidRDefault="5FEF55A3" w:rsidP="00741B44">
            <w:pPr>
              <w:spacing w:after="0" w:line="240" w:lineRule="auto"/>
              <w:rPr>
                <w:rFonts w:ascii="Cambria" w:hAnsi="Cambria"/>
                <w:sz w:val="20"/>
                <w:szCs w:val="20"/>
              </w:rPr>
            </w:pPr>
            <w:r>
              <w:rPr>
                <w:rFonts w:ascii="Cambria" w:hAnsi="Cambria"/>
                <w:color w:val="000000" w:themeColor="text1"/>
                <w:sz w:val="20"/>
              </w:rPr>
              <w:t>Opérations commerciales internes (INT EM)</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63DA6874" w14:textId="3193EE9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164</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D181CB7" w14:textId="13348E04"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48.801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2506AAC" w14:textId="3EA830A1"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23.359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F7BB4BD" w14:textId="2130750E"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883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173D486" w14:textId="42489E3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3.792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A0C922B" w14:textId="136420A2"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82.884</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BC50971" w14:textId="7A5FD47E"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615</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3C3E9B8" w14:textId="336FBF2B"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1.422</w:t>
            </w:r>
          </w:p>
        </w:tc>
      </w:tr>
      <w:tr w:rsidR="5FEF55A3" w:rsidRPr="007E7AC9" w14:paraId="22C386B2" w14:textId="77777777" w:rsidTr="00DC4EBF">
        <w:trPr>
          <w:trHeight w:val="561"/>
        </w:trPr>
        <w:tc>
          <w:tcPr>
            <w:tcW w:w="0" w:type="auto"/>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5CCA59D4" w14:textId="5F7A8CD1" w:rsidR="5FEF55A3" w:rsidRPr="007E7AC9" w:rsidRDefault="5FEF55A3" w:rsidP="00741B44">
            <w:pPr>
              <w:spacing w:after="0" w:line="240" w:lineRule="auto"/>
              <w:rPr>
                <w:rFonts w:ascii="Cambria" w:hAnsi="Cambria"/>
                <w:sz w:val="20"/>
                <w:szCs w:val="20"/>
              </w:rPr>
            </w:pPr>
            <w:r>
              <w:rPr>
                <w:rFonts w:ascii="Cambria" w:hAnsi="Cambria"/>
                <w:color w:val="000000" w:themeColor="text1"/>
                <w:sz w:val="20"/>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0CEA6ECE" w14:textId="610595CF"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7.035</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E675A03" w14:textId="74A38F7E"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8.135.730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1097738" w14:textId="34346EB6"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1.244.561</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00E917A" w14:textId="2F0A68D8"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62.630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69F69A4" w14:textId="66149084"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247.006</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53D096B" w14:textId="16B9385F"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3.166.825</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33FE92BC" w14:textId="539ECB09"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600.864</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72A400F" w14:textId="63F606BB"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223.914</w:t>
            </w:r>
          </w:p>
        </w:tc>
      </w:tr>
      <w:tr w:rsidR="5FEF55A3" w:rsidRPr="007E7AC9" w14:paraId="5D27009F" w14:textId="77777777" w:rsidTr="00DC4EBF">
        <w:trPr>
          <w:trHeight w:val="561"/>
        </w:trPr>
        <w:tc>
          <w:tcPr>
            <w:tcW w:w="0" w:type="auto"/>
            <w:tcBorders>
              <w:top w:val="single" w:sz="8" w:space="0" w:color="auto"/>
              <w:left w:val="single" w:sz="8" w:space="0" w:color="auto"/>
              <w:bottom w:val="nil"/>
              <w:right w:val="single" w:sz="8" w:space="0" w:color="auto"/>
            </w:tcBorders>
            <w:tcMar>
              <w:top w:w="15" w:type="dxa"/>
              <w:left w:w="15" w:type="dxa"/>
              <w:right w:w="15" w:type="dxa"/>
            </w:tcMar>
            <w:vAlign w:val="center"/>
          </w:tcPr>
          <w:p w14:paraId="684757A1" w14:textId="479429E6" w:rsidR="5FEF55A3" w:rsidRPr="007E7AC9" w:rsidRDefault="5FEF55A3" w:rsidP="00741B44">
            <w:pPr>
              <w:spacing w:after="0" w:line="240" w:lineRule="auto"/>
              <w:rPr>
                <w:rFonts w:ascii="Cambria" w:hAnsi="Cambria"/>
                <w:sz w:val="20"/>
                <w:szCs w:val="20"/>
              </w:rPr>
            </w:pPr>
            <w:r>
              <w:rPr>
                <w:rFonts w:ascii="Cambria" w:hAnsi="Cambria"/>
                <w:color w:val="000000" w:themeColor="text1"/>
                <w:sz w:val="20"/>
              </w:rPr>
              <w:t>STA (entre EM)</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5330EE5B" w14:textId="706D10D8"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166</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760DA65" w14:textId="6CA080ED"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22.520</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891E0AF" w14:textId="73B01F83"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10.263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21DEB64" w14:textId="4B08B237"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1.861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068524A" w14:textId="35D98E5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484</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0A41C8E" w14:textId="18023926"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17.280</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BD4B8F2" w14:textId="2FD496A0"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507</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09BADEB" w14:textId="557BB138"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2.782</w:t>
            </w:r>
          </w:p>
        </w:tc>
      </w:tr>
      <w:tr w:rsidR="5FEF55A3" w:rsidRPr="007E7AC9" w14:paraId="0DF348E5" w14:textId="77777777" w:rsidTr="00DC4EBF">
        <w:trPr>
          <w:trHeight w:val="561"/>
        </w:trPr>
        <w:tc>
          <w:tcPr>
            <w:tcW w:w="0" w:type="auto"/>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535C939A" w14:textId="0BC8AF9F" w:rsidR="5FEF55A3" w:rsidRPr="007E7AC9" w:rsidRDefault="5FEF55A3" w:rsidP="00741B44">
            <w:pPr>
              <w:spacing w:after="0" w:line="240" w:lineRule="auto"/>
              <w:rPr>
                <w:rFonts w:ascii="Cambria" w:hAnsi="Cambria"/>
                <w:sz w:val="20"/>
                <w:szCs w:val="20"/>
              </w:rPr>
            </w:pPr>
            <w:r>
              <w:rPr>
                <w:rFonts w:ascii="Cambria" w:hAnsi="Cambria"/>
                <w:color w:val="000000" w:themeColor="text1"/>
                <w:sz w:val="20"/>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43487F30" w14:textId="054A8664"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83.802</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93894B6" w14:textId="37940EC6"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2.072.242</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8F2CA0F" w14:textId="2D5A0174"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88.258</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78BE3FD" w14:textId="3F6BC5F3"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289.033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0B4031B" w14:textId="247C61CB"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30.333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87E132D" w14:textId="3DB20DED"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867.329</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1767B94" w14:textId="3DB42C5D"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117.681</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E6F31DD" w14:textId="3977537C"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499.716</w:t>
            </w:r>
          </w:p>
        </w:tc>
      </w:tr>
      <w:tr w:rsidR="5FEF55A3" w:rsidRPr="007E7AC9" w14:paraId="6452BA69" w14:textId="77777777" w:rsidTr="00DC4EBF">
        <w:trPr>
          <w:trHeight w:val="561"/>
        </w:trPr>
        <w:tc>
          <w:tcPr>
            <w:tcW w:w="0" w:type="auto"/>
            <w:tcBorders>
              <w:top w:val="single" w:sz="8" w:space="0" w:color="auto"/>
              <w:left w:val="single" w:sz="8" w:space="0" w:color="auto"/>
              <w:bottom w:val="single" w:sz="12" w:space="0" w:color="000000" w:themeColor="text1"/>
              <w:right w:val="single" w:sz="8" w:space="0" w:color="auto"/>
            </w:tcBorders>
            <w:shd w:val="clear" w:color="auto" w:fill="FFFFFF" w:themeFill="background1"/>
            <w:tcMar>
              <w:top w:w="15" w:type="dxa"/>
              <w:left w:w="15" w:type="dxa"/>
              <w:right w:w="15" w:type="dxa"/>
            </w:tcMar>
            <w:vAlign w:val="center"/>
          </w:tcPr>
          <w:p w14:paraId="2F0AABD1" w14:textId="54240F02" w:rsidR="5FEF55A3" w:rsidRPr="007E7AC9" w:rsidRDefault="5FEF55A3" w:rsidP="00741B44">
            <w:pPr>
              <w:spacing w:after="0" w:line="240" w:lineRule="auto"/>
              <w:rPr>
                <w:rFonts w:ascii="Cambria" w:eastAsia="Calibri" w:hAnsi="Cambria" w:cs="Calibri"/>
                <w:color w:val="000000" w:themeColor="text1"/>
                <w:sz w:val="20"/>
                <w:szCs w:val="20"/>
              </w:rPr>
            </w:pPr>
            <w:r>
              <w:rPr>
                <w:rFonts w:ascii="Cambria" w:hAnsi="Cambria"/>
                <w:color w:val="000000" w:themeColor="text1"/>
                <w:sz w:val="20"/>
              </w:rPr>
              <w:t>VAL</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04EB95D4" w14:textId="31CA9FA1"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27</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412A4A2" w14:textId="41AB98E4"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30.978</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B95FCFE" w14:textId="1C945FFE"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1.803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F01C1B5" w14:textId="65DF8F5D"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62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80D20BF" w14:textId="284EA91C"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4.482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30045A6" w14:textId="47B3B01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64.309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E53DE7A" w14:textId="1277BB2B"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3.072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D25991A" w14:textId="347C7EC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3.193</w:t>
            </w:r>
          </w:p>
        </w:tc>
      </w:tr>
      <w:tr w:rsidR="5FEF55A3" w:rsidRPr="007E7AC9" w14:paraId="5DE54B68" w14:textId="77777777" w:rsidTr="00DC4EBF">
        <w:trPr>
          <w:trHeight w:val="561"/>
        </w:trPr>
        <w:tc>
          <w:tcPr>
            <w:tcW w:w="0" w:type="auto"/>
            <w:tcBorders>
              <w:top w:val="single" w:sz="12" w:space="0" w:color="000000" w:themeColor="text1"/>
              <w:left w:val="single" w:sz="8" w:space="0" w:color="auto"/>
              <w:bottom w:val="single" w:sz="8" w:space="0" w:color="auto"/>
              <w:right w:val="single" w:sz="8" w:space="0" w:color="auto"/>
            </w:tcBorders>
            <w:shd w:val="clear" w:color="auto" w:fill="FFFFFF" w:themeFill="background1"/>
            <w:tcMar>
              <w:top w:w="15" w:type="dxa"/>
              <w:left w:w="15" w:type="dxa"/>
              <w:right w:w="15" w:type="dxa"/>
            </w:tcMar>
            <w:vAlign w:val="center"/>
          </w:tcPr>
          <w:p w14:paraId="4547FFFE" w14:textId="55F61408" w:rsidR="5FEF55A3" w:rsidRPr="007E7AC9" w:rsidRDefault="5FEF55A3" w:rsidP="00741B44">
            <w:pPr>
              <w:spacing w:after="0" w:line="240" w:lineRule="auto"/>
              <w:rPr>
                <w:rFonts w:ascii="Cambria" w:eastAsia="Calibri" w:hAnsi="Cambria" w:cs="Calibri"/>
                <w:color w:val="000000" w:themeColor="text1"/>
                <w:sz w:val="20"/>
                <w:szCs w:val="20"/>
              </w:rPr>
            </w:pPr>
            <w:r>
              <w:rPr>
                <w:rFonts w:ascii="Cambria" w:hAnsi="Cambria"/>
                <w:color w:val="000000" w:themeColor="text1"/>
                <w:sz w:val="20"/>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66F80DB8" w14:textId="27181AEB"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553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64714AF" w14:textId="7D7DCAD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14.351.370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20C68CD" w14:textId="4321E8F2"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107.541</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112F8A2" w14:textId="1B4219C8"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4.022</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371D819E" w14:textId="2A245F23"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4.584.014</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04979EF" w14:textId="6EB7ADA1"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3.115.848</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D51049C" w14:textId="1684AAC7"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17.091.843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C1DD9DF" w14:textId="3FF4B781"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885.030</w:t>
            </w:r>
          </w:p>
        </w:tc>
      </w:tr>
      <w:tr w:rsidR="5FEF55A3" w:rsidRPr="007E7AC9" w14:paraId="635F40B6" w14:textId="77777777" w:rsidTr="00DC4EBF">
        <w:trPr>
          <w:trHeight w:val="561"/>
        </w:trPr>
        <w:tc>
          <w:tcPr>
            <w:tcW w:w="0" w:type="auto"/>
            <w:tcBorders>
              <w:top w:val="single" w:sz="8" w:space="0" w:color="auto"/>
              <w:left w:val="single" w:sz="8" w:space="0" w:color="auto"/>
              <w:bottom w:val="single" w:sz="12" w:space="0" w:color="000000" w:themeColor="text1"/>
              <w:right w:val="single" w:sz="8" w:space="0" w:color="auto"/>
            </w:tcBorders>
            <w:tcMar>
              <w:top w:w="15" w:type="dxa"/>
              <w:left w:w="15" w:type="dxa"/>
              <w:right w:w="15" w:type="dxa"/>
            </w:tcMar>
            <w:vAlign w:val="center"/>
          </w:tcPr>
          <w:p w14:paraId="36F22BD8" w14:textId="32487EEB" w:rsidR="5FEF55A3" w:rsidRPr="007E7AC9" w:rsidRDefault="5FEF55A3" w:rsidP="00741B44">
            <w:pPr>
              <w:spacing w:after="0" w:line="240" w:lineRule="auto"/>
              <w:rPr>
                <w:rFonts w:ascii="Cambria" w:eastAsia="Calibri" w:hAnsi="Cambria" w:cs="Calibri"/>
                <w:color w:val="000000" w:themeColor="text1"/>
                <w:sz w:val="20"/>
                <w:szCs w:val="20"/>
              </w:rPr>
            </w:pPr>
            <w:r>
              <w:rPr>
                <w:rFonts w:ascii="Cambria" w:hAnsi="Cambria"/>
                <w:color w:val="000000" w:themeColor="text1"/>
                <w:sz w:val="20"/>
              </w:rPr>
              <w:t>EXE</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42CEF4C3" w14:textId="2A30AC8D"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263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56F22C0" w14:textId="6313670C"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58.558</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0B2C745" w14:textId="12B63EAD"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31.293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6FF796C" w14:textId="34114091"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5.432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13F76AF" w14:textId="727FCB2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288</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D639853" w14:textId="64943AE1"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26.230</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E136CC1" w14:textId="12820E09"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E3A5FC1" w14:textId="03876AAD"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1.206</w:t>
            </w:r>
          </w:p>
        </w:tc>
      </w:tr>
      <w:tr w:rsidR="5FEF55A3" w:rsidRPr="007E7AC9" w14:paraId="435D3AFC" w14:textId="77777777" w:rsidTr="00DC4EBF">
        <w:trPr>
          <w:trHeight w:val="561"/>
        </w:trPr>
        <w:tc>
          <w:tcPr>
            <w:tcW w:w="0" w:type="auto"/>
            <w:tcBorders>
              <w:top w:val="single" w:sz="12" w:space="0" w:color="000000" w:themeColor="text1"/>
              <w:left w:val="single" w:sz="8" w:space="0" w:color="auto"/>
              <w:bottom w:val="single" w:sz="8" w:space="0" w:color="auto"/>
              <w:right w:val="single" w:sz="8" w:space="0" w:color="auto"/>
            </w:tcBorders>
            <w:tcMar>
              <w:top w:w="15" w:type="dxa"/>
              <w:left w:w="15" w:type="dxa"/>
              <w:right w:w="15" w:type="dxa"/>
            </w:tcMar>
            <w:vAlign w:val="center"/>
          </w:tcPr>
          <w:p w14:paraId="391C7FDF" w14:textId="088F4E16" w:rsidR="5FEF55A3" w:rsidRPr="007E7AC9" w:rsidRDefault="5FEF55A3" w:rsidP="00741B44">
            <w:pPr>
              <w:spacing w:after="0" w:line="240" w:lineRule="auto"/>
              <w:rPr>
                <w:rFonts w:ascii="Cambria" w:eastAsia="Calibri" w:hAnsi="Cambria" w:cs="Calibri"/>
                <w:color w:val="000000" w:themeColor="text1"/>
                <w:sz w:val="20"/>
                <w:szCs w:val="20"/>
              </w:rPr>
            </w:pPr>
            <w:r>
              <w:rPr>
                <w:rFonts w:ascii="Cambria" w:hAnsi="Cambria"/>
                <w:color w:val="000000" w:themeColor="text1"/>
                <w:sz w:val="20"/>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13E6C628" w14:textId="7D141582"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89.871</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8FA2D44" w14:textId="79DF0BCF"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5.751.919</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A9BE66D" w14:textId="144A4768"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2.021.523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3CE4D0C1" w14:textId="642102F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443.773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90D80E7" w14:textId="561AADC1"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8.299</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F9D8AB8" w14:textId="0C77A61E"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946.269</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B7BF3F1" w14:textId="783449CF"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167</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F51925A" w14:textId="7534BE4D"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67.568</w:t>
            </w:r>
          </w:p>
        </w:tc>
      </w:tr>
      <w:tr w:rsidR="5FEF55A3" w:rsidRPr="007E7AC9" w14:paraId="522439E4" w14:textId="77777777" w:rsidTr="00DC4EBF">
        <w:trPr>
          <w:trHeight w:val="561"/>
        </w:trPr>
        <w:tc>
          <w:tcPr>
            <w:tcW w:w="0" w:type="auto"/>
            <w:tcBorders>
              <w:top w:val="single" w:sz="8" w:space="0" w:color="auto"/>
              <w:left w:val="single" w:sz="8" w:space="0" w:color="auto"/>
              <w:bottom w:val="single" w:sz="12" w:space="0" w:color="000000" w:themeColor="text1"/>
              <w:right w:val="single" w:sz="8" w:space="0" w:color="auto"/>
            </w:tcBorders>
            <w:tcMar>
              <w:top w:w="15" w:type="dxa"/>
              <w:left w:w="15" w:type="dxa"/>
              <w:right w:w="15" w:type="dxa"/>
            </w:tcMar>
            <w:vAlign w:val="center"/>
          </w:tcPr>
          <w:p w14:paraId="25F641CA" w14:textId="62222D7C" w:rsidR="5FEF55A3" w:rsidRPr="007E7AC9" w:rsidRDefault="5FEF55A3" w:rsidP="00741B44">
            <w:pPr>
              <w:spacing w:after="0" w:line="240" w:lineRule="auto"/>
              <w:rPr>
                <w:rFonts w:ascii="Cambria" w:eastAsia="Calibri" w:hAnsi="Cambria" w:cs="Calibri"/>
                <w:color w:val="000000" w:themeColor="text1"/>
                <w:sz w:val="20"/>
                <w:szCs w:val="20"/>
              </w:rPr>
            </w:pPr>
            <w:r>
              <w:rPr>
                <w:rFonts w:ascii="Cambria" w:hAnsi="Cambria"/>
                <w:color w:val="000000" w:themeColor="text1"/>
                <w:sz w:val="20"/>
              </w:rPr>
              <w:t>EXE STA*</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16B1ABA7" w14:textId="037590B4"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106</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DEE9EC2" w14:textId="4F199E2E"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15.151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5999EE7" w14:textId="496FA26D"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8.452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E03384C" w14:textId="39317389"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2.771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B66C1B6" w14:textId="1FEF0B29"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86</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217DEA9" w14:textId="7F8D2C49"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8.959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F03662C" w14:textId="315023AA"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3CF0186" w14:textId="273E4017"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891</w:t>
            </w:r>
          </w:p>
        </w:tc>
      </w:tr>
      <w:tr w:rsidR="5FEF55A3" w:rsidRPr="007E7AC9" w14:paraId="49423CB0" w14:textId="77777777" w:rsidTr="00DC4EBF">
        <w:trPr>
          <w:trHeight w:val="561"/>
        </w:trPr>
        <w:tc>
          <w:tcPr>
            <w:tcW w:w="0" w:type="auto"/>
            <w:tcBorders>
              <w:top w:val="single" w:sz="12" w:space="0" w:color="000000" w:themeColor="text1"/>
              <w:left w:val="single" w:sz="8" w:space="0" w:color="auto"/>
              <w:bottom w:val="single" w:sz="8" w:space="0" w:color="auto"/>
              <w:right w:val="single" w:sz="8" w:space="0" w:color="auto"/>
            </w:tcBorders>
            <w:tcMar>
              <w:top w:w="15" w:type="dxa"/>
              <w:left w:w="15" w:type="dxa"/>
              <w:right w:w="15" w:type="dxa"/>
            </w:tcMar>
            <w:vAlign w:val="center"/>
          </w:tcPr>
          <w:p w14:paraId="53BF0F0B" w14:textId="0708A3E8" w:rsidR="5FEF55A3" w:rsidRPr="007E7AC9" w:rsidRDefault="5FEF55A3" w:rsidP="00741B44">
            <w:pPr>
              <w:spacing w:after="0" w:line="240" w:lineRule="auto"/>
              <w:rPr>
                <w:rFonts w:ascii="Cambria" w:eastAsia="Calibri" w:hAnsi="Cambria" w:cs="Calibri"/>
                <w:color w:val="000000" w:themeColor="text1"/>
                <w:sz w:val="20"/>
                <w:szCs w:val="20"/>
              </w:rPr>
            </w:pPr>
            <w:r>
              <w:rPr>
                <w:rFonts w:ascii="Cambria" w:hAnsi="Cambria"/>
                <w:color w:val="000000" w:themeColor="text1"/>
                <w:sz w:val="20"/>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52D71EB6" w14:textId="1A2D8D0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83.249</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1D27DFB" w14:textId="546D16EE"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1.073.068</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6B7CB3E" w14:textId="6B152293"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780.341</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ED11888" w14:textId="34125AA5"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284.993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DC50541" w14:textId="1F3909F2"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2.700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8A18524" w14:textId="17B77199"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481.060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C92C488" w14:textId="1D63E6BC"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167</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1F8D614" w14:textId="1C978767" w:rsidR="5FEF55A3" w:rsidRPr="007E7AC9" w:rsidRDefault="5FEF55A3" w:rsidP="00DC4EBF">
            <w:pPr>
              <w:spacing w:after="0" w:line="240" w:lineRule="auto"/>
              <w:jc w:val="center"/>
              <w:rPr>
                <w:rFonts w:ascii="Cambria" w:hAnsi="Cambria"/>
                <w:sz w:val="20"/>
                <w:szCs w:val="20"/>
              </w:rPr>
            </w:pPr>
            <w:r>
              <w:rPr>
                <w:rFonts w:ascii="Cambria" w:hAnsi="Cambria"/>
                <w:color w:val="000000" w:themeColor="text1"/>
                <w:sz w:val="20"/>
              </w:rPr>
              <w:t>38.184</w:t>
            </w:r>
          </w:p>
        </w:tc>
      </w:tr>
    </w:tbl>
    <w:p w14:paraId="759A0381" w14:textId="24EFA770" w:rsidR="5FEF55A3" w:rsidRPr="003C7376" w:rsidRDefault="003C7376" w:rsidP="003C7376">
      <w:pPr>
        <w:pStyle w:val="ListParagraph"/>
        <w:spacing w:after="0" w:line="240" w:lineRule="auto"/>
        <w:ind w:left="0"/>
        <w:jc w:val="both"/>
        <w:rPr>
          <w:rFonts w:ascii="Cambria" w:eastAsia="Times New Roman" w:hAnsi="Cambria" w:cs="Times New Roman"/>
          <w:color w:val="000000" w:themeColor="text1"/>
          <w:sz w:val="16"/>
          <w:szCs w:val="16"/>
        </w:rPr>
      </w:pPr>
      <w:r w:rsidRPr="003C7376">
        <w:rPr>
          <w:rFonts w:ascii="Cambria" w:eastAsia="Times New Roman" w:hAnsi="Cambria" w:cs="Times New Roman"/>
          <w:color w:val="000000" w:themeColor="text1"/>
          <w:sz w:val="16"/>
          <w:szCs w:val="16"/>
        </w:rPr>
        <w:t xml:space="preserve"> * Nombre et tonnage des </w:t>
      </w:r>
      <w:r w:rsidR="00E71495">
        <w:rPr>
          <w:rFonts w:ascii="Cambria" w:eastAsia="Times New Roman" w:hAnsi="Cambria" w:cs="Times New Roman"/>
          <w:color w:val="000000" w:themeColor="text1"/>
          <w:sz w:val="16"/>
          <w:szCs w:val="16"/>
        </w:rPr>
        <w:t>opérations commerciales</w:t>
      </w:r>
      <w:r w:rsidRPr="003C7376">
        <w:rPr>
          <w:rFonts w:ascii="Cambria" w:eastAsia="Times New Roman" w:hAnsi="Cambria" w:cs="Times New Roman"/>
          <w:color w:val="000000" w:themeColor="text1"/>
          <w:sz w:val="16"/>
          <w:szCs w:val="16"/>
        </w:rPr>
        <w:t xml:space="preserve"> entre États membres de l'UE exemptés de validation, sous réserve de la dérogation prévue au paragraphe 5b (STA).</w:t>
      </w:r>
    </w:p>
    <w:sectPr w:rsidR="5FEF55A3" w:rsidRPr="003C7376" w:rsidSect="001D5290">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A0C3" w14:textId="77777777" w:rsidR="00163EDE" w:rsidRDefault="00163EDE">
      <w:pPr>
        <w:spacing w:after="0" w:line="240" w:lineRule="auto"/>
      </w:pPr>
      <w:r>
        <w:separator/>
      </w:r>
    </w:p>
  </w:endnote>
  <w:endnote w:type="continuationSeparator" w:id="0">
    <w:p w14:paraId="42D8A1F7" w14:textId="77777777" w:rsidR="00163EDE" w:rsidRDefault="0016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42E3" w14:textId="3FEF1672" w:rsidR="00741B44" w:rsidRPr="00FA4F73" w:rsidRDefault="00741B44" w:rsidP="00942903">
    <w:pPr>
      <w:tabs>
        <w:tab w:val="center" w:pos="4535"/>
        <w:tab w:val="center" w:pos="4680"/>
        <w:tab w:val="left" w:pos="6150"/>
        <w:tab w:val="right" w:pos="9360"/>
      </w:tabs>
      <w:spacing w:after="0" w:line="240" w:lineRule="auto"/>
      <w:jc w:val="center"/>
      <w:rPr>
        <w:rFonts w:ascii="Cambria" w:hAnsi="Cambria"/>
        <w:sz w:val="20"/>
      </w:rPr>
    </w:pPr>
    <w:r w:rsidRPr="00FA4F73">
      <w:rPr>
        <w:rFonts w:ascii="Cambria" w:eastAsia="Calibri" w:hAnsi="Cambria" w:cs="Calibri"/>
        <w:sz w:val="20"/>
      </w:rPr>
      <w:fldChar w:fldCharType="begin"/>
    </w:r>
    <w:r w:rsidRPr="00FA4F73">
      <w:rPr>
        <w:rFonts w:ascii="Cambria" w:eastAsia="Calibri" w:hAnsi="Cambria" w:cs="Calibri"/>
        <w:sz w:val="20"/>
      </w:rPr>
      <w:instrText xml:space="preserve"> PAGE </w:instrText>
    </w:r>
    <w:r w:rsidRPr="00FA4F73">
      <w:rPr>
        <w:rFonts w:ascii="Cambria" w:eastAsia="Calibri" w:hAnsi="Cambria" w:cs="Calibri"/>
        <w:sz w:val="20"/>
      </w:rPr>
      <w:fldChar w:fldCharType="separate"/>
    </w:r>
    <w:r w:rsidRPr="00FA4F73">
      <w:rPr>
        <w:rFonts w:ascii="Cambria" w:eastAsia="Calibri" w:hAnsi="Cambria" w:cs="Calibri"/>
        <w:sz w:val="20"/>
      </w:rPr>
      <w:t>1</w:t>
    </w:r>
    <w:r w:rsidRPr="00FA4F73">
      <w:rPr>
        <w:rFonts w:ascii="Cambria" w:eastAsia="Calibri" w:hAnsi="Cambria" w:cs="Calibri"/>
        <w:sz w:val="20"/>
      </w:rPr>
      <w:fldChar w:fldCharType="end"/>
    </w:r>
    <w:r>
      <w:rPr>
        <w:rFonts w:ascii="Cambria" w:hAnsi="Cambria"/>
        <w:sz w:val="20"/>
      </w:rPr>
      <w:t xml:space="preserve"> / </w:t>
    </w:r>
    <w:r w:rsidRPr="00FA4F73">
      <w:rPr>
        <w:rFonts w:ascii="Cambria" w:eastAsia="Calibri" w:hAnsi="Cambria" w:cs="Calibri"/>
        <w:sz w:val="20"/>
      </w:rPr>
      <w:fldChar w:fldCharType="begin"/>
    </w:r>
    <w:r w:rsidRPr="00FA4F73">
      <w:rPr>
        <w:rFonts w:ascii="Cambria" w:eastAsia="Calibri" w:hAnsi="Cambria" w:cs="Calibri"/>
        <w:sz w:val="20"/>
      </w:rPr>
      <w:instrText xml:space="preserve"> NUMPAGES  </w:instrText>
    </w:r>
    <w:r w:rsidRPr="00FA4F73">
      <w:rPr>
        <w:rFonts w:ascii="Cambria" w:eastAsia="Calibri" w:hAnsi="Cambria" w:cs="Calibri"/>
        <w:sz w:val="20"/>
      </w:rPr>
      <w:fldChar w:fldCharType="separate"/>
    </w:r>
    <w:r w:rsidRPr="00FA4F73">
      <w:rPr>
        <w:rFonts w:ascii="Cambria" w:eastAsia="Calibri" w:hAnsi="Cambria" w:cs="Calibri"/>
        <w:sz w:val="20"/>
      </w:rPr>
      <w:t>8</w:t>
    </w:r>
    <w:r w:rsidRPr="00FA4F73">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68C3" w14:textId="77777777" w:rsidR="00163EDE" w:rsidRDefault="00163EDE">
      <w:pPr>
        <w:spacing w:after="0" w:line="240" w:lineRule="auto"/>
      </w:pPr>
      <w:r>
        <w:separator/>
      </w:r>
    </w:p>
  </w:footnote>
  <w:footnote w:type="continuationSeparator" w:id="0">
    <w:p w14:paraId="40430B72" w14:textId="77777777" w:rsidR="00163EDE" w:rsidRDefault="00163EDE">
      <w:pPr>
        <w:spacing w:after="0" w:line="240" w:lineRule="auto"/>
      </w:pPr>
      <w:r>
        <w:continuationSeparator/>
      </w:r>
    </w:p>
  </w:footnote>
  <w:footnote w:id="1">
    <w:p w14:paraId="27992AF2" w14:textId="5C8C093C" w:rsidR="5FEF55A3" w:rsidRPr="00182602" w:rsidRDefault="5FEF55A3" w:rsidP="00942903">
      <w:pPr>
        <w:pStyle w:val="FootnoteText"/>
        <w:jc w:val="both"/>
        <w:rPr>
          <w:rFonts w:ascii="Cambria" w:hAnsi="Cambria"/>
          <w:sz w:val="16"/>
          <w:szCs w:val="16"/>
        </w:rPr>
      </w:pPr>
      <w:r w:rsidRPr="00182602">
        <w:rPr>
          <w:rStyle w:val="FootnoteReference"/>
          <w:rFonts w:ascii="Cambria" w:hAnsi="Cambria"/>
          <w:sz w:val="16"/>
          <w:szCs w:val="16"/>
        </w:rPr>
        <w:footnoteRef/>
      </w:r>
      <w:r w:rsidRPr="00182602">
        <w:rPr>
          <w:rFonts w:ascii="Cambria" w:hAnsi="Cambria"/>
          <w:color w:val="000000" w:themeColor="text1"/>
          <w:sz w:val="16"/>
          <w:szCs w:val="16"/>
        </w:rPr>
        <w:t xml:space="preserve"> Inclut les opérations commerciales entre les États membres de l'UE, le commerce de poissons marqués et le commerce interne de poissons non marqués.</w:t>
      </w:r>
    </w:p>
  </w:footnote>
  <w:footnote w:id="2">
    <w:p w14:paraId="33795562" w14:textId="034B2C13" w:rsidR="5FEF55A3" w:rsidRDefault="5FEF55A3" w:rsidP="00942903">
      <w:pPr>
        <w:pStyle w:val="FootnoteText"/>
        <w:jc w:val="both"/>
      </w:pPr>
      <w:r w:rsidRPr="00182602">
        <w:rPr>
          <w:rStyle w:val="FootnoteReference"/>
          <w:rFonts w:ascii="Cambria" w:hAnsi="Cambria"/>
          <w:sz w:val="16"/>
          <w:szCs w:val="16"/>
        </w:rPr>
        <w:footnoteRef/>
      </w:r>
      <w:r w:rsidRPr="00182602">
        <w:rPr>
          <w:rFonts w:ascii="Cambria" w:hAnsi="Cambria"/>
          <w:color w:val="000000" w:themeColor="text1"/>
          <w:sz w:val="16"/>
          <w:szCs w:val="16"/>
        </w:rPr>
        <w:t xml:space="preserve"> Règlement (UE) nº640/2010 du Parlement européen et du Conseil du 7 juillet 2010 établissant un programme de documentation des captures de thon rouge (</w:t>
      </w:r>
      <w:proofErr w:type="spellStart"/>
      <w:r w:rsidRPr="00182602">
        <w:rPr>
          <w:rFonts w:ascii="Cambria" w:hAnsi="Cambria"/>
          <w:i/>
          <w:color w:val="000000" w:themeColor="text1"/>
          <w:sz w:val="16"/>
          <w:szCs w:val="16"/>
        </w:rPr>
        <w:t>Thunnus</w:t>
      </w:r>
      <w:proofErr w:type="spellEnd"/>
      <w:r w:rsidRPr="00182602">
        <w:rPr>
          <w:rFonts w:ascii="Cambria" w:hAnsi="Cambria"/>
          <w:i/>
          <w:color w:val="000000" w:themeColor="text1"/>
          <w:sz w:val="16"/>
          <w:szCs w:val="16"/>
        </w:rPr>
        <w:t xml:space="preserve"> </w:t>
      </w:r>
      <w:proofErr w:type="spellStart"/>
      <w:r w:rsidRPr="00182602">
        <w:rPr>
          <w:rFonts w:ascii="Cambria" w:hAnsi="Cambria"/>
          <w:i/>
          <w:color w:val="000000" w:themeColor="text1"/>
          <w:sz w:val="16"/>
          <w:szCs w:val="16"/>
        </w:rPr>
        <w:t>thynnus</w:t>
      </w:r>
      <w:proofErr w:type="spellEnd"/>
      <w:r w:rsidRPr="00182602">
        <w:rPr>
          <w:rFonts w:ascii="Cambria" w:hAnsi="Cambria"/>
          <w:color w:val="000000" w:themeColor="text1"/>
          <w:sz w:val="16"/>
          <w:szCs w:val="16"/>
        </w:rPr>
        <w:t>).</w:t>
      </w:r>
    </w:p>
  </w:footnote>
  <w:footnote w:id="3">
    <w:p w14:paraId="1C1C0327" w14:textId="60D6B84C" w:rsidR="5FEF55A3" w:rsidRPr="00AE03F8" w:rsidRDefault="5FEF55A3" w:rsidP="00C34E8E">
      <w:pPr>
        <w:pStyle w:val="FootnoteText"/>
        <w:jc w:val="both"/>
        <w:rPr>
          <w:rFonts w:ascii="Cambria" w:hAnsi="Cambria"/>
          <w:sz w:val="16"/>
          <w:szCs w:val="16"/>
        </w:rPr>
      </w:pPr>
      <w:r w:rsidRPr="00AE03F8">
        <w:rPr>
          <w:rStyle w:val="FootnoteReference"/>
          <w:rFonts w:ascii="Cambria" w:hAnsi="Cambria"/>
          <w:sz w:val="16"/>
          <w:szCs w:val="16"/>
        </w:rPr>
        <w:footnoteRef/>
      </w:r>
      <w:r w:rsidRPr="00AE03F8">
        <w:rPr>
          <w:rFonts w:ascii="Cambria" w:hAnsi="Cambria"/>
          <w:color w:val="000000" w:themeColor="text1"/>
          <w:sz w:val="16"/>
          <w:szCs w:val="16"/>
        </w:rPr>
        <w:t xml:space="preserve"> Les poissons marqués pourraient concerner à la fois les opérations commerciales entre des États Membres de l’UE et les opérations commerciales internes au sein d’un État Membre de l’UE ; le nombre d’opérations commerciales équivaut à un ou plusieurs poissons marqués.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3D1D" w14:textId="2FB20F52" w:rsidR="00091A6F" w:rsidRPr="00091A6F" w:rsidRDefault="00091A6F" w:rsidP="00091A6F">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PWG_410/2025</w:t>
    </w:r>
  </w:p>
  <w:p w14:paraId="2BF9346A" w14:textId="381D02A5" w:rsidR="00091A6F" w:rsidRPr="00091A6F" w:rsidRDefault="00091A6F" w:rsidP="00091A6F">
    <w:pPr>
      <w:widowControl w:val="0"/>
      <w:tabs>
        <w:tab w:val="left" w:pos="7320"/>
      </w:tabs>
      <w:autoSpaceDE w:val="0"/>
      <w:autoSpaceDN w:val="0"/>
      <w:spacing w:after="0" w:line="240" w:lineRule="exact"/>
      <w:jc w:val="right"/>
      <w:rPr>
        <w:rFonts w:ascii="Cambria" w:eastAsia="Cambria" w:hAnsi="Cambria" w:cs="Cambria"/>
        <w:sz w:val="22"/>
        <w:szCs w:val="22"/>
      </w:rPr>
    </w:pPr>
    <w:r w:rsidRPr="00091A6F">
      <w:rPr>
        <w:rFonts w:ascii="Cambria" w:eastAsia="Cambria" w:hAnsi="Cambria" w:cs="Cambria"/>
        <w:b/>
        <w:sz w:val="16"/>
      </w:rPr>
      <w:fldChar w:fldCharType="begin"/>
    </w:r>
    <w:r w:rsidRPr="00091A6F">
      <w:rPr>
        <w:rFonts w:ascii="Cambria" w:eastAsia="Cambria" w:hAnsi="Cambria" w:cs="Cambria"/>
        <w:b/>
        <w:sz w:val="16"/>
      </w:rPr>
      <w:instrText xml:space="preserve"> TIME \@ "dd/MM/yyyy H:mm" </w:instrText>
    </w:r>
    <w:r w:rsidRPr="00091A6F">
      <w:rPr>
        <w:rFonts w:ascii="Cambria" w:eastAsia="Cambria" w:hAnsi="Cambria" w:cs="Cambria"/>
        <w:b/>
        <w:sz w:val="16"/>
      </w:rPr>
      <w:fldChar w:fldCharType="separate"/>
    </w:r>
    <w:r w:rsidR="003C7376">
      <w:rPr>
        <w:rFonts w:ascii="Cambria" w:eastAsia="Cambria" w:hAnsi="Cambria" w:cs="Cambria"/>
        <w:b/>
        <w:noProof/>
        <w:sz w:val="16"/>
      </w:rPr>
      <w:t>17/11/2025 11:03</w:t>
    </w:r>
    <w:r w:rsidRPr="00091A6F">
      <w:rPr>
        <w:rFonts w:ascii="Cambria" w:eastAsia="Cambria" w:hAnsi="Cambria" w:cs="Cambria"/>
        <w:b/>
        <w:bCs/>
        <w:sz w:val="16"/>
        <w:szCs w:val="16"/>
        <w:lang w:val="es-ES_tradnl" w:eastAsia="en-US"/>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7283"/>
    <w:multiLevelType w:val="hybridMultilevel"/>
    <w:tmpl w:val="7188FE1A"/>
    <w:lvl w:ilvl="0" w:tplc="F8E4FEB6">
      <w:start w:val="1"/>
      <w:numFmt w:val="decimal"/>
      <w:lvlText w:val="%1."/>
      <w:lvlJc w:val="left"/>
      <w:pPr>
        <w:ind w:left="720" w:hanging="360"/>
      </w:pPr>
    </w:lvl>
    <w:lvl w:ilvl="1" w:tplc="35103036">
      <w:start w:val="1"/>
      <w:numFmt w:val="lowerLetter"/>
      <w:lvlText w:val="%2."/>
      <w:lvlJc w:val="left"/>
      <w:pPr>
        <w:ind w:left="1440" w:hanging="360"/>
      </w:pPr>
    </w:lvl>
    <w:lvl w:ilvl="2" w:tplc="12BCF700">
      <w:start w:val="1"/>
      <w:numFmt w:val="lowerRoman"/>
      <w:lvlText w:val="%3."/>
      <w:lvlJc w:val="right"/>
      <w:pPr>
        <w:ind w:left="2160" w:hanging="180"/>
      </w:pPr>
    </w:lvl>
    <w:lvl w:ilvl="3" w:tplc="74EAC8DA">
      <w:start w:val="1"/>
      <w:numFmt w:val="decimal"/>
      <w:lvlText w:val="%4."/>
      <w:lvlJc w:val="left"/>
      <w:pPr>
        <w:ind w:left="2880" w:hanging="360"/>
      </w:pPr>
    </w:lvl>
    <w:lvl w:ilvl="4" w:tplc="CD444898">
      <w:start w:val="1"/>
      <w:numFmt w:val="lowerLetter"/>
      <w:lvlText w:val="%5."/>
      <w:lvlJc w:val="left"/>
      <w:pPr>
        <w:ind w:left="3600" w:hanging="360"/>
      </w:pPr>
    </w:lvl>
    <w:lvl w:ilvl="5" w:tplc="83026504">
      <w:start w:val="1"/>
      <w:numFmt w:val="lowerRoman"/>
      <w:lvlText w:val="%6."/>
      <w:lvlJc w:val="right"/>
      <w:pPr>
        <w:ind w:left="4320" w:hanging="180"/>
      </w:pPr>
    </w:lvl>
    <w:lvl w:ilvl="6" w:tplc="B33A60C8">
      <w:start w:val="1"/>
      <w:numFmt w:val="decimal"/>
      <w:lvlText w:val="%7."/>
      <w:lvlJc w:val="left"/>
      <w:pPr>
        <w:ind w:left="5040" w:hanging="360"/>
      </w:pPr>
    </w:lvl>
    <w:lvl w:ilvl="7" w:tplc="5046ECC6">
      <w:start w:val="1"/>
      <w:numFmt w:val="lowerLetter"/>
      <w:lvlText w:val="%8."/>
      <w:lvlJc w:val="left"/>
      <w:pPr>
        <w:ind w:left="5760" w:hanging="360"/>
      </w:pPr>
    </w:lvl>
    <w:lvl w:ilvl="8" w:tplc="2CFAC524">
      <w:start w:val="1"/>
      <w:numFmt w:val="lowerRoman"/>
      <w:lvlText w:val="%9."/>
      <w:lvlJc w:val="right"/>
      <w:pPr>
        <w:ind w:left="6480" w:hanging="180"/>
      </w:pPr>
    </w:lvl>
  </w:abstractNum>
  <w:abstractNum w:abstractNumId="1" w15:restartNumberingAfterBreak="0">
    <w:nsid w:val="1B0B82B6"/>
    <w:multiLevelType w:val="multilevel"/>
    <w:tmpl w:val="E1DA12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C975AF2"/>
    <w:multiLevelType w:val="multilevel"/>
    <w:tmpl w:val="5A3C0BD2"/>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32688969"/>
    <w:multiLevelType w:val="hybridMultilevel"/>
    <w:tmpl w:val="73CA8132"/>
    <w:lvl w:ilvl="0" w:tplc="FBFC9D76">
      <w:start w:val="1"/>
      <w:numFmt w:val="bullet"/>
      <w:lvlText w:val=""/>
      <w:lvlJc w:val="left"/>
      <w:pPr>
        <w:ind w:left="720" w:hanging="360"/>
      </w:pPr>
      <w:rPr>
        <w:rFonts w:ascii="Symbol" w:hAnsi="Symbol" w:hint="default"/>
      </w:rPr>
    </w:lvl>
    <w:lvl w:ilvl="1" w:tplc="322C27D0">
      <w:start w:val="1"/>
      <w:numFmt w:val="bullet"/>
      <w:lvlText w:val="o"/>
      <w:lvlJc w:val="left"/>
      <w:pPr>
        <w:ind w:left="1440" w:hanging="360"/>
      </w:pPr>
      <w:rPr>
        <w:rFonts w:ascii="Courier New" w:hAnsi="Courier New" w:hint="default"/>
      </w:rPr>
    </w:lvl>
    <w:lvl w:ilvl="2" w:tplc="E10C4480">
      <w:start w:val="1"/>
      <w:numFmt w:val="bullet"/>
      <w:lvlText w:val=""/>
      <w:lvlJc w:val="left"/>
      <w:pPr>
        <w:ind w:left="2160" w:hanging="360"/>
      </w:pPr>
      <w:rPr>
        <w:rFonts w:ascii="Wingdings" w:hAnsi="Wingdings" w:hint="default"/>
      </w:rPr>
    </w:lvl>
    <w:lvl w:ilvl="3" w:tplc="36E0A558">
      <w:start w:val="1"/>
      <w:numFmt w:val="bullet"/>
      <w:lvlText w:val=""/>
      <w:lvlJc w:val="left"/>
      <w:pPr>
        <w:ind w:left="2880" w:hanging="360"/>
      </w:pPr>
      <w:rPr>
        <w:rFonts w:ascii="Symbol" w:hAnsi="Symbol" w:hint="default"/>
      </w:rPr>
    </w:lvl>
    <w:lvl w:ilvl="4" w:tplc="9F80A218">
      <w:start w:val="1"/>
      <w:numFmt w:val="bullet"/>
      <w:lvlText w:val="o"/>
      <w:lvlJc w:val="left"/>
      <w:pPr>
        <w:ind w:left="3600" w:hanging="360"/>
      </w:pPr>
      <w:rPr>
        <w:rFonts w:ascii="Courier New" w:hAnsi="Courier New" w:hint="default"/>
      </w:rPr>
    </w:lvl>
    <w:lvl w:ilvl="5" w:tplc="EE38870C">
      <w:start w:val="1"/>
      <w:numFmt w:val="bullet"/>
      <w:lvlText w:val=""/>
      <w:lvlJc w:val="left"/>
      <w:pPr>
        <w:ind w:left="4320" w:hanging="360"/>
      </w:pPr>
      <w:rPr>
        <w:rFonts w:ascii="Wingdings" w:hAnsi="Wingdings" w:hint="default"/>
      </w:rPr>
    </w:lvl>
    <w:lvl w:ilvl="6" w:tplc="7B0AACBA">
      <w:start w:val="1"/>
      <w:numFmt w:val="bullet"/>
      <w:lvlText w:val=""/>
      <w:lvlJc w:val="left"/>
      <w:pPr>
        <w:ind w:left="5040" w:hanging="360"/>
      </w:pPr>
      <w:rPr>
        <w:rFonts w:ascii="Symbol" w:hAnsi="Symbol" w:hint="default"/>
      </w:rPr>
    </w:lvl>
    <w:lvl w:ilvl="7" w:tplc="EC6C7984">
      <w:start w:val="1"/>
      <w:numFmt w:val="bullet"/>
      <w:lvlText w:val="o"/>
      <w:lvlJc w:val="left"/>
      <w:pPr>
        <w:ind w:left="5760" w:hanging="360"/>
      </w:pPr>
      <w:rPr>
        <w:rFonts w:ascii="Courier New" w:hAnsi="Courier New" w:hint="default"/>
      </w:rPr>
    </w:lvl>
    <w:lvl w:ilvl="8" w:tplc="50762144">
      <w:start w:val="1"/>
      <w:numFmt w:val="bullet"/>
      <w:lvlText w:val=""/>
      <w:lvlJc w:val="left"/>
      <w:pPr>
        <w:ind w:left="6480" w:hanging="360"/>
      </w:pPr>
      <w:rPr>
        <w:rFonts w:ascii="Wingdings" w:hAnsi="Wingdings" w:hint="default"/>
      </w:rPr>
    </w:lvl>
  </w:abstractNum>
  <w:abstractNum w:abstractNumId="4" w15:restartNumberingAfterBreak="0">
    <w:nsid w:val="35EE1909"/>
    <w:multiLevelType w:val="hybridMultilevel"/>
    <w:tmpl w:val="13BA1C38"/>
    <w:lvl w:ilvl="0" w:tplc="04090001">
      <w:start w:val="3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6FA96"/>
    <w:multiLevelType w:val="multilevel"/>
    <w:tmpl w:val="6144D7CE"/>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965165075">
    <w:abstractNumId w:val="0"/>
  </w:num>
  <w:num w:numId="2" w16cid:durableId="254172006">
    <w:abstractNumId w:val="5"/>
  </w:num>
  <w:num w:numId="3" w16cid:durableId="1551457161">
    <w:abstractNumId w:val="2"/>
  </w:num>
  <w:num w:numId="4" w16cid:durableId="1010525336">
    <w:abstractNumId w:val="1"/>
  </w:num>
  <w:num w:numId="5" w16cid:durableId="897739380">
    <w:abstractNumId w:val="3"/>
  </w:num>
  <w:num w:numId="6" w16cid:durableId="1607032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54AE19"/>
    <w:rsid w:val="00001C64"/>
    <w:rsid w:val="00045769"/>
    <w:rsid w:val="00081B0A"/>
    <w:rsid w:val="00091A6F"/>
    <w:rsid w:val="00154D36"/>
    <w:rsid w:val="00163EDE"/>
    <w:rsid w:val="00182602"/>
    <w:rsid w:val="001D5290"/>
    <w:rsid w:val="00243B00"/>
    <w:rsid w:val="002C23AE"/>
    <w:rsid w:val="002D77CB"/>
    <w:rsid w:val="003170FE"/>
    <w:rsid w:val="003C7376"/>
    <w:rsid w:val="003D2061"/>
    <w:rsid w:val="00405299"/>
    <w:rsid w:val="00481C96"/>
    <w:rsid w:val="004F393E"/>
    <w:rsid w:val="00583587"/>
    <w:rsid w:val="0058560E"/>
    <w:rsid w:val="006F01E8"/>
    <w:rsid w:val="00741B44"/>
    <w:rsid w:val="007E7AC9"/>
    <w:rsid w:val="008207DB"/>
    <w:rsid w:val="0082238D"/>
    <w:rsid w:val="008E5413"/>
    <w:rsid w:val="00942903"/>
    <w:rsid w:val="009A4EEB"/>
    <w:rsid w:val="009C333C"/>
    <w:rsid w:val="009E4402"/>
    <w:rsid w:val="00AA2A52"/>
    <w:rsid w:val="00AE03F8"/>
    <w:rsid w:val="00AF6E38"/>
    <w:rsid w:val="00B62157"/>
    <w:rsid w:val="00BE2C5A"/>
    <w:rsid w:val="00C34E8E"/>
    <w:rsid w:val="00C7E3B2"/>
    <w:rsid w:val="00C818D7"/>
    <w:rsid w:val="00D013E5"/>
    <w:rsid w:val="00D13915"/>
    <w:rsid w:val="00DA6FF2"/>
    <w:rsid w:val="00DC4EBF"/>
    <w:rsid w:val="00DD4D31"/>
    <w:rsid w:val="00E55BB1"/>
    <w:rsid w:val="00E71495"/>
    <w:rsid w:val="00EB18B1"/>
    <w:rsid w:val="00F11A7C"/>
    <w:rsid w:val="00F81701"/>
    <w:rsid w:val="00FA4ADD"/>
    <w:rsid w:val="00FA4F73"/>
    <w:rsid w:val="00FC7DCA"/>
    <w:rsid w:val="0164B6DB"/>
    <w:rsid w:val="029CC5D0"/>
    <w:rsid w:val="02AD7A3D"/>
    <w:rsid w:val="02C08927"/>
    <w:rsid w:val="035018AD"/>
    <w:rsid w:val="0362A356"/>
    <w:rsid w:val="036B0123"/>
    <w:rsid w:val="041CAFA6"/>
    <w:rsid w:val="041CE8BF"/>
    <w:rsid w:val="046B7AFE"/>
    <w:rsid w:val="05779752"/>
    <w:rsid w:val="0735E4F6"/>
    <w:rsid w:val="09A42DB3"/>
    <w:rsid w:val="0A727C19"/>
    <w:rsid w:val="0AD25D9B"/>
    <w:rsid w:val="0AF5315A"/>
    <w:rsid w:val="0C31B13D"/>
    <w:rsid w:val="0C5781F6"/>
    <w:rsid w:val="0CCD29B8"/>
    <w:rsid w:val="0CE8B054"/>
    <w:rsid w:val="0FB9728E"/>
    <w:rsid w:val="103C752E"/>
    <w:rsid w:val="107A3E20"/>
    <w:rsid w:val="10D27DA6"/>
    <w:rsid w:val="120CFA72"/>
    <w:rsid w:val="122C6A29"/>
    <w:rsid w:val="14AB76DB"/>
    <w:rsid w:val="14D25308"/>
    <w:rsid w:val="15BE6DB0"/>
    <w:rsid w:val="1635E60A"/>
    <w:rsid w:val="16452D5A"/>
    <w:rsid w:val="17AAB8FD"/>
    <w:rsid w:val="17DC8F4B"/>
    <w:rsid w:val="17EE37FF"/>
    <w:rsid w:val="184E8880"/>
    <w:rsid w:val="197D19D6"/>
    <w:rsid w:val="1A718A07"/>
    <w:rsid w:val="1AF170D1"/>
    <w:rsid w:val="1BE597C1"/>
    <w:rsid w:val="1C116FD1"/>
    <w:rsid w:val="1DB7A903"/>
    <w:rsid w:val="1E242695"/>
    <w:rsid w:val="231FE4A4"/>
    <w:rsid w:val="238DAB01"/>
    <w:rsid w:val="23ABF753"/>
    <w:rsid w:val="247E4AD8"/>
    <w:rsid w:val="24A1203D"/>
    <w:rsid w:val="2503A96C"/>
    <w:rsid w:val="264D8613"/>
    <w:rsid w:val="26BC4020"/>
    <w:rsid w:val="27AC1A03"/>
    <w:rsid w:val="28173ABD"/>
    <w:rsid w:val="284BCC11"/>
    <w:rsid w:val="2876E044"/>
    <w:rsid w:val="289210A1"/>
    <w:rsid w:val="297D4CAF"/>
    <w:rsid w:val="29A8F332"/>
    <w:rsid w:val="2C40A7F2"/>
    <w:rsid w:val="2CDBC568"/>
    <w:rsid w:val="2D1B0279"/>
    <w:rsid w:val="2D3A7EB5"/>
    <w:rsid w:val="2D5B001A"/>
    <w:rsid w:val="2DE1C514"/>
    <w:rsid w:val="2E43F3A3"/>
    <w:rsid w:val="2E4BB501"/>
    <w:rsid w:val="3021CC41"/>
    <w:rsid w:val="305ACE52"/>
    <w:rsid w:val="30F8CE66"/>
    <w:rsid w:val="313C39DB"/>
    <w:rsid w:val="31B93373"/>
    <w:rsid w:val="31DB0E87"/>
    <w:rsid w:val="3293AB9F"/>
    <w:rsid w:val="3352C9AE"/>
    <w:rsid w:val="338EF059"/>
    <w:rsid w:val="3449EE7C"/>
    <w:rsid w:val="35E24147"/>
    <w:rsid w:val="360DA119"/>
    <w:rsid w:val="361FA1CD"/>
    <w:rsid w:val="3637E44F"/>
    <w:rsid w:val="371E1094"/>
    <w:rsid w:val="373E697A"/>
    <w:rsid w:val="375FF729"/>
    <w:rsid w:val="37F2E016"/>
    <w:rsid w:val="38B94812"/>
    <w:rsid w:val="38F98508"/>
    <w:rsid w:val="391C4DFD"/>
    <w:rsid w:val="3B0E07F1"/>
    <w:rsid w:val="3B317381"/>
    <w:rsid w:val="3B70CFFC"/>
    <w:rsid w:val="3BFF3D14"/>
    <w:rsid w:val="3C344F06"/>
    <w:rsid w:val="3DE9B5D1"/>
    <w:rsid w:val="3E0261A9"/>
    <w:rsid w:val="3E479B51"/>
    <w:rsid w:val="3F94BB57"/>
    <w:rsid w:val="4089222D"/>
    <w:rsid w:val="4208B6EB"/>
    <w:rsid w:val="421F661D"/>
    <w:rsid w:val="42F2B46A"/>
    <w:rsid w:val="433EAA74"/>
    <w:rsid w:val="434F26D9"/>
    <w:rsid w:val="4351A5A3"/>
    <w:rsid w:val="43D879DE"/>
    <w:rsid w:val="43E423AC"/>
    <w:rsid w:val="447A54B2"/>
    <w:rsid w:val="452B8730"/>
    <w:rsid w:val="465044CD"/>
    <w:rsid w:val="46ABD34F"/>
    <w:rsid w:val="4709CB73"/>
    <w:rsid w:val="4877DAA3"/>
    <w:rsid w:val="49069F4C"/>
    <w:rsid w:val="494BB9BF"/>
    <w:rsid w:val="49A0EBDE"/>
    <w:rsid w:val="4A231918"/>
    <w:rsid w:val="4A626DC6"/>
    <w:rsid w:val="4A62A9A7"/>
    <w:rsid w:val="4B22F411"/>
    <w:rsid w:val="4BC23E5B"/>
    <w:rsid w:val="4C034F66"/>
    <w:rsid w:val="4C59C722"/>
    <w:rsid w:val="4CA30852"/>
    <w:rsid w:val="4E69E803"/>
    <w:rsid w:val="4F6DFDF6"/>
    <w:rsid w:val="4F76BCD6"/>
    <w:rsid w:val="50DADD18"/>
    <w:rsid w:val="526669E2"/>
    <w:rsid w:val="53488235"/>
    <w:rsid w:val="5388768B"/>
    <w:rsid w:val="53E4A7C0"/>
    <w:rsid w:val="54438448"/>
    <w:rsid w:val="54E8B0A9"/>
    <w:rsid w:val="5517905B"/>
    <w:rsid w:val="55B72B15"/>
    <w:rsid w:val="561A7B4A"/>
    <w:rsid w:val="56A1392D"/>
    <w:rsid w:val="58AE07EB"/>
    <w:rsid w:val="59A0B4CF"/>
    <w:rsid w:val="5BEAF884"/>
    <w:rsid w:val="5C143CDA"/>
    <w:rsid w:val="5C5477FD"/>
    <w:rsid w:val="5C60A672"/>
    <w:rsid w:val="5C94368E"/>
    <w:rsid w:val="5CA05036"/>
    <w:rsid w:val="5DCB4C9A"/>
    <w:rsid w:val="5E68D399"/>
    <w:rsid w:val="5E7AD693"/>
    <w:rsid w:val="5F4EFFA5"/>
    <w:rsid w:val="5F8AE4BD"/>
    <w:rsid w:val="5FD9157A"/>
    <w:rsid w:val="5FEF55A3"/>
    <w:rsid w:val="6055C090"/>
    <w:rsid w:val="61142022"/>
    <w:rsid w:val="61EE10AD"/>
    <w:rsid w:val="620325BF"/>
    <w:rsid w:val="624E55B3"/>
    <w:rsid w:val="6272449C"/>
    <w:rsid w:val="62961F71"/>
    <w:rsid w:val="631F0DB2"/>
    <w:rsid w:val="6476A0F3"/>
    <w:rsid w:val="6624B695"/>
    <w:rsid w:val="666C897D"/>
    <w:rsid w:val="676384AA"/>
    <w:rsid w:val="68566F55"/>
    <w:rsid w:val="6884E9C5"/>
    <w:rsid w:val="692F0395"/>
    <w:rsid w:val="692F7E41"/>
    <w:rsid w:val="6941F390"/>
    <w:rsid w:val="6954AE19"/>
    <w:rsid w:val="6B5B37FA"/>
    <w:rsid w:val="6C2C0044"/>
    <w:rsid w:val="6CCEA143"/>
    <w:rsid w:val="6D52B617"/>
    <w:rsid w:val="6E053065"/>
    <w:rsid w:val="7019A3E1"/>
    <w:rsid w:val="7118582E"/>
    <w:rsid w:val="71582869"/>
    <w:rsid w:val="71E9245E"/>
    <w:rsid w:val="73014B68"/>
    <w:rsid w:val="731B1337"/>
    <w:rsid w:val="73247B8D"/>
    <w:rsid w:val="75D20F95"/>
    <w:rsid w:val="766ED076"/>
    <w:rsid w:val="766FD795"/>
    <w:rsid w:val="77DE265B"/>
    <w:rsid w:val="78DFF35A"/>
    <w:rsid w:val="7928127A"/>
    <w:rsid w:val="797E3ADF"/>
    <w:rsid w:val="799A3007"/>
    <w:rsid w:val="79B7AF9A"/>
    <w:rsid w:val="7AB41A4E"/>
    <w:rsid w:val="7B234100"/>
    <w:rsid w:val="7BF38B66"/>
    <w:rsid w:val="7C4648C3"/>
    <w:rsid w:val="7FCC0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4AE19"/>
  <w15:chartTrackingRefBased/>
  <w15:docId w15:val="{DD2634FE-F001-48EC-BD79-03236064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F6DFDF6"/>
  </w:style>
  <w:style w:type="paragraph" w:styleId="Heading1">
    <w:name w:val="heading 1"/>
    <w:basedOn w:val="Normal"/>
    <w:next w:val="Normal"/>
    <w:uiPriority w:val="9"/>
    <w:qFormat/>
    <w:rsid w:val="4F6DF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F6DFDF6"/>
    <w:pPr>
      <w:ind w:left="720"/>
      <w:contextualSpacing/>
    </w:pPr>
  </w:style>
  <w:style w:type="paragraph" w:customStyle="1" w:styleId="ZFlag">
    <w:name w:val="Z_Flag"/>
    <w:basedOn w:val="Normal"/>
    <w:next w:val="Normal"/>
    <w:uiPriority w:val="99"/>
    <w:semiHidden/>
    <w:rsid w:val="4F6DFDF6"/>
    <w:pPr>
      <w:widowControl w:val="0"/>
      <w:spacing w:after="0"/>
      <w:ind w:right="85"/>
      <w:jc w:val="both"/>
    </w:pPr>
    <w:rPr>
      <w:rFonts w:ascii="Times New Roman" w:eastAsia="Times New Roman" w:hAnsi="Times New Roman" w:cs="Times New Roman"/>
    </w:rPr>
  </w:style>
  <w:style w:type="paragraph" w:customStyle="1" w:styleId="ZCom">
    <w:name w:val="Z_Com"/>
    <w:basedOn w:val="Normal"/>
    <w:next w:val="Normal"/>
    <w:uiPriority w:val="99"/>
    <w:semiHidden/>
    <w:rsid w:val="4F6DFDF6"/>
    <w:pPr>
      <w:widowControl w:val="0"/>
      <w:spacing w:before="90" w:after="0"/>
      <w:ind w:right="85"/>
      <w:jc w:val="both"/>
    </w:pPr>
    <w:rPr>
      <w:rFonts w:ascii="Times New Roman" w:eastAsia="Times New Roman" w:hAnsi="Times New Roman" w:cs="Times New Roman"/>
    </w:rPr>
  </w:style>
  <w:style w:type="paragraph" w:customStyle="1" w:styleId="ZDGName">
    <w:name w:val="Z_DGName"/>
    <w:basedOn w:val="Normal"/>
    <w:uiPriority w:val="99"/>
    <w:semiHidden/>
    <w:rsid w:val="4F6DFDF6"/>
    <w:pPr>
      <w:widowControl w:val="0"/>
      <w:spacing w:after="0"/>
      <w:ind w:right="85"/>
    </w:pPr>
    <w:rPr>
      <w:rFonts w:ascii="Times New Roman" w:eastAsia="Times New Roman" w:hAnsi="Times New Roman" w:cs="Times New Roman"/>
      <w:sz w:val="16"/>
      <w:szCs w:val="16"/>
    </w:rPr>
  </w:style>
  <w:style w:type="paragraph" w:customStyle="1" w:styleId="SubTitle1">
    <w:name w:val="SubTitle 1"/>
    <w:basedOn w:val="Normal"/>
    <w:uiPriority w:val="1"/>
    <w:rsid w:val="4F6DFDF6"/>
    <w:pPr>
      <w:spacing w:after="240"/>
      <w:jc w:val="center"/>
    </w:pPr>
    <w:rPr>
      <w:rFonts w:ascii="Times New Roman" w:eastAsia="Times New Roman" w:hAnsi="Times New Roman" w:cs="Times New Roman"/>
      <w:b/>
      <w:bCs/>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FEF55A3"/>
    <w:rPr>
      <w:color w:val="467886"/>
      <w:u w:val="single"/>
    </w:rPr>
  </w:style>
  <w:style w:type="paragraph" w:styleId="FootnoteText">
    <w:name w:val="footnote text"/>
    <w:basedOn w:val="Normal"/>
    <w:uiPriority w:val="99"/>
    <w:semiHidden/>
    <w:unhideWhenUsed/>
    <w:rsid w:val="5FEF55A3"/>
    <w:pPr>
      <w:spacing w:after="0" w:line="240" w:lineRule="auto"/>
    </w:pPr>
    <w:rPr>
      <w:sz w:val="20"/>
      <w:szCs w:val="20"/>
    </w:rPr>
  </w:style>
  <w:style w:type="paragraph" w:customStyle="1" w:styleId="Text1">
    <w:name w:val="Text 1"/>
    <w:basedOn w:val="Normal"/>
    <w:uiPriority w:val="90"/>
    <w:qFormat/>
    <w:rsid w:val="5FEF55A3"/>
    <w:pPr>
      <w:spacing w:after="240"/>
      <w:ind w:left="482"/>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fr-FR"/>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4E8E"/>
    <w:pPr>
      <w:spacing w:after="0" w:line="240" w:lineRule="auto"/>
    </w:pPr>
  </w:style>
  <w:style w:type="paragraph" w:styleId="Header">
    <w:name w:val="header"/>
    <w:basedOn w:val="Normal"/>
    <w:link w:val="HeaderChar"/>
    <w:uiPriority w:val="99"/>
    <w:unhideWhenUsed/>
    <w:rsid w:val="00091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A6F"/>
    <w:rPr>
      <w:lang w:val="fr-FR"/>
    </w:rPr>
  </w:style>
  <w:style w:type="paragraph" w:styleId="Footer">
    <w:name w:val="footer"/>
    <w:basedOn w:val="Normal"/>
    <w:link w:val="FooterChar"/>
    <w:uiPriority w:val="99"/>
    <w:unhideWhenUsed/>
    <w:rsid w:val="00091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A6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Christine Peyre</cp:lastModifiedBy>
  <cp:revision>22</cp:revision>
  <cp:lastPrinted>2025-11-16T17:28:00Z</cp:lastPrinted>
  <dcterms:created xsi:type="dcterms:W3CDTF">2025-10-24T11:35:00Z</dcterms:created>
  <dcterms:modified xsi:type="dcterms:W3CDTF">2025-11-17T10:05:00Z</dcterms:modified>
</cp:coreProperties>
</file>