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CDD08" w14:textId="64B85525" w:rsidR="002A71ED" w:rsidRPr="00F7797F" w:rsidRDefault="002A71ED" w:rsidP="002A71ED">
      <w:pPr>
        <w:spacing w:after="0" w:line="240" w:lineRule="auto"/>
        <w:jc w:val="right"/>
        <w:rPr>
          <w:rFonts w:ascii="Cambria" w:eastAsia="Segoe UI" w:hAnsi="Cambria" w:cs="Segoe UI"/>
          <w:b/>
          <w:bCs/>
          <w:color w:val="000000" w:themeColor="text1"/>
          <w:sz w:val="20"/>
          <w:szCs w:val="20"/>
        </w:rPr>
      </w:pPr>
      <w:r w:rsidRPr="00F7797F">
        <w:rPr>
          <w:rFonts w:ascii="Cambria" w:eastAsia="Segoe UI" w:hAnsi="Cambria" w:cs="Segoe UI"/>
          <w:b/>
          <w:bCs/>
          <w:color w:val="000000" w:themeColor="text1"/>
          <w:sz w:val="20"/>
          <w:szCs w:val="20"/>
        </w:rPr>
        <w:t>Original: English</w:t>
      </w:r>
    </w:p>
    <w:p w14:paraId="288AC987" w14:textId="6BE7783E" w:rsidR="002A71ED" w:rsidRPr="00F7797F" w:rsidRDefault="4BC23E5B" w:rsidP="00741B44">
      <w:pPr>
        <w:spacing w:after="0" w:line="240" w:lineRule="auto"/>
        <w:jc w:val="center"/>
        <w:rPr>
          <w:rFonts w:ascii="Cambria" w:eastAsia="Segoe UI" w:hAnsi="Cambria" w:cs="Segoe UI"/>
          <w:b/>
          <w:bCs/>
          <w:color w:val="000000" w:themeColor="text1"/>
          <w:sz w:val="20"/>
          <w:szCs w:val="20"/>
        </w:rPr>
      </w:pPr>
      <w:r w:rsidRPr="00F7797F">
        <w:rPr>
          <w:rFonts w:ascii="Cambria" w:eastAsia="Segoe UI" w:hAnsi="Cambria" w:cs="Segoe UI"/>
          <w:b/>
          <w:bCs/>
          <w:color w:val="000000" w:themeColor="text1"/>
          <w:sz w:val="20"/>
          <w:szCs w:val="20"/>
        </w:rPr>
        <w:t xml:space="preserve">  </w:t>
      </w:r>
    </w:p>
    <w:p w14:paraId="4E0CB13E" w14:textId="366DACCB" w:rsidR="009E4402" w:rsidRPr="00F7797F" w:rsidRDefault="4BC23E5B" w:rsidP="00741B44">
      <w:pPr>
        <w:spacing w:after="0" w:line="240" w:lineRule="auto"/>
        <w:jc w:val="center"/>
        <w:rPr>
          <w:rFonts w:ascii="Cambria" w:eastAsia="Times New Roman" w:hAnsi="Cambria" w:cs="Times New Roman"/>
          <w:b/>
          <w:bCs/>
          <w:color w:val="000000" w:themeColor="text1"/>
          <w:sz w:val="20"/>
          <w:szCs w:val="20"/>
        </w:rPr>
      </w:pPr>
      <w:r w:rsidRPr="00F7797F">
        <w:rPr>
          <w:rFonts w:ascii="Cambria" w:eastAsia="Times New Roman" w:hAnsi="Cambria" w:cs="Times New Roman"/>
          <w:b/>
          <w:bCs/>
          <w:color w:val="000000" w:themeColor="text1"/>
          <w:sz w:val="20"/>
          <w:szCs w:val="20"/>
        </w:rPr>
        <w:t xml:space="preserve"> Report on the implementation of the derogation to validate BCDs </w:t>
      </w:r>
    </w:p>
    <w:p w14:paraId="69C2F03C" w14:textId="7B462BD6" w:rsidR="4BC23E5B" w:rsidRPr="00F7797F" w:rsidRDefault="4BC23E5B" w:rsidP="00741B44">
      <w:pPr>
        <w:spacing w:after="0" w:line="240" w:lineRule="auto"/>
        <w:jc w:val="center"/>
        <w:rPr>
          <w:rFonts w:ascii="Cambria" w:eastAsia="Times New Roman" w:hAnsi="Cambria" w:cs="Times New Roman"/>
          <w:b/>
          <w:bCs/>
          <w:color w:val="000000" w:themeColor="text1"/>
          <w:sz w:val="20"/>
          <w:szCs w:val="20"/>
        </w:rPr>
      </w:pPr>
      <w:r w:rsidRPr="00F7797F">
        <w:rPr>
          <w:rFonts w:ascii="Cambria" w:eastAsia="Times New Roman" w:hAnsi="Cambria" w:cs="Times New Roman"/>
          <w:b/>
          <w:bCs/>
          <w:color w:val="000000" w:themeColor="text1"/>
          <w:sz w:val="20"/>
          <w:szCs w:val="20"/>
        </w:rPr>
        <w:t xml:space="preserve">for trades of BFT between </w:t>
      </w:r>
      <w:r w:rsidR="009E4402" w:rsidRPr="00F7797F">
        <w:rPr>
          <w:rFonts w:ascii="Cambria" w:eastAsia="Times New Roman" w:hAnsi="Cambria" w:cs="Times New Roman"/>
          <w:b/>
          <w:bCs/>
          <w:color w:val="000000" w:themeColor="text1"/>
          <w:sz w:val="20"/>
          <w:szCs w:val="20"/>
        </w:rPr>
        <w:t>Member States</w:t>
      </w:r>
      <w:r w:rsidRPr="00F7797F">
        <w:rPr>
          <w:rFonts w:ascii="Cambria" w:eastAsia="Times New Roman" w:hAnsi="Cambria" w:cs="Times New Roman"/>
          <w:b/>
          <w:bCs/>
          <w:color w:val="000000" w:themeColor="text1"/>
          <w:sz w:val="20"/>
          <w:szCs w:val="20"/>
        </w:rPr>
        <w:t xml:space="preserve"> of the EU in 2024</w:t>
      </w:r>
      <w:r w:rsidRPr="00F7797F">
        <w:rPr>
          <w:rFonts w:ascii="Cambria" w:hAnsi="Cambria"/>
          <w:sz w:val="20"/>
          <w:szCs w:val="20"/>
        </w:rPr>
        <w:br/>
      </w:r>
      <w:r w:rsidRPr="00F7797F">
        <w:rPr>
          <w:rFonts w:ascii="Cambria" w:eastAsia="Times New Roman" w:hAnsi="Cambria" w:cs="Times New Roman"/>
          <w:b/>
          <w:bCs/>
          <w:color w:val="000000" w:themeColor="text1"/>
          <w:sz w:val="20"/>
          <w:szCs w:val="20"/>
        </w:rPr>
        <w:t xml:space="preserve">(paragraph 5b of ICCAT </w:t>
      </w:r>
      <w:r w:rsidR="00741B44" w:rsidRPr="00F7797F">
        <w:rPr>
          <w:rFonts w:ascii="Cambria" w:eastAsia="Times New Roman" w:hAnsi="Cambria" w:cs="Times New Roman"/>
          <w:b/>
          <w:bCs/>
          <w:color w:val="000000" w:themeColor="text1"/>
          <w:sz w:val="20"/>
          <w:szCs w:val="20"/>
        </w:rPr>
        <w:t xml:space="preserve">Recommendation </w:t>
      </w:r>
      <w:r w:rsidRPr="00F7797F">
        <w:rPr>
          <w:rFonts w:ascii="Cambria" w:eastAsia="Times New Roman" w:hAnsi="Cambria" w:cs="Times New Roman"/>
          <w:b/>
          <w:bCs/>
          <w:color w:val="000000" w:themeColor="text1"/>
          <w:sz w:val="20"/>
          <w:szCs w:val="20"/>
        </w:rPr>
        <w:t xml:space="preserve">24-16) </w:t>
      </w:r>
    </w:p>
    <w:p w14:paraId="5858B356" w14:textId="29276A50" w:rsidR="4BC23E5B" w:rsidRPr="00F7797F" w:rsidRDefault="4BC23E5B" w:rsidP="00741B44">
      <w:pPr>
        <w:keepNext/>
        <w:spacing w:after="0" w:line="240" w:lineRule="auto"/>
        <w:jc w:val="center"/>
        <w:rPr>
          <w:rFonts w:ascii="Cambria" w:eastAsia="Times New Roman" w:hAnsi="Cambria" w:cs="Times New Roman"/>
          <w:i/>
          <w:iCs/>
          <w:color w:val="000000" w:themeColor="text1"/>
          <w:sz w:val="20"/>
          <w:szCs w:val="20"/>
        </w:rPr>
      </w:pPr>
      <w:r w:rsidRPr="00F7797F">
        <w:rPr>
          <w:rFonts w:ascii="Cambria" w:eastAsia="Times New Roman" w:hAnsi="Cambria" w:cs="Times New Roman"/>
          <w:i/>
          <w:iCs/>
          <w:color w:val="000000" w:themeColor="text1"/>
          <w:sz w:val="20"/>
          <w:szCs w:val="20"/>
        </w:rPr>
        <w:t xml:space="preserve"> </w:t>
      </w:r>
      <w:r w:rsidR="009E4402" w:rsidRPr="00F7797F">
        <w:rPr>
          <w:rFonts w:ascii="Cambria" w:eastAsia="Times New Roman" w:hAnsi="Cambria" w:cs="Times New Roman"/>
          <w:i/>
          <w:iCs/>
          <w:color w:val="000000" w:themeColor="text1"/>
          <w:sz w:val="20"/>
          <w:szCs w:val="20"/>
        </w:rPr>
        <w:t>(</w:t>
      </w:r>
      <w:r w:rsidR="004D682B" w:rsidRPr="00F7797F">
        <w:rPr>
          <w:rFonts w:ascii="Cambria" w:eastAsia="Times New Roman" w:hAnsi="Cambria" w:cs="Times New Roman"/>
          <w:i/>
          <w:iCs/>
          <w:color w:val="000000" w:themeColor="text1"/>
          <w:sz w:val="20"/>
          <w:szCs w:val="20"/>
        </w:rPr>
        <w:t>s</w:t>
      </w:r>
      <w:r w:rsidRPr="00F7797F">
        <w:rPr>
          <w:rFonts w:ascii="Cambria" w:eastAsia="Times New Roman" w:hAnsi="Cambria" w:cs="Times New Roman"/>
          <w:i/>
          <w:iCs/>
          <w:color w:val="000000" w:themeColor="text1"/>
          <w:sz w:val="20"/>
          <w:szCs w:val="20"/>
        </w:rPr>
        <w:t>ubmitted by the European Union</w:t>
      </w:r>
      <w:r w:rsidR="009E4402" w:rsidRPr="00F7797F">
        <w:rPr>
          <w:rFonts w:ascii="Cambria" w:eastAsia="Times New Roman" w:hAnsi="Cambria" w:cs="Times New Roman"/>
          <w:i/>
          <w:iCs/>
          <w:color w:val="000000" w:themeColor="text1"/>
          <w:sz w:val="20"/>
          <w:szCs w:val="20"/>
        </w:rPr>
        <w:t>)</w:t>
      </w:r>
      <w:r w:rsidRPr="00F7797F">
        <w:rPr>
          <w:rFonts w:ascii="Cambria" w:eastAsia="Times New Roman" w:hAnsi="Cambria" w:cs="Times New Roman"/>
          <w:i/>
          <w:iCs/>
          <w:color w:val="000000" w:themeColor="text1"/>
          <w:sz w:val="20"/>
          <w:szCs w:val="20"/>
        </w:rPr>
        <w:t xml:space="preserve">  </w:t>
      </w:r>
    </w:p>
    <w:p w14:paraId="10207FBA" w14:textId="77777777" w:rsidR="00741B44" w:rsidRPr="00F7797F" w:rsidRDefault="00741B44" w:rsidP="00741B44">
      <w:pPr>
        <w:keepNext/>
        <w:spacing w:after="0" w:line="240" w:lineRule="auto"/>
        <w:jc w:val="center"/>
        <w:rPr>
          <w:rFonts w:ascii="Cambria" w:eastAsia="Times New Roman" w:hAnsi="Cambria" w:cs="Times New Roman"/>
          <w:b/>
          <w:bCs/>
          <w:color w:val="000000" w:themeColor="text1"/>
          <w:sz w:val="20"/>
          <w:szCs w:val="20"/>
        </w:rPr>
      </w:pPr>
    </w:p>
    <w:p w14:paraId="7A3F7E00" w14:textId="526ECB64" w:rsidR="4BC23E5B" w:rsidRPr="00F7797F" w:rsidRDefault="007E7AC9" w:rsidP="00741B44">
      <w:pPr>
        <w:pStyle w:val="ListParagraph"/>
        <w:keepNext/>
        <w:numPr>
          <w:ilvl w:val="0"/>
          <w:numId w:val="1"/>
        </w:numPr>
        <w:spacing w:after="0" w:line="240" w:lineRule="auto"/>
        <w:ind w:left="426" w:hanging="426"/>
        <w:rPr>
          <w:rFonts w:ascii="Cambria" w:eastAsia="Times New Roman" w:hAnsi="Cambria" w:cs="Times New Roman"/>
          <w:b/>
          <w:bCs/>
          <w:color w:val="000000" w:themeColor="text1"/>
          <w:sz w:val="20"/>
          <w:szCs w:val="20"/>
        </w:rPr>
      </w:pPr>
      <w:r w:rsidRPr="00F7797F">
        <w:rPr>
          <w:rFonts w:ascii="Cambria" w:eastAsia="Times New Roman" w:hAnsi="Cambria" w:cs="Times New Roman"/>
          <w:b/>
          <w:bCs/>
          <w:color w:val="000000" w:themeColor="text1"/>
          <w:sz w:val="20"/>
          <w:szCs w:val="20"/>
        </w:rPr>
        <w:t>Introduction</w:t>
      </w:r>
    </w:p>
    <w:p w14:paraId="42BEEBB3" w14:textId="77777777" w:rsidR="007E7AC9" w:rsidRPr="00F7797F" w:rsidRDefault="007E7AC9" w:rsidP="00741B44">
      <w:pPr>
        <w:keepNext/>
        <w:spacing w:after="0" w:line="240" w:lineRule="auto"/>
        <w:jc w:val="both"/>
        <w:rPr>
          <w:rFonts w:ascii="Cambria" w:eastAsia="Times New Roman" w:hAnsi="Cambria" w:cs="Times New Roman"/>
          <w:color w:val="000000" w:themeColor="text1"/>
          <w:sz w:val="20"/>
          <w:szCs w:val="20"/>
        </w:rPr>
      </w:pPr>
    </w:p>
    <w:p w14:paraId="31A45D16" w14:textId="5B4F1136" w:rsidR="4BC23E5B" w:rsidRPr="00F7797F" w:rsidRDefault="4BC23E5B" w:rsidP="00741B44">
      <w:pPr>
        <w:keepNext/>
        <w:spacing w:after="0" w:line="240" w:lineRule="auto"/>
        <w:jc w:val="both"/>
        <w:rPr>
          <w:rFonts w:ascii="Cambria" w:eastAsia="Times New Roman" w:hAnsi="Cambria" w:cs="Times New Roman"/>
          <w:color w:val="000000" w:themeColor="text1"/>
          <w:sz w:val="20"/>
          <w:szCs w:val="20"/>
        </w:rPr>
      </w:pPr>
      <w:r w:rsidRPr="00F7797F">
        <w:rPr>
          <w:rFonts w:ascii="Cambria" w:eastAsia="Times New Roman" w:hAnsi="Cambria" w:cs="Times New Roman"/>
          <w:color w:val="000000" w:themeColor="text1"/>
          <w:sz w:val="20"/>
          <w:szCs w:val="20"/>
        </w:rPr>
        <w:t xml:space="preserve">As other ICCAT Contracting Parties (CPCs), the European Union (EU) has implemented the eBCD system since 26 May 2016 for the </w:t>
      </w:r>
      <w:r w:rsidR="00434E6A" w:rsidRPr="00F7797F">
        <w:rPr>
          <w:rFonts w:ascii="Cambria" w:eastAsia="Times New Roman" w:hAnsi="Cambria" w:cs="Times New Roman"/>
          <w:color w:val="000000" w:themeColor="text1"/>
          <w:sz w:val="20"/>
          <w:szCs w:val="20"/>
        </w:rPr>
        <w:t>b</w:t>
      </w:r>
      <w:r w:rsidRPr="00F7797F">
        <w:rPr>
          <w:rFonts w:ascii="Cambria" w:eastAsia="Times New Roman" w:hAnsi="Cambria" w:cs="Times New Roman"/>
          <w:color w:val="000000" w:themeColor="text1"/>
          <w:sz w:val="20"/>
          <w:szCs w:val="20"/>
        </w:rPr>
        <w:t>luefin tuna (BFT) caught by the purse seine vessels and traps, and since 1 July 2016 for the fish caught by other gears. All operators fully implement the system as from January 2017.</w:t>
      </w:r>
    </w:p>
    <w:p w14:paraId="0A3D8F94" w14:textId="77777777" w:rsidR="007E7AC9" w:rsidRPr="00F7797F" w:rsidRDefault="007E7AC9" w:rsidP="00741B44">
      <w:pPr>
        <w:keepNext/>
        <w:spacing w:after="0" w:line="240" w:lineRule="auto"/>
        <w:jc w:val="both"/>
        <w:rPr>
          <w:rFonts w:ascii="Cambria" w:eastAsia="Times New Roman" w:hAnsi="Cambria" w:cs="Times New Roman"/>
          <w:b/>
          <w:bCs/>
          <w:color w:val="000000" w:themeColor="text1"/>
          <w:sz w:val="20"/>
          <w:szCs w:val="20"/>
        </w:rPr>
      </w:pPr>
    </w:p>
    <w:p w14:paraId="0E740359" w14:textId="33853920" w:rsidR="00C34E8E" w:rsidRPr="00F7797F" w:rsidRDefault="0735E4F6" w:rsidP="00741B44">
      <w:pPr>
        <w:keepNext/>
        <w:spacing w:after="0" w:line="240" w:lineRule="auto"/>
        <w:jc w:val="both"/>
        <w:rPr>
          <w:rFonts w:ascii="Cambria" w:eastAsia="Times New Roman" w:hAnsi="Cambria" w:cs="Times New Roman"/>
          <w:b/>
          <w:bCs/>
          <w:color w:val="000000" w:themeColor="text1"/>
          <w:sz w:val="20"/>
          <w:szCs w:val="20"/>
        </w:rPr>
      </w:pPr>
      <w:r w:rsidRPr="00F7797F">
        <w:rPr>
          <w:rFonts w:ascii="Cambria" w:eastAsia="Times New Roman" w:hAnsi="Cambria" w:cs="Times New Roman"/>
          <w:color w:val="000000" w:themeColor="text1"/>
          <w:sz w:val="20"/>
          <w:szCs w:val="20"/>
        </w:rPr>
        <w:t>Paragraph 5b of Rec</w:t>
      </w:r>
      <w:r w:rsidR="00434E6A" w:rsidRPr="00F7797F">
        <w:rPr>
          <w:rFonts w:ascii="Cambria" w:eastAsia="Times New Roman" w:hAnsi="Cambria" w:cs="Times New Roman"/>
          <w:color w:val="000000" w:themeColor="text1"/>
          <w:sz w:val="20"/>
          <w:szCs w:val="20"/>
        </w:rPr>
        <w:t>.</w:t>
      </w:r>
      <w:r w:rsidRPr="00F7797F">
        <w:rPr>
          <w:rFonts w:ascii="Cambria" w:eastAsia="Times New Roman" w:hAnsi="Cambria" w:cs="Times New Roman"/>
          <w:color w:val="000000" w:themeColor="text1"/>
          <w:sz w:val="20"/>
          <w:szCs w:val="20"/>
        </w:rPr>
        <w:t xml:space="preserve"> 24-16 provides a derogation to validate BCDs for trades of BFT between Member States of the EU. </w:t>
      </w:r>
      <w:r w:rsidR="4351A5A3" w:rsidRPr="00F7797F">
        <w:rPr>
          <w:rFonts w:ascii="Cambria" w:eastAsia="Times New Roman" w:hAnsi="Cambria" w:cs="Times New Roman"/>
          <w:color w:val="000000" w:themeColor="text1"/>
          <w:sz w:val="20"/>
          <w:szCs w:val="20"/>
        </w:rPr>
        <w:t xml:space="preserve">The </w:t>
      </w:r>
      <w:r w:rsidR="00434E6A" w:rsidRPr="00F7797F">
        <w:rPr>
          <w:rFonts w:ascii="Cambria" w:eastAsia="Times New Roman" w:hAnsi="Cambria" w:cs="Times New Roman"/>
          <w:color w:val="000000" w:themeColor="text1"/>
          <w:sz w:val="20"/>
          <w:szCs w:val="20"/>
        </w:rPr>
        <w:t>EU</w:t>
      </w:r>
      <w:r w:rsidR="4351A5A3" w:rsidRPr="00F7797F">
        <w:rPr>
          <w:rFonts w:ascii="Cambria" w:eastAsia="Times New Roman" w:hAnsi="Cambria" w:cs="Times New Roman"/>
          <w:color w:val="000000" w:themeColor="text1"/>
          <w:sz w:val="20"/>
          <w:szCs w:val="20"/>
        </w:rPr>
        <w:t xml:space="preserve"> is required to report to the Commission on the implementation of this derogation by 1 October each year and while the statistics contained in this report cannot be generated by the eBCD </w:t>
      </w:r>
      <w:r w:rsidR="2E43F3A3" w:rsidRPr="00F7797F">
        <w:rPr>
          <w:rFonts w:ascii="Cambria" w:eastAsia="Times New Roman" w:hAnsi="Cambria" w:cs="Times New Roman"/>
          <w:color w:val="000000" w:themeColor="text1"/>
          <w:sz w:val="20"/>
          <w:szCs w:val="20"/>
        </w:rPr>
        <w:t>system and</w:t>
      </w:r>
      <w:r w:rsidR="4351A5A3" w:rsidRPr="00F7797F">
        <w:rPr>
          <w:rFonts w:ascii="Cambria" w:eastAsia="Times New Roman" w:hAnsi="Cambria" w:cs="Times New Roman"/>
          <w:color w:val="000000" w:themeColor="text1"/>
          <w:sz w:val="20"/>
          <w:szCs w:val="20"/>
        </w:rPr>
        <w:t xml:space="preserve"> made automatically available to all the ICCAT Commission and CPCs for their consultation. </w:t>
      </w:r>
    </w:p>
    <w:p w14:paraId="10C54E86" w14:textId="77777777" w:rsidR="00C34E8E" w:rsidRPr="00F7797F" w:rsidRDefault="00C34E8E" w:rsidP="00741B44">
      <w:pPr>
        <w:pStyle w:val="ListParagraph"/>
        <w:keepNext/>
        <w:spacing w:after="0" w:line="240" w:lineRule="auto"/>
        <w:jc w:val="both"/>
        <w:rPr>
          <w:rFonts w:ascii="Cambria" w:eastAsia="Times New Roman" w:hAnsi="Cambria" w:cs="Times New Roman"/>
          <w:b/>
          <w:bCs/>
          <w:color w:val="000000" w:themeColor="text1"/>
          <w:sz w:val="20"/>
          <w:szCs w:val="20"/>
        </w:rPr>
      </w:pPr>
    </w:p>
    <w:p w14:paraId="4E85FB57" w14:textId="77777777" w:rsidR="00001C64" w:rsidRPr="00F7797F" w:rsidRDefault="00001C64" w:rsidP="00741B44">
      <w:pPr>
        <w:pStyle w:val="ListParagraph"/>
        <w:keepNext/>
        <w:spacing w:after="0" w:line="240" w:lineRule="auto"/>
        <w:jc w:val="both"/>
        <w:rPr>
          <w:rFonts w:ascii="Cambria" w:eastAsia="Times New Roman" w:hAnsi="Cambria" w:cs="Times New Roman"/>
          <w:b/>
          <w:bCs/>
          <w:color w:val="000000" w:themeColor="text1"/>
          <w:sz w:val="20"/>
          <w:szCs w:val="20"/>
        </w:rPr>
      </w:pPr>
    </w:p>
    <w:p w14:paraId="1BA86DFA" w14:textId="16175104" w:rsidR="4BC23E5B" w:rsidRPr="00F7797F" w:rsidRDefault="00AA2A52" w:rsidP="00AA2A52">
      <w:pPr>
        <w:pStyle w:val="ListParagraph"/>
        <w:keepNext/>
        <w:numPr>
          <w:ilvl w:val="0"/>
          <w:numId w:val="1"/>
        </w:numPr>
        <w:spacing w:after="0" w:line="240" w:lineRule="auto"/>
        <w:ind w:left="426" w:hanging="426"/>
        <w:rPr>
          <w:rFonts w:ascii="Cambria" w:eastAsia="Times New Roman" w:hAnsi="Cambria" w:cs="Times New Roman"/>
          <w:b/>
          <w:bCs/>
          <w:color w:val="000000" w:themeColor="text1"/>
          <w:sz w:val="20"/>
          <w:szCs w:val="20"/>
        </w:rPr>
      </w:pPr>
      <w:r w:rsidRPr="00F7797F">
        <w:rPr>
          <w:rFonts w:ascii="Cambria" w:eastAsia="Times New Roman" w:hAnsi="Cambria" w:cs="Times New Roman"/>
          <w:b/>
          <w:bCs/>
          <w:color w:val="000000" w:themeColor="text1"/>
          <w:sz w:val="20"/>
          <w:szCs w:val="20"/>
        </w:rPr>
        <w:t>Derogation</w:t>
      </w:r>
      <w:r w:rsidR="009E4402" w:rsidRPr="00F7797F">
        <w:rPr>
          <w:rFonts w:ascii="Cambria" w:eastAsia="Times New Roman" w:hAnsi="Cambria" w:cs="Times New Roman"/>
          <w:b/>
          <w:bCs/>
          <w:color w:val="000000" w:themeColor="text1"/>
          <w:sz w:val="20"/>
          <w:szCs w:val="20"/>
        </w:rPr>
        <w:t xml:space="preserve"> </w:t>
      </w:r>
      <w:r w:rsidR="0735E4F6" w:rsidRPr="00F7797F">
        <w:rPr>
          <w:rFonts w:ascii="Cambria" w:eastAsia="Times New Roman" w:hAnsi="Cambria" w:cs="Times New Roman"/>
          <w:b/>
          <w:bCs/>
          <w:color w:val="000000" w:themeColor="text1"/>
          <w:sz w:val="20"/>
          <w:szCs w:val="20"/>
        </w:rPr>
        <w:t>under paragraph 5b of ICCAT Recommendation 24-16</w:t>
      </w:r>
    </w:p>
    <w:p w14:paraId="411F0AD0" w14:textId="77777777" w:rsidR="00AA2A52" w:rsidRPr="00F7797F" w:rsidRDefault="00AA2A52" w:rsidP="00741B44">
      <w:pPr>
        <w:spacing w:after="0" w:line="240" w:lineRule="auto"/>
        <w:jc w:val="both"/>
        <w:rPr>
          <w:rFonts w:ascii="Cambria" w:eastAsia="Times New Roman" w:hAnsi="Cambria" w:cs="Times New Roman"/>
          <w:color w:val="000000" w:themeColor="text1"/>
          <w:sz w:val="20"/>
          <w:szCs w:val="20"/>
        </w:rPr>
      </w:pPr>
    </w:p>
    <w:p w14:paraId="54C8FAFA" w14:textId="21E2C12E" w:rsidR="4BC23E5B" w:rsidRPr="00F7797F" w:rsidRDefault="4BC23E5B" w:rsidP="00741B44">
      <w:pPr>
        <w:spacing w:after="0" w:line="240" w:lineRule="auto"/>
        <w:jc w:val="both"/>
        <w:rPr>
          <w:rFonts w:ascii="Cambria" w:eastAsia="Times New Roman" w:hAnsi="Cambria" w:cs="Times New Roman"/>
          <w:color w:val="000000" w:themeColor="text1"/>
          <w:sz w:val="20"/>
          <w:szCs w:val="20"/>
        </w:rPr>
      </w:pPr>
      <w:r w:rsidRPr="00F7797F">
        <w:rPr>
          <w:rFonts w:ascii="Cambria" w:eastAsia="Times New Roman" w:hAnsi="Cambria" w:cs="Times New Roman"/>
          <w:color w:val="000000" w:themeColor="text1"/>
          <w:sz w:val="20"/>
          <w:szCs w:val="20"/>
        </w:rPr>
        <w:t>The data presented hereunder corresponds to the period 1 January 2024 to 31 December 2024. These data were partially extracted through the functionality in the eBCD system. Additional data on verification was received from the Member States administrations.</w:t>
      </w:r>
    </w:p>
    <w:p w14:paraId="01D5CBE8" w14:textId="77777777" w:rsidR="00AA2A52" w:rsidRPr="00F7797F" w:rsidRDefault="00AA2A52" w:rsidP="00741B44">
      <w:pPr>
        <w:spacing w:after="0" w:line="240" w:lineRule="auto"/>
        <w:jc w:val="both"/>
        <w:rPr>
          <w:rFonts w:ascii="Cambria" w:eastAsia="Times New Roman" w:hAnsi="Cambria" w:cs="Times New Roman"/>
          <w:color w:val="000000" w:themeColor="text1"/>
          <w:sz w:val="20"/>
          <w:szCs w:val="20"/>
        </w:rPr>
      </w:pPr>
    </w:p>
    <w:p w14:paraId="621B9235" w14:textId="5EB2C84D" w:rsidR="4BC23E5B" w:rsidRPr="00F7797F" w:rsidRDefault="0735E4F6" w:rsidP="00741B44">
      <w:pPr>
        <w:spacing w:after="0" w:line="240" w:lineRule="auto"/>
        <w:jc w:val="both"/>
        <w:rPr>
          <w:rFonts w:ascii="Cambria" w:eastAsia="Times New Roman" w:hAnsi="Cambria" w:cs="Times New Roman"/>
          <w:color w:val="000000" w:themeColor="text1"/>
          <w:sz w:val="20"/>
          <w:szCs w:val="20"/>
        </w:rPr>
      </w:pPr>
      <w:r w:rsidRPr="00F7797F">
        <w:rPr>
          <w:rFonts w:ascii="Cambria" w:eastAsia="Times New Roman" w:hAnsi="Cambria" w:cs="Times New Roman"/>
          <w:color w:val="000000" w:themeColor="text1"/>
          <w:sz w:val="20"/>
          <w:szCs w:val="20"/>
        </w:rPr>
        <w:t xml:space="preserve">The scope of this report has been restricted to the trade events for </w:t>
      </w:r>
      <w:r w:rsidR="007E38B4" w:rsidRPr="00F7797F">
        <w:rPr>
          <w:rFonts w:ascii="Cambria" w:eastAsia="Times New Roman" w:hAnsi="Cambria" w:cs="Times New Roman"/>
          <w:color w:val="000000" w:themeColor="text1"/>
          <w:sz w:val="20"/>
          <w:szCs w:val="20"/>
        </w:rPr>
        <w:t>b</w:t>
      </w:r>
      <w:r w:rsidRPr="00F7797F">
        <w:rPr>
          <w:rFonts w:ascii="Cambria" w:eastAsia="Times New Roman" w:hAnsi="Cambria" w:cs="Times New Roman"/>
          <w:color w:val="000000" w:themeColor="text1"/>
          <w:sz w:val="20"/>
          <w:szCs w:val="20"/>
        </w:rPr>
        <w:t>luefin tuna from seller in EU Member States, to avoid duplication, and because the selling Member State is responsible for the validation of the trade in eBCD.</w:t>
      </w:r>
    </w:p>
    <w:p w14:paraId="462EE6BC" w14:textId="77777777" w:rsidR="00AA2A52" w:rsidRPr="00F7797F" w:rsidRDefault="00AA2A52" w:rsidP="00741B44">
      <w:pPr>
        <w:spacing w:after="0" w:line="240" w:lineRule="auto"/>
        <w:jc w:val="both"/>
        <w:rPr>
          <w:rFonts w:ascii="Cambria" w:eastAsia="Times New Roman" w:hAnsi="Cambria" w:cs="Times New Roman"/>
          <w:color w:val="000000" w:themeColor="text1"/>
          <w:sz w:val="20"/>
          <w:szCs w:val="20"/>
        </w:rPr>
      </w:pPr>
    </w:p>
    <w:p w14:paraId="2AB09F67" w14:textId="3E69A7F1" w:rsidR="1C116FD1" w:rsidRPr="00F7797F" w:rsidRDefault="1C116FD1" w:rsidP="00741B44">
      <w:pPr>
        <w:spacing w:after="0" w:line="240" w:lineRule="auto"/>
        <w:jc w:val="both"/>
        <w:rPr>
          <w:rFonts w:ascii="Cambria" w:eastAsia="Times New Roman" w:hAnsi="Cambria" w:cs="Times New Roman"/>
          <w:color w:val="000000" w:themeColor="text1"/>
          <w:sz w:val="20"/>
          <w:szCs w:val="20"/>
        </w:rPr>
      </w:pPr>
      <w:r w:rsidRPr="00F7797F">
        <w:rPr>
          <w:rFonts w:ascii="Cambria" w:eastAsia="Times New Roman" w:hAnsi="Cambria" w:cs="Times New Roman"/>
          <w:color w:val="000000" w:themeColor="text1"/>
          <w:sz w:val="20"/>
          <w:szCs w:val="20"/>
        </w:rPr>
        <w:t xml:space="preserve">In 2024, the EU Member States recorded </w:t>
      </w:r>
      <w:r w:rsidR="421F661D" w:rsidRPr="00F7797F">
        <w:rPr>
          <w:rFonts w:ascii="Cambria" w:eastAsia="Times New Roman" w:hAnsi="Cambria" w:cs="Times New Roman"/>
          <w:color w:val="000000" w:themeColor="text1"/>
          <w:sz w:val="20"/>
          <w:szCs w:val="20"/>
        </w:rPr>
        <w:t>229</w:t>
      </w:r>
      <w:r w:rsidR="00313AE9" w:rsidRPr="00F7797F">
        <w:rPr>
          <w:rFonts w:ascii="Cambria" w:eastAsia="Times New Roman" w:hAnsi="Cambria" w:cs="Times New Roman"/>
          <w:color w:val="000000" w:themeColor="text1"/>
          <w:sz w:val="20"/>
          <w:szCs w:val="20"/>
        </w:rPr>
        <w:t>,</w:t>
      </w:r>
      <w:r w:rsidR="421F661D" w:rsidRPr="00F7797F">
        <w:rPr>
          <w:rFonts w:ascii="Cambria" w:eastAsia="Times New Roman" w:hAnsi="Cambria" w:cs="Times New Roman"/>
          <w:color w:val="000000" w:themeColor="text1"/>
          <w:sz w:val="20"/>
          <w:szCs w:val="20"/>
        </w:rPr>
        <w:t>139</w:t>
      </w:r>
      <w:r w:rsidRPr="00F7797F">
        <w:rPr>
          <w:rFonts w:ascii="Cambria" w:eastAsia="Times New Roman" w:hAnsi="Cambria" w:cs="Times New Roman"/>
          <w:color w:val="000000" w:themeColor="text1"/>
          <w:sz w:val="20"/>
          <w:szCs w:val="20"/>
        </w:rPr>
        <w:t xml:space="preserve"> trade events</w:t>
      </w:r>
      <w:r w:rsidRPr="00F7797F">
        <w:rPr>
          <w:rStyle w:val="FootnoteReference"/>
          <w:rFonts w:ascii="Cambria" w:eastAsia="Times New Roman" w:hAnsi="Cambria" w:cs="Times New Roman"/>
          <w:color w:val="000000" w:themeColor="text1"/>
          <w:sz w:val="20"/>
          <w:szCs w:val="20"/>
        </w:rPr>
        <w:footnoteReference w:id="1"/>
      </w:r>
      <w:r w:rsidRPr="00F7797F">
        <w:rPr>
          <w:rFonts w:ascii="Cambria" w:eastAsia="Times New Roman" w:hAnsi="Cambria" w:cs="Times New Roman"/>
          <w:color w:val="000000" w:themeColor="text1"/>
          <w:sz w:val="20"/>
          <w:szCs w:val="20"/>
        </w:rPr>
        <w:t xml:space="preserve"> in the eBCD system involving </w:t>
      </w:r>
      <w:r w:rsidR="4709CB73" w:rsidRPr="00F7797F">
        <w:rPr>
          <w:rFonts w:ascii="Cambria" w:eastAsia="Times New Roman" w:hAnsi="Cambria" w:cs="Times New Roman"/>
          <w:color w:val="000000" w:themeColor="text1"/>
          <w:sz w:val="20"/>
          <w:szCs w:val="20"/>
        </w:rPr>
        <w:t>49</w:t>
      </w:r>
      <w:r w:rsidR="008B392F" w:rsidRPr="00F7797F">
        <w:rPr>
          <w:rFonts w:ascii="Cambria" w:eastAsia="Times New Roman" w:hAnsi="Cambria" w:cs="Times New Roman"/>
          <w:color w:val="000000" w:themeColor="text1"/>
          <w:sz w:val="20"/>
          <w:szCs w:val="20"/>
        </w:rPr>
        <w:t>,</w:t>
      </w:r>
      <w:r w:rsidR="4709CB73" w:rsidRPr="00F7797F">
        <w:rPr>
          <w:rFonts w:ascii="Cambria" w:eastAsia="Times New Roman" w:hAnsi="Cambria" w:cs="Times New Roman"/>
          <w:color w:val="000000" w:themeColor="text1"/>
          <w:sz w:val="20"/>
          <w:szCs w:val="20"/>
        </w:rPr>
        <w:t>506</w:t>
      </w:r>
      <w:r w:rsidR="73014B68" w:rsidRPr="00F7797F">
        <w:rPr>
          <w:rFonts w:ascii="Cambria" w:eastAsia="Times New Roman" w:hAnsi="Cambria" w:cs="Times New Roman"/>
          <w:color w:val="000000" w:themeColor="text1"/>
          <w:sz w:val="20"/>
          <w:szCs w:val="20"/>
        </w:rPr>
        <w:t xml:space="preserve"> </w:t>
      </w:r>
      <w:r w:rsidRPr="00F7797F">
        <w:rPr>
          <w:rFonts w:ascii="Cambria" w:eastAsia="Times New Roman" w:hAnsi="Cambria" w:cs="Times New Roman"/>
          <w:color w:val="000000" w:themeColor="text1"/>
          <w:sz w:val="20"/>
          <w:szCs w:val="20"/>
        </w:rPr>
        <w:t>t. Regulation (EU) 640/2010</w:t>
      </w:r>
      <w:r w:rsidRPr="00F7797F">
        <w:rPr>
          <w:rStyle w:val="FootnoteReference"/>
          <w:rFonts w:ascii="Cambria" w:eastAsia="Times New Roman" w:hAnsi="Cambria" w:cs="Times New Roman"/>
          <w:color w:val="000000" w:themeColor="text1"/>
          <w:sz w:val="20"/>
          <w:szCs w:val="20"/>
        </w:rPr>
        <w:footnoteReference w:id="2"/>
      </w:r>
      <w:r w:rsidRPr="00F7797F">
        <w:rPr>
          <w:rFonts w:ascii="Cambria" w:eastAsia="Times New Roman" w:hAnsi="Cambria" w:cs="Times New Roman"/>
          <w:color w:val="000000" w:themeColor="text1"/>
          <w:sz w:val="20"/>
          <w:szCs w:val="20"/>
        </w:rPr>
        <w:t xml:space="preserve"> provides the obligation to register trade events inside of the EU-Member States. Consequently, </w:t>
      </w:r>
      <w:r w:rsidR="5FD9157A" w:rsidRPr="00F7797F">
        <w:rPr>
          <w:rFonts w:ascii="Cambria" w:eastAsia="Times New Roman" w:hAnsi="Cambria" w:cs="Times New Roman"/>
          <w:color w:val="000000" w:themeColor="text1"/>
          <w:sz w:val="20"/>
          <w:szCs w:val="20"/>
        </w:rPr>
        <w:t>71</w:t>
      </w:r>
      <w:r w:rsidRPr="00F7797F">
        <w:rPr>
          <w:rFonts w:ascii="Cambria" w:eastAsia="Times New Roman" w:hAnsi="Cambria" w:cs="Times New Roman"/>
          <w:color w:val="000000" w:themeColor="text1"/>
          <w:sz w:val="20"/>
          <w:szCs w:val="20"/>
        </w:rPr>
        <w:t>% of the trades recorded in the eBCD by the EU are internal trades inside single EU Member States’ territories (</w:t>
      </w:r>
      <w:r w:rsidR="78DFF35A" w:rsidRPr="00F7797F">
        <w:rPr>
          <w:rFonts w:ascii="Cambria" w:eastAsia="Times New Roman" w:hAnsi="Cambria" w:cs="Times New Roman"/>
          <w:color w:val="000000" w:themeColor="text1"/>
          <w:sz w:val="20"/>
          <w:szCs w:val="20"/>
        </w:rPr>
        <w:t>161</w:t>
      </w:r>
      <w:r w:rsidR="00217305" w:rsidRPr="00F7797F">
        <w:rPr>
          <w:rFonts w:ascii="Cambria" w:eastAsia="Times New Roman" w:hAnsi="Cambria" w:cs="Times New Roman"/>
          <w:color w:val="000000" w:themeColor="text1"/>
          <w:sz w:val="20"/>
          <w:szCs w:val="20"/>
        </w:rPr>
        <w:t>,</w:t>
      </w:r>
      <w:r w:rsidR="78DFF35A" w:rsidRPr="00F7797F">
        <w:rPr>
          <w:rFonts w:ascii="Cambria" w:eastAsia="Times New Roman" w:hAnsi="Cambria" w:cs="Times New Roman"/>
          <w:color w:val="000000" w:themeColor="text1"/>
          <w:sz w:val="20"/>
          <w:szCs w:val="20"/>
        </w:rPr>
        <w:t>920</w:t>
      </w:r>
      <w:r w:rsidRPr="00F7797F">
        <w:rPr>
          <w:rFonts w:ascii="Cambria" w:eastAsia="Times New Roman" w:hAnsi="Cambria" w:cs="Times New Roman"/>
          <w:color w:val="000000" w:themeColor="text1"/>
          <w:sz w:val="20"/>
          <w:szCs w:val="20"/>
        </w:rPr>
        <w:t xml:space="preserve"> trades). The remaining trades includ</w:t>
      </w:r>
      <w:r w:rsidR="28173ABD" w:rsidRPr="00F7797F">
        <w:rPr>
          <w:rFonts w:ascii="Cambria" w:eastAsia="Times New Roman" w:hAnsi="Cambria" w:cs="Times New Roman"/>
          <w:color w:val="000000" w:themeColor="text1"/>
          <w:sz w:val="20"/>
          <w:szCs w:val="20"/>
        </w:rPr>
        <w:t>e 26</w:t>
      </w:r>
      <w:r w:rsidR="00F20E02" w:rsidRPr="00F7797F">
        <w:rPr>
          <w:rFonts w:ascii="Cambria" w:eastAsia="Times New Roman" w:hAnsi="Cambria" w:cs="Times New Roman"/>
          <w:color w:val="000000" w:themeColor="text1"/>
          <w:sz w:val="20"/>
          <w:szCs w:val="20"/>
        </w:rPr>
        <w:t>,</w:t>
      </w:r>
      <w:r w:rsidR="28173ABD" w:rsidRPr="00F7797F">
        <w:rPr>
          <w:rFonts w:ascii="Cambria" w:eastAsia="Times New Roman" w:hAnsi="Cambria" w:cs="Times New Roman"/>
          <w:color w:val="000000" w:themeColor="text1"/>
          <w:sz w:val="20"/>
          <w:szCs w:val="20"/>
        </w:rPr>
        <w:t xml:space="preserve">826 </w:t>
      </w:r>
      <w:r w:rsidRPr="00F7797F">
        <w:rPr>
          <w:rFonts w:ascii="Cambria" w:eastAsia="Times New Roman" w:hAnsi="Cambria" w:cs="Times New Roman"/>
          <w:color w:val="000000" w:themeColor="text1"/>
          <w:sz w:val="20"/>
          <w:szCs w:val="20"/>
        </w:rPr>
        <w:t>exports to other non-EU countries (either ICCAT CPC or not) (</w:t>
      </w:r>
      <w:r w:rsidR="041CE8BF" w:rsidRPr="00F7797F">
        <w:rPr>
          <w:rFonts w:ascii="Cambria" w:eastAsia="Times New Roman" w:hAnsi="Cambria" w:cs="Times New Roman"/>
          <w:color w:val="000000" w:themeColor="text1"/>
          <w:sz w:val="20"/>
          <w:szCs w:val="20"/>
        </w:rPr>
        <w:t>12</w:t>
      </w:r>
      <w:r w:rsidRPr="00F7797F">
        <w:rPr>
          <w:rFonts w:ascii="Cambria" w:eastAsia="Times New Roman" w:hAnsi="Cambria" w:cs="Times New Roman"/>
          <w:color w:val="000000" w:themeColor="text1"/>
          <w:sz w:val="20"/>
          <w:szCs w:val="20"/>
        </w:rPr>
        <w:t xml:space="preserve">%), and </w:t>
      </w:r>
      <w:r w:rsidR="7C4648C3" w:rsidRPr="00F7797F">
        <w:rPr>
          <w:rFonts w:ascii="Cambria" w:eastAsia="Times New Roman" w:hAnsi="Cambria" w:cs="Times New Roman"/>
          <w:color w:val="000000" w:themeColor="text1"/>
          <w:sz w:val="20"/>
          <w:szCs w:val="20"/>
        </w:rPr>
        <w:t>55</w:t>
      </w:r>
      <w:r w:rsidR="00F20E02" w:rsidRPr="00F7797F">
        <w:rPr>
          <w:rFonts w:ascii="Cambria" w:eastAsia="Times New Roman" w:hAnsi="Cambria" w:cs="Times New Roman"/>
          <w:color w:val="000000" w:themeColor="text1"/>
          <w:sz w:val="20"/>
          <w:szCs w:val="20"/>
        </w:rPr>
        <w:t>,</w:t>
      </w:r>
      <w:r w:rsidR="7C4648C3" w:rsidRPr="00F7797F">
        <w:rPr>
          <w:rFonts w:ascii="Cambria" w:eastAsia="Times New Roman" w:hAnsi="Cambria" w:cs="Times New Roman"/>
          <w:color w:val="000000" w:themeColor="text1"/>
          <w:sz w:val="20"/>
          <w:szCs w:val="20"/>
        </w:rPr>
        <w:t xml:space="preserve">863 </w:t>
      </w:r>
      <w:r w:rsidRPr="00F7797F">
        <w:rPr>
          <w:rFonts w:ascii="Cambria" w:eastAsia="Times New Roman" w:hAnsi="Cambria" w:cs="Times New Roman"/>
          <w:color w:val="000000" w:themeColor="text1"/>
          <w:sz w:val="20"/>
          <w:szCs w:val="20"/>
        </w:rPr>
        <w:t>trades between EU Member States (2</w:t>
      </w:r>
      <w:r w:rsidR="264D8613" w:rsidRPr="00F7797F">
        <w:rPr>
          <w:rFonts w:ascii="Cambria" w:eastAsia="Times New Roman" w:hAnsi="Cambria" w:cs="Times New Roman"/>
          <w:color w:val="000000" w:themeColor="text1"/>
          <w:sz w:val="20"/>
          <w:szCs w:val="20"/>
        </w:rPr>
        <w:t>4</w:t>
      </w:r>
      <w:r w:rsidRPr="00F7797F">
        <w:rPr>
          <w:rFonts w:ascii="Cambria" w:eastAsia="Times New Roman" w:hAnsi="Cambria" w:cs="Times New Roman"/>
          <w:color w:val="000000" w:themeColor="text1"/>
          <w:sz w:val="20"/>
          <w:szCs w:val="20"/>
        </w:rPr>
        <w:t xml:space="preserve">%). </w:t>
      </w:r>
    </w:p>
    <w:p w14:paraId="636C92AA" w14:textId="77777777" w:rsidR="00AA2A52" w:rsidRPr="00F7797F" w:rsidRDefault="00AA2A52" w:rsidP="00741B44">
      <w:pPr>
        <w:spacing w:after="0" w:line="240" w:lineRule="auto"/>
        <w:jc w:val="both"/>
        <w:rPr>
          <w:rFonts w:ascii="Cambria" w:eastAsia="Times New Roman" w:hAnsi="Cambria" w:cs="Times New Roman"/>
          <w:color w:val="000000" w:themeColor="text1"/>
          <w:sz w:val="20"/>
          <w:szCs w:val="20"/>
        </w:rPr>
      </w:pPr>
    </w:p>
    <w:p w14:paraId="7951CF13" w14:textId="5622A73D" w:rsidR="1C116FD1" w:rsidRPr="00F7797F" w:rsidRDefault="1C116FD1" w:rsidP="00741B44">
      <w:pPr>
        <w:spacing w:after="0" w:line="240" w:lineRule="auto"/>
        <w:jc w:val="both"/>
        <w:rPr>
          <w:rFonts w:ascii="Cambria" w:eastAsia="Times New Roman" w:hAnsi="Cambria" w:cs="Times New Roman"/>
          <w:color w:val="000000" w:themeColor="text1"/>
          <w:sz w:val="20"/>
          <w:szCs w:val="20"/>
        </w:rPr>
      </w:pPr>
      <w:r w:rsidRPr="00F7797F">
        <w:rPr>
          <w:rFonts w:ascii="Cambria" w:eastAsia="Times New Roman" w:hAnsi="Cambria" w:cs="Times New Roman"/>
          <w:color w:val="000000" w:themeColor="text1"/>
          <w:sz w:val="20"/>
          <w:szCs w:val="20"/>
        </w:rPr>
        <w:t>The quantities involved amounted to 1</w:t>
      </w:r>
      <w:r w:rsidR="0C31B13D" w:rsidRPr="00F7797F">
        <w:rPr>
          <w:rFonts w:ascii="Cambria" w:eastAsia="Times New Roman" w:hAnsi="Cambria" w:cs="Times New Roman"/>
          <w:color w:val="000000" w:themeColor="text1"/>
          <w:sz w:val="20"/>
          <w:szCs w:val="20"/>
        </w:rPr>
        <w:t>3</w:t>
      </w:r>
      <w:r w:rsidR="00F20E02" w:rsidRPr="00F7797F">
        <w:rPr>
          <w:rFonts w:ascii="Cambria" w:eastAsia="Times New Roman" w:hAnsi="Cambria" w:cs="Times New Roman"/>
          <w:color w:val="000000" w:themeColor="text1"/>
          <w:sz w:val="20"/>
          <w:szCs w:val="20"/>
        </w:rPr>
        <w:t>,</w:t>
      </w:r>
      <w:r w:rsidR="0C31B13D" w:rsidRPr="00F7797F">
        <w:rPr>
          <w:rFonts w:ascii="Cambria" w:eastAsia="Times New Roman" w:hAnsi="Cambria" w:cs="Times New Roman"/>
          <w:color w:val="000000" w:themeColor="text1"/>
          <w:sz w:val="20"/>
          <w:szCs w:val="20"/>
        </w:rPr>
        <w:t>689</w:t>
      </w:r>
      <w:r w:rsidRPr="00F7797F">
        <w:rPr>
          <w:rFonts w:ascii="Cambria" w:eastAsia="Times New Roman" w:hAnsi="Cambria" w:cs="Times New Roman"/>
          <w:color w:val="000000" w:themeColor="text1"/>
          <w:sz w:val="20"/>
          <w:szCs w:val="20"/>
        </w:rPr>
        <w:t xml:space="preserve"> t (2</w:t>
      </w:r>
      <w:r w:rsidR="433EAA74" w:rsidRPr="00F7797F">
        <w:rPr>
          <w:rFonts w:ascii="Cambria" w:eastAsia="Times New Roman" w:hAnsi="Cambria" w:cs="Times New Roman"/>
          <w:color w:val="000000" w:themeColor="text1"/>
          <w:sz w:val="20"/>
          <w:szCs w:val="20"/>
        </w:rPr>
        <w:t>8</w:t>
      </w:r>
      <w:r w:rsidRPr="00F7797F">
        <w:rPr>
          <w:rFonts w:ascii="Cambria" w:eastAsia="Times New Roman" w:hAnsi="Cambria" w:cs="Times New Roman"/>
          <w:color w:val="000000" w:themeColor="text1"/>
          <w:sz w:val="20"/>
          <w:szCs w:val="20"/>
        </w:rPr>
        <w:t>%) for internal trades, and 3</w:t>
      </w:r>
      <w:r w:rsidR="371E1094" w:rsidRPr="00F7797F">
        <w:rPr>
          <w:rFonts w:ascii="Cambria" w:eastAsia="Times New Roman" w:hAnsi="Cambria" w:cs="Times New Roman"/>
          <w:color w:val="000000" w:themeColor="text1"/>
          <w:sz w:val="20"/>
          <w:szCs w:val="20"/>
        </w:rPr>
        <w:t>0</w:t>
      </w:r>
      <w:r w:rsidR="00F20E02" w:rsidRPr="00F7797F">
        <w:rPr>
          <w:rFonts w:ascii="Cambria" w:eastAsia="Times New Roman" w:hAnsi="Cambria" w:cs="Times New Roman"/>
          <w:color w:val="000000" w:themeColor="text1"/>
          <w:sz w:val="20"/>
          <w:szCs w:val="20"/>
        </w:rPr>
        <w:t>,</w:t>
      </w:r>
      <w:r w:rsidR="5CA05036" w:rsidRPr="00F7797F">
        <w:rPr>
          <w:rFonts w:ascii="Cambria" w:eastAsia="Times New Roman" w:hAnsi="Cambria" w:cs="Times New Roman"/>
          <w:color w:val="000000" w:themeColor="text1"/>
          <w:sz w:val="20"/>
          <w:szCs w:val="20"/>
        </w:rPr>
        <w:t>956</w:t>
      </w:r>
      <w:r w:rsidRPr="00F7797F">
        <w:rPr>
          <w:rFonts w:ascii="Cambria" w:eastAsia="Times New Roman" w:hAnsi="Cambria" w:cs="Times New Roman"/>
          <w:color w:val="000000" w:themeColor="text1"/>
          <w:sz w:val="20"/>
          <w:szCs w:val="20"/>
        </w:rPr>
        <w:t xml:space="preserve"> t (6</w:t>
      </w:r>
      <w:r w:rsidR="73247B8D" w:rsidRPr="00F7797F">
        <w:rPr>
          <w:rFonts w:ascii="Cambria" w:eastAsia="Times New Roman" w:hAnsi="Cambria" w:cs="Times New Roman"/>
          <w:color w:val="000000" w:themeColor="text1"/>
          <w:sz w:val="20"/>
          <w:szCs w:val="20"/>
        </w:rPr>
        <w:t>3</w:t>
      </w:r>
      <w:r w:rsidRPr="00F7797F">
        <w:rPr>
          <w:rFonts w:ascii="Cambria" w:eastAsia="Times New Roman" w:hAnsi="Cambria" w:cs="Times New Roman"/>
          <w:color w:val="000000" w:themeColor="text1"/>
          <w:sz w:val="20"/>
          <w:szCs w:val="20"/>
        </w:rPr>
        <w:t>%) for exports. Trades between EU Member States amounted to 4</w:t>
      </w:r>
      <w:r w:rsidR="00F20E02" w:rsidRPr="00F7797F">
        <w:rPr>
          <w:rFonts w:ascii="Cambria" w:eastAsia="Times New Roman" w:hAnsi="Cambria" w:cs="Times New Roman"/>
          <w:color w:val="000000" w:themeColor="text1"/>
          <w:sz w:val="20"/>
          <w:szCs w:val="20"/>
        </w:rPr>
        <w:t>,</w:t>
      </w:r>
      <w:r w:rsidR="3B0E07F1" w:rsidRPr="00F7797F">
        <w:rPr>
          <w:rFonts w:ascii="Cambria" w:eastAsia="Times New Roman" w:hAnsi="Cambria" w:cs="Times New Roman"/>
          <w:color w:val="000000" w:themeColor="text1"/>
          <w:sz w:val="20"/>
          <w:szCs w:val="20"/>
        </w:rPr>
        <w:t>048</w:t>
      </w:r>
      <w:r w:rsidRPr="00F7797F">
        <w:rPr>
          <w:rFonts w:ascii="Cambria" w:eastAsia="Times New Roman" w:hAnsi="Cambria" w:cs="Times New Roman"/>
          <w:color w:val="000000" w:themeColor="text1"/>
          <w:sz w:val="20"/>
          <w:szCs w:val="20"/>
        </w:rPr>
        <w:t xml:space="preserve"> t, which represents </w:t>
      </w:r>
      <w:r w:rsidR="375FF729" w:rsidRPr="00F7797F">
        <w:rPr>
          <w:rFonts w:ascii="Cambria" w:eastAsia="Times New Roman" w:hAnsi="Cambria" w:cs="Times New Roman"/>
          <w:color w:val="000000" w:themeColor="text1"/>
          <w:sz w:val="20"/>
          <w:szCs w:val="20"/>
        </w:rPr>
        <w:t>8</w:t>
      </w:r>
      <w:r w:rsidRPr="00F7797F">
        <w:rPr>
          <w:rFonts w:ascii="Cambria" w:eastAsia="Times New Roman" w:hAnsi="Cambria" w:cs="Times New Roman"/>
          <w:color w:val="000000" w:themeColor="text1"/>
          <w:sz w:val="20"/>
          <w:szCs w:val="20"/>
        </w:rPr>
        <w:t>% of the total weight traded (</w:t>
      </w:r>
      <w:r w:rsidRPr="00F7797F">
        <w:rPr>
          <w:rFonts w:ascii="Cambria" w:eastAsia="Times New Roman" w:hAnsi="Cambria" w:cs="Times New Roman"/>
          <w:b/>
          <w:bCs/>
          <w:color w:val="000000" w:themeColor="text1"/>
          <w:sz w:val="20"/>
          <w:szCs w:val="20"/>
        </w:rPr>
        <w:t>Figure 1</w:t>
      </w:r>
      <w:r w:rsidRPr="00F7797F">
        <w:rPr>
          <w:rFonts w:ascii="Cambria" w:eastAsia="Times New Roman" w:hAnsi="Cambria" w:cs="Times New Roman"/>
          <w:color w:val="000000" w:themeColor="text1"/>
          <w:sz w:val="20"/>
          <w:szCs w:val="20"/>
        </w:rPr>
        <w:t>).</w:t>
      </w:r>
    </w:p>
    <w:p w14:paraId="0F8CA766" w14:textId="38165E65" w:rsidR="31DB0E87" w:rsidRPr="00F7797F" w:rsidRDefault="31DB0E87" w:rsidP="00741B44">
      <w:pPr>
        <w:spacing w:after="0" w:line="240" w:lineRule="auto"/>
        <w:jc w:val="center"/>
        <w:rPr>
          <w:rFonts w:ascii="Cambria" w:hAnsi="Cambria"/>
          <w:sz w:val="20"/>
          <w:szCs w:val="20"/>
        </w:rPr>
      </w:pPr>
      <w:r w:rsidRPr="00F7797F">
        <w:rPr>
          <w:rFonts w:ascii="Cambria" w:hAnsi="Cambria"/>
          <w:noProof/>
          <w:sz w:val="20"/>
          <w:szCs w:val="20"/>
        </w:rPr>
        <w:lastRenderedPageBreak/>
        <w:drawing>
          <wp:inline distT="0" distB="0" distL="0" distR="0" wp14:anchorId="7730E4AD" wp14:editId="3EA9A6DA">
            <wp:extent cx="3860353" cy="2802466"/>
            <wp:effectExtent l="0" t="0" r="6985" b="0"/>
            <wp:docPr id="17863109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34684" name=""/>
                    <pic:cNvPicPr/>
                  </pic:nvPicPr>
                  <pic:blipFill>
                    <a:blip r:embed="rId7">
                      <a:extLst>
                        <a:ext uri="{28A0092B-C50C-407E-A947-70E740481C1C}">
                          <a14:useLocalDpi xmlns:a14="http://schemas.microsoft.com/office/drawing/2010/main"/>
                        </a:ext>
                      </a:extLst>
                    </a:blip>
                    <a:stretch>
                      <a:fillRect/>
                    </a:stretch>
                  </pic:blipFill>
                  <pic:spPr>
                    <a:xfrm>
                      <a:off x="0" y="0"/>
                      <a:ext cx="3868105" cy="2808093"/>
                    </a:xfrm>
                    <a:prstGeom prst="rect">
                      <a:avLst/>
                    </a:prstGeom>
                  </pic:spPr>
                </pic:pic>
              </a:graphicData>
            </a:graphic>
          </wp:inline>
        </w:drawing>
      </w:r>
    </w:p>
    <w:p w14:paraId="637EA28A" w14:textId="77777777" w:rsidR="005053CA" w:rsidRPr="00F7797F" w:rsidRDefault="005053CA" w:rsidP="00741B44">
      <w:pPr>
        <w:spacing w:after="0" w:line="240" w:lineRule="auto"/>
        <w:jc w:val="both"/>
        <w:rPr>
          <w:rFonts w:ascii="Cambria" w:eastAsia="Times New Roman" w:hAnsi="Cambria" w:cs="Times New Roman"/>
          <w:i/>
          <w:iCs/>
          <w:color w:val="000000" w:themeColor="text1"/>
          <w:sz w:val="20"/>
          <w:szCs w:val="20"/>
        </w:rPr>
      </w:pPr>
    </w:p>
    <w:p w14:paraId="1431F6C5" w14:textId="77777777" w:rsidR="006F1088" w:rsidRPr="00F7797F" w:rsidRDefault="006F1088" w:rsidP="00741B44">
      <w:pPr>
        <w:spacing w:after="0" w:line="240" w:lineRule="auto"/>
        <w:jc w:val="both"/>
        <w:rPr>
          <w:rFonts w:ascii="Cambria" w:eastAsia="Times New Roman" w:hAnsi="Cambria" w:cs="Times New Roman"/>
          <w:i/>
          <w:iCs/>
          <w:color w:val="000000" w:themeColor="text1"/>
          <w:sz w:val="20"/>
          <w:szCs w:val="20"/>
        </w:rPr>
      </w:pPr>
    </w:p>
    <w:p w14:paraId="26D3209E" w14:textId="249E2F05" w:rsidR="4F76BCD6" w:rsidRPr="00F7797F" w:rsidRDefault="4F76BCD6" w:rsidP="00741B44">
      <w:pPr>
        <w:spacing w:after="0" w:line="240" w:lineRule="auto"/>
        <w:jc w:val="both"/>
        <w:rPr>
          <w:rFonts w:ascii="Cambria" w:eastAsia="Times New Roman" w:hAnsi="Cambria" w:cs="Times New Roman"/>
          <w:sz w:val="20"/>
          <w:szCs w:val="20"/>
        </w:rPr>
      </w:pPr>
      <w:r w:rsidRPr="00F7797F">
        <w:rPr>
          <w:rFonts w:ascii="Cambria" w:eastAsia="Times New Roman" w:hAnsi="Cambria" w:cs="Times New Roman"/>
          <w:i/>
          <w:iCs/>
          <w:color w:val="000000" w:themeColor="text1"/>
          <w:sz w:val="20"/>
          <w:szCs w:val="20"/>
        </w:rPr>
        <w:t xml:space="preserve">Exports: trades from the EU to other CPCs. Trades between EU-MS: trades between EU Member </w:t>
      </w:r>
      <w:r w:rsidR="00293845" w:rsidRPr="00F7797F">
        <w:rPr>
          <w:rFonts w:ascii="Cambria" w:eastAsia="Times New Roman" w:hAnsi="Cambria" w:cs="Times New Roman"/>
          <w:i/>
          <w:iCs/>
          <w:color w:val="000000" w:themeColor="text1"/>
          <w:sz w:val="20"/>
          <w:szCs w:val="20"/>
        </w:rPr>
        <w:t>States</w:t>
      </w:r>
      <w:r w:rsidRPr="00F7797F">
        <w:rPr>
          <w:rFonts w:ascii="Cambria" w:eastAsia="Times New Roman" w:hAnsi="Cambria" w:cs="Times New Roman"/>
          <w:i/>
          <w:iCs/>
          <w:color w:val="000000" w:themeColor="text1"/>
          <w:sz w:val="20"/>
          <w:szCs w:val="20"/>
        </w:rPr>
        <w:t>. Internal trades: trades inside EU Member States territories.</w:t>
      </w:r>
    </w:p>
    <w:p w14:paraId="3EF4493E" w14:textId="77777777" w:rsidR="00AA2A52" w:rsidRPr="00F7797F" w:rsidRDefault="00AA2A52" w:rsidP="00741B44">
      <w:pPr>
        <w:spacing w:after="0" w:line="240" w:lineRule="auto"/>
        <w:jc w:val="both"/>
        <w:rPr>
          <w:rFonts w:ascii="Cambria" w:eastAsia="Times New Roman" w:hAnsi="Cambria" w:cs="Times New Roman"/>
          <w:color w:val="000000" w:themeColor="text1"/>
          <w:sz w:val="20"/>
          <w:szCs w:val="20"/>
        </w:rPr>
      </w:pPr>
    </w:p>
    <w:p w14:paraId="0F133028" w14:textId="371AA117" w:rsidR="289210A1" w:rsidRPr="00F7797F" w:rsidRDefault="4F76BCD6" w:rsidP="00741B44">
      <w:pPr>
        <w:spacing w:after="0" w:line="240" w:lineRule="auto"/>
        <w:jc w:val="both"/>
        <w:rPr>
          <w:rFonts w:ascii="Cambria" w:eastAsia="Times New Roman" w:hAnsi="Cambria" w:cs="Times New Roman"/>
          <w:sz w:val="20"/>
          <w:szCs w:val="20"/>
        </w:rPr>
      </w:pPr>
      <w:r w:rsidRPr="00F7797F">
        <w:rPr>
          <w:rFonts w:ascii="Cambria" w:eastAsia="Times New Roman" w:hAnsi="Cambria" w:cs="Times New Roman"/>
          <w:color w:val="000000" w:themeColor="text1"/>
          <w:sz w:val="20"/>
          <w:szCs w:val="20"/>
        </w:rPr>
        <w:t>Amongst the total trade, 4</w:t>
      </w:r>
      <w:r w:rsidR="766FD795" w:rsidRPr="00F7797F">
        <w:rPr>
          <w:rFonts w:ascii="Cambria" w:eastAsia="Times New Roman" w:hAnsi="Cambria" w:cs="Times New Roman"/>
          <w:color w:val="000000" w:themeColor="text1"/>
          <w:sz w:val="20"/>
          <w:szCs w:val="20"/>
        </w:rPr>
        <w:t>7</w:t>
      </w:r>
      <w:r w:rsidRPr="00F7797F">
        <w:rPr>
          <w:rFonts w:ascii="Cambria" w:eastAsia="Times New Roman" w:hAnsi="Cambria" w:cs="Times New Roman"/>
          <w:color w:val="000000" w:themeColor="text1"/>
          <w:sz w:val="20"/>
          <w:szCs w:val="20"/>
        </w:rPr>
        <w:t>% (</w:t>
      </w:r>
      <w:r w:rsidR="3BFF3D14" w:rsidRPr="00F7797F">
        <w:rPr>
          <w:rFonts w:ascii="Cambria" w:eastAsia="Times New Roman" w:hAnsi="Cambria" w:cs="Times New Roman"/>
          <w:color w:val="000000" w:themeColor="text1"/>
          <w:sz w:val="20"/>
          <w:szCs w:val="20"/>
        </w:rPr>
        <w:t>107</w:t>
      </w:r>
      <w:r w:rsidR="00782BD0" w:rsidRPr="00F7797F">
        <w:rPr>
          <w:rFonts w:ascii="Cambria" w:eastAsia="Times New Roman" w:hAnsi="Cambria" w:cs="Times New Roman"/>
          <w:color w:val="000000" w:themeColor="text1"/>
          <w:sz w:val="20"/>
          <w:szCs w:val="20"/>
        </w:rPr>
        <w:t>,</w:t>
      </w:r>
      <w:r w:rsidR="3BFF3D14" w:rsidRPr="00F7797F">
        <w:rPr>
          <w:rFonts w:ascii="Cambria" w:eastAsia="Times New Roman" w:hAnsi="Cambria" w:cs="Times New Roman"/>
          <w:color w:val="000000" w:themeColor="text1"/>
          <w:sz w:val="20"/>
          <w:szCs w:val="20"/>
        </w:rPr>
        <w:t>926</w:t>
      </w:r>
      <w:r w:rsidRPr="00F7797F">
        <w:rPr>
          <w:rFonts w:ascii="Cambria" w:eastAsia="Times New Roman" w:hAnsi="Cambria" w:cs="Times New Roman"/>
          <w:color w:val="000000" w:themeColor="text1"/>
          <w:sz w:val="20"/>
          <w:szCs w:val="20"/>
        </w:rPr>
        <w:t>) of the total trades were validated, and 5</w:t>
      </w:r>
      <w:r w:rsidR="5C143CDA" w:rsidRPr="00F7797F">
        <w:rPr>
          <w:rFonts w:ascii="Cambria" w:eastAsia="Times New Roman" w:hAnsi="Cambria" w:cs="Times New Roman"/>
          <w:color w:val="000000" w:themeColor="text1"/>
          <w:sz w:val="20"/>
          <w:szCs w:val="20"/>
        </w:rPr>
        <w:t>4</w:t>
      </w:r>
      <w:r w:rsidRPr="00F7797F">
        <w:rPr>
          <w:rFonts w:ascii="Cambria" w:eastAsia="Times New Roman" w:hAnsi="Cambria" w:cs="Times New Roman"/>
          <w:color w:val="000000" w:themeColor="text1"/>
          <w:sz w:val="20"/>
          <w:szCs w:val="20"/>
        </w:rPr>
        <w:t>% (1</w:t>
      </w:r>
      <w:r w:rsidR="3E0261A9" w:rsidRPr="00F7797F">
        <w:rPr>
          <w:rFonts w:ascii="Cambria" w:eastAsia="Times New Roman" w:hAnsi="Cambria" w:cs="Times New Roman"/>
          <w:color w:val="000000" w:themeColor="text1"/>
          <w:sz w:val="20"/>
          <w:szCs w:val="20"/>
        </w:rPr>
        <w:t>23</w:t>
      </w:r>
      <w:r w:rsidR="00782BD0" w:rsidRPr="00F7797F">
        <w:rPr>
          <w:rFonts w:ascii="Cambria" w:eastAsia="Times New Roman" w:hAnsi="Cambria" w:cs="Times New Roman"/>
          <w:color w:val="000000" w:themeColor="text1"/>
          <w:sz w:val="20"/>
          <w:szCs w:val="20"/>
        </w:rPr>
        <w:t>,</w:t>
      </w:r>
      <w:r w:rsidR="3E0261A9" w:rsidRPr="00F7797F">
        <w:rPr>
          <w:rFonts w:ascii="Cambria" w:eastAsia="Times New Roman" w:hAnsi="Cambria" w:cs="Times New Roman"/>
          <w:color w:val="000000" w:themeColor="text1"/>
          <w:sz w:val="20"/>
          <w:szCs w:val="20"/>
        </w:rPr>
        <w:t>273</w:t>
      </w:r>
      <w:r w:rsidRPr="00F7797F">
        <w:rPr>
          <w:rFonts w:ascii="Cambria" w:eastAsia="Times New Roman" w:hAnsi="Cambria" w:cs="Times New Roman"/>
          <w:color w:val="000000" w:themeColor="text1"/>
          <w:sz w:val="20"/>
          <w:szCs w:val="20"/>
        </w:rPr>
        <w:t>) were exempted of validation, for a quantity of 4</w:t>
      </w:r>
      <w:r w:rsidR="4A62A9A7" w:rsidRPr="00F7797F">
        <w:rPr>
          <w:rFonts w:ascii="Cambria" w:eastAsia="Times New Roman" w:hAnsi="Cambria" w:cs="Times New Roman"/>
          <w:color w:val="000000" w:themeColor="text1"/>
          <w:sz w:val="20"/>
          <w:szCs w:val="20"/>
        </w:rPr>
        <w:t>0</w:t>
      </w:r>
      <w:r w:rsidR="00782BD0" w:rsidRPr="00F7797F">
        <w:rPr>
          <w:rFonts w:ascii="Cambria" w:eastAsia="Times New Roman" w:hAnsi="Cambria" w:cs="Times New Roman"/>
          <w:color w:val="000000" w:themeColor="text1"/>
          <w:sz w:val="20"/>
          <w:szCs w:val="20"/>
        </w:rPr>
        <w:t>,</w:t>
      </w:r>
      <w:r w:rsidR="1DB7A903" w:rsidRPr="00F7797F">
        <w:rPr>
          <w:rFonts w:ascii="Cambria" w:eastAsia="Times New Roman" w:hAnsi="Cambria" w:cs="Times New Roman"/>
          <w:color w:val="000000" w:themeColor="text1"/>
          <w:sz w:val="20"/>
          <w:szCs w:val="20"/>
        </w:rPr>
        <w:t>140</w:t>
      </w:r>
      <w:r w:rsidRPr="00F7797F">
        <w:rPr>
          <w:rFonts w:ascii="Cambria" w:eastAsia="Times New Roman" w:hAnsi="Cambria" w:cs="Times New Roman"/>
          <w:color w:val="000000" w:themeColor="text1"/>
          <w:sz w:val="20"/>
          <w:szCs w:val="20"/>
        </w:rPr>
        <w:t xml:space="preserve"> t (8</w:t>
      </w:r>
      <w:r w:rsidR="43E423AC" w:rsidRPr="00F7797F">
        <w:rPr>
          <w:rFonts w:ascii="Cambria" w:eastAsia="Times New Roman" w:hAnsi="Cambria" w:cs="Times New Roman"/>
          <w:color w:val="000000" w:themeColor="text1"/>
          <w:sz w:val="20"/>
          <w:szCs w:val="20"/>
        </w:rPr>
        <w:t>1</w:t>
      </w:r>
      <w:r w:rsidRPr="00F7797F">
        <w:rPr>
          <w:rFonts w:ascii="Cambria" w:eastAsia="Times New Roman" w:hAnsi="Cambria" w:cs="Times New Roman"/>
          <w:color w:val="000000" w:themeColor="text1"/>
          <w:sz w:val="20"/>
          <w:szCs w:val="20"/>
        </w:rPr>
        <w:t xml:space="preserve">%) and </w:t>
      </w:r>
      <w:r w:rsidR="2D1B0279" w:rsidRPr="00F7797F">
        <w:rPr>
          <w:rFonts w:ascii="Cambria" w:eastAsia="Times New Roman" w:hAnsi="Cambria" w:cs="Times New Roman"/>
          <w:color w:val="000000" w:themeColor="text1"/>
          <w:sz w:val="20"/>
          <w:szCs w:val="20"/>
        </w:rPr>
        <w:t>9</w:t>
      </w:r>
      <w:r w:rsidR="00782BD0" w:rsidRPr="00F7797F">
        <w:rPr>
          <w:rFonts w:ascii="Cambria" w:eastAsia="Times New Roman" w:hAnsi="Cambria" w:cs="Times New Roman"/>
          <w:color w:val="000000" w:themeColor="text1"/>
          <w:sz w:val="20"/>
          <w:szCs w:val="20"/>
        </w:rPr>
        <w:t>,</w:t>
      </w:r>
      <w:r w:rsidR="2D1B0279" w:rsidRPr="00F7797F">
        <w:rPr>
          <w:rFonts w:ascii="Cambria" w:eastAsia="Times New Roman" w:hAnsi="Cambria" w:cs="Times New Roman"/>
          <w:color w:val="000000" w:themeColor="text1"/>
          <w:sz w:val="20"/>
          <w:szCs w:val="20"/>
        </w:rPr>
        <w:t>329</w:t>
      </w:r>
      <w:r w:rsidRPr="00F7797F">
        <w:rPr>
          <w:rFonts w:ascii="Cambria" w:eastAsia="Times New Roman" w:hAnsi="Cambria" w:cs="Times New Roman"/>
          <w:color w:val="000000" w:themeColor="text1"/>
          <w:sz w:val="20"/>
          <w:szCs w:val="20"/>
        </w:rPr>
        <w:t xml:space="preserve"> t (1</w:t>
      </w:r>
      <w:r w:rsidR="692F7E41" w:rsidRPr="00F7797F">
        <w:rPr>
          <w:rFonts w:ascii="Cambria" w:eastAsia="Times New Roman" w:hAnsi="Cambria" w:cs="Times New Roman"/>
          <w:color w:val="000000" w:themeColor="text1"/>
          <w:sz w:val="20"/>
          <w:szCs w:val="20"/>
        </w:rPr>
        <w:t>9</w:t>
      </w:r>
      <w:r w:rsidRPr="00F7797F">
        <w:rPr>
          <w:rFonts w:ascii="Cambria" w:eastAsia="Times New Roman" w:hAnsi="Cambria" w:cs="Times New Roman"/>
          <w:color w:val="000000" w:themeColor="text1"/>
          <w:sz w:val="20"/>
          <w:szCs w:val="20"/>
        </w:rPr>
        <w:t>%)</w:t>
      </w:r>
      <w:r w:rsidR="00782BD0" w:rsidRPr="00F7797F">
        <w:rPr>
          <w:rFonts w:ascii="Cambria" w:eastAsia="Times New Roman" w:hAnsi="Cambria" w:cs="Times New Roman"/>
          <w:color w:val="000000" w:themeColor="text1"/>
          <w:sz w:val="20"/>
          <w:szCs w:val="20"/>
        </w:rPr>
        <w:t>,</w:t>
      </w:r>
      <w:r w:rsidRPr="00F7797F">
        <w:rPr>
          <w:rFonts w:ascii="Cambria" w:eastAsia="Times New Roman" w:hAnsi="Cambria" w:cs="Times New Roman"/>
          <w:color w:val="000000" w:themeColor="text1"/>
          <w:sz w:val="20"/>
          <w:szCs w:val="20"/>
        </w:rPr>
        <w:t xml:space="preserve"> respectively (</w:t>
      </w:r>
      <w:r w:rsidRPr="00F7797F">
        <w:rPr>
          <w:rFonts w:ascii="Cambria" w:eastAsia="Times New Roman" w:hAnsi="Cambria" w:cs="Times New Roman"/>
          <w:b/>
          <w:bCs/>
          <w:color w:val="000000" w:themeColor="text1"/>
          <w:sz w:val="20"/>
          <w:szCs w:val="20"/>
        </w:rPr>
        <w:t>Figure 2</w:t>
      </w:r>
      <w:r w:rsidRPr="00F7797F">
        <w:rPr>
          <w:rFonts w:ascii="Cambria" w:eastAsia="Times New Roman" w:hAnsi="Cambria" w:cs="Times New Roman"/>
          <w:color w:val="000000" w:themeColor="text1"/>
          <w:sz w:val="20"/>
          <w:szCs w:val="20"/>
        </w:rPr>
        <w:t>). In addition to the intra-Member State trade, the exemptions include both the derogation under paragraph 5b of Rec</w:t>
      </w:r>
      <w:r w:rsidR="00FB72A5" w:rsidRPr="00F7797F">
        <w:rPr>
          <w:rFonts w:ascii="Cambria" w:eastAsia="Times New Roman" w:hAnsi="Cambria" w:cs="Times New Roman"/>
          <w:color w:val="000000" w:themeColor="text1"/>
          <w:sz w:val="20"/>
          <w:szCs w:val="20"/>
        </w:rPr>
        <w:t>.</w:t>
      </w:r>
      <w:r w:rsidRPr="00F7797F">
        <w:rPr>
          <w:rFonts w:ascii="Cambria" w:eastAsia="Times New Roman" w:hAnsi="Cambria" w:cs="Times New Roman"/>
          <w:color w:val="000000" w:themeColor="text1"/>
          <w:sz w:val="20"/>
          <w:szCs w:val="20"/>
        </w:rPr>
        <w:t xml:space="preserve"> 2</w:t>
      </w:r>
      <w:r w:rsidR="5C60A672" w:rsidRPr="00F7797F">
        <w:rPr>
          <w:rFonts w:ascii="Cambria" w:eastAsia="Times New Roman" w:hAnsi="Cambria" w:cs="Times New Roman"/>
          <w:color w:val="000000" w:themeColor="text1"/>
          <w:sz w:val="20"/>
          <w:szCs w:val="20"/>
        </w:rPr>
        <w:t>4</w:t>
      </w:r>
      <w:r w:rsidRPr="00F7797F">
        <w:rPr>
          <w:rFonts w:ascii="Cambria" w:eastAsia="Times New Roman" w:hAnsi="Cambria" w:cs="Times New Roman"/>
          <w:color w:val="000000" w:themeColor="text1"/>
          <w:sz w:val="20"/>
          <w:szCs w:val="20"/>
        </w:rPr>
        <w:t xml:space="preserve">-16 and </w:t>
      </w:r>
      <w:r w:rsidR="68566F55" w:rsidRPr="00F7797F">
        <w:rPr>
          <w:rFonts w:ascii="Cambria" w:eastAsia="Times New Roman" w:hAnsi="Cambria" w:cs="Times New Roman"/>
          <w:color w:val="000000" w:themeColor="text1"/>
          <w:sz w:val="20"/>
          <w:szCs w:val="20"/>
        </w:rPr>
        <w:t xml:space="preserve">the </w:t>
      </w:r>
      <w:r w:rsidRPr="00F7797F">
        <w:rPr>
          <w:rFonts w:ascii="Cambria" w:eastAsia="Times New Roman" w:hAnsi="Cambria" w:cs="Times New Roman"/>
          <w:color w:val="000000" w:themeColor="text1"/>
          <w:sz w:val="20"/>
          <w:szCs w:val="20"/>
        </w:rPr>
        <w:t xml:space="preserve">exemption for tagged fish according to para </w:t>
      </w:r>
      <w:r w:rsidR="731B1337" w:rsidRPr="00F7797F">
        <w:rPr>
          <w:rFonts w:ascii="Cambria" w:eastAsia="Times New Roman" w:hAnsi="Cambria" w:cs="Times New Roman"/>
          <w:color w:val="000000" w:themeColor="text1"/>
          <w:sz w:val="20"/>
          <w:szCs w:val="20"/>
        </w:rPr>
        <w:t>5d</w:t>
      </w:r>
      <w:r w:rsidRPr="00F7797F">
        <w:rPr>
          <w:rFonts w:ascii="Cambria" w:eastAsia="Times New Roman" w:hAnsi="Cambria" w:cs="Times New Roman"/>
          <w:color w:val="000000" w:themeColor="text1"/>
          <w:sz w:val="20"/>
          <w:szCs w:val="20"/>
        </w:rPr>
        <w:t xml:space="preserve"> of Rec</w:t>
      </w:r>
      <w:r w:rsidR="00FB72A5" w:rsidRPr="00F7797F">
        <w:rPr>
          <w:rFonts w:ascii="Cambria" w:eastAsia="Times New Roman" w:hAnsi="Cambria" w:cs="Times New Roman"/>
          <w:color w:val="000000" w:themeColor="text1"/>
          <w:sz w:val="20"/>
          <w:szCs w:val="20"/>
        </w:rPr>
        <w:t>.</w:t>
      </w:r>
      <w:r w:rsidRPr="00F7797F">
        <w:rPr>
          <w:rFonts w:ascii="Cambria" w:eastAsia="Times New Roman" w:hAnsi="Cambria" w:cs="Times New Roman"/>
          <w:color w:val="000000" w:themeColor="text1"/>
          <w:sz w:val="20"/>
          <w:szCs w:val="20"/>
        </w:rPr>
        <w:t xml:space="preserve"> 2</w:t>
      </w:r>
      <w:r w:rsidR="14AB76DB" w:rsidRPr="00F7797F">
        <w:rPr>
          <w:rFonts w:ascii="Cambria" w:eastAsia="Times New Roman" w:hAnsi="Cambria" w:cs="Times New Roman"/>
          <w:color w:val="000000" w:themeColor="text1"/>
          <w:sz w:val="20"/>
          <w:szCs w:val="20"/>
        </w:rPr>
        <w:t>4</w:t>
      </w:r>
      <w:r w:rsidRPr="00F7797F">
        <w:rPr>
          <w:rFonts w:ascii="Cambria" w:eastAsia="Times New Roman" w:hAnsi="Cambria" w:cs="Times New Roman"/>
          <w:color w:val="000000" w:themeColor="text1"/>
          <w:sz w:val="20"/>
          <w:szCs w:val="20"/>
        </w:rPr>
        <w:t xml:space="preserve">-16. </w:t>
      </w:r>
      <w:r w:rsidRPr="00F7797F">
        <w:rPr>
          <w:rFonts w:ascii="Cambria" w:eastAsia="Times New Roman" w:hAnsi="Cambria" w:cs="Times New Roman"/>
          <w:sz w:val="20"/>
          <w:szCs w:val="20"/>
        </w:rPr>
        <w:t xml:space="preserve"> </w:t>
      </w:r>
    </w:p>
    <w:p w14:paraId="78923914" w14:textId="77777777" w:rsidR="00AA2A52" w:rsidRPr="00F7797F" w:rsidRDefault="00AA2A52" w:rsidP="00741B44">
      <w:pPr>
        <w:spacing w:after="0" w:line="240" w:lineRule="auto"/>
        <w:jc w:val="both"/>
        <w:rPr>
          <w:rFonts w:ascii="Cambria" w:eastAsia="Times New Roman" w:hAnsi="Cambria" w:cs="Times New Roman"/>
          <w:sz w:val="20"/>
          <w:szCs w:val="20"/>
        </w:rPr>
      </w:pPr>
    </w:p>
    <w:p w14:paraId="2B93710B" w14:textId="29B6F894" w:rsidR="3352C9AE" w:rsidRPr="00F7797F" w:rsidRDefault="3352C9AE" w:rsidP="00741B44">
      <w:pPr>
        <w:spacing w:after="0" w:line="240" w:lineRule="auto"/>
        <w:jc w:val="center"/>
        <w:rPr>
          <w:rFonts w:ascii="Cambria" w:hAnsi="Cambria"/>
          <w:sz w:val="20"/>
          <w:szCs w:val="20"/>
        </w:rPr>
      </w:pPr>
      <w:r w:rsidRPr="00F7797F">
        <w:rPr>
          <w:rFonts w:ascii="Cambria" w:hAnsi="Cambria"/>
          <w:noProof/>
          <w:sz w:val="20"/>
          <w:szCs w:val="20"/>
        </w:rPr>
        <w:drawing>
          <wp:inline distT="0" distB="0" distL="0" distR="0" wp14:anchorId="2111D3F9" wp14:editId="05734447">
            <wp:extent cx="3566416" cy="2954867"/>
            <wp:effectExtent l="0" t="0" r="0" b="0"/>
            <wp:docPr id="8512403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240318" name=""/>
                    <pic:cNvPicPr/>
                  </pic:nvPicPr>
                  <pic:blipFill>
                    <a:blip r:embed="rId8">
                      <a:extLst>
                        <a:ext uri="{28A0092B-C50C-407E-A947-70E740481C1C}">
                          <a14:useLocalDpi xmlns:a14="http://schemas.microsoft.com/office/drawing/2010/main"/>
                        </a:ext>
                      </a:extLst>
                    </a:blip>
                    <a:stretch>
                      <a:fillRect/>
                    </a:stretch>
                  </pic:blipFill>
                  <pic:spPr>
                    <a:xfrm>
                      <a:off x="0" y="0"/>
                      <a:ext cx="3569739" cy="2957620"/>
                    </a:xfrm>
                    <a:prstGeom prst="rect">
                      <a:avLst/>
                    </a:prstGeom>
                  </pic:spPr>
                </pic:pic>
              </a:graphicData>
            </a:graphic>
          </wp:inline>
        </w:drawing>
      </w:r>
    </w:p>
    <w:p w14:paraId="2B16997A" w14:textId="77777777" w:rsidR="00C34E8E" w:rsidRPr="00F7797F" w:rsidRDefault="00C34E8E" w:rsidP="00741B44">
      <w:pPr>
        <w:spacing w:after="0" w:line="240" w:lineRule="auto"/>
        <w:jc w:val="both"/>
        <w:rPr>
          <w:rFonts w:ascii="Cambria" w:eastAsia="Times New Roman" w:hAnsi="Cambria" w:cs="Times New Roman"/>
          <w:color w:val="000000" w:themeColor="text1"/>
          <w:sz w:val="20"/>
          <w:szCs w:val="20"/>
        </w:rPr>
      </w:pPr>
    </w:p>
    <w:p w14:paraId="32F09B31" w14:textId="4DE94DCC" w:rsidR="3352C9AE" w:rsidRPr="00F7797F" w:rsidRDefault="3352C9AE" w:rsidP="00741B44">
      <w:pPr>
        <w:spacing w:after="0" w:line="240" w:lineRule="auto"/>
        <w:jc w:val="both"/>
        <w:rPr>
          <w:rFonts w:ascii="Cambria" w:eastAsia="Times New Roman" w:hAnsi="Cambria" w:cs="Times New Roman"/>
          <w:color w:val="000000" w:themeColor="text1"/>
          <w:sz w:val="20"/>
          <w:szCs w:val="20"/>
        </w:rPr>
      </w:pPr>
      <w:r w:rsidRPr="00F7797F">
        <w:rPr>
          <w:rFonts w:ascii="Cambria" w:eastAsia="Times New Roman" w:hAnsi="Cambria" w:cs="Times New Roman"/>
          <w:color w:val="000000" w:themeColor="text1"/>
          <w:sz w:val="20"/>
          <w:szCs w:val="20"/>
        </w:rPr>
        <w:t>Regarding the trade events exempted from validation</w:t>
      </w:r>
      <w:r w:rsidRPr="00F7797F">
        <w:rPr>
          <w:rStyle w:val="FootnoteReference"/>
          <w:rFonts w:ascii="Cambria" w:eastAsia="Times New Roman" w:hAnsi="Cambria" w:cs="Times New Roman"/>
          <w:color w:val="000000" w:themeColor="text1"/>
          <w:sz w:val="20"/>
          <w:szCs w:val="20"/>
        </w:rPr>
        <w:footnoteReference w:id="3"/>
      </w:r>
      <w:r w:rsidRPr="00F7797F">
        <w:rPr>
          <w:rFonts w:ascii="Cambria" w:eastAsia="Times New Roman" w:hAnsi="Cambria" w:cs="Times New Roman"/>
          <w:color w:val="000000" w:themeColor="text1"/>
          <w:sz w:val="20"/>
          <w:szCs w:val="20"/>
        </w:rPr>
        <w:t>, 36</w:t>
      </w:r>
      <w:r w:rsidR="00FB72A5" w:rsidRPr="00F7797F">
        <w:rPr>
          <w:rFonts w:ascii="Cambria" w:eastAsia="Times New Roman" w:hAnsi="Cambria" w:cs="Times New Roman"/>
          <w:color w:val="000000" w:themeColor="text1"/>
          <w:sz w:val="20"/>
          <w:szCs w:val="20"/>
        </w:rPr>
        <w:t>,</w:t>
      </w:r>
      <w:r w:rsidR="5517905B" w:rsidRPr="00F7797F">
        <w:rPr>
          <w:rFonts w:ascii="Cambria" w:eastAsia="Times New Roman" w:hAnsi="Cambria" w:cs="Times New Roman"/>
          <w:color w:val="000000" w:themeColor="text1"/>
          <w:sz w:val="20"/>
          <w:szCs w:val="20"/>
        </w:rPr>
        <w:t>419</w:t>
      </w:r>
      <w:r w:rsidRPr="00F7797F">
        <w:rPr>
          <w:rFonts w:ascii="Cambria" w:eastAsia="Times New Roman" w:hAnsi="Cambria" w:cs="Times New Roman"/>
          <w:color w:val="000000" w:themeColor="text1"/>
          <w:sz w:val="20"/>
          <w:szCs w:val="20"/>
        </w:rPr>
        <w:t xml:space="preserve"> of them concerned trades between EU Member States (derogation under para 5b) (30%)</w:t>
      </w:r>
      <w:r w:rsidR="4089222D" w:rsidRPr="00F7797F">
        <w:rPr>
          <w:rFonts w:ascii="Cambria" w:eastAsia="Times New Roman" w:hAnsi="Cambria" w:cs="Times New Roman"/>
          <w:color w:val="000000" w:themeColor="text1"/>
          <w:sz w:val="20"/>
          <w:szCs w:val="20"/>
        </w:rPr>
        <w:t>,</w:t>
      </w:r>
      <w:r w:rsidRPr="00F7797F">
        <w:rPr>
          <w:rFonts w:ascii="Cambria" w:eastAsia="Times New Roman" w:hAnsi="Cambria" w:cs="Times New Roman"/>
          <w:color w:val="000000" w:themeColor="text1"/>
          <w:sz w:val="20"/>
          <w:szCs w:val="20"/>
        </w:rPr>
        <w:t xml:space="preserve"> with </w:t>
      </w:r>
      <w:r w:rsidR="29A8F332" w:rsidRPr="00F7797F">
        <w:rPr>
          <w:rFonts w:ascii="Cambria" w:eastAsia="Times New Roman" w:hAnsi="Cambria" w:cs="Times New Roman"/>
          <w:color w:val="000000" w:themeColor="text1"/>
          <w:sz w:val="20"/>
          <w:szCs w:val="20"/>
        </w:rPr>
        <w:t>a</w:t>
      </w:r>
      <w:r w:rsidRPr="00F7797F">
        <w:rPr>
          <w:rFonts w:ascii="Cambria" w:eastAsia="Times New Roman" w:hAnsi="Cambria" w:cs="Times New Roman"/>
          <w:color w:val="000000" w:themeColor="text1"/>
          <w:sz w:val="20"/>
          <w:szCs w:val="20"/>
        </w:rPr>
        <w:t xml:space="preserve"> quantit</w:t>
      </w:r>
      <w:r w:rsidR="02AD7A3D" w:rsidRPr="00F7797F">
        <w:rPr>
          <w:rFonts w:ascii="Cambria" w:eastAsia="Times New Roman" w:hAnsi="Cambria" w:cs="Times New Roman"/>
          <w:color w:val="000000" w:themeColor="text1"/>
          <w:sz w:val="20"/>
          <w:szCs w:val="20"/>
        </w:rPr>
        <w:t>y</w:t>
      </w:r>
      <w:r w:rsidRPr="00F7797F">
        <w:rPr>
          <w:rFonts w:ascii="Cambria" w:eastAsia="Times New Roman" w:hAnsi="Cambria" w:cs="Times New Roman"/>
          <w:color w:val="000000" w:themeColor="text1"/>
          <w:sz w:val="20"/>
          <w:szCs w:val="20"/>
        </w:rPr>
        <w:t xml:space="preserve"> of 2</w:t>
      </w:r>
      <w:r w:rsidR="00FB72A5" w:rsidRPr="00F7797F">
        <w:rPr>
          <w:rFonts w:ascii="Cambria" w:eastAsia="Times New Roman" w:hAnsi="Cambria" w:cs="Times New Roman"/>
          <w:color w:val="000000" w:themeColor="text1"/>
          <w:sz w:val="20"/>
          <w:szCs w:val="20"/>
        </w:rPr>
        <w:t>,</w:t>
      </w:r>
      <w:r w:rsidRPr="00F7797F">
        <w:rPr>
          <w:rFonts w:ascii="Cambria" w:eastAsia="Times New Roman" w:hAnsi="Cambria" w:cs="Times New Roman"/>
          <w:color w:val="000000" w:themeColor="text1"/>
          <w:sz w:val="20"/>
          <w:szCs w:val="20"/>
        </w:rPr>
        <w:t>7</w:t>
      </w:r>
      <w:r w:rsidR="6055C090" w:rsidRPr="00F7797F">
        <w:rPr>
          <w:rFonts w:ascii="Cambria" w:eastAsia="Times New Roman" w:hAnsi="Cambria" w:cs="Times New Roman"/>
          <w:color w:val="000000" w:themeColor="text1"/>
          <w:sz w:val="20"/>
          <w:szCs w:val="20"/>
        </w:rPr>
        <w:t>44 t</w:t>
      </w:r>
      <w:r w:rsidRPr="00F7797F">
        <w:rPr>
          <w:rFonts w:ascii="Cambria" w:eastAsia="Times New Roman" w:hAnsi="Cambria" w:cs="Times New Roman"/>
          <w:color w:val="000000" w:themeColor="text1"/>
          <w:sz w:val="20"/>
          <w:szCs w:val="20"/>
        </w:rPr>
        <w:t>. The remaining exempted events are related to internal trades (</w:t>
      </w:r>
      <w:r w:rsidRPr="00F7797F">
        <w:rPr>
          <w:rFonts w:ascii="Cambria" w:eastAsia="Times New Roman" w:hAnsi="Cambria" w:cs="Times New Roman"/>
          <w:b/>
          <w:bCs/>
          <w:color w:val="000000" w:themeColor="text1"/>
          <w:sz w:val="20"/>
          <w:szCs w:val="20"/>
        </w:rPr>
        <w:t>Figure 3</w:t>
      </w:r>
      <w:r w:rsidRPr="00F7797F">
        <w:rPr>
          <w:rFonts w:ascii="Cambria" w:eastAsia="Times New Roman" w:hAnsi="Cambria" w:cs="Times New Roman"/>
          <w:color w:val="000000" w:themeColor="text1"/>
          <w:sz w:val="20"/>
          <w:szCs w:val="20"/>
        </w:rPr>
        <w:t xml:space="preserve">). </w:t>
      </w:r>
    </w:p>
    <w:p w14:paraId="370DFA06" w14:textId="6187E485" w:rsidR="5E68D399" w:rsidRPr="00F7797F" w:rsidRDefault="5E68D399" w:rsidP="00741B44">
      <w:pPr>
        <w:spacing w:after="0" w:line="240" w:lineRule="auto"/>
        <w:jc w:val="center"/>
        <w:rPr>
          <w:rFonts w:ascii="Cambria" w:hAnsi="Cambria"/>
          <w:sz w:val="20"/>
          <w:szCs w:val="20"/>
        </w:rPr>
      </w:pPr>
      <w:r w:rsidRPr="00F7797F">
        <w:rPr>
          <w:rFonts w:ascii="Cambria" w:hAnsi="Cambria"/>
          <w:noProof/>
          <w:sz w:val="20"/>
          <w:szCs w:val="20"/>
        </w:rPr>
        <w:lastRenderedPageBreak/>
        <w:drawing>
          <wp:inline distT="0" distB="0" distL="0" distR="0" wp14:anchorId="631AEF32" wp14:editId="7E416CCA">
            <wp:extent cx="3710479" cy="2759075"/>
            <wp:effectExtent l="0" t="0" r="4445" b="3175"/>
            <wp:docPr id="2715500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50094" name=""/>
                    <pic:cNvPicPr/>
                  </pic:nvPicPr>
                  <pic:blipFill>
                    <a:blip r:embed="rId9">
                      <a:extLst>
                        <a:ext uri="{28A0092B-C50C-407E-A947-70E740481C1C}">
                          <a14:useLocalDpi xmlns:a14="http://schemas.microsoft.com/office/drawing/2010/main"/>
                        </a:ext>
                      </a:extLst>
                    </a:blip>
                    <a:stretch>
                      <a:fillRect/>
                    </a:stretch>
                  </pic:blipFill>
                  <pic:spPr>
                    <a:xfrm>
                      <a:off x="0" y="0"/>
                      <a:ext cx="3713281" cy="2761159"/>
                    </a:xfrm>
                    <a:prstGeom prst="rect">
                      <a:avLst/>
                    </a:prstGeom>
                  </pic:spPr>
                </pic:pic>
              </a:graphicData>
            </a:graphic>
          </wp:inline>
        </w:drawing>
      </w:r>
    </w:p>
    <w:p w14:paraId="2B6A269A" w14:textId="4535F9E0" w:rsidR="09A42DB3" w:rsidRPr="00F7797F" w:rsidRDefault="09A42DB3" w:rsidP="00741B44">
      <w:pPr>
        <w:spacing w:after="0" w:line="240" w:lineRule="auto"/>
        <w:jc w:val="both"/>
        <w:rPr>
          <w:rFonts w:ascii="Cambria" w:eastAsia="Times New Roman" w:hAnsi="Cambria" w:cs="Times New Roman"/>
          <w:color w:val="000000" w:themeColor="text1"/>
          <w:sz w:val="20"/>
          <w:szCs w:val="20"/>
        </w:rPr>
      </w:pPr>
      <w:r w:rsidRPr="00F7797F">
        <w:rPr>
          <w:rFonts w:ascii="Cambria" w:eastAsia="Times New Roman" w:hAnsi="Cambria" w:cs="Times New Roman"/>
          <w:i/>
          <w:iCs/>
          <w:color w:val="000000" w:themeColor="text1"/>
          <w:sz w:val="20"/>
          <w:szCs w:val="20"/>
        </w:rPr>
        <w:t xml:space="preserve">  </w:t>
      </w:r>
    </w:p>
    <w:p w14:paraId="750575D6" w14:textId="55C92558" w:rsidR="09A42DB3" w:rsidRPr="00F7797F" w:rsidRDefault="09A42DB3" w:rsidP="00741B44">
      <w:pPr>
        <w:spacing w:after="0" w:line="240" w:lineRule="auto"/>
        <w:jc w:val="both"/>
        <w:rPr>
          <w:rFonts w:ascii="Cambria" w:eastAsia="Times New Roman" w:hAnsi="Cambria" w:cs="Times New Roman"/>
          <w:color w:val="000000" w:themeColor="text1"/>
          <w:sz w:val="20"/>
          <w:szCs w:val="20"/>
        </w:rPr>
      </w:pPr>
      <w:r w:rsidRPr="00F7797F">
        <w:rPr>
          <w:rFonts w:ascii="Cambria" w:eastAsia="Times New Roman" w:hAnsi="Cambria" w:cs="Times New Roman"/>
          <w:color w:val="000000" w:themeColor="text1"/>
          <w:sz w:val="20"/>
          <w:szCs w:val="20"/>
        </w:rPr>
        <w:t>The average quantity by trade (by eBCD) was 80 kg for trades exempted of validation in line with the derogation 5b (</w:t>
      </w:r>
      <w:r w:rsidRPr="00F7797F">
        <w:rPr>
          <w:rFonts w:ascii="Cambria" w:eastAsia="Times New Roman" w:hAnsi="Cambria" w:cs="Times New Roman"/>
          <w:b/>
          <w:bCs/>
          <w:color w:val="000000" w:themeColor="text1"/>
          <w:sz w:val="20"/>
          <w:szCs w:val="20"/>
        </w:rPr>
        <w:t xml:space="preserve">Figure </w:t>
      </w:r>
      <w:r w:rsidR="5C5477FD" w:rsidRPr="00F7797F">
        <w:rPr>
          <w:rFonts w:ascii="Cambria" w:eastAsia="Times New Roman" w:hAnsi="Cambria" w:cs="Times New Roman"/>
          <w:b/>
          <w:bCs/>
          <w:color w:val="000000" w:themeColor="text1"/>
          <w:sz w:val="20"/>
          <w:szCs w:val="20"/>
        </w:rPr>
        <w:t>4</w:t>
      </w:r>
      <w:r w:rsidRPr="00F7797F">
        <w:rPr>
          <w:rFonts w:ascii="Cambria" w:eastAsia="Times New Roman" w:hAnsi="Cambria" w:cs="Times New Roman"/>
          <w:color w:val="000000" w:themeColor="text1"/>
          <w:sz w:val="20"/>
          <w:szCs w:val="20"/>
        </w:rPr>
        <w:t>).</w:t>
      </w:r>
    </w:p>
    <w:p w14:paraId="064B1226" w14:textId="77777777" w:rsidR="00AA2A52" w:rsidRPr="00F7797F" w:rsidRDefault="00AA2A52" w:rsidP="00741B44">
      <w:pPr>
        <w:spacing w:after="0" w:line="240" w:lineRule="auto"/>
        <w:jc w:val="both"/>
        <w:rPr>
          <w:rFonts w:ascii="Cambria" w:eastAsia="Times New Roman" w:hAnsi="Cambria" w:cs="Times New Roman"/>
          <w:color w:val="000000" w:themeColor="text1"/>
          <w:sz w:val="20"/>
          <w:szCs w:val="20"/>
        </w:rPr>
      </w:pPr>
    </w:p>
    <w:p w14:paraId="38DC669C" w14:textId="07B66398" w:rsidR="6D52B617" w:rsidRPr="00F7797F" w:rsidRDefault="6D52B617" w:rsidP="00741B44">
      <w:pPr>
        <w:spacing w:after="0" w:line="240" w:lineRule="auto"/>
        <w:jc w:val="center"/>
        <w:rPr>
          <w:rFonts w:ascii="Cambria" w:hAnsi="Cambria"/>
          <w:sz w:val="20"/>
          <w:szCs w:val="20"/>
        </w:rPr>
      </w:pPr>
      <w:r w:rsidRPr="00F7797F">
        <w:rPr>
          <w:rFonts w:ascii="Cambria" w:hAnsi="Cambria"/>
          <w:noProof/>
          <w:sz w:val="20"/>
          <w:szCs w:val="20"/>
        </w:rPr>
        <w:drawing>
          <wp:inline distT="0" distB="0" distL="0" distR="0" wp14:anchorId="001A2082" wp14:editId="317B5579">
            <wp:extent cx="4470400" cy="2571913"/>
            <wp:effectExtent l="0" t="0" r="6350" b="0"/>
            <wp:docPr id="18805025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02502" name=""/>
                    <pic:cNvPicPr/>
                  </pic:nvPicPr>
                  <pic:blipFill>
                    <a:blip r:embed="rId10">
                      <a:extLst>
                        <a:ext uri="{28A0092B-C50C-407E-A947-70E740481C1C}">
                          <a14:useLocalDpi xmlns:a14="http://schemas.microsoft.com/office/drawing/2010/main"/>
                        </a:ext>
                      </a:extLst>
                    </a:blip>
                    <a:stretch>
                      <a:fillRect/>
                    </a:stretch>
                  </pic:blipFill>
                  <pic:spPr>
                    <a:xfrm>
                      <a:off x="0" y="0"/>
                      <a:ext cx="4474754" cy="2574418"/>
                    </a:xfrm>
                    <a:prstGeom prst="rect">
                      <a:avLst/>
                    </a:prstGeom>
                  </pic:spPr>
                </pic:pic>
              </a:graphicData>
            </a:graphic>
          </wp:inline>
        </w:drawing>
      </w:r>
    </w:p>
    <w:p w14:paraId="4A13391D" w14:textId="77777777" w:rsidR="00FB72A5" w:rsidRPr="00F7797F" w:rsidRDefault="00FB72A5" w:rsidP="00741B44">
      <w:pPr>
        <w:spacing w:after="0" w:line="240" w:lineRule="auto"/>
        <w:jc w:val="both"/>
        <w:rPr>
          <w:rFonts w:ascii="Cambria" w:eastAsia="Times New Roman" w:hAnsi="Cambria" w:cs="Times New Roman"/>
          <w:i/>
          <w:iCs/>
          <w:color w:val="000000" w:themeColor="text1"/>
          <w:sz w:val="20"/>
          <w:szCs w:val="20"/>
        </w:rPr>
      </w:pPr>
    </w:p>
    <w:p w14:paraId="7CD90E03" w14:textId="0A5A6CF9" w:rsidR="297D4CAF" w:rsidRPr="00F7797F" w:rsidRDefault="297D4CAF" w:rsidP="00741B44">
      <w:pPr>
        <w:spacing w:after="0" w:line="240" w:lineRule="auto"/>
        <w:jc w:val="both"/>
        <w:rPr>
          <w:rFonts w:ascii="Cambria" w:eastAsia="Times New Roman" w:hAnsi="Cambria" w:cs="Times New Roman"/>
          <w:i/>
          <w:iCs/>
          <w:color w:val="000000" w:themeColor="text1"/>
          <w:sz w:val="20"/>
          <w:szCs w:val="20"/>
        </w:rPr>
      </w:pPr>
      <w:r w:rsidRPr="00F7797F">
        <w:rPr>
          <w:rFonts w:ascii="Cambria" w:eastAsia="Times New Roman" w:hAnsi="Cambria" w:cs="Times New Roman"/>
          <w:i/>
          <w:iCs/>
          <w:color w:val="000000" w:themeColor="text1"/>
          <w:sz w:val="20"/>
          <w:szCs w:val="20"/>
        </w:rPr>
        <w:t xml:space="preserve">EXP (trades from the EU to other CPCs), STA (trades between EU Member </w:t>
      </w:r>
      <w:r w:rsidR="00293845" w:rsidRPr="00F7797F">
        <w:rPr>
          <w:rFonts w:ascii="Cambria" w:eastAsia="Times New Roman" w:hAnsi="Cambria" w:cs="Times New Roman"/>
          <w:i/>
          <w:iCs/>
          <w:color w:val="000000" w:themeColor="text1"/>
          <w:sz w:val="20"/>
          <w:szCs w:val="20"/>
        </w:rPr>
        <w:t>States</w:t>
      </w:r>
      <w:r w:rsidRPr="00F7797F">
        <w:rPr>
          <w:rFonts w:ascii="Cambria" w:eastAsia="Times New Roman" w:hAnsi="Cambria" w:cs="Times New Roman"/>
          <w:i/>
          <w:iCs/>
          <w:color w:val="000000" w:themeColor="text1"/>
          <w:sz w:val="20"/>
          <w:szCs w:val="20"/>
        </w:rPr>
        <w:t xml:space="preserve">), INT (internal trades inside EU Member States territories), VAL (trades validated), EXE (trades exempted of validation), EXE STA (trades between EU Member </w:t>
      </w:r>
      <w:r w:rsidR="00293845" w:rsidRPr="00F7797F">
        <w:rPr>
          <w:rFonts w:ascii="Cambria" w:eastAsia="Times New Roman" w:hAnsi="Cambria" w:cs="Times New Roman"/>
          <w:i/>
          <w:iCs/>
          <w:color w:val="000000" w:themeColor="text1"/>
          <w:sz w:val="20"/>
          <w:szCs w:val="20"/>
        </w:rPr>
        <w:t xml:space="preserve">States </w:t>
      </w:r>
      <w:r w:rsidRPr="00F7797F">
        <w:rPr>
          <w:rFonts w:ascii="Cambria" w:eastAsia="Times New Roman" w:hAnsi="Cambria" w:cs="Times New Roman"/>
          <w:i/>
          <w:iCs/>
          <w:color w:val="000000" w:themeColor="text1"/>
          <w:sz w:val="20"/>
          <w:szCs w:val="20"/>
        </w:rPr>
        <w:t>exempted of validation – derogation 5b)</w:t>
      </w:r>
      <w:r w:rsidR="197D19D6" w:rsidRPr="00F7797F">
        <w:rPr>
          <w:rFonts w:ascii="Cambria" w:eastAsia="Times New Roman" w:hAnsi="Cambria" w:cs="Times New Roman"/>
          <w:i/>
          <w:iCs/>
          <w:color w:val="000000" w:themeColor="text1"/>
          <w:sz w:val="20"/>
          <w:szCs w:val="20"/>
        </w:rPr>
        <w:t>.</w:t>
      </w:r>
    </w:p>
    <w:p w14:paraId="757B6049" w14:textId="77777777" w:rsidR="00AA2A52" w:rsidRPr="00F7797F" w:rsidRDefault="00AA2A52" w:rsidP="00741B44">
      <w:pPr>
        <w:spacing w:after="0" w:line="240" w:lineRule="auto"/>
        <w:jc w:val="both"/>
        <w:rPr>
          <w:rFonts w:ascii="Cambria" w:eastAsia="Times New Roman" w:hAnsi="Cambria" w:cs="Times New Roman"/>
          <w:i/>
          <w:iCs/>
          <w:color w:val="000000" w:themeColor="text1"/>
          <w:sz w:val="20"/>
          <w:szCs w:val="20"/>
        </w:rPr>
      </w:pPr>
    </w:p>
    <w:p w14:paraId="591986C4" w14:textId="7E4AA53D" w:rsidR="297D4CAF" w:rsidRPr="00F7797F" w:rsidRDefault="297D4CAF" w:rsidP="00741B44">
      <w:pPr>
        <w:spacing w:after="0" w:line="240" w:lineRule="auto"/>
        <w:jc w:val="both"/>
        <w:rPr>
          <w:rFonts w:ascii="Cambria" w:eastAsia="Times New Roman" w:hAnsi="Cambria" w:cs="Times New Roman"/>
          <w:color w:val="000000" w:themeColor="text1"/>
          <w:sz w:val="20"/>
          <w:szCs w:val="20"/>
        </w:rPr>
      </w:pPr>
      <w:r w:rsidRPr="00F7797F">
        <w:rPr>
          <w:rFonts w:ascii="Cambria" w:eastAsia="Times New Roman" w:hAnsi="Cambria" w:cs="Times New Roman"/>
          <w:color w:val="000000" w:themeColor="text1"/>
          <w:sz w:val="20"/>
          <w:szCs w:val="20"/>
        </w:rPr>
        <w:t xml:space="preserve">Additional details by EU-Member </w:t>
      </w:r>
      <w:r w:rsidR="003D24E1" w:rsidRPr="00F7797F">
        <w:rPr>
          <w:rFonts w:ascii="Cambria" w:eastAsia="Times New Roman" w:hAnsi="Cambria" w:cs="Times New Roman"/>
          <w:color w:val="000000" w:themeColor="text1"/>
          <w:sz w:val="20"/>
          <w:szCs w:val="20"/>
        </w:rPr>
        <w:t>S</w:t>
      </w:r>
      <w:r w:rsidRPr="00F7797F">
        <w:rPr>
          <w:rFonts w:ascii="Cambria" w:eastAsia="Times New Roman" w:hAnsi="Cambria" w:cs="Times New Roman"/>
          <w:color w:val="000000" w:themeColor="text1"/>
          <w:sz w:val="20"/>
          <w:szCs w:val="20"/>
        </w:rPr>
        <w:t xml:space="preserve">tate are provided in the </w:t>
      </w:r>
      <w:r w:rsidR="00C34E8E" w:rsidRPr="00F7797F">
        <w:rPr>
          <w:rFonts w:ascii="Cambria" w:eastAsia="Times New Roman" w:hAnsi="Cambria" w:cs="Times New Roman"/>
          <w:b/>
          <w:bCs/>
          <w:color w:val="000000" w:themeColor="text1"/>
          <w:sz w:val="20"/>
          <w:szCs w:val="20"/>
        </w:rPr>
        <w:t>A</w:t>
      </w:r>
      <w:r w:rsidRPr="00F7797F">
        <w:rPr>
          <w:rFonts w:ascii="Cambria" w:eastAsia="Times New Roman" w:hAnsi="Cambria" w:cs="Times New Roman"/>
          <w:b/>
          <w:bCs/>
          <w:color w:val="000000" w:themeColor="text1"/>
          <w:sz w:val="20"/>
          <w:szCs w:val="20"/>
        </w:rPr>
        <w:t>nnex</w:t>
      </w:r>
      <w:r w:rsidRPr="00F7797F">
        <w:rPr>
          <w:rFonts w:ascii="Cambria" w:eastAsia="Times New Roman" w:hAnsi="Cambria" w:cs="Times New Roman"/>
          <w:color w:val="000000" w:themeColor="text1"/>
          <w:sz w:val="20"/>
          <w:szCs w:val="20"/>
        </w:rPr>
        <w:t>.</w:t>
      </w:r>
    </w:p>
    <w:p w14:paraId="1928C1DD" w14:textId="77777777" w:rsidR="00AA2A52" w:rsidRPr="00F7797F" w:rsidRDefault="00AA2A52" w:rsidP="00741B44">
      <w:pPr>
        <w:spacing w:after="0" w:line="240" w:lineRule="auto"/>
        <w:jc w:val="both"/>
        <w:rPr>
          <w:rFonts w:ascii="Cambria" w:eastAsia="Times New Roman" w:hAnsi="Cambria" w:cs="Times New Roman"/>
          <w:color w:val="000000" w:themeColor="text1"/>
          <w:sz w:val="20"/>
          <w:szCs w:val="20"/>
        </w:rPr>
      </w:pPr>
    </w:p>
    <w:p w14:paraId="1E73FEF6" w14:textId="77777777" w:rsidR="00AA2A52" w:rsidRPr="00F7797F" w:rsidRDefault="00AA2A52" w:rsidP="00741B44">
      <w:pPr>
        <w:spacing w:after="0" w:line="240" w:lineRule="auto"/>
        <w:jc w:val="both"/>
        <w:rPr>
          <w:rFonts w:ascii="Cambria" w:eastAsia="Times New Roman" w:hAnsi="Cambria" w:cs="Times New Roman"/>
          <w:color w:val="000000" w:themeColor="text1"/>
          <w:sz w:val="20"/>
          <w:szCs w:val="20"/>
        </w:rPr>
      </w:pPr>
    </w:p>
    <w:p w14:paraId="3D0A3E03" w14:textId="5BBE66F8" w:rsidR="313C39DB" w:rsidRPr="00F7797F" w:rsidRDefault="313C39DB" w:rsidP="00AA2A52">
      <w:pPr>
        <w:pStyle w:val="ListParagraph"/>
        <w:keepNext/>
        <w:numPr>
          <w:ilvl w:val="0"/>
          <w:numId w:val="1"/>
        </w:numPr>
        <w:spacing w:after="0" w:line="240" w:lineRule="auto"/>
        <w:ind w:left="426" w:hanging="426"/>
        <w:rPr>
          <w:rFonts w:ascii="Cambria" w:eastAsia="Times New Roman" w:hAnsi="Cambria" w:cs="Times New Roman"/>
          <w:b/>
          <w:bCs/>
          <w:color w:val="000000" w:themeColor="text1"/>
          <w:sz w:val="20"/>
          <w:szCs w:val="20"/>
        </w:rPr>
      </w:pPr>
      <w:r w:rsidRPr="00F7797F">
        <w:rPr>
          <w:rFonts w:ascii="Cambria" w:eastAsia="Times New Roman" w:hAnsi="Cambria" w:cs="Times New Roman"/>
          <w:b/>
          <w:bCs/>
          <w:color w:val="000000" w:themeColor="text1"/>
          <w:sz w:val="20"/>
          <w:szCs w:val="20"/>
        </w:rPr>
        <w:t>Verifications</w:t>
      </w:r>
    </w:p>
    <w:p w14:paraId="692BFFD7" w14:textId="77777777" w:rsidR="00AA2A52" w:rsidRPr="00F7797F" w:rsidRDefault="00AA2A52" w:rsidP="00AA2A52">
      <w:pPr>
        <w:pStyle w:val="ListParagraph"/>
        <w:keepNext/>
        <w:spacing w:after="0" w:line="240" w:lineRule="auto"/>
        <w:ind w:left="426"/>
        <w:rPr>
          <w:rFonts w:ascii="Cambria" w:eastAsia="Times New Roman" w:hAnsi="Cambria" w:cs="Times New Roman"/>
          <w:b/>
          <w:bCs/>
          <w:color w:val="000000" w:themeColor="text1"/>
          <w:sz w:val="20"/>
          <w:szCs w:val="20"/>
        </w:rPr>
      </w:pPr>
    </w:p>
    <w:p w14:paraId="28297592" w14:textId="67BB30FD" w:rsidR="313C39DB" w:rsidRPr="00F7797F" w:rsidRDefault="313C39DB" w:rsidP="00741B44">
      <w:pPr>
        <w:spacing w:after="0" w:line="240" w:lineRule="auto"/>
        <w:jc w:val="both"/>
        <w:rPr>
          <w:rFonts w:ascii="Cambria" w:eastAsia="Times New Roman" w:hAnsi="Cambria" w:cs="Times New Roman"/>
          <w:color w:val="000000" w:themeColor="text1"/>
          <w:sz w:val="20"/>
          <w:szCs w:val="20"/>
        </w:rPr>
      </w:pPr>
      <w:r w:rsidRPr="00F7797F">
        <w:rPr>
          <w:rFonts w:ascii="Cambria" w:eastAsia="Times New Roman" w:hAnsi="Cambria" w:cs="Times New Roman"/>
          <w:color w:val="000000" w:themeColor="text1"/>
          <w:sz w:val="20"/>
          <w:szCs w:val="20"/>
        </w:rPr>
        <w:t>In terms of verifications of the information in the eBCD, as part of the standard procedure for validation, the control authorities perform verifications and crosschecks of all relevant documents including logbook data, landing declarations, sales notes, ICCAT authorizations, etc. Consistent with the EU legislation, the control authorities perform physical verifications and inspections at landing, in the market inside and at the entry in EU Member States based on risk assessment</w:t>
      </w:r>
      <w:r w:rsidR="3021CC41" w:rsidRPr="00F7797F">
        <w:rPr>
          <w:rFonts w:ascii="Cambria" w:eastAsia="Times New Roman" w:hAnsi="Cambria" w:cs="Times New Roman"/>
          <w:color w:val="000000" w:themeColor="text1"/>
          <w:sz w:val="20"/>
          <w:szCs w:val="20"/>
        </w:rPr>
        <w:t>.</w:t>
      </w:r>
      <w:r w:rsidR="00B6263B" w:rsidRPr="00F7797F">
        <w:rPr>
          <w:rFonts w:ascii="Cambria" w:eastAsia="Times New Roman" w:hAnsi="Cambria" w:cs="Times New Roman"/>
          <w:color w:val="000000" w:themeColor="text1"/>
          <w:sz w:val="20"/>
          <w:szCs w:val="20"/>
        </w:rPr>
        <w:t xml:space="preserve"> </w:t>
      </w:r>
      <w:r w:rsidR="373E697A" w:rsidRPr="00F7797F">
        <w:rPr>
          <w:rFonts w:ascii="Cambria" w:eastAsia="Times New Roman" w:hAnsi="Cambria" w:cs="Times New Roman"/>
          <w:color w:val="000000" w:themeColor="text1"/>
          <w:sz w:val="20"/>
          <w:szCs w:val="20"/>
        </w:rPr>
        <w:t>A</w:t>
      </w:r>
      <w:r w:rsidRPr="00F7797F">
        <w:rPr>
          <w:rFonts w:ascii="Cambria" w:eastAsia="Times New Roman" w:hAnsi="Cambria" w:cs="Times New Roman"/>
          <w:color w:val="000000" w:themeColor="text1"/>
          <w:sz w:val="20"/>
          <w:szCs w:val="20"/>
        </w:rPr>
        <w:t>ll catches are weighed at landing</w:t>
      </w:r>
      <w:r w:rsidR="02C08927" w:rsidRPr="00F7797F">
        <w:rPr>
          <w:rFonts w:ascii="Cambria" w:eastAsia="Times New Roman" w:hAnsi="Cambria" w:cs="Times New Roman"/>
          <w:color w:val="000000" w:themeColor="text1"/>
          <w:sz w:val="20"/>
          <w:szCs w:val="20"/>
        </w:rPr>
        <w:t xml:space="preserve"> using certified and calibrated scales</w:t>
      </w:r>
      <w:r w:rsidRPr="00F7797F">
        <w:rPr>
          <w:rFonts w:ascii="Cambria" w:eastAsia="Times New Roman" w:hAnsi="Cambria" w:cs="Times New Roman"/>
          <w:color w:val="000000" w:themeColor="text1"/>
          <w:sz w:val="20"/>
          <w:szCs w:val="20"/>
        </w:rPr>
        <w:t xml:space="preserve">. </w:t>
      </w:r>
    </w:p>
    <w:p w14:paraId="72C27D6D" w14:textId="77777777" w:rsidR="00AA2A52" w:rsidRPr="00F7797F" w:rsidRDefault="00AA2A52" w:rsidP="00741B44">
      <w:pPr>
        <w:spacing w:after="0" w:line="240" w:lineRule="auto"/>
        <w:jc w:val="both"/>
        <w:rPr>
          <w:rFonts w:ascii="Cambria" w:eastAsia="Times New Roman" w:hAnsi="Cambria" w:cs="Times New Roman"/>
          <w:color w:val="000000" w:themeColor="text1"/>
          <w:sz w:val="20"/>
          <w:szCs w:val="20"/>
        </w:rPr>
      </w:pPr>
    </w:p>
    <w:p w14:paraId="40DF2DB5" w14:textId="77777777" w:rsidR="00AA2A52" w:rsidRPr="00F7797F" w:rsidRDefault="00AA2A52" w:rsidP="00741B44">
      <w:pPr>
        <w:spacing w:after="0" w:line="240" w:lineRule="auto"/>
        <w:jc w:val="both"/>
        <w:rPr>
          <w:rFonts w:ascii="Cambria" w:eastAsia="Times New Roman" w:hAnsi="Cambria" w:cs="Times New Roman"/>
          <w:color w:val="000000" w:themeColor="text1"/>
          <w:sz w:val="20"/>
          <w:szCs w:val="20"/>
        </w:rPr>
      </w:pPr>
    </w:p>
    <w:p w14:paraId="2C211944" w14:textId="77777777" w:rsidR="00AA2A52" w:rsidRPr="00F7797F" w:rsidRDefault="00AA2A52" w:rsidP="00741B44">
      <w:pPr>
        <w:spacing w:after="0" w:line="240" w:lineRule="auto"/>
        <w:jc w:val="both"/>
        <w:rPr>
          <w:rFonts w:ascii="Cambria" w:eastAsia="Times New Roman" w:hAnsi="Cambria" w:cs="Times New Roman"/>
          <w:color w:val="000000" w:themeColor="text1"/>
          <w:sz w:val="20"/>
          <w:szCs w:val="20"/>
        </w:rPr>
      </w:pPr>
    </w:p>
    <w:p w14:paraId="6A21B5D9" w14:textId="73D83DDC" w:rsidR="313C39DB" w:rsidRPr="00F7797F" w:rsidRDefault="313C39DB" w:rsidP="00741B44">
      <w:pPr>
        <w:spacing w:after="0" w:line="240" w:lineRule="auto"/>
        <w:jc w:val="both"/>
        <w:rPr>
          <w:rFonts w:ascii="Cambria" w:eastAsia="Times New Roman" w:hAnsi="Cambria" w:cs="Times New Roman"/>
          <w:color w:val="000000" w:themeColor="text1"/>
          <w:sz w:val="20"/>
          <w:szCs w:val="20"/>
        </w:rPr>
      </w:pPr>
      <w:r w:rsidRPr="00F7797F">
        <w:rPr>
          <w:rFonts w:ascii="Cambria" w:eastAsia="Times New Roman" w:hAnsi="Cambria" w:cs="Times New Roman"/>
          <w:color w:val="000000" w:themeColor="text1"/>
          <w:sz w:val="20"/>
          <w:szCs w:val="20"/>
        </w:rPr>
        <w:t xml:space="preserve">At the point of exit and entry from and into EU, verifications include crosschecks of </w:t>
      </w:r>
      <w:proofErr w:type="spellStart"/>
      <w:r w:rsidRPr="00F7797F">
        <w:rPr>
          <w:rFonts w:ascii="Cambria" w:eastAsia="Times New Roman" w:hAnsi="Cambria" w:cs="Times New Roman"/>
          <w:color w:val="000000" w:themeColor="text1"/>
          <w:sz w:val="20"/>
          <w:szCs w:val="20"/>
        </w:rPr>
        <w:t>eBCDs</w:t>
      </w:r>
      <w:proofErr w:type="spellEnd"/>
      <w:r w:rsidRPr="00F7797F">
        <w:rPr>
          <w:rFonts w:ascii="Cambria" w:eastAsia="Times New Roman" w:hAnsi="Cambria" w:cs="Times New Roman"/>
          <w:color w:val="000000" w:themeColor="text1"/>
          <w:sz w:val="20"/>
          <w:szCs w:val="20"/>
        </w:rPr>
        <w:t xml:space="preserve"> with airbills and sales notes, as well as physical verifications. Imports into the European Union follow customs procedures.  </w:t>
      </w:r>
    </w:p>
    <w:p w14:paraId="67624835" w14:textId="34EEE234" w:rsidR="313C39DB" w:rsidRPr="00F7797F" w:rsidRDefault="313C39DB" w:rsidP="00741B44">
      <w:pPr>
        <w:spacing w:after="0" w:line="240" w:lineRule="auto"/>
        <w:jc w:val="both"/>
        <w:rPr>
          <w:rFonts w:ascii="Cambria" w:eastAsia="Times New Roman" w:hAnsi="Cambria" w:cs="Times New Roman"/>
          <w:color w:val="000000" w:themeColor="text1"/>
          <w:sz w:val="20"/>
          <w:szCs w:val="20"/>
        </w:rPr>
      </w:pPr>
      <w:r w:rsidRPr="00F7797F">
        <w:rPr>
          <w:rFonts w:ascii="Cambria" w:eastAsia="Times New Roman" w:hAnsi="Cambria" w:cs="Times New Roman"/>
          <w:color w:val="000000" w:themeColor="text1"/>
          <w:sz w:val="20"/>
          <w:szCs w:val="20"/>
        </w:rPr>
        <w:t xml:space="preserve">All eBCD subject to validation were crosschecked. Even when validation is not required, the control authorities perform crosschecks with catch declarations and the </w:t>
      </w:r>
      <w:proofErr w:type="spellStart"/>
      <w:r w:rsidRPr="00F7797F">
        <w:rPr>
          <w:rFonts w:ascii="Cambria" w:eastAsia="Times New Roman" w:hAnsi="Cambria" w:cs="Times New Roman"/>
          <w:color w:val="000000" w:themeColor="text1"/>
          <w:sz w:val="20"/>
          <w:szCs w:val="20"/>
        </w:rPr>
        <w:t>eBCDs</w:t>
      </w:r>
      <w:proofErr w:type="spellEnd"/>
      <w:r w:rsidRPr="00F7797F">
        <w:rPr>
          <w:rFonts w:ascii="Cambria" w:eastAsia="Times New Roman" w:hAnsi="Cambria" w:cs="Times New Roman"/>
          <w:color w:val="000000" w:themeColor="text1"/>
          <w:sz w:val="20"/>
          <w:szCs w:val="20"/>
        </w:rPr>
        <w:t xml:space="preserve"> information in conjunction with other Member States concerned, which enables efficient monitoring of operations exempted from validation. In addition, the control authorities verify the validation of catch or tags details and analyse the coherence of the timing of the validation messages as well as the possible alert messages in eBCD. </w:t>
      </w:r>
    </w:p>
    <w:p w14:paraId="17F8657E" w14:textId="77777777" w:rsidR="00AA2A52" w:rsidRPr="00F7797F" w:rsidRDefault="00AA2A52" w:rsidP="00741B44">
      <w:pPr>
        <w:spacing w:after="0" w:line="240" w:lineRule="auto"/>
        <w:jc w:val="both"/>
        <w:rPr>
          <w:rFonts w:ascii="Cambria" w:eastAsia="Times New Roman" w:hAnsi="Cambria" w:cs="Times New Roman"/>
          <w:color w:val="000000" w:themeColor="text1"/>
          <w:sz w:val="20"/>
          <w:szCs w:val="20"/>
        </w:rPr>
      </w:pPr>
    </w:p>
    <w:p w14:paraId="7B7DF0A9" w14:textId="4333D4C4" w:rsidR="313C39DB" w:rsidRPr="00F7797F" w:rsidRDefault="313C39DB" w:rsidP="00741B44">
      <w:pPr>
        <w:spacing w:after="0" w:line="240" w:lineRule="auto"/>
        <w:jc w:val="both"/>
        <w:rPr>
          <w:rFonts w:ascii="Cambria" w:eastAsia="Times New Roman" w:hAnsi="Cambria" w:cs="Times New Roman"/>
          <w:color w:val="000000" w:themeColor="text1"/>
          <w:sz w:val="20"/>
          <w:szCs w:val="20"/>
        </w:rPr>
      </w:pPr>
      <w:r w:rsidRPr="00F7797F">
        <w:rPr>
          <w:rFonts w:ascii="Cambria" w:eastAsia="Times New Roman" w:hAnsi="Cambria" w:cs="Times New Roman"/>
          <w:color w:val="000000" w:themeColor="text1"/>
          <w:sz w:val="20"/>
          <w:szCs w:val="20"/>
        </w:rPr>
        <w:t xml:space="preserve">Data extraction functionalities, crosschecks, and verifications through the eBCD system itself enable </w:t>
      </w:r>
      <w:r w:rsidR="00C20127" w:rsidRPr="00F7797F">
        <w:rPr>
          <w:rFonts w:ascii="Cambria" w:eastAsia="Times New Roman" w:hAnsi="Cambria" w:cs="Times New Roman"/>
          <w:color w:val="000000" w:themeColor="text1"/>
          <w:sz w:val="20"/>
          <w:szCs w:val="20"/>
        </w:rPr>
        <w:t xml:space="preserve">EU </w:t>
      </w:r>
      <w:r w:rsidRPr="00F7797F">
        <w:rPr>
          <w:rFonts w:ascii="Cambria" w:eastAsia="Times New Roman" w:hAnsi="Cambria" w:cs="Times New Roman"/>
          <w:color w:val="000000" w:themeColor="text1"/>
          <w:sz w:val="20"/>
          <w:szCs w:val="20"/>
        </w:rPr>
        <w:t xml:space="preserve">Member </w:t>
      </w:r>
      <w:r w:rsidR="00293845" w:rsidRPr="00F7797F">
        <w:rPr>
          <w:rFonts w:ascii="Cambria" w:eastAsia="Times New Roman" w:hAnsi="Cambria" w:cs="Times New Roman"/>
          <w:color w:val="000000" w:themeColor="text1"/>
          <w:sz w:val="20"/>
          <w:szCs w:val="20"/>
        </w:rPr>
        <w:t xml:space="preserve">States </w:t>
      </w:r>
      <w:r w:rsidRPr="00F7797F">
        <w:rPr>
          <w:rFonts w:ascii="Cambria" w:eastAsia="Times New Roman" w:hAnsi="Cambria" w:cs="Times New Roman"/>
          <w:color w:val="000000" w:themeColor="text1"/>
          <w:sz w:val="20"/>
          <w:szCs w:val="20"/>
        </w:rPr>
        <w:t>to establish improved risk assessment procedures to specifically target trades events for crosscheck and verification.</w:t>
      </w:r>
    </w:p>
    <w:p w14:paraId="3839D4E9" w14:textId="77777777" w:rsidR="00AA2A52" w:rsidRPr="00F7797F" w:rsidRDefault="00AA2A52" w:rsidP="00741B44">
      <w:pPr>
        <w:spacing w:after="0" w:line="240" w:lineRule="auto"/>
        <w:jc w:val="both"/>
        <w:rPr>
          <w:rFonts w:ascii="Cambria" w:eastAsia="Times New Roman" w:hAnsi="Cambria" w:cs="Times New Roman"/>
          <w:color w:val="000000" w:themeColor="text1"/>
          <w:sz w:val="20"/>
          <w:szCs w:val="20"/>
        </w:rPr>
      </w:pPr>
    </w:p>
    <w:p w14:paraId="13F9002E" w14:textId="77777777" w:rsidR="00AA2A52" w:rsidRPr="00F7797F" w:rsidRDefault="00AA2A52" w:rsidP="00741B44">
      <w:pPr>
        <w:spacing w:after="0" w:line="240" w:lineRule="auto"/>
        <w:jc w:val="both"/>
        <w:rPr>
          <w:rFonts w:ascii="Cambria" w:eastAsia="Times New Roman" w:hAnsi="Cambria" w:cs="Times New Roman"/>
          <w:color w:val="000000" w:themeColor="text1"/>
          <w:sz w:val="20"/>
          <w:szCs w:val="20"/>
        </w:rPr>
      </w:pPr>
    </w:p>
    <w:p w14:paraId="73B04E2F" w14:textId="7088B2BE" w:rsidR="54E8B0A9" w:rsidRPr="00F7797F" w:rsidRDefault="54E8B0A9" w:rsidP="00AA2A52">
      <w:pPr>
        <w:pStyle w:val="Heading1"/>
        <w:numPr>
          <w:ilvl w:val="0"/>
          <w:numId w:val="3"/>
        </w:numPr>
        <w:spacing w:before="0" w:after="0" w:line="240" w:lineRule="auto"/>
        <w:ind w:left="426" w:hanging="426"/>
        <w:jc w:val="both"/>
        <w:rPr>
          <w:rFonts w:ascii="Cambria" w:eastAsia="Times New Roman" w:hAnsi="Cambria" w:cs="Times New Roman"/>
          <w:b/>
          <w:bCs/>
          <w:color w:val="000000" w:themeColor="text1"/>
          <w:sz w:val="20"/>
          <w:szCs w:val="20"/>
        </w:rPr>
      </w:pPr>
      <w:r w:rsidRPr="00F7797F">
        <w:rPr>
          <w:rFonts w:ascii="Cambria" w:eastAsia="Times New Roman" w:hAnsi="Cambria" w:cs="Times New Roman"/>
          <w:b/>
          <w:bCs/>
          <w:color w:val="000000" w:themeColor="text1"/>
          <w:sz w:val="20"/>
          <w:szCs w:val="20"/>
        </w:rPr>
        <w:t>Conclusion</w:t>
      </w:r>
    </w:p>
    <w:p w14:paraId="13B0A674" w14:textId="77777777" w:rsidR="00AA2A52" w:rsidRPr="00F7797F" w:rsidRDefault="00AA2A52" w:rsidP="00741B44">
      <w:pPr>
        <w:spacing w:after="0" w:line="240" w:lineRule="auto"/>
        <w:jc w:val="both"/>
        <w:rPr>
          <w:rFonts w:ascii="Cambria" w:eastAsia="Times New Roman" w:hAnsi="Cambria" w:cs="Times New Roman"/>
          <w:color w:val="000000" w:themeColor="text1"/>
          <w:sz w:val="20"/>
          <w:szCs w:val="20"/>
        </w:rPr>
      </w:pPr>
    </w:p>
    <w:p w14:paraId="3CFAB1FD" w14:textId="5B5CB001" w:rsidR="54E8B0A9" w:rsidRPr="00F7797F" w:rsidRDefault="54E8B0A9" w:rsidP="00741B44">
      <w:pPr>
        <w:spacing w:after="0" w:line="240" w:lineRule="auto"/>
        <w:jc w:val="both"/>
        <w:rPr>
          <w:rFonts w:ascii="Cambria" w:eastAsia="Times New Roman" w:hAnsi="Cambria" w:cs="Times New Roman"/>
          <w:color w:val="000000" w:themeColor="text1"/>
          <w:sz w:val="20"/>
          <w:szCs w:val="20"/>
        </w:rPr>
      </w:pPr>
      <w:r w:rsidRPr="00F7797F">
        <w:rPr>
          <w:rFonts w:ascii="Cambria" w:eastAsia="Times New Roman" w:hAnsi="Cambria" w:cs="Times New Roman"/>
          <w:color w:val="000000" w:themeColor="text1"/>
          <w:sz w:val="20"/>
          <w:szCs w:val="20"/>
        </w:rPr>
        <w:t>The number of trades concerned by the derogation in para 5b of Rec</w:t>
      </w:r>
      <w:r w:rsidR="00C20127" w:rsidRPr="00F7797F">
        <w:rPr>
          <w:rFonts w:ascii="Cambria" w:eastAsia="Times New Roman" w:hAnsi="Cambria" w:cs="Times New Roman"/>
          <w:color w:val="000000" w:themeColor="text1"/>
          <w:sz w:val="20"/>
          <w:szCs w:val="20"/>
        </w:rPr>
        <w:t>.</w:t>
      </w:r>
      <w:r w:rsidRPr="00F7797F">
        <w:rPr>
          <w:rFonts w:ascii="Cambria" w:eastAsia="Times New Roman" w:hAnsi="Cambria" w:cs="Times New Roman"/>
          <w:color w:val="000000" w:themeColor="text1"/>
          <w:sz w:val="20"/>
          <w:szCs w:val="20"/>
        </w:rPr>
        <w:t xml:space="preserve"> </w:t>
      </w:r>
      <w:r w:rsidR="5C94368E" w:rsidRPr="00F7797F">
        <w:rPr>
          <w:rFonts w:ascii="Cambria" w:eastAsia="Times New Roman" w:hAnsi="Cambria" w:cs="Times New Roman"/>
          <w:color w:val="000000" w:themeColor="text1"/>
          <w:sz w:val="20"/>
          <w:szCs w:val="20"/>
        </w:rPr>
        <w:t>24-16</w:t>
      </w:r>
      <w:r w:rsidRPr="00F7797F">
        <w:rPr>
          <w:rFonts w:ascii="Cambria" w:eastAsia="Times New Roman" w:hAnsi="Cambria" w:cs="Times New Roman"/>
          <w:color w:val="000000" w:themeColor="text1"/>
          <w:sz w:val="20"/>
          <w:szCs w:val="20"/>
        </w:rPr>
        <w:t xml:space="preserve"> is significant but involves </w:t>
      </w:r>
      <w:r w:rsidR="676384AA" w:rsidRPr="00F7797F">
        <w:rPr>
          <w:rFonts w:ascii="Cambria" w:eastAsia="Times New Roman" w:hAnsi="Cambria" w:cs="Times New Roman"/>
          <w:color w:val="000000" w:themeColor="text1"/>
          <w:sz w:val="20"/>
          <w:szCs w:val="20"/>
        </w:rPr>
        <w:t xml:space="preserve">in most of the cases </w:t>
      </w:r>
      <w:r w:rsidRPr="00F7797F">
        <w:rPr>
          <w:rFonts w:ascii="Cambria" w:eastAsia="Times New Roman" w:hAnsi="Cambria" w:cs="Times New Roman"/>
          <w:color w:val="000000" w:themeColor="text1"/>
          <w:sz w:val="20"/>
          <w:szCs w:val="20"/>
        </w:rPr>
        <w:t xml:space="preserve">small quantities of </w:t>
      </w:r>
      <w:r w:rsidR="00C20127" w:rsidRPr="00F7797F">
        <w:rPr>
          <w:rFonts w:ascii="Cambria" w:eastAsia="Times New Roman" w:hAnsi="Cambria" w:cs="Times New Roman"/>
          <w:color w:val="000000" w:themeColor="text1"/>
          <w:sz w:val="20"/>
          <w:szCs w:val="20"/>
        </w:rPr>
        <w:t>b</w:t>
      </w:r>
      <w:r w:rsidRPr="00F7797F">
        <w:rPr>
          <w:rFonts w:ascii="Cambria" w:eastAsia="Times New Roman" w:hAnsi="Cambria" w:cs="Times New Roman"/>
          <w:color w:val="000000" w:themeColor="text1"/>
          <w:sz w:val="20"/>
          <w:szCs w:val="20"/>
        </w:rPr>
        <w:t>luefin tuna as it involves fillet (FL) and other (OT) presentations only. Additionally, 7</w:t>
      </w:r>
      <w:r w:rsidR="6941F390" w:rsidRPr="00F7797F">
        <w:rPr>
          <w:rFonts w:ascii="Cambria" w:eastAsia="Times New Roman" w:hAnsi="Cambria" w:cs="Times New Roman"/>
          <w:color w:val="000000" w:themeColor="text1"/>
          <w:sz w:val="20"/>
          <w:szCs w:val="20"/>
        </w:rPr>
        <w:t>1</w:t>
      </w:r>
      <w:r w:rsidRPr="00F7797F">
        <w:rPr>
          <w:rFonts w:ascii="Cambria" w:eastAsia="Times New Roman" w:hAnsi="Cambria" w:cs="Times New Roman"/>
          <w:color w:val="000000" w:themeColor="text1"/>
          <w:sz w:val="20"/>
          <w:szCs w:val="20"/>
        </w:rPr>
        <w:t xml:space="preserve">% of the trades recorded by EU are internal trades within EU Member States contributing to the traceability of the fish through the chain. </w:t>
      </w:r>
    </w:p>
    <w:p w14:paraId="263CB866" w14:textId="77777777" w:rsidR="00AA2A52" w:rsidRPr="00F7797F" w:rsidRDefault="00AA2A52" w:rsidP="00741B44">
      <w:pPr>
        <w:spacing w:after="0" w:line="240" w:lineRule="auto"/>
        <w:jc w:val="both"/>
        <w:rPr>
          <w:rFonts w:ascii="Cambria" w:eastAsia="Times New Roman" w:hAnsi="Cambria" w:cs="Times New Roman"/>
          <w:color w:val="000000" w:themeColor="text1"/>
          <w:sz w:val="20"/>
          <w:szCs w:val="20"/>
        </w:rPr>
      </w:pPr>
    </w:p>
    <w:p w14:paraId="0F2C4E6A" w14:textId="15B57DA4" w:rsidR="54E8B0A9" w:rsidRPr="00F7797F" w:rsidRDefault="54E8B0A9" w:rsidP="00741B44">
      <w:pPr>
        <w:spacing w:after="0" w:line="240" w:lineRule="auto"/>
        <w:jc w:val="both"/>
        <w:rPr>
          <w:rFonts w:ascii="Cambria" w:eastAsia="Times New Roman" w:hAnsi="Cambria" w:cs="Times New Roman"/>
          <w:color w:val="000000" w:themeColor="text1"/>
          <w:sz w:val="20"/>
          <w:szCs w:val="20"/>
        </w:rPr>
      </w:pPr>
      <w:r w:rsidRPr="00F7797F">
        <w:rPr>
          <w:rFonts w:ascii="Cambria" w:eastAsia="Times New Roman" w:hAnsi="Cambria" w:cs="Times New Roman"/>
          <w:color w:val="000000" w:themeColor="text1"/>
          <w:sz w:val="20"/>
          <w:szCs w:val="20"/>
        </w:rPr>
        <w:t>The derogation under para 5b of Rec</w:t>
      </w:r>
      <w:r w:rsidR="00EC09BF" w:rsidRPr="00F7797F">
        <w:rPr>
          <w:rFonts w:ascii="Cambria" w:eastAsia="Times New Roman" w:hAnsi="Cambria" w:cs="Times New Roman"/>
          <w:color w:val="000000" w:themeColor="text1"/>
          <w:sz w:val="20"/>
          <w:szCs w:val="20"/>
        </w:rPr>
        <w:t>.</w:t>
      </w:r>
      <w:r w:rsidRPr="00F7797F">
        <w:rPr>
          <w:rFonts w:ascii="Cambria" w:eastAsia="Times New Roman" w:hAnsi="Cambria" w:cs="Times New Roman"/>
          <w:color w:val="000000" w:themeColor="text1"/>
          <w:sz w:val="20"/>
          <w:szCs w:val="20"/>
        </w:rPr>
        <w:t xml:space="preserve"> 2</w:t>
      </w:r>
      <w:r w:rsidR="3C344F06" w:rsidRPr="00F7797F">
        <w:rPr>
          <w:rFonts w:ascii="Cambria" w:eastAsia="Times New Roman" w:hAnsi="Cambria" w:cs="Times New Roman"/>
          <w:color w:val="000000" w:themeColor="text1"/>
          <w:sz w:val="20"/>
          <w:szCs w:val="20"/>
        </w:rPr>
        <w:t>4</w:t>
      </w:r>
      <w:r w:rsidRPr="00F7797F">
        <w:rPr>
          <w:rFonts w:ascii="Cambria" w:eastAsia="Times New Roman" w:hAnsi="Cambria" w:cs="Times New Roman"/>
          <w:color w:val="000000" w:themeColor="text1"/>
          <w:sz w:val="20"/>
          <w:szCs w:val="20"/>
        </w:rPr>
        <w:t>-1</w:t>
      </w:r>
      <w:r w:rsidR="00EC09BF" w:rsidRPr="00F7797F">
        <w:rPr>
          <w:rFonts w:ascii="Cambria" w:eastAsia="Times New Roman" w:hAnsi="Cambria" w:cs="Times New Roman"/>
          <w:color w:val="000000" w:themeColor="text1"/>
          <w:sz w:val="20"/>
          <w:szCs w:val="20"/>
        </w:rPr>
        <w:t>6</w:t>
      </w:r>
      <w:r w:rsidRPr="00F7797F">
        <w:rPr>
          <w:rFonts w:ascii="Cambria" w:eastAsia="Times New Roman" w:hAnsi="Cambria" w:cs="Times New Roman"/>
          <w:color w:val="000000" w:themeColor="text1"/>
          <w:sz w:val="20"/>
          <w:szCs w:val="20"/>
        </w:rPr>
        <w:t xml:space="preserve"> removes a significant administrative burden related to validation and contributes towards achieving a more level playing field between the EU and the other ICCAT CPCs and is also consistent with the principle of </w:t>
      </w:r>
      <w:r w:rsidR="7BF38B66" w:rsidRPr="00F7797F">
        <w:rPr>
          <w:rFonts w:ascii="Cambria" w:eastAsia="Times New Roman" w:hAnsi="Cambria" w:cs="Times New Roman"/>
          <w:color w:val="000000" w:themeColor="text1"/>
          <w:sz w:val="20"/>
          <w:szCs w:val="20"/>
        </w:rPr>
        <w:t>a single</w:t>
      </w:r>
      <w:r w:rsidRPr="00F7797F">
        <w:rPr>
          <w:rFonts w:ascii="Cambria" w:eastAsia="Times New Roman" w:hAnsi="Cambria" w:cs="Times New Roman"/>
          <w:color w:val="000000" w:themeColor="text1"/>
          <w:sz w:val="20"/>
          <w:szCs w:val="20"/>
        </w:rPr>
        <w:t xml:space="preserve"> market inside of the EU. It is important to note that since this derogation was granted to the EU there is no information on a possible negative impact of these measures on the traceability of BFT products</w:t>
      </w:r>
      <w:r w:rsidR="61EE10AD" w:rsidRPr="00F7797F">
        <w:rPr>
          <w:rFonts w:ascii="Cambria" w:eastAsia="Times New Roman" w:hAnsi="Cambria" w:cs="Times New Roman"/>
          <w:color w:val="000000" w:themeColor="text1"/>
          <w:sz w:val="20"/>
          <w:szCs w:val="20"/>
        </w:rPr>
        <w:t>, in</w:t>
      </w:r>
      <w:r w:rsidR="361FA1CD" w:rsidRPr="00F7797F">
        <w:rPr>
          <w:rFonts w:ascii="Cambria" w:eastAsia="Times New Roman" w:hAnsi="Cambria" w:cs="Times New Roman"/>
          <w:color w:val="000000" w:themeColor="text1"/>
          <w:sz w:val="20"/>
          <w:szCs w:val="20"/>
        </w:rPr>
        <w:t xml:space="preserve"> particular bearing in mind that </w:t>
      </w:r>
      <w:r w:rsidR="620325BF" w:rsidRPr="00F7797F">
        <w:rPr>
          <w:rFonts w:ascii="Cambria" w:eastAsia="Times New Roman" w:hAnsi="Cambria" w:cs="Times New Roman"/>
          <w:color w:val="000000" w:themeColor="text1"/>
          <w:sz w:val="20"/>
          <w:szCs w:val="20"/>
        </w:rPr>
        <w:t>all</w:t>
      </w:r>
      <w:r w:rsidR="361FA1CD" w:rsidRPr="00F7797F">
        <w:rPr>
          <w:rFonts w:ascii="Cambria" w:eastAsia="Times New Roman" w:hAnsi="Cambria" w:cs="Times New Roman"/>
          <w:color w:val="000000" w:themeColor="text1"/>
          <w:sz w:val="20"/>
          <w:szCs w:val="20"/>
        </w:rPr>
        <w:t xml:space="preserve"> first </w:t>
      </w:r>
      <w:r w:rsidR="58AE07EB" w:rsidRPr="00F7797F">
        <w:rPr>
          <w:rFonts w:ascii="Cambria" w:eastAsia="Times New Roman" w:hAnsi="Cambria" w:cs="Times New Roman"/>
          <w:color w:val="000000" w:themeColor="text1"/>
          <w:sz w:val="20"/>
          <w:szCs w:val="20"/>
        </w:rPr>
        <w:t xml:space="preserve">trade </w:t>
      </w:r>
      <w:r w:rsidR="361FA1CD" w:rsidRPr="00F7797F">
        <w:rPr>
          <w:rFonts w:ascii="Cambria" w:eastAsia="Times New Roman" w:hAnsi="Cambria" w:cs="Times New Roman"/>
          <w:color w:val="000000" w:themeColor="text1"/>
          <w:sz w:val="20"/>
          <w:szCs w:val="20"/>
        </w:rPr>
        <w:t xml:space="preserve">operations are validated. </w:t>
      </w:r>
    </w:p>
    <w:p w14:paraId="75B4733A" w14:textId="5BDE20EA" w:rsidR="54E8B0A9" w:rsidRPr="00F7797F" w:rsidRDefault="54E8B0A9" w:rsidP="00741B44">
      <w:pPr>
        <w:spacing w:after="0" w:line="240" w:lineRule="auto"/>
        <w:jc w:val="both"/>
        <w:rPr>
          <w:rFonts w:ascii="Cambria" w:eastAsia="Times New Roman" w:hAnsi="Cambria" w:cs="Times New Roman"/>
          <w:color w:val="000000" w:themeColor="text1"/>
          <w:sz w:val="20"/>
          <w:szCs w:val="20"/>
        </w:rPr>
      </w:pPr>
    </w:p>
    <w:p w14:paraId="6E25F306" w14:textId="1D0AABEC" w:rsidR="5FEF55A3" w:rsidRPr="00F7797F" w:rsidRDefault="5FEF55A3" w:rsidP="00741B44">
      <w:pPr>
        <w:spacing w:after="0" w:line="240" w:lineRule="auto"/>
        <w:rPr>
          <w:rFonts w:ascii="Cambria" w:hAnsi="Cambria"/>
          <w:sz w:val="20"/>
          <w:szCs w:val="20"/>
        </w:rPr>
      </w:pPr>
    </w:p>
    <w:p w14:paraId="4284FA09" w14:textId="77777777" w:rsidR="00AA2A52" w:rsidRPr="00F7797F" w:rsidRDefault="00AA2A52">
      <w:pPr>
        <w:rPr>
          <w:rFonts w:ascii="Cambria" w:eastAsia="Times New Roman" w:hAnsi="Cambria" w:cs="Times New Roman"/>
          <w:b/>
          <w:bCs/>
          <w:color w:val="000000" w:themeColor="text1"/>
          <w:sz w:val="20"/>
          <w:szCs w:val="20"/>
        </w:rPr>
      </w:pPr>
      <w:r w:rsidRPr="00F7797F">
        <w:rPr>
          <w:rFonts w:ascii="Cambria" w:eastAsia="Times New Roman" w:hAnsi="Cambria" w:cs="Times New Roman"/>
          <w:b/>
          <w:bCs/>
          <w:color w:val="000000" w:themeColor="text1"/>
          <w:sz w:val="20"/>
          <w:szCs w:val="20"/>
        </w:rPr>
        <w:br w:type="page"/>
      </w:r>
    </w:p>
    <w:p w14:paraId="3CD3DDB0" w14:textId="027AF7E7" w:rsidR="46ABD34F" w:rsidRPr="00F7797F" w:rsidRDefault="46ABD34F" w:rsidP="00AA2A52">
      <w:pPr>
        <w:spacing w:after="0" w:line="240" w:lineRule="auto"/>
        <w:jc w:val="right"/>
        <w:rPr>
          <w:rFonts w:ascii="Cambria" w:eastAsia="Times New Roman" w:hAnsi="Cambria" w:cs="Times New Roman"/>
          <w:color w:val="000000" w:themeColor="text1"/>
          <w:sz w:val="20"/>
          <w:szCs w:val="20"/>
        </w:rPr>
      </w:pPr>
      <w:r w:rsidRPr="00F7797F">
        <w:rPr>
          <w:rFonts w:ascii="Cambria" w:eastAsia="Times New Roman" w:hAnsi="Cambria" w:cs="Times New Roman"/>
          <w:b/>
          <w:bCs/>
          <w:color w:val="000000" w:themeColor="text1"/>
          <w:sz w:val="20"/>
          <w:szCs w:val="20"/>
        </w:rPr>
        <w:t>Annex</w:t>
      </w:r>
    </w:p>
    <w:p w14:paraId="5C8B3ACD" w14:textId="2F78BEBF" w:rsidR="46ABD34F" w:rsidRPr="00F7797F" w:rsidRDefault="46ABD34F" w:rsidP="00741B44">
      <w:pPr>
        <w:spacing w:after="0" w:line="240" w:lineRule="auto"/>
        <w:jc w:val="center"/>
        <w:rPr>
          <w:rFonts w:ascii="Cambria" w:eastAsia="Times New Roman" w:hAnsi="Cambria" w:cs="Times New Roman"/>
          <w:color w:val="000000" w:themeColor="text1"/>
          <w:sz w:val="20"/>
          <w:szCs w:val="20"/>
        </w:rPr>
      </w:pPr>
      <w:r w:rsidRPr="00F7797F">
        <w:rPr>
          <w:rFonts w:ascii="Cambria" w:eastAsia="Times New Roman" w:hAnsi="Cambria" w:cs="Times New Roman"/>
          <w:b/>
          <w:bCs/>
          <w:color w:val="000000" w:themeColor="text1"/>
          <w:sz w:val="20"/>
          <w:szCs w:val="20"/>
        </w:rPr>
        <w:t xml:space="preserve">Details by EU-Member </w:t>
      </w:r>
      <w:r w:rsidR="00FA4F73" w:rsidRPr="00F7797F">
        <w:rPr>
          <w:rFonts w:ascii="Cambria" w:eastAsia="Times New Roman" w:hAnsi="Cambria" w:cs="Times New Roman"/>
          <w:b/>
          <w:bCs/>
          <w:color w:val="000000" w:themeColor="text1"/>
          <w:sz w:val="20"/>
          <w:szCs w:val="20"/>
        </w:rPr>
        <w:t>S</w:t>
      </w:r>
      <w:r w:rsidRPr="00F7797F">
        <w:rPr>
          <w:rFonts w:ascii="Cambria" w:eastAsia="Times New Roman" w:hAnsi="Cambria" w:cs="Times New Roman"/>
          <w:b/>
          <w:bCs/>
          <w:color w:val="000000" w:themeColor="text1"/>
          <w:sz w:val="20"/>
          <w:szCs w:val="20"/>
        </w:rPr>
        <w:t>tate</w:t>
      </w:r>
    </w:p>
    <w:tbl>
      <w:tblPr>
        <w:tblW w:w="9180" w:type="dxa"/>
        <w:jc w:val="center"/>
        <w:tblLayout w:type="fixed"/>
        <w:tblLook w:val="06A0" w:firstRow="1" w:lastRow="0" w:firstColumn="1" w:lastColumn="0" w:noHBand="1" w:noVBand="1"/>
      </w:tblPr>
      <w:tblGrid>
        <w:gridCol w:w="1020"/>
        <w:gridCol w:w="1020"/>
        <w:gridCol w:w="1020"/>
        <w:gridCol w:w="1020"/>
        <w:gridCol w:w="1020"/>
        <w:gridCol w:w="1020"/>
        <w:gridCol w:w="1020"/>
        <w:gridCol w:w="1020"/>
        <w:gridCol w:w="1020"/>
      </w:tblGrid>
      <w:tr w:rsidR="5FEF55A3" w:rsidRPr="00F7797F" w14:paraId="48D8A69C" w14:textId="77777777" w:rsidTr="00DD56FA">
        <w:trPr>
          <w:trHeight w:val="633"/>
          <w:jc w:val="center"/>
        </w:trPr>
        <w:tc>
          <w:tcPr>
            <w:tcW w:w="10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center"/>
          </w:tcPr>
          <w:p w14:paraId="59353684" w14:textId="6C212BF8" w:rsidR="5FEF55A3" w:rsidRPr="00F7797F" w:rsidRDefault="5FEF55A3" w:rsidP="00741B44">
            <w:pPr>
              <w:spacing w:after="0" w:line="240" w:lineRule="auto"/>
              <w:rPr>
                <w:rFonts w:ascii="Cambria" w:hAnsi="Cambria"/>
                <w:i/>
                <w:iCs/>
                <w:sz w:val="18"/>
                <w:szCs w:val="18"/>
              </w:rPr>
            </w:pPr>
          </w:p>
        </w:tc>
        <w:tc>
          <w:tcPr>
            <w:tcW w:w="1020"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14:paraId="43BA0723" w14:textId="5FACB920" w:rsidR="5FEF55A3" w:rsidRPr="00F7797F" w:rsidRDefault="5FEF55A3" w:rsidP="00741B44">
            <w:pPr>
              <w:spacing w:after="0" w:line="240" w:lineRule="auto"/>
              <w:jc w:val="center"/>
              <w:rPr>
                <w:rFonts w:ascii="Cambria" w:hAnsi="Cambria"/>
                <w:i/>
                <w:iCs/>
                <w:sz w:val="18"/>
                <w:szCs w:val="18"/>
              </w:rPr>
            </w:pPr>
            <w:r w:rsidRPr="00F7797F">
              <w:rPr>
                <w:rFonts w:ascii="Cambria" w:eastAsia="Calibri" w:hAnsi="Cambria" w:cs="Calibri"/>
                <w:b/>
                <w:bCs/>
                <w:i/>
                <w:iCs/>
                <w:color w:val="000000" w:themeColor="text1"/>
                <w:sz w:val="18"/>
                <w:szCs w:val="18"/>
              </w:rPr>
              <w:t>CYP</w:t>
            </w:r>
          </w:p>
        </w:tc>
        <w:tc>
          <w:tcPr>
            <w:tcW w:w="10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14:paraId="2D4BB663" w14:textId="0FFDBB41" w:rsidR="5FEF55A3" w:rsidRPr="00F7797F" w:rsidRDefault="5FEF55A3" w:rsidP="00741B44">
            <w:pPr>
              <w:spacing w:after="0" w:line="240" w:lineRule="auto"/>
              <w:jc w:val="center"/>
              <w:rPr>
                <w:rFonts w:ascii="Cambria" w:hAnsi="Cambria"/>
                <w:i/>
                <w:iCs/>
                <w:sz w:val="18"/>
                <w:szCs w:val="18"/>
              </w:rPr>
            </w:pPr>
            <w:r w:rsidRPr="00F7797F">
              <w:rPr>
                <w:rFonts w:ascii="Cambria" w:eastAsia="Calibri" w:hAnsi="Cambria" w:cs="Calibri"/>
                <w:b/>
                <w:bCs/>
                <w:i/>
                <w:iCs/>
                <w:color w:val="000000" w:themeColor="text1"/>
                <w:sz w:val="18"/>
                <w:szCs w:val="18"/>
              </w:rPr>
              <w:t xml:space="preserve">ESP </w:t>
            </w:r>
          </w:p>
        </w:tc>
        <w:tc>
          <w:tcPr>
            <w:tcW w:w="10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14:paraId="7D4DAA66" w14:textId="101B62DC" w:rsidR="5FEF55A3" w:rsidRPr="00F7797F" w:rsidRDefault="5FEF55A3" w:rsidP="00741B44">
            <w:pPr>
              <w:spacing w:after="0" w:line="240" w:lineRule="auto"/>
              <w:jc w:val="center"/>
              <w:rPr>
                <w:rFonts w:ascii="Cambria" w:hAnsi="Cambria"/>
                <w:i/>
                <w:iCs/>
                <w:sz w:val="18"/>
                <w:szCs w:val="18"/>
              </w:rPr>
            </w:pPr>
            <w:r w:rsidRPr="00F7797F">
              <w:rPr>
                <w:rFonts w:ascii="Cambria" w:eastAsia="Calibri" w:hAnsi="Cambria" w:cs="Calibri"/>
                <w:b/>
                <w:bCs/>
                <w:i/>
                <w:iCs/>
                <w:color w:val="000000" w:themeColor="text1"/>
                <w:sz w:val="18"/>
                <w:szCs w:val="18"/>
              </w:rPr>
              <w:t>FRA</w:t>
            </w:r>
          </w:p>
        </w:tc>
        <w:tc>
          <w:tcPr>
            <w:tcW w:w="10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14:paraId="245C6A73" w14:textId="622F6905" w:rsidR="5FEF55A3" w:rsidRPr="00F7797F" w:rsidRDefault="5FEF55A3" w:rsidP="00741B44">
            <w:pPr>
              <w:spacing w:after="0" w:line="240" w:lineRule="auto"/>
              <w:jc w:val="center"/>
              <w:rPr>
                <w:rFonts w:ascii="Cambria" w:hAnsi="Cambria"/>
                <w:i/>
                <w:iCs/>
                <w:sz w:val="18"/>
                <w:szCs w:val="18"/>
              </w:rPr>
            </w:pPr>
            <w:r w:rsidRPr="00F7797F">
              <w:rPr>
                <w:rFonts w:ascii="Cambria" w:eastAsia="Calibri" w:hAnsi="Cambria" w:cs="Calibri"/>
                <w:b/>
                <w:bCs/>
                <w:i/>
                <w:iCs/>
                <w:color w:val="000000" w:themeColor="text1"/>
                <w:sz w:val="18"/>
                <w:szCs w:val="18"/>
              </w:rPr>
              <w:t xml:space="preserve">GRC </w:t>
            </w:r>
          </w:p>
        </w:tc>
        <w:tc>
          <w:tcPr>
            <w:tcW w:w="10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14:paraId="0CC1E931" w14:textId="27AFE109" w:rsidR="5FEF55A3" w:rsidRPr="00F7797F" w:rsidRDefault="5FEF55A3" w:rsidP="00741B44">
            <w:pPr>
              <w:spacing w:after="0" w:line="240" w:lineRule="auto"/>
              <w:jc w:val="center"/>
              <w:rPr>
                <w:rFonts w:ascii="Cambria" w:hAnsi="Cambria"/>
                <w:i/>
                <w:iCs/>
                <w:sz w:val="18"/>
                <w:szCs w:val="18"/>
              </w:rPr>
            </w:pPr>
            <w:r w:rsidRPr="00F7797F">
              <w:rPr>
                <w:rFonts w:ascii="Cambria" w:eastAsia="Calibri" w:hAnsi="Cambria" w:cs="Calibri"/>
                <w:b/>
                <w:bCs/>
                <w:i/>
                <w:iCs/>
                <w:color w:val="000000" w:themeColor="text1"/>
                <w:sz w:val="18"/>
                <w:szCs w:val="18"/>
              </w:rPr>
              <w:t>HRV</w:t>
            </w:r>
          </w:p>
        </w:tc>
        <w:tc>
          <w:tcPr>
            <w:tcW w:w="10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14:paraId="66D30212" w14:textId="334ECE5D" w:rsidR="5FEF55A3" w:rsidRPr="00F7797F" w:rsidRDefault="5FEF55A3" w:rsidP="00741B44">
            <w:pPr>
              <w:spacing w:after="0" w:line="240" w:lineRule="auto"/>
              <w:jc w:val="center"/>
              <w:rPr>
                <w:rFonts w:ascii="Cambria" w:hAnsi="Cambria"/>
                <w:i/>
                <w:iCs/>
                <w:sz w:val="18"/>
                <w:szCs w:val="18"/>
              </w:rPr>
            </w:pPr>
            <w:r w:rsidRPr="00F7797F">
              <w:rPr>
                <w:rFonts w:ascii="Cambria" w:eastAsia="Calibri" w:hAnsi="Cambria" w:cs="Calibri"/>
                <w:b/>
                <w:bCs/>
                <w:i/>
                <w:iCs/>
                <w:color w:val="000000" w:themeColor="text1"/>
                <w:sz w:val="18"/>
                <w:szCs w:val="18"/>
              </w:rPr>
              <w:t>ITA</w:t>
            </w:r>
          </w:p>
        </w:tc>
        <w:tc>
          <w:tcPr>
            <w:tcW w:w="10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14:paraId="26F95125" w14:textId="1CB5980F" w:rsidR="5FEF55A3" w:rsidRPr="00F7797F" w:rsidRDefault="5FEF55A3" w:rsidP="00741B44">
            <w:pPr>
              <w:spacing w:after="0" w:line="240" w:lineRule="auto"/>
              <w:jc w:val="center"/>
              <w:rPr>
                <w:rFonts w:ascii="Cambria" w:hAnsi="Cambria"/>
                <w:i/>
                <w:iCs/>
                <w:sz w:val="18"/>
                <w:szCs w:val="18"/>
              </w:rPr>
            </w:pPr>
            <w:r w:rsidRPr="00F7797F">
              <w:rPr>
                <w:rFonts w:ascii="Cambria" w:eastAsia="Calibri" w:hAnsi="Cambria" w:cs="Calibri"/>
                <w:b/>
                <w:bCs/>
                <w:i/>
                <w:iCs/>
                <w:color w:val="000000" w:themeColor="text1"/>
                <w:sz w:val="18"/>
                <w:szCs w:val="18"/>
              </w:rPr>
              <w:t>MLT</w:t>
            </w:r>
          </w:p>
        </w:tc>
        <w:tc>
          <w:tcPr>
            <w:tcW w:w="102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center"/>
          </w:tcPr>
          <w:p w14:paraId="171CB25E" w14:textId="34DA9088" w:rsidR="5FEF55A3" w:rsidRPr="00F7797F" w:rsidRDefault="5FEF55A3" w:rsidP="00741B44">
            <w:pPr>
              <w:spacing w:after="0" w:line="240" w:lineRule="auto"/>
              <w:jc w:val="center"/>
              <w:rPr>
                <w:rFonts w:ascii="Cambria" w:hAnsi="Cambria"/>
                <w:i/>
                <w:iCs/>
                <w:sz w:val="18"/>
                <w:szCs w:val="18"/>
              </w:rPr>
            </w:pPr>
            <w:r w:rsidRPr="00F7797F">
              <w:rPr>
                <w:rFonts w:ascii="Cambria" w:eastAsia="Calibri" w:hAnsi="Cambria" w:cs="Calibri"/>
                <w:b/>
                <w:bCs/>
                <w:i/>
                <w:iCs/>
                <w:color w:val="000000" w:themeColor="text1"/>
                <w:sz w:val="18"/>
                <w:szCs w:val="18"/>
              </w:rPr>
              <w:t>PRT</w:t>
            </w:r>
          </w:p>
        </w:tc>
      </w:tr>
      <w:tr w:rsidR="5FEF55A3" w:rsidRPr="00F7797F" w14:paraId="25699950" w14:textId="77777777" w:rsidTr="00DD56FA">
        <w:trPr>
          <w:trHeight w:val="633"/>
          <w:jc w:val="center"/>
        </w:trPr>
        <w:tc>
          <w:tcPr>
            <w:tcW w:w="1020" w:type="dxa"/>
            <w:tcBorders>
              <w:top w:val="single" w:sz="8" w:space="0" w:color="auto"/>
              <w:left w:val="single" w:sz="8" w:space="0" w:color="auto"/>
              <w:bottom w:val="single" w:sz="4" w:space="0" w:color="auto"/>
              <w:right w:val="single" w:sz="8" w:space="0" w:color="auto"/>
            </w:tcBorders>
            <w:tcMar>
              <w:top w:w="15" w:type="dxa"/>
              <w:left w:w="15" w:type="dxa"/>
              <w:right w:w="15" w:type="dxa"/>
            </w:tcMar>
            <w:vAlign w:val="center"/>
          </w:tcPr>
          <w:p w14:paraId="123917F8" w14:textId="485F703E" w:rsidR="5FEF55A3" w:rsidRPr="00F7797F" w:rsidRDefault="5FEF55A3" w:rsidP="00741B44">
            <w:pPr>
              <w:spacing w:after="0" w:line="240" w:lineRule="auto"/>
              <w:rPr>
                <w:rFonts w:ascii="Cambria" w:hAnsi="Cambria"/>
                <w:sz w:val="18"/>
                <w:szCs w:val="18"/>
              </w:rPr>
            </w:pPr>
            <w:r w:rsidRPr="00F7797F">
              <w:rPr>
                <w:rFonts w:ascii="Cambria" w:eastAsia="Calibri" w:hAnsi="Cambria" w:cs="Calibri"/>
                <w:color w:val="000000" w:themeColor="text1"/>
                <w:sz w:val="18"/>
                <w:szCs w:val="18"/>
              </w:rPr>
              <w:t xml:space="preserve">Nb of trade events </w:t>
            </w:r>
          </w:p>
        </w:tc>
        <w:tc>
          <w:tcPr>
            <w:tcW w:w="1020" w:type="dxa"/>
            <w:tcBorders>
              <w:top w:val="single" w:sz="8" w:space="0" w:color="auto"/>
              <w:left w:val="single" w:sz="8" w:space="0" w:color="auto"/>
              <w:bottom w:val="single" w:sz="4" w:space="0" w:color="auto"/>
              <w:right w:val="single" w:sz="4" w:space="0" w:color="auto"/>
            </w:tcBorders>
            <w:shd w:val="clear" w:color="auto" w:fill="E2EFDA"/>
            <w:tcMar>
              <w:top w:w="15" w:type="dxa"/>
              <w:left w:w="15" w:type="dxa"/>
              <w:right w:w="15" w:type="dxa"/>
            </w:tcMar>
            <w:vAlign w:val="center"/>
          </w:tcPr>
          <w:p w14:paraId="4A4E7629" w14:textId="79AD5405"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292</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570E5E29" w14:textId="2681BBBC"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89,589</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2B69947" w14:textId="17D0B100"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32,685</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322F82B" w14:textId="29AA4DE5"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5,489</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3D49C0D3" w14:textId="5C706320"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4,881</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7FFCD7A" w14:textId="7B401D0B"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88,762</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3C1A793" w14:textId="58D63457"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3,069</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1F80760F" w14:textId="7E903224"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4,372</w:t>
            </w:r>
          </w:p>
        </w:tc>
      </w:tr>
      <w:tr w:rsidR="5FEF55A3" w:rsidRPr="00F7797F" w14:paraId="6AE0560E" w14:textId="77777777" w:rsidTr="00DD56FA">
        <w:trPr>
          <w:trHeight w:val="633"/>
          <w:jc w:val="center"/>
        </w:trPr>
        <w:tc>
          <w:tcPr>
            <w:tcW w:w="1020" w:type="dxa"/>
            <w:tcBorders>
              <w:top w:val="single" w:sz="4" w:space="0" w:color="auto"/>
              <w:left w:val="single" w:sz="8" w:space="0" w:color="auto"/>
              <w:bottom w:val="single" w:sz="8" w:space="0" w:color="auto"/>
              <w:right w:val="single" w:sz="8" w:space="0" w:color="auto"/>
            </w:tcBorders>
            <w:tcMar>
              <w:top w:w="15" w:type="dxa"/>
              <w:left w:w="15" w:type="dxa"/>
              <w:right w:w="15" w:type="dxa"/>
            </w:tcMar>
            <w:vAlign w:val="center"/>
          </w:tcPr>
          <w:p w14:paraId="1A425B01" w14:textId="17390B86" w:rsidR="5FEF55A3" w:rsidRPr="00F7797F" w:rsidRDefault="5FEF55A3" w:rsidP="00741B44">
            <w:pPr>
              <w:spacing w:after="0" w:line="240" w:lineRule="auto"/>
              <w:rPr>
                <w:rFonts w:ascii="Cambria" w:hAnsi="Cambria"/>
                <w:sz w:val="18"/>
                <w:szCs w:val="18"/>
              </w:rPr>
            </w:pPr>
            <w:r w:rsidRPr="00F7797F">
              <w:rPr>
                <w:rFonts w:ascii="Cambria" w:eastAsia="Calibri" w:hAnsi="Cambria" w:cs="Calibri"/>
                <w:color w:val="000000" w:themeColor="text1"/>
                <w:sz w:val="18"/>
                <w:szCs w:val="18"/>
              </w:rPr>
              <w:t>kg</w:t>
            </w:r>
          </w:p>
        </w:tc>
        <w:tc>
          <w:tcPr>
            <w:tcW w:w="1020" w:type="dxa"/>
            <w:tcBorders>
              <w:top w:val="single" w:sz="8" w:space="0" w:color="auto"/>
              <w:left w:val="single" w:sz="8" w:space="0" w:color="auto"/>
              <w:bottom w:val="single" w:sz="4" w:space="0" w:color="auto"/>
              <w:right w:val="single" w:sz="4" w:space="0" w:color="auto"/>
            </w:tcBorders>
            <w:shd w:val="clear" w:color="auto" w:fill="E2EFDA"/>
            <w:tcMar>
              <w:top w:w="15" w:type="dxa"/>
              <w:left w:w="15" w:type="dxa"/>
              <w:right w:w="15" w:type="dxa"/>
            </w:tcMar>
            <w:vAlign w:val="center"/>
          </w:tcPr>
          <w:p w14:paraId="042C506F" w14:textId="7CE07A5F"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90,865</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34E60AC6" w14:textId="4BE7CCFC"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20,110,361</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09F3CF64" w14:textId="6F4AF26B"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2,136,661</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DF1D835" w14:textId="0596F28E"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447,813</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358DC672" w14:textId="6607EF44"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4,597,274</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03D7EBF0" w14:textId="26E64C74"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4,077,597</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440B0EB9" w14:textId="3553BB93"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17,092,238</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EEBC6AA" w14:textId="57457F98"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952,781</w:t>
            </w:r>
          </w:p>
        </w:tc>
      </w:tr>
      <w:tr w:rsidR="5FEF55A3" w:rsidRPr="00F7797F" w14:paraId="28E42CCF" w14:textId="77777777" w:rsidTr="00DD56FA">
        <w:trPr>
          <w:trHeight w:val="633"/>
          <w:jc w:val="center"/>
        </w:trPr>
        <w:tc>
          <w:tcPr>
            <w:tcW w:w="1020" w:type="dxa"/>
            <w:tcBorders>
              <w:top w:val="single" w:sz="8" w:space="0" w:color="auto"/>
              <w:left w:val="single" w:sz="8" w:space="0" w:color="auto"/>
              <w:bottom w:val="nil"/>
              <w:right w:val="single" w:sz="8" w:space="0" w:color="auto"/>
            </w:tcBorders>
            <w:tcMar>
              <w:top w:w="15" w:type="dxa"/>
              <w:left w:w="15" w:type="dxa"/>
              <w:right w:w="15" w:type="dxa"/>
            </w:tcMar>
            <w:vAlign w:val="center"/>
          </w:tcPr>
          <w:p w14:paraId="6016F158" w14:textId="28575460" w:rsidR="5FEF55A3" w:rsidRPr="00F7797F" w:rsidRDefault="5FEF55A3" w:rsidP="00741B44">
            <w:pPr>
              <w:spacing w:after="0" w:line="240" w:lineRule="auto"/>
              <w:rPr>
                <w:rFonts w:ascii="Cambria" w:hAnsi="Cambria"/>
                <w:sz w:val="18"/>
                <w:szCs w:val="18"/>
              </w:rPr>
            </w:pPr>
            <w:r w:rsidRPr="00F7797F">
              <w:rPr>
                <w:rFonts w:ascii="Cambria" w:eastAsia="Calibri" w:hAnsi="Cambria" w:cs="Calibri"/>
                <w:color w:val="000000" w:themeColor="text1"/>
                <w:sz w:val="18"/>
                <w:szCs w:val="18"/>
              </w:rPr>
              <w:t>Exportation (CPCs)</w:t>
            </w:r>
          </w:p>
        </w:tc>
        <w:tc>
          <w:tcPr>
            <w:tcW w:w="1020" w:type="dxa"/>
            <w:tcBorders>
              <w:top w:val="single" w:sz="8" w:space="0" w:color="auto"/>
              <w:left w:val="single" w:sz="8" w:space="0" w:color="auto"/>
              <w:bottom w:val="single" w:sz="4" w:space="0" w:color="auto"/>
              <w:right w:val="single" w:sz="4" w:space="0" w:color="auto"/>
            </w:tcBorders>
            <w:shd w:val="clear" w:color="auto" w:fill="E2EFDA"/>
            <w:tcMar>
              <w:top w:w="15" w:type="dxa"/>
              <w:left w:w="15" w:type="dxa"/>
              <w:right w:w="15" w:type="dxa"/>
            </w:tcMar>
            <w:vAlign w:val="center"/>
          </w:tcPr>
          <w:p w14:paraId="1B8399E6" w14:textId="203CC7F5"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1</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B010F3B" w14:textId="7AC811F6"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20,823</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BB3981B" w14:textId="2EDE2722"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153</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5DC4DA6" w14:textId="011065BF"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1,895</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6ED8088" w14:textId="66C46758"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360</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9D72D5B" w14:textId="5DBD9243"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1,270</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69CEE3F" w14:textId="56599B50"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2,003</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6A90158" w14:textId="3AA92D44"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321</w:t>
            </w:r>
          </w:p>
        </w:tc>
      </w:tr>
      <w:tr w:rsidR="5FEF55A3" w:rsidRPr="00F7797F" w14:paraId="4A173710" w14:textId="77777777" w:rsidTr="00DD56FA">
        <w:trPr>
          <w:trHeight w:val="633"/>
          <w:jc w:val="center"/>
        </w:trPr>
        <w:tc>
          <w:tcPr>
            <w:tcW w:w="1020" w:type="dxa"/>
            <w:tcBorders>
              <w:top w:val="single" w:sz="4" w:space="0" w:color="auto"/>
              <w:left w:val="single" w:sz="8" w:space="0" w:color="auto"/>
              <w:bottom w:val="single" w:sz="8" w:space="0" w:color="auto"/>
              <w:right w:val="single" w:sz="8" w:space="0" w:color="auto"/>
            </w:tcBorders>
            <w:tcMar>
              <w:top w:w="15" w:type="dxa"/>
              <w:left w:w="15" w:type="dxa"/>
              <w:right w:w="15" w:type="dxa"/>
            </w:tcMar>
            <w:vAlign w:val="center"/>
          </w:tcPr>
          <w:p w14:paraId="1071F124" w14:textId="715CBB62" w:rsidR="5FEF55A3" w:rsidRPr="00F7797F" w:rsidRDefault="5FEF55A3" w:rsidP="00741B44">
            <w:pPr>
              <w:spacing w:after="0" w:line="240" w:lineRule="auto"/>
              <w:rPr>
                <w:rFonts w:ascii="Cambria" w:hAnsi="Cambria"/>
                <w:sz w:val="18"/>
                <w:szCs w:val="18"/>
              </w:rPr>
            </w:pPr>
            <w:r w:rsidRPr="00F7797F">
              <w:rPr>
                <w:rFonts w:ascii="Cambria" w:eastAsia="Calibri" w:hAnsi="Cambria" w:cs="Calibri"/>
                <w:color w:val="000000" w:themeColor="text1"/>
                <w:sz w:val="18"/>
                <w:szCs w:val="18"/>
              </w:rPr>
              <w:t>kg</w:t>
            </w:r>
          </w:p>
        </w:tc>
        <w:tc>
          <w:tcPr>
            <w:tcW w:w="1020" w:type="dxa"/>
            <w:tcBorders>
              <w:top w:val="single" w:sz="4" w:space="0" w:color="auto"/>
              <w:left w:val="single" w:sz="8" w:space="0" w:color="auto"/>
              <w:bottom w:val="single" w:sz="8" w:space="0" w:color="auto"/>
              <w:right w:val="single" w:sz="4" w:space="0" w:color="auto"/>
            </w:tcBorders>
            <w:shd w:val="clear" w:color="auto" w:fill="E2EFDA"/>
            <w:tcMar>
              <w:top w:w="15" w:type="dxa"/>
              <w:left w:w="15" w:type="dxa"/>
              <w:right w:w="15" w:type="dxa"/>
            </w:tcMar>
            <w:vAlign w:val="center"/>
          </w:tcPr>
          <w:p w14:paraId="2F83ABA1" w14:textId="073A50F7"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28</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1DD30210" w14:textId="45A8BF20"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9,902,388</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7702E63E" w14:textId="581BDCAB"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3,842</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11449FA0" w14:textId="10876A63"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96,150</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7618B067" w14:textId="17615930"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4,307,246</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66FBC892" w14:textId="0643193C"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43,443</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58E0EAC6" w14:textId="46FA6ABD"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16,373,693</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271318FE" w14:textId="44F547C3"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229,151</w:t>
            </w:r>
          </w:p>
        </w:tc>
      </w:tr>
      <w:tr w:rsidR="5FEF55A3" w:rsidRPr="00F7797F" w14:paraId="307B49A5" w14:textId="77777777" w:rsidTr="00DD56FA">
        <w:trPr>
          <w:trHeight w:val="633"/>
          <w:jc w:val="center"/>
        </w:trPr>
        <w:tc>
          <w:tcPr>
            <w:tcW w:w="1020" w:type="dxa"/>
            <w:tcBorders>
              <w:top w:val="single" w:sz="8" w:space="0" w:color="auto"/>
              <w:left w:val="single" w:sz="8" w:space="0" w:color="auto"/>
              <w:bottom w:val="nil"/>
              <w:right w:val="single" w:sz="8" w:space="0" w:color="auto"/>
            </w:tcBorders>
            <w:tcMar>
              <w:top w:w="15" w:type="dxa"/>
              <w:left w:w="15" w:type="dxa"/>
              <w:right w:w="15" w:type="dxa"/>
            </w:tcMar>
            <w:vAlign w:val="center"/>
          </w:tcPr>
          <w:p w14:paraId="4ED60B44" w14:textId="772BD8F7" w:rsidR="5FEF55A3" w:rsidRPr="00F7797F" w:rsidRDefault="5FEF55A3" w:rsidP="00741B44">
            <w:pPr>
              <w:spacing w:after="0" w:line="240" w:lineRule="auto"/>
              <w:rPr>
                <w:rFonts w:ascii="Cambria" w:hAnsi="Cambria"/>
                <w:sz w:val="18"/>
                <w:szCs w:val="18"/>
              </w:rPr>
            </w:pPr>
            <w:r w:rsidRPr="00F7797F">
              <w:rPr>
                <w:rFonts w:ascii="Cambria" w:eastAsia="Calibri" w:hAnsi="Cambria" w:cs="Calibri"/>
                <w:color w:val="000000" w:themeColor="text1"/>
                <w:sz w:val="18"/>
                <w:szCs w:val="18"/>
              </w:rPr>
              <w:t>Inside Trade (INT MS)</w:t>
            </w:r>
          </w:p>
        </w:tc>
        <w:tc>
          <w:tcPr>
            <w:tcW w:w="1020" w:type="dxa"/>
            <w:tcBorders>
              <w:top w:val="single" w:sz="8" w:space="0" w:color="auto"/>
              <w:left w:val="single" w:sz="8" w:space="0" w:color="auto"/>
              <w:bottom w:val="single" w:sz="4" w:space="0" w:color="auto"/>
              <w:right w:val="single" w:sz="4" w:space="0" w:color="auto"/>
            </w:tcBorders>
            <w:shd w:val="clear" w:color="auto" w:fill="E2EFDA"/>
            <w:tcMar>
              <w:top w:w="15" w:type="dxa"/>
              <w:left w:w="15" w:type="dxa"/>
              <w:right w:w="15" w:type="dxa"/>
            </w:tcMar>
            <w:vAlign w:val="center"/>
          </w:tcPr>
          <w:p w14:paraId="63DA6874" w14:textId="10CECE3F"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164</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5D181CB7" w14:textId="5012DB04"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48,801</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52506AAC" w14:textId="1BBAFDBE"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23,359</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F7BB4BD" w14:textId="2CDA4E4B"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883</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173D486" w14:textId="173864B5"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3,792</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4A0C922B" w14:textId="5C4D04D8"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82,884</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BC50971" w14:textId="030E0FAF"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615</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03C3E9B8" w14:textId="36587197"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1,422</w:t>
            </w:r>
          </w:p>
        </w:tc>
      </w:tr>
      <w:tr w:rsidR="5FEF55A3" w:rsidRPr="00F7797F" w14:paraId="22C386B2" w14:textId="77777777" w:rsidTr="00DD56FA">
        <w:trPr>
          <w:trHeight w:val="633"/>
          <w:jc w:val="center"/>
        </w:trPr>
        <w:tc>
          <w:tcPr>
            <w:tcW w:w="1020" w:type="dxa"/>
            <w:tcBorders>
              <w:top w:val="single" w:sz="4" w:space="0" w:color="auto"/>
              <w:left w:val="single" w:sz="8" w:space="0" w:color="auto"/>
              <w:bottom w:val="single" w:sz="8" w:space="0" w:color="auto"/>
              <w:right w:val="single" w:sz="8" w:space="0" w:color="auto"/>
            </w:tcBorders>
            <w:tcMar>
              <w:top w:w="15" w:type="dxa"/>
              <w:left w:w="15" w:type="dxa"/>
              <w:right w:w="15" w:type="dxa"/>
            </w:tcMar>
            <w:vAlign w:val="center"/>
          </w:tcPr>
          <w:p w14:paraId="5CCA59D4" w14:textId="5F7A8CD1" w:rsidR="5FEF55A3" w:rsidRPr="00F7797F" w:rsidRDefault="5FEF55A3" w:rsidP="00741B44">
            <w:pPr>
              <w:spacing w:after="0" w:line="240" w:lineRule="auto"/>
              <w:rPr>
                <w:rFonts w:ascii="Cambria" w:hAnsi="Cambria"/>
                <w:sz w:val="18"/>
                <w:szCs w:val="18"/>
              </w:rPr>
            </w:pPr>
            <w:r w:rsidRPr="00F7797F">
              <w:rPr>
                <w:rFonts w:ascii="Cambria" w:eastAsia="Calibri" w:hAnsi="Cambria" w:cs="Calibri"/>
                <w:color w:val="000000" w:themeColor="text1"/>
                <w:sz w:val="18"/>
                <w:szCs w:val="18"/>
              </w:rPr>
              <w:t>kg</w:t>
            </w:r>
          </w:p>
        </w:tc>
        <w:tc>
          <w:tcPr>
            <w:tcW w:w="1020" w:type="dxa"/>
            <w:tcBorders>
              <w:top w:val="single" w:sz="4" w:space="0" w:color="auto"/>
              <w:left w:val="single" w:sz="8" w:space="0" w:color="auto"/>
              <w:bottom w:val="single" w:sz="8" w:space="0" w:color="auto"/>
              <w:right w:val="single" w:sz="4" w:space="0" w:color="auto"/>
            </w:tcBorders>
            <w:shd w:val="clear" w:color="auto" w:fill="E2EFDA"/>
            <w:tcMar>
              <w:top w:w="15" w:type="dxa"/>
              <w:left w:w="15" w:type="dxa"/>
              <w:right w:w="15" w:type="dxa"/>
            </w:tcMar>
            <w:vAlign w:val="center"/>
          </w:tcPr>
          <w:p w14:paraId="0CEA6ECE" w14:textId="7A0A763C"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7,035</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2E675A03" w14:textId="47FF212F"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8,135,730</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61097738" w14:textId="64AAF9CD"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1,244,561</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500E917A" w14:textId="009F2C37"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62,630</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069F69A4" w14:textId="62F82789"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247,006</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053D096B" w14:textId="70DE2537"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3,166,825</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33FE92BC" w14:textId="52BE7B33"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600,864</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172A400F" w14:textId="5D333790"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223,914</w:t>
            </w:r>
          </w:p>
        </w:tc>
      </w:tr>
      <w:tr w:rsidR="5FEF55A3" w:rsidRPr="00F7797F" w14:paraId="5D27009F" w14:textId="77777777" w:rsidTr="00DD56FA">
        <w:trPr>
          <w:trHeight w:val="633"/>
          <w:jc w:val="center"/>
        </w:trPr>
        <w:tc>
          <w:tcPr>
            <w:tcW w:w="1020" w:type="dxa"/>
            <w:tcBorders>
              <w:top w:val="single" w:sz="8" w:space="0" w:color="auto"/>
              <w:left w:val="single" w:sz="8" w:space="0" w:color="auto"/>
              <w:bottom w:val="nil"/>
              <w:right w:val="single" w:sz="8" w:space="0" w:color="auto"/>
            </w:tcBorders>
            <w:tcMar>
              <w:top w:w="15" w:type="dxa"/>
              <w:left w:w="15" w:type="dxa"/>
              <w:right w:w="15" w:type="dxa"/>
            </w:tcMar>
            <w:vAlign w:val="center"/>
          </w:tcPr>
          <w:p w14:paraId="684757A1" w14:textId="479429E6" w:rsidR="5FEF55A3" w:rsidRPr="00F7797F" w:rsidRDefault="5FEF55A3" w:rsidP="00741B44">
            <w:pPr>
              <w:spacing w:after="0" w:line="240" w:lineRule="auto"/>
              <w:rPr>
                <w:rFonts w:ascii="Cambria" w:hAnsi="Cambria"/>
                <w:sz w:val="18"/>
                <w:szCs w:val="18"/>
              </w:rPr>
            </w:pPr>
            <w:r w:rsidRPr="00F7797F">
              <w:rPr>
                <w:rFonts w:ascii="Cambria" w:eastAsia="Calibri" w:hAnsi="Cambria" w:cs="Calibri"/>
                <w:color w:val="000000" w:themeColor="text1"/>
                <w:sz w:val="18"/>
                <w:szCs w:val="18"/>
              </w:rPr>
              <w:t>STA (between MS)</w:t>
            </w:r>
          </w:p>
        </w:tc>
        <w:tc>
          <w:tcPr>
            <w:tcW w:w="1020" w:type="dxa"/>
            <w:tcBorders>
              <w:top w:val="single" w:sz="8" w:space="0" w:color="auto"/>
              <w:left w:val="single" w:sz="8" w:space="0" w:color="auto"/>
              <w:bottom w:val="single" w:sz="4" w:space="0" w:color="auto"/>
              <w:right w:val="single" w:sz="4" w:space="0" w:color="auto"/>
            </w:tcBorders>
            <w:shd w:val="clear" w:color="auto" w:fill="E2EFDA"/>
            <w:tcMar>
              <w:top w:w="15" w:type="dxa"/>
              <w:left w:w="15" w:type="dxa"/>
              <w:right w:w="15" w:type="dxa"/>
            </w:tcMar>
            <w:vAlign w:val="center"/>
          </w:tcPr>
          <w:p w14:paraId="5330EE5B" w14:textId="10E784E1"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166</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1760DA65" w14:textId="0D05F30B"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22,520</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0891E0AF" w14:textId="7D671F10"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10,263</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21DEB64" w14:textId="711CB633"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1,861</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0068524A" w14:textId="4E22CF18"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484</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50A41C8E" w14:textId="5E51AF11"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17,280</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3BD4B8F2" w14:textId="2A23F1D4"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507</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09BADEB" w14:textId="054A6146"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2,782</w:t>
            </w:r>
          </w:p>
        </w:tc>
      </w:tr>
      <w:tr w:rsidR="5FEF55A3" w:rsidRPr="00F7797F" w14:paraId="0DF348E5" w14:textId="77777777" w:rsidTr="00DD56FA">
        <w:trPr>
          <w:trHeight w:val="633"/>
          <w:jc w:val="center"/>
        </w:trPr>
        <w:tc>
          <w:tcPr>
            <w:tcW w:w="1020" w:type="dxa"/>
            <w:tcBorders>
              <w:top w:val="single" w:sz="4" w:space="0" w:color="auto"/>
              <w:left w:val="single" w:sz="8" w:space="0" w:color="auto"/>
              <w:bottom w:val="single" w:sz="8" w:space="0" w:color="auto"/>
              <w:right w:val="single" w:sz="8" w:space="0" w:color="auto"/>
            </w:tcBorders>
            <w:tcMar>
              <w:top w:w="15" w:type="dxa"/>
              <w:left w:w="15" w:type="dxa"/>
              <w:right w:w="15" w:type="dxa"/>
            </w:tcMar>
            <w:vAlign w:val="center"/>
          </w:tcPr>
          <w:p w14:paraId="535C939A" w14:textId="0BC8AF9F" w:rsidR="5FEF55A3" w:rsidRPr="00F7797F" w:rsidRDefault="5FEF55A3" w:rsidP="00741B44">
            <w:pPr>
              <w:spacing w:after="0" w:line="240" w:lineRule="auto"/>
              <w:rPr>
                <w:rFonts w:ascii="Cambria" w:hAnsi="Cambria"/>
                <w:sz w:val="18"/>
                <w:szCs w:val="18"/>
              </w:rPr>
            </w:pPr>
            <w:r w:rsidRPr="00F7797F">
              <w:rPr>
                <w:rFonts w:ascii="Cambria" w:eastAsia="Calibri" w:hAnsi="Cambria" w:cs="Calibri"/>
                <w:color w:val="000000" w:themeColor="text1"/>
                <w:sz w:val="18"/>
                <w:szCs w:val="18"/>
              </w:rPr>
              <w:t>kg</w:t>
            </w:r>
          </w:p>
        </w:tc>
        <w:tc>
          <w:tcPr>
            <w:tcW w:w="1020" w:type="dxa"/>
            <w:tcBorders>
              <w:top w:val="single" w:sz="4" w:space="0" w:color="auto"/>
              <w:left w:val="single" w:sz="8" w:space="0" w:color="auto"/>
              <w:bottom w:val="single" w:sz="8" w:space="0" w:color="auto"/>
              <w:right w:val="single" w:sz="4" w:space="0" w:color="auto"/>
            </w:tcBorders>
            <w:shd w:val="clear" w:color="auto" w:fill="E2EFDA"/>
            <w:tcMar>
              <w:top w:w="15" w:type="dxa"/>
              <w:left w:w="15" w:type="dxa"/>
              <w:right w:w="15" w:type="dxa"/>
            </w:tcMar>
            <w:vAlign w:val="center"/>
          </w:tcPr>
          <w:p w14:paraId="43487F30" w14:textId="11826511"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83,802</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793894B6" w14:textId="140450EF"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2,072,242</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48F2CA0F" w14:textId="48E51B90"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88,258</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078BE3FD" w14:textId="18D3B1AE"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289,033</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40B4031B" w14:textId="10A3B731"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30,333</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687E132D" w14:textId="618A9044"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867,329</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51767B94" w14:textId="33AF2EC9"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117,681</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1E6F31DD" w14:textId="13E1D934"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499,716</w:t>
            </w:r>
          </w:p>
        </w:tc>
      </w:tr>
      <w:tr w:rsidR="5FEF55A3" w:rsidRPr="00F7797F" w14:paraId="6452BA69" w14:textId="77777777" w:rsidTr="00DD56FA">
        <w:trPr>
          <w:trHeight w:val="633"/>
          <w:jc w:val="center"/>
        </w:trPr>
        <w:tc>
          <w:tcPr>
            <w:tcW w:w="1020" w:type="dxa"/>
            <w:tcBorders>
              <w:top w:val="single" w:sz="8" w:space="0" w:color="auto"/>
              <w:left w:val="single" w:sz="8" w:space="0" w:color="auto"/>
              <w:bottom w:val="single" w:sz="12" w:space="0" w:color="000000" w:themeColor="text1"/>
              <w:right w:val="single" w:sz="8" w:space="0" w:color="auto"/>
            </w:tcBorders>
            <w:shd w:val="clear" w:color="auto" w:fill="FFFFFF" w:themeFill="background1"/>
            <w:tcMar>
              <w:top w:w="15" w:type="dxa"/>
              <w:left w:w="15" w:type="dxa"/>
              <w:right w:w="15" w:type="dxa"/>
            </w:tcMar>
            <w:vAlign w:val="center"/>
          </w:tcPr>
          <w:p w14:paraId="2F0AABD1" w14:textId="54240F02" w:rsidR="5FEF55A3" w:rsidRPr="00F7797F" w:rsidRDefault="5FEF55A3" w:rsidP="00741B44">
            <w:pPr>
              <w:spacing w:after="0" w:line="240" w:lineRule="auto"/>
              <w:rPr>
                <w:rFonts w:ascii="Cambria" w:eastAsia="Calibri" w:hAnsi="Cambria" w:cs="Calibri"/>
                <w:color w:val="000000" w:themeColor="text1"/>
                <w:sz w:val="18"/>
                <w:szCs w:val="18"/>
              </w:rPr>
            </w:pPr>
            <w:r w:rsidRPr="00F7797F">
              <w:rPr>
                <w:rFonts w:ascii="Cambria" w:eastAsia="Calibri" w:hAnsi="Cambria" w:cs="Calibri"/>
                <w:color w:val="000000" w:themeColor="text1"/>
                <w:sz w:val="18"/>
                <w:szCs w:val="18"/>
              </w:rPr>
              <w:t>VAL</w:t>
            </w:r>
          </w:p>
        </w:tc>
        <w:tc>
          <w:tcPr>
            <w:tcW w:w="1020" w:type="dxa"/>
            <w:tcBorders>
              <w:top w:val="single" w:sz="8" w:space="0" w:color="auto"/>
              <w:left w:val="single" w:sz="8" w:space="0" w:color="auto"/>
              <w:bottom w:val="single" w:sz="4" w:space="0" w:color="auto"/>
              <w:right w:val="single" w:sz="4" w:space="0" w:color="auto"/>
            </w:tcBorders>
            <w:shd w:val="clear" w:color="auto" w:fill="E2EFDA"/>
            <w:tcMar>
              <w:top w:w="15" w:type="dxa"/>
              <w:left w:w="15" w:type="dxa"/>
              <w:right w:w="15" w:type="dxa"/>
            </w:tcMar>
            <w:vAlign w:val="center"/>
          </w:tcPr>
          <w:p w14:paraId="04EB95D4" w14:textId="5A565D41"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27</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412A4A2" w14:textId="6499013F"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30,978</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B95FCFE" w14:textId="72083D25"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1,803</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F01C1B5" w14:textId="5086A0F6"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62</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380D20BF" w14:textId="5ECDD3A2"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4,482</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030045A6" w14:textId="50B949F0"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64,309</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E53DE7A" w14:textId="61B8937A"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3,072</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D25991A" w14:textId="40C0F17B"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3,193</w:t>
            </w:r>
          </w:p>
        </w:tc>
      </w:tr>
      <w:tr w:rsidR="5FEF55A3" w:rsidRPr="00F7797F" w14:paraId="5DE54B68" w14:textId="77777777" w:rsidTr="00DD56FA">
        <w:trPr>
          <w:trHeight w:val="633"/>
          <w:jc w:val="center"/>
        </w:trPr>
        <w:tc>
          <w:tcPr>
            <w:tcW w:w="1020" w:type="dxa"/>
            <w:tcBorders>
              <w:top w:val="single" w:sz="12" w:space="0" w:color="000000" w:themeColor="text1"/>
              <w:left w:val="single" w:sz="8" w:space="0" w:color="auto"/>
              <w:bottom w:val="single" w:sz="8" w:space="0" w:color="auto"/>
              <w:right w:val="single" w:sz="8" w:space="0" w:color="auto"/>
            </w:tcBorders>
            <w:shd w:val="clear" w:color="auto" w:fill="FFFFFF" w:themeFill="background1"/>
            <w:tcMar>
              <w:top w:w="15" w:type="dxa"/>
              <w:left w:w="15" w:type="dxa"/>
              <w:right w:w="15" w:type="dxa"/>
            </w:tcMar>
            <w:vAlign w:val="center"/>
          </w:tcPr>
          <w:p w14:paraId="4547FFFE" w14:textId="55F61408" w:rsidR="5FEF55A3" w:rsidRPr="00F7797F" w:rsidRDefault="5FEF55A3" w:rsidP="00741B44">
            <w:pPr>
              <w:spacing w:after="0" w:line="240" w:lineRule="auto"/>
              <w:rPr>
                <w:rFonts w:ascii="Cambria" w:eastAsia="Calibri" w:hAnsi="Cambria" w:cs="Calibri"/>
                <w:color w:val="000000" w:themeColor="text1"/>
                <w:sz w:val="18"/>
                <w:szCs w:val="18"/>
              </w:rPr>
            </w:pPr>
            <w:r w:rsidRPr="00F7797F">
              <w:rPr>
                <w:rFonts w:ascii="Cambria" w:eastAsia="Calibri" w:hAnsi="Cambria" w:cs="Calibri"/>
                <w:color w:val="000000" w:themeColor="text1"/>
                <w:sz w:val="18"/>
                <w:szCs w:val="18"/>
              </w:rPr>
              <w:t>kg</w:t>
            </w:r>
          </w:p>
        </w:tc>
        <w:tc>
          <w:tcPr>
            <w:tcW w:w="1020" w:type="dxa"/>
            <w:tcBorders>
              <w:top w:val="single" w:sz="4" w:space="0" w:color="auto"/>
              <w:left w:val="single" w:sz="8" w:space="0" w:color="auto"/>
              <w:bottom w:val="single" w:sz="8" w:space="0" w:color="auto"/>
              <w:right w:val="single" w:sz="4" w:space="0" w:color="auto"/>
            </w:tcBorders>
            <w:shd w:val="clear" w:color="auto" w:fill="E2EFDA"/>
            <w:tcMar>
              <w:top w:w="15" w:type="dxa"/>
              <w:left w:w="15" w:type="dxa"/>
              <w:right w:w="15" w:type="dxa"/>
            </w:tcMar>
            <w:vAlign w:val="center"/>
          </w:tcPr>
          <w:p w14:paraId="66F80DB8" w14:textId="44FCC68A"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553</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164714AF" w14:textId="71AB332A"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14,351,370</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220C68CD" w14:textId="7B5B3864"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107,541</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6112F8A2" w14:textId="17CD0A05"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4,022</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371D819E" w14:textId="753AA69B"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4,584,014</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004979EF" w14:textId="0535CCBE"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3,115,848</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4D51049C" w14:textId="19A3FA98"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17,091,843</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0C1DD9DF" w14:textId="768E6B42"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885,030</w:t>
            </w:r>
          </w:p>
        </w:tc>
      </w:tr>
      <w:tr w:rsidR="5FEF55A3" w:rsidRPr="00F7797F" w14:paraId="635F40B6" w14:textId="77777777" w:rsidTr="00DD56FA">
        <w:trPr>
          <w:trHeight w:val="633"/>
          <w:jc w:val="center"/>
        </w:trPr>
        <w:tc>
          <w:tcPr>
            <w:tcW w:w="1020" w:type="dxa"/>
            <w:tcBorders>
              <w:top w:val="single" w:sz="8" w:space="0" w:color="auto"/>
              <w:left w:val="single" w:sz="8" w:space="0" w:color="auto"/>
              <w:bottom w:val="single" w:sz="12" w:space="0" w:color="000000" w:themeColor="text1"/>
              <w:right w:val="single" w:sz="8" w:space="0" w:color="auto"/>
            </w:tcBorders>
            <w:tcMar>
              <w:top w:w="15" w:type="dxa"/>
              <w:left w:w="15" w:type="dxa"/>
              <w:right w:w="15" w:type="dxa"/>
            </w:tcMar>
            <w:vAlign w:val="center"/>
          </w:tcPr>
          <w:p w14:paraId="36F22BD8" w14:textId="32487EEB" w:rsidR="5FEF55A3" w:rsidRPr="00F7797F" w:rsidRDefault="5FEF55A3" w:rsidP="00741B44">
            <w:pPr>
              <w:spacing w:after="0" w:line="240" w:lineRule="auto"/>
              <w:rPr>
                <w:rFonts w:ascii="Cambria" w:eastAsia="Calibri" w:hAnsi="Cambria" w:cs="Calibri"/>
                <w:color w:val="000000" w:themeColor="text1"/>
                <w:sz w:val="18"/>
                <w:szCs w:val="18"/>
              </w:rPr>
            </w:pPr>
            <w:r w:rsidRPr="00F7797F">
              <w:rPr>
                <w:rFonts w:ascii="Cambria" w:eastAsia="Calibri" w:hAnsi="Cambria" w:cs="Calibri"/>
                <w:color w:val="000000" w:themeColor="text1"/>
                <w:sz w:val="18"/>
                <w:szCs w:val="18"/>
              </w:rPr>
              <w:t>EXE</w:t>
            </w:r>
          </w:p>
        </w:tc>
        <w:tc>
          <w:tcPr>
            <w:tcW w:w="1020" w:type="dxa"/>
            <w:tcBorders>
              <w:top w:val="single" w:sz="8" w:space="0" w:color="auto"/>
              <w:left w:val="single" w:sz="8" w:space="0" w:color="auto"/>
              <w:bottom w:val="single" w:sz="4" w:space="0" w:color="auto"/>
              <w:right w:val="single" w:sz="4" w:space="0" w:color="auto"/>
            </w:tcBorders>
            <w:shd w:val="clear" w:color="auto" w:fill="E2EFDA"/>
            <w:tcMar>
              <w:top w:w="15" w:type="dxa"/>
              <w:left w:w="15" w:type="dxa"/>
              <w:right w:w="15" w:type="dxa"/>
            </w:tcMar>
            <w:vAlign w:val="center"/>
          </w:tcPr>
          <w:p w14:paraId="42CEF4C3" w14:textId="50B5BED5"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263</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56F22C0" w14:textId="6F04A433"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58,558</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40B2C745" w14:textId="75DBAE20"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31,293</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6FF796C" w14:textId="1F079BBB"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5,432</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13F76AF" w14:textId="23389C28"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288</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3D639853" w14:textId="0F552AB9"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26,230</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E136CC1" w14:textId="3823083B"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3</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0E3A5FC1" w14:textId="11717212"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1,206</w:t>
            </w:r>
          </w:p>
        </w:tc>
      </w:tr>
      <w:tr w:rsidR="5FEF55A3" w:rsidRPr="00F7797F" w14:paraId="435D3AFC" w14:textId="77777777" w:rsidTr="00DD56FA">
        <w:trPr>
          <w:trHeight w:val="633"/>
          <w:jc w:val="center"/>
        </w:trPr>
        <w:tc>
          <w:tcPr>
            <w:tcW w:w="1020" w:type="dxa"/>
            <w:tcBorders>
              <w:top w:val="single" w:sz="12" w:space="0" w:color="000000" w:themeColor="text1"/>
              <w:left w:val="single" w:sz="8" w:space="0" w:color="auto"/>
              <w:bottom w:val="single" w:sz="8" w:space="0" w:color="auto"/>
              <w:right w:val="single" w:sz="8" w:space="0" w:color="auto"/>
            </w:tcBorders>
            <w:tcMar>
              <w:top w:w="15" w:type="dxa"/>
              <w:left w:w="15" w:type="dxa"/>
              <w:right w:w="15" w:type="dxa"/>
            </w:tcMar>
            <w:vAlign w:val="center"/>
          </w:tcPr>
          <w:p w14:paraId="391C7FDF" w14:textId="088F4E16" w:rsidR="5FEF55A3" w:rsidRPr="00F7797F" w:rsidRDefault="5FEF55A3" w:rsidP="00741B44">
            <w:pPr>
              <w:spacing w:after="0" w:line="240" w:lineRule="auto"/>
              <w:rPr>
                <w:rFonts w:ascii="Cambria" w:eastAsia="Calibri" w:hAnsi="Cambria" w:cs="Calibri"/>
                <w:color w:val="000000" w:themeColor="text1"/>
                <w:sz w:val="18"/>
                <w:szCs w:val="18"/>
              </w:rPr>
            </w:pPr>
            <w:r w:rsidRPr="00F7797F">
              <w:rPr>
                <w:rFonts w:ascii="Cambria" w:eastAsia="Calibri" w:hAnsi="Cambria" w:cs="Calibri"/>
                <w:color w:val="000000" w:themeColor="text1"/>
                <w:sz w:val="18"/>
                <w:szCs w:val="18"/>
              </w:rPr>
              <w:t>kg</w:t>
            </w:r>
          </w:p>
        </w:tc>
        <w:tc>
          <w:tcPr>
            <w:tcW w:w="1020" w:type="dxa"/>
            <w:tcBorders>
              <w:top w:val="single" w:sz="4" w:space="0" w:color="auto"/>
              <w:left w:val="single" w:sz="8" w:space="0" w:color="auto"/>
              <w:bottom w:val="single" w:sz="8" w:space="0" w:color="auto"/>
              <w:right w:val="single" w:sz="4" w:space="0" w:color="auto"/>
            </w:tcBorders>
            <w:shd w:val="clear" w:color="auto" w:fill="E2EFDA"/>
            <w:tcMar>
              <w:top w:w="15" w:type="dxa"/>
              <w:left w:w="15" w:type="dxa"/>
              <w:right w:w="15" w:type="dxa"/>
            </w:tcMar>
            <w:vAlign w:val="center"/>
          </w:tcPr>
          <w:p w14:paraId="13E6C628" w14:textId="4831E6A5"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89,871</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48FA2D44" w14:textId="2990BEFF"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5,751,919</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2A9BE66D" w14:textId="4FEECF66"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2,021,523</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3CE4D0C1" w14:textId="26424749"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443,773</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290D80E7" w14:textId="67DD0DE2"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8,299</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4F9D8AB8" w14:textId="5E786855"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946,269</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5B7BF3F1" w14:textId="68E42C32"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167</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7F51925A" w14:textId="1C59C28F"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67,568</w:t>
            </w:r>
          </w:p>
        </w:tc>
      </w:tr>
      <w:tr w:rsidR="5FEF55A3" w:rsidRPr="00F7797F" w14:paraId="522439E4" w14:textId="77777777" w:rsidTr="00DD56FA">
        <w:trPr>
          <w:trHeight w:val="633"/>
          <w:jc w:val="center"/>
        </w:trPr>
        <w:tc>
          <w:tcPr>
            <w:tcW w:w="1020" w:type="dxa"/>
            <w:tcBorders>
              <w:top w:val="single" w:sz="8" w:space="0" w:color="auto"/>
              <w:left w:val="single" w:sz="8" w:space="0" w:color="auto"/>
              <w:bottom w:val="single" w:sz="12" w:space="0" w:color="000000" w:themeColor="text1"/>
              <w:right w:val="single" w:sz="8" w:space="0" w:color="auto"/>
            </w:tcBorders>
            <w:tcMar>
              <w:top w:w="15" w:type="dxa"/>
              <w:left w:w="15" w:type="dxa"/>
              <w:right w:w="15" w:type="dxa"/>
            </w:tcMar>
            <w:vAlign w:val="center"/>
          </w:tcPr>
          <w:p w14:paraId="25F641CA" w14:textId="62222D7C" w:rsidR="5FEF55A3" w:rsidRPr="00F7797F" w:rsidRDefault="5FEF55A3" w:rsidP="00741B44">
            <w:pPr>
              <w:spacing w:after="0" w:line="240" w:lineRule="auto"/>
              <w:rPr>
                <w:rFonts w:ascii="Cambria" w:eastAsia="Calibri" w:hAnsi="Cambria" w:cs="Calibri"/>
                <w:color w:val="000000" w:themeColor="text1"/>
                <w:sz w:val="18"/>
                <w:szCs w:val="18"/>
              </w:rPr>
            </w:pPr>
            <w:r w:rsidRPr="00F7797F">
              <w:rPr>
                <w:rFonts w:ascii="Cambria" w:eastAsia="Calibri" w:hAnsi="Cambria" w:cs="Calibri"/>
                <w:color w:val="000000" w:themeColor="text1"/>
                <w:sz w:val="18"/>
                <w:szCs w:val="18"/>
              </w:rPr>
              <w:t>EXE STA*</w:t>
            </w:r>
          </w:p>
        </w:tc>
        <w:tc>
          <w:tcPr>
            <w:tcW w:w="1020" w:type="dxa"/>
            <w:tcBorders>
              <w:top w:val="single" w:sz="8" w:space="0" w:color="auto"/>
              <w:left w:val="single" w:sz="8" w:space="0" w:color="auto"/>
              <w:bottom w:val="single" w:sz="4" w:space="0" w:color="auto"/>
              <w:right w:val="single" w:sz="4" w:space="0" w:color="auto"/>
            </w:tcBorders>
            <w:shd w:val="clear" w:color="auto" w:fill="E2EFDA"/>
            <w:tcMar>
              <w:top w:w="15" w:type="dxa"/>
              <w:left w:w="15" w:type="dxa"/>
              <w:right w:w="15" w:type="dxa"/>
            </w:tcMar>
            <w:vAlign w:val="center"/>
          </w:tcPr>
          <w:p w14:paraId="16B1ABA7" w14:textId="3A89BB1F"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106</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1DEE9EC2" w14:textId="314B0635"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15,151</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25999EE7" w14:textId="1818EAC6"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8,452</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E03384C" w14:textId="2C76473A"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2,771</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1B66C1B6" w14:textId="571E3075"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86</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1217DEA9" w14:textId="772C9323"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8,959</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F03662C" w14:textId="4ECCEBA2"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3</w:t>
            </w:r>
          </w:p>
        </w:tc>
        <w:tc>
          <w:tcPr>
            <w:tcW w:w="1020" w:type="dxa"/>
            <w:tcBorders>
              <w:top w:val="single" w:sz="8"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43CF0186" w14:textId="789391CA"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891</w:t>
            </w:r>
          </w:p>
        </w:tc>
      </w:tr>
      <w:tr w:rsidR="5FEF55A3" w:rsidRPr="00F7797F" w14:paraId="49423CB0" w14:textId="77777777" w:rsidTr="00DD56FA">
        <w:trPr>
          <w:trHeight w:val="633"/>
          <w:jc w:val="center"/>
        </w:trPr>
        <w:tc>
          <w:tcPr>
            <w:tcW w:w="1020" w:type="dxa"/>
            <w:tcBorders>
              <w:top w:val="single" w:sz="12" w:space="0" w:color="000000" w:themeColor="text1"/>
              <w:left w:val="single" w:sz="8" w:space="0" w:color="auto"/>
              <w:bottom w:val="single" w:sz="8" w:space="0" w:color="auto"/>
              <w:right w:val="single" w:sz="8" w:space="0" w:color="auto"/>
            </w:tcBorders>
            <w:tcMar>
              <w:top w:w="15" w:type="dxa"/>
              <w:left w:w="15" w:type="dxa"/>
              <w:right w:w="15" w:type="dxa"/>
            </w:tcMar>
            <w:vAlign w:val="center"/>
          </w:tcPr>
          <w:p w14:paraId="53BF0F0B" w14:textId="0708A3E8" w:rsidR="5FEF55A3" w:rsidRPr="00F7797F" w:rsidRDefault="5FEF55A3" w:rsidP="00741B44">
            <w:pPr>
              <w:spacing w:after="0" w:line="240" w:lineRule="auto"/>
              <w:rPr>
                <w:rFonts w:ascii="Cambria" w:eastAsia="Calibri" w:hAnsi="Cambria" w:cs="Calibri"/>
                <w:color w:val="000000" w:themeColor="text1"/>
                <w:sz w:val="18"/>
                <w:szCs w:val="18"/>
              </w:rPr>
            </w:pPr>
            <w:r w:rsidRPr="00F7797F">
              <w:rPr>
                <w:rFonts w:ascii="Cambria" w:eastAsia="Calibri" w:hAnsi="Cambria" w:cs="Calibri"/>
                <w:color w:val="000000" w:themeColor="text1"/>
                <w:sz w:val="18"/>
                <w:szCs w:val="18"/>
              </w:rPr>
              <w:t>kg</w:t>
            </w:r>
          </w:p>
        </w:tc>
        <w:tc>
          <w:tcPr>
            <w:tcW w:w="1020" w:type="dxa"/>
            <w:tcBorders>
              <w:top w:val="single" w:sz="4" w:space="0" w:color="auto"/>
              <w:left w:val="single" w:sz="8" w:space="0" w:color="auto"/>
              <w:bottom w:val="single" w:sz="8" w:space="0" w:color="auto"/>
              <w:right w:val="single" w:sz="4" w:space="0" w:color="auto"/>
            </w:tcBorders>
            <w:shd w:val="clear" w:color="auto" w:fill="E2EFDA"/>
            <w:tcMar>
              <w:top w:w="15" w:type="dxa"/>
              <w:left w:w="15" w:type="dxa"/>
              <w:right w:w="15" w:type="dxa"/>
            </w:tcMar>
            <w:vAlign w:val="center"/>
          </w:tcPr>
          <w:p w14:paraId="52D71EB6" w14:textId="504CDA15"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83,249</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61D27DFB" w14:textId="41508067"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1,073,068</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56B7CB3E" w14:textId="5B0D9B7F"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780,341</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2ED11888" w14:textId="60DD2663"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284,993</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1DC50541" w14:textId="3C9A5CDF"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2,700</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78A18524" w14:textId="06F07B5B"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481,060</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0C92C488" w14:textId="1F32E927"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167</w:t>
            </w:r>
          </w:p>
        </w:tc>
        <w:tc>
          <w:tcPr>
            <w:tcW w:w="1020" w:type="dxa"/>
            <w:tcBorders>
              <w:top w:val="single" w:sz="4" w:space="0" w:color="auto"/>
              <w:left w:val="single" w:sz="4" w:space="0" w:color="auto"/>
              <w:bottom w:val="single" w:sz="8" w:space="0" w:color="auto"/>
              <w:right w:val="single" w:sz="4" w:space="0" w:color="auto"/>
            </w:tcBorders>
            <w:shd w:val="clear" w:color="auto" w:fill="E2EFDA"/>
            <w:tcMar>
              <w:top w:w="15" w:type="dxa"/>
              <w:left w:w="15" w:type="dxa"/>
              <w:right w:w="15" w:type="dxa"/>
            </w:tcMar>
            <w:vAlign w:val="center"/>
          </w:tcPr>
          <w:p w14:paraId="21F8D614" w14:textId="7F272D58" w:rsidR="5FEF55A3" w:rsidRPr="00F7797F" w:rsidRDefault="5FEF55A3" w:rsidP="00430EBD">
            <w:pPr>
              <w:spacing w:after="0" w:line="240" w:lineRule="auto"/>
              <w:jc w:val="center"/>
              <w:rPr>
                <w:rFonts w:ascii="Cambria" w:hAnsi="Cambria"/>
                <w:sz w:val="18"/>
                <w:szCs w:val="18"/>
              </w:rPr>
            </w:pPr>
            <w:r w:rsidRPr="00F7797F">
              <w:rPr>
                <w:rFonts w:ascii="Cambria" w:eastAsia="Calibri" w:hAnsi="Cambria" w:cs="Calibri"/>
                <w:color w:val="000000" w:themeColor="text1"/>
                <w:sz w:val="18"/>
                <w:szCs w:val="18"/>
              </w:rPr>
              <w:t>38,184</w:t>
            </w:r>
          </w:p>
        </w:tc>
      </w:tr>
    </w:tbl>
    <w:p w14:paraId="2837385C" w14:textId="13F080A0" w:rsidR="00B16742" w:rsidRPr="00B16742" w:rsidRDefault="00B16742" w:rsidP="00B16742">
      <w:pPr>
        <w:spacing w:after="0" w:line="240" w:lineRule="auto"/>
        <w:jc w:val="both"/>
        <w:rPr>
          <w:rFonts w:ascii="Cambria" w:eastAsia="Times New Roman" w:hAnsi="Cambria" w:cs="Times New Roman"/>
          <w:color w:val="000000" w:themeColor="text1"/>
          <w:sz w:val="16"/>
          <w:szCs w:val="16"/>
        </w:rPr>
      </w:pPr>
      <w:r w:rsidRPr="00B16742">
        <w:rPr>
          <w:rFonts w:ascii="Cambria" w:eastAsia="Times New Roman" w:hAnsi="Cambria" w:cs="Times New Roman"/>
          <w:color w:val="000000" w:themeColor="text1"/>
          <w:sz w:val="16"/>
          <w:szCs w:val="16"/>
        </w:rPr>
        <w:t xml:space="preserve">*Number and amount of tonnage of trades </w:t>
      </w:r>
      <w:r w:rsidR="00F7797F" w:rsidRPr="00F7797F">
        <w:rPr>
          <w:rFonts w:ascii="Cambria" w:eastAsia="Times New Roman" w:hAnsi="Cambria" w:cs="Times New Roman"/>
          <w:color w:val="000000" w:themeColor="text1"/>
          <w:sz w:val="16"/>
          <w:szCs w:val="16"/>
        </w:rPr>
        <w:t>between EU Member States exempted from validation, subject to the derogation in para. 5b (STA)</w:t>
      </w:r>
      <w:r w:rsidR="00F7797F" w:rsidRPr="00F7797F">
        <w:rPr>
          <w:rFonts w:ascii="Cambria" w:eastAsia="Times New Roman" w:hAnsi="Cambria" w:cs="Times New Roman"/>
          <w:color w:val="000000" w:themeColor="text1"/>
          <w:sz w:val="16"/>
          <w:szCs w:val="16"/>
        </w:rPr>
        <w:t>.</w:t>
      </w:r>
    </w:p>
    <w:p w14:paraId="759A0381" w14:textId="02383EDA" w:rsidR="5FEF55A3" w:rsidRPr="007E7AC9" w:rsidRDefault="5FEF55A3" w:rsidP="00741B44">
      <w:pPr>
        <w:spacing w:after="0" w:line="240" w:lineRule="auto"/>
        <w:jc w:val="both"/>
        <w:rPr>
          <w:rFonts w:ascii="Cambria" w:eastAsia="Times New Roman" w:hAnsi="Cambria" w:cs="Times New Roman"/>
          <w:color w:val="000000" w:themeColor="text1"/>
          <w:sz w:val="20"/>
          <w:szCs w:val="20"/>
        </w:rPr>
      </w:pPr>
    </w:p>
    <w:sectPr w:rsidR="5FEF55A3" w:rsidRPr="007E7AC9" w:rsidSect="001D5290">
      <w:headerReference w:type="default" r:id="rId11"/>
      <w:footerReference w:type="default" r:id="rId12"/>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C6AAC" w14:textId="77777777" w:rsidR="00F11A7C" w:rsidRDefault="00F11A7C">
      <w:pPr>
        <w:spacing w:after="0" w:line="240" w:lineRule="auto"/>
      </w:pPr>
      <w:r>
        <w:separator/>
      </w:r>
    </w:p>
  </w:endnote>
  <w:endnote w:type="continuationSeparator" w:id="0">
    <w:p w14:paraId="0C989DD6" w14:textId="77777777" w:rsidR="00F11A7C" w:rsidRDefault="00F1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42E3" w14:textId="3FEF1672" w:rsidR="00741B44" w:rsidRPr="00FA4F73" w:rsidRDefault="00741B44" w:rsidP="00942903">
    <w:pPr>
      <w:tabs>
        <w:tab w:val="center" w:pos="4535"/>
        <w:tab w:val="center" w:pos="4680"/>
        <w:tab w:val="left" w:pos="6150"/>
        <w:tab w:val="right" w:pos="9360"/>
      </w:tabs>
      <w:spacing w:after="0" w:line="240" w:lineRule="auto"/>
      <w:jc w:val="center"/>
      <w:rPr>
        <w:rFonts w:ascii="Cambria" w:hAnsi="Cambria"/>
        <w:sz w:val="20"/>
      </w:rPr>
    </w:pPr>
    <w:r w:rsidRPr="00FA4F73">
      <w:rPr>
        <w:rFonts w:ascii="Cambria" w:eastAsia="Calibri" w:hAnsi="Cambria" w:cs="Calibri"/>
        <w:sz w:val="20"/>
        <w:szCs w:val="20"/>
      </w:rPr>
      <w:fldChar w:fldCharType="begin"/>
    </w:r>
    <w:r w:rsidRPr="00FA4F73">
      <w:rPr>
        <w:rFonts w:ascii="Cambria" w:eastAsia="Calibri" w:hAnsi="Cambria" w:cs="Calibri"/>
        <w:sz w:val="20"/>
        <w:szCs w:val="20"/>
      </w:rPr>
      <w:instrText xml:space="preserve"> PAGE </w:instrText>
    </w:r>
    <w:r w:rsidRPr="00FA4F73">
      <w:rPr>
        <w:rFonts w:ascii="Cambria" w:eastAsia="Calibri" w:hAnsi="Cambria" w:cs="Calibri"/>
        <w:sz w:val="20"/>
        <w:szCs w:val="20"/>
      </w:rPr>
      <w:fldChar w:fldCharType="separate"/>
    </w:r>
    <w:r w:rsidRPr="00FA4F73">
      <w:rPr>
        <w:rFonts w:ascii="Cambria" w:eastAsia="Calibri" w:hAnsi="Cambria" w:cs="Calibri"/>
        <w:sz w:val="20"/>
        <w:szCs w:val="20"/>
      </w:rPr>
      <w:t>1</w:t>
    </w:r>
    <w:r w:rsidRPr="00FA4F73">
      <w:rPr>
        <w:rFonts w:ascii="Cambria" w:eastAsia="Calibri" w:hAnsi="Cambria" w:cs="Calibri"/>
        <w:sz w:val="20"/>
        <w:szCs w:val="20"/>
      </w:rPr>
      <w:fldChar w:fldCharType="end"/>
    </w:r>
    <w:r w:rsidRPr="00FA4F73">
      <w:rPr>
        <w:rFonts w:ascii="Cambria" w:eastAsia="Calibri" w:hAnsi="Cambria" w:cs="Calibri"/>
        <w:sz w:val="20"/>
        <w:szCs w:val="20"/>
      </w:rPr>
      <w:t xml:space="preserve"> / </w:t>
    </w:r>
    <w:r w:rsidRPr="00FA4F73">
      <w:rPr>
        <w:rFonts w:ascii="Cambria" w:eastAsia="Calibri" w:hAnsi="Cambria" w:cs="Calibri"/>
        <w:sz w:val="20"/>
        <w:szCs w:val="20"/>
      </w:rPr>
      <w:fldChar w:fldCharType="begin"/>
    </w:r>
    <w:r w:rsidRPr="00FA4F73">
      <w:rPr>
        <w:rFonts w:ascii="Cambria" w:eastAsia="Calibri" w:hAnsi="Cambria" w:cs="Calibri"/>
        <w:sz w:val="20"/>
        <w:szCs w:val="20"/>
      </w:rPr>
      <w:instrText xml:space="preserve"> NUMPAGES  </w:instrText>
    </w:r>
    <w:r w:rsidRPr="00FA4F73">
      <w:rPr>
        <w:rFonts w:ascii="Cambria" w:eastAsia="Calibri" w:hAnsi="Cambria" w:cs="Calibri"/>
        <w:sz w:val="20"/>
        <w:szCs w:val="20"/>
      </w:rPr>
      <w:fldChar w:fldCharType="separate"/>
    </w:r>
    <w:r w:rsidRPr="00FA4F73">
      <w:rPr>
        <w:rFonts w:ascii="Cambria" w:eastAsia="Calibri" w:hAnsi="Cambria" w:cs="Calibri"/>
        <w:sz w:val="20"/>
        <w:szCs w:val="20"/>
      </w:rPr>
      <w:t>8</w:t>
    </w:r>
    <w:r w:rsidRPr="00FA4F73">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A3BC9" w14:textId="12996717" w:rsidR="5FEF55A3" w:rsidRDefault="5FEF55A3">
      <w:pPr>
        <w:spacing w:after="0" w:line="240" w:lineRule="auto"/>
      </w:pPr>
      <w:r>
        <w:separator/>
      </w:r>
    </w:p>
  </w:footnote>
  <w:footnote w:type="continuationSeparator" w:id="0">
    <w:p w14:paraId="146DF318" w14:textId="19DB8831" w:rsidR="5FEF55A3" w:rsidRDefault="5FEF55A3">
      <w:pPr>
        <w:spacing w:after="0" w:line="240" w:lineRule="auto"/>
      </w:pPr>
      <w:r>
        <w:continuationSeparator/>
      </w:r>
    </w:p>
  </w:footnote>
  <w:footnote w:id="1">
    <w:p w14:paraId="27992AF2" w14:textId="1C8FFB1E" w:rsidR="5FEF55A3" w:rsidRPr="00AA2A52" w:rsidRDefault="5FEF55A3" w:rsidP="00942903">
      <w:pPr>
        <w:pStyle w:val="FootnoteText"/>
        <w:jc w:val="both"/>
        <w:rPr>
          <w:rFonts w:ascii="Cambria" w:hAnsi="Cambria"/>
          <w:sz w:val="16"/>
          <w:szCs w:val="16"/>
        </w:rPr>
      </w:pPr>
      <w:r w:rsidRPr="00AA2A52">
        <w:rPr>
          <w:rStyle w:val="FootnoteReference"/>
          <w:rFonts w:ascii="Cambria" w:hAnsi="Cambria"/>
          <w:sz w:val="16"/>
          <w:szCs w:val="16"/>
        </w:rPr>
        <w:footnoteRef/>
      </w:r>
      <w:r w:rsidRPr="00AA2A52">
        <w:rPr>
          <w:rFonts w:ascii="Cambria" w:hAnsi="Cambria"/>
          <w:sz w:val="16"/>
          <w:szCs w:val="16"/>
        </w:rPr>
        <w:t xml:space="preserve"> </w:t>
      </w:r>
      <w:r w:rsidRPr="00AA2A52">
        <w:rPr>
          <w:rFonts w:ascii="Cambria" w:eastAsia="Times New Roman" w:hAnsi="Cambria" w:cs="Times New Roman"/>
          <w:color w:val="000000" w:themeColor="text1"/>
          <w:sz w:val="16"/>
          <w:szCs w:val="16"/>
        </w:rPr>
        <w:t>Include trades between EU Member States, trades of tagged fish and internal trades of non-tagged fish.</w:t>
      </w:r>
    </w:p>
  </w:footnote>
  <w:footnote w:id="2">
    <w:p w14:paraId="33795562" w14:textId="2095DD82" w:rsidR="5FEF55A3" w:rsidRDefault="5FEF55A3" w:rsidP="00942903">
      <w:pPr>
        <w:pStyle w:val="FootnoteText"/>
        <w:jc w:val="both"/>
      </w:pPr>
      <w:r w:rsidRPr="00AA2A52">
        <w:rPr>
          <w:rStyle w:val="FootnoteReference"/>
          <w:rFonts w:ascii="Cambria" w:hAnsi="Cambria"/>
          <w:sz w:val="16"/>
          <w:szCs w:val="16"/>
        </w:rPr>
        <w:footnoteRef/>
      </w:r>
      <w:r w:rsidRPr="00AA2A52">
        <w:rPr>
          <w:rFonts w:ascii="Cambria" w:hAnsi="Cambria"/>
          <w:sz w:val="16"/>
          <w:szCs w:val="16"/>
        </w:rPr>
        <w:t xml:space="preserve"> </w:t>
      </w:r>
      <w:r w:rsidRPr="00AA2A52">
        <w:rPr>
          <w:rFonts w:ascii="Cambria" w:eastAsia="Times New Roman" w:hAnsi="Cambria" w:cs="Times New Roman"/>
          <w:color w:val="000000" w:themeColor="text1"/>
          <w:sz w:val="16"/>
          <w:szCs w:val="16"/>
        </w:rPr>
        <w:t xml:space="preserve">Regulation (EU) No 640/2010 of the European Parliament and of the Council of 7 July 2010 establishing a catch documentation programme for bluefin tuna </w:t>
      </w:r>
      <w:r w:rsidRPr="00AA2A52">
        <w:rPr>
          <w:rFonts w:ascii="Cambria" w:eastAsia="Times New Roman" w:hAnsi="Cambria" w:cs="Times New Roman"/>
          <w:i/>
          <w:iCs/>
          <w:color w:val="000000" w:themeColor="text1"/>
          <w:sz w:val="16"/>
          <w:szCs w:val="16"/>
        </w:rPr>
        <w:t>Thunnus thynnus.</w:t>
      </w:r>
    </w:p>
  </w:footnote>
  <w:footnote w:id="3">
    <w:p w14:paraId="1C1C0327" w14:textId="53BB908B" w:rsidR="5FEF55A3" w:rsidRPr="00B70689" w:rsidRDefault="5FEF55A3" w:rsidP="00C34E8E">
      <w:pPr>
        <w:pStyle w:val="FootnoteText"/>
        <w:jc w:val="both"/>
        <w:rPr>
          <w:rFonts w:ascii="Cambria" w:hAnsi="Cambria"/>
          <w:sz w:val="16"/>
          <w:szCs w:val="16"/>
        </w:rPr>
      </w:pPr>
      <w:r w:rsidRPr="00B70689">
        <w:rPr>
          <w:rStyle w:val="FootnoteReference"/>
          <w:rFonts w:ascii="Cambria" w:hAnsi="Cambria"/>
          <w:sz w:val="16"/>
          <w:szCs w:val="16"/>
        </w:rPr>
        <w:footnoteRef/>
      </w:r>
      <w:r w:rsidRPr="00B70689">
        <w:rPr>
          <w:rFonts w:ascii="Cambria" w:hAnsi="Cambria"/>
          <w:sz w:val="16"/>
          <w:szCs w:val="16"/>
        </w:rPr>
        <w:t xml:space="preserve"> </w:t>
      </w:r>
      <w:r w:rsidRPr="00B70689">
        <w:rPr>
          <w:rFonts w:ascii="Cambria" w:eastAsia="Times New Roman" w:hAnsi="Cambria" w:cs="Times New Roman"/>
          <w:color w:val="000000" w:themeColor="text1"/>
          <w:sz w:val="16"/>
          <w:szCs w:val="16"/>
        </w:rPr>
        <w:t>Tagged fish may concern both trades between EU Member States and internal trades inside an EU Member State; number of trade events equates to one or several tagged fish.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3D1D" w14:textId="2FB20F52" w:rsidR="00091A6F" w:rsidRPr="00091A6F" w:rsidRDefault="00091A6F" w:rsidP="00091A6F">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sz w:val="20"/>
        <w:szCs w:val="20"/>
        <w:lang w:val="en-US" w:eastAsia="en-US"/>
      </w:rPr>
    </w:pPr>
    <w:bookmarkStart w:id="0" w:name="_Hlk107908354"/>
    <w:bookmarkStart w:id="1" w:name="_Hlk107908355"/>
    <w:bookmarkStart w:id="2" w:name="_Hlk107908359"/>
    <w:bookmarkStart w:id="3" w:name="_Hlk107908360"/>
    <w:bookmarkStart w:id="4" w:name="_Hlk107908361"/>
    <w:bookmarkStart w:id="5" w:name="_Hlk107908362"/>
    <w:r w:rsidRPr="00091A6F">
      <w:rPr>
        <w:rFonts w:ascii="Cambria" w:eastAsia="Calibri" w:hAnsi="Cambria" w:cs="Cambria"/>
        <w:b/>
        <w:bCs/>
        <w:sz w:val="20"/>
        <w:szCs w:val="20"/>
        <w:lang w:val="en-US" w:eastAsia="en-US"/>
      </w:rPr>
      <w:t>P</w:t>
    </w:r>
    <w:r>
      <w:rPr>
        <w:rFonts w:ascii="Cambria" w:eastAsia="Calibri" w:hAnsi="Cambria" w:cs="Cambria"/>
        <w:b/>
        <w:bCs/>
        <w:sz w:val="20"/>
        <w:szCs w:val="20"/>
        <w:lang w:val="en-US" w:eastAsia="en-US"/>
      </w:rPr>
      <w:t>WG</w:t>
    </w:r>
    <w:r w:rsidRPr="00091A6F">
      <w:rPr>
        <w:rFonts w:ascii="Cambria" w:eastAsia="Calibri" w:hAnsi="Cambria" w:cs="Cambria"/>
        <w:b/>
        <w:bCs/>
        <w:sz w:val="20"/>
        <w:szCs w:val="20"/>
        <w:lang w:val="en-US" w:eastAsia="en-US"/>
      </w:rPr>
      <w:t>_</w:t>
    </w:r>
    <w:r>
      <w:rPr>
        <w:rFonts w:ascii="Cambria" w:eastAsia="Calibri" w:hAnsi="Cambria" w:cs="Cambria"/>
        <w:b/>
        <w:bCs/>
        <w:sz w:val="20"/>
        <w:szCs w:val="20"/>
        <w:lang w:val="en-US" w:eastAsia="en-US"/>
      </w:rPr>
      <w:t>410</w:t>
    </w:r>
    <w:r w:rsidRPr="00091A6F">
      <w:rPr>
        <w:rFonts w:ascii="Cambria" w:eastAsia="Calibri" w:hAnsi="Cambria" w:cs="Cambria"/>
        <w:b/>
        <w:bCs/>
        <w:sz w:val="20"/>
        <w:szCs w:val="20"/>
        <w:lang w:val="en-US" w:eastAsia="en-US"/>
      </w:rPr>
      <w:t>/2025</w:t>
    </w:r>
  </w:p>
  <w:p w14:paraId="4CF186ED" w14:textId="386F5AA8" w:rsidR="00091A6F" w:rsidRDefault="00091A6F" w:rsidP="002A71ED">
    <w:pPr>
      <w:widowControl w:val="0"/>
      <w:tabs>
        <w:tab w:val="left" w:pos="7320"/>
      </w:tabs>
      <w:autoSpaceDE w:val="0"/>
      <w:autoSpaceDN w:val="0"/>
      <w:spacing w:after="0" w:line="240" w:lineRule="exact"/>
      <w:jc w:val="right"/>
    </w:pPr>
    <w:r w:rsidRPr="00091A6F">
      <w:rPr>
        <w:rFonts w:ascii="Cambria" w:eastAsia="Cambria" w:hAnsi="Cambria" w:cs="Cambria"/>
        <w:b/>
        <w:bCs/>
        <w:sz w:val="16"/>
        <w:szCs w:val="16"/>
        <w:lang w:val="es-ES_tradnl" w:eastAsia="en-US"/>
      </w:rPr>
      <w:fldChar w:fldCharType="begin"/>
    </w:r>
    <w:r w:rsidRPr="00091A6F">
      <w:rPr>
        <w:rFonts w:ascii="Cambria" w:eastAsia="Cambria" w:hAnsi="Cambria" w:cs="Cambria"/>
        <w:b/>
        <w:bCs/>
        <w:sz w:val="16"/>
        <w:szCs w:val="16"/>
        <w:lang w:val="es-ES_tradnl" w:eastAsia="en-US"/>
      </w:rPr>
      <w:instrText xml:space="preserve"> TIME \@ "dd/MM/yyyy H:mm" </w:instrText>
    </w:r>
    <w:r w:rsidRPr="00091A6F">
      <w:rPr>
        <w:rFonts w:ascii="Cambria" w:eastAsia="Cambria" w:hAnsi="Cambria" w:cs="Cambria"/>
        <w:b/>
        <w:bCs/>
        <w:sz w:val="16"/>
        <w:szCs w:val="16"/>
        <w:lang w:val="es-ES_tradnl" w:eastAsia="en-US"/>
      </w:rPr>
      <w:fldChar w:fldCharType="separate"/>
    </w:r>
    <w:r w:rsidR="00B16742">
      <w:rPr>
        <w:rFonts w:ascii="Cambria" w:eastAsia="Cambria" w:hAnsi="Cambria" w:cs="Cambria"/>
        <w:b/>
        <w:bCs/>
        <w:noProof/>
        <w:sz w:val="16"/>
        <w:szCs w:val="16"/>
        <w:lang w:val="es-ES_tradnl" w:eastAsia="en-US"/>
      </w:rPr>
      <w:t>17/11/2025 8:58</w:t>
    </w:r>
    <w:r w:rsidRPr="00091A6F">
      <w:rPr>
        <w:rFonts w:ascii="Cambria" w:eastAsia="Cambria" w:hAnsi="Cambria" w:cs="Cambria"/>
        <w:b/>
        <w:bCs/>
        <w:sz w:val="16"/>
        <w:szCs w:val="16"/>
        <w:lang w:val="es-ES_tradnl" w:eastAsia="en-US"/>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7283"/>
    <w:multiLevelType w:val="hybridMultilevel"/>
    <w:tmpl w:val="7188FE1A"/>
    <w:lvl w:ilvl="0" w:tplc="F8E4FEB6">
      <w:start w:val="1"/>
      <w:numFmt w:val="decimal"/>
      <w:lvlText w:val="%1."/>
      <w:lvlJc w:val="left"/>
      <w:pPr>
        <w:ind w:left="720" w:hanging="360"/>
      </w:pPr>
    </w:lvl>
    <w:lvl w:ilvl="1" w:tplc="35103036">
      <w:start w:val="1"/>
      <w:numFmt w:val="lowerLetter"/>
      <w:lvlText w:val="%2."/>
      <w:lvlJc w:val="left"/>
      <w:pPr>
        <w:ind w:left="1440" w:hanging="360"/>
      </w:pPr>
    </w:lvl>
    <w:lvl w:ilvl="2" w:tplc="12BCF700">
      <w:start w:val="1"/>
      <w:numFmt w:val="lowerRoman"/>
      <w:lvlText w:val="%3."/>
      <w:lvlJc w:val="right"/>
      <w:pPr>
        <w:ind w:left="2160" w:hanging="180"/>
      </w:pPr>
    </w:lvl>
    <w:lvl w:ilvl="3" w:tplc="74EAC8DA">
      <w:start w:val="1"/>
      <w:numFmt w:val="decimal"/>
      <w:lvlText w:val="%4."/>
      <w:lvlJc w:val="left"/>
      <w:pPr>
        <w:ind w:left="2880" w:hanging="360"/>
      </w:pPr>
    </w:lvl>
    <w:lvl w:ilvl="4" w:tplc="CD444898">
      <w:start w:val="1"/>
      <w:numFmt w:val="lowerLetter"/>
      <w:lvlText w:val="%5."/>
      <w:lvlJc w:val="left"/>
      <w:pPr>
        <w:ind w:left="3600" w:hanging="360"/>
      </w:pPr>
    </w:lvl>
    <w:lvl w:ilvl="5" w:tplc="83026504">
      <w:start w:val="1"/>
      <w:numFmt w:val="lowerRoman"/>
      <w:lvlText w:val="%6."/>
      <w:lvlJc w:val="right"/>
      <w:pPr>
        <w:ind w:left="4320" w:hanging="180"/>
      </w:pPr>
    </w:lvl>
    <w:lvl w:ilvl="6" w:tplc="B33A60C8">
      <w:start w:val="1"/>
      <w:numFmt w:val="decimal"/>
      <w:lvlText w:val="%7."/>
      <w:lvlJc w:val="left"/>
      <w:pPr>
        <w:ind w:left="5040" w:hanging="360"/>
      </w:pPr>
    </w:lvl>
    <w:lvl w:ilvl="7" w:tplc="5046ECC6">
      <w:start w:val="1"/>
      <w:numFmt w:val="lowerLetter"/>
      <w:lvlText w:val="%8."/>
      <w:lvlJc w:val="left"/>
      <w:pPr>
        <w:ind w:left="5760" w:hanging="360"/>
      </w:pPr>
    </w:lvl>
    <w:lvl w:ilvl="8" w:tplc="2CFAC524">
      <w:start w:val="1"/>
      <w:numFmt w:val="lowerRoman"/>
      <w:lvlText w:val="%9."/>
      <w:lvlJc w:val="right"/>
      <w:pPr>
        <w:ind w:left="6480" w:hanging="180"/>
      </w:pPr>
    </w:lvl>
  </w:abstractNum>
  <w:abstractNum w:abstractNumId="1" w15:restartNumberingAfterBreak="0">
    <w:nsid w:val="1B0B82B6"/>
    <w:multiLevelType w:val="multilevel"/>
    <w:tmpl w:val="E1DA129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C975AF2"/>
    <w:multiLevelType w:val="multilevel"/>
    <w:tmpl w:val="5A3C0BD2"/>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32688969"/>
    <w:multiLevelType w:val="hybridMultilevel"/>
    <w:tmpl w:val="73CA8132"/>
    <w:lvl w:ilvl="0" w:tplc="FBFC9D76">
      <w:start w:val="1"/>
      <w:numFmt w:val="bullet"/>
      <w:lvlText w:val=""/>
      <w:lvlJc w:val="left"/>
      <w:pPr>
        <w:ind w:left="720" w:hanging="360"/>
      </w:pPr>
      <w:rPr>
        <w:rFonts w:ascii="Symbol" w:hAnsi="Symbol" w:hint="default"/>
      </w:rPr>
    </w:lvl>
    <w:lvl w:ilvl="1" w:tplc="322C27D0">
      <w:start w:val="1"/>
      <w:numFmt w:val="bullet"/>
      <w:lvlText w:val="o"/>
      <w:lvlJc w:val="left"/>
      <w:pPr>
        <w:ind w:left="1440" w:hanging="360"/>
      </w:pPr>
      <w:rPr>
        <w:rFonts w:ascii="Courier New" w:hAnsi="Courier New" w:hint="default"/>
      </w:rPr>
    </w:lvl>
    <w:lvl w:ilvl="2" w:tplc="E10C4480">
      <w:start w:val="1"/>
      <w:numFmt w:val="bullet"/>
      <w:lvlText w:val=""/>
      <w:lvlJc w:val="left"/>
      <w:pPr>
        <w:ind w:left="2160" w:hanging="360"/>
      </w:pPr>
      <w:rPr>
        <w:rFonts w:ascii="Wingdings" w:hAnsi="Wingdings" w:hint="default"/>
      </w:rPr>
    </w:lvl>
    <w:lvl w:ilvl="3" w:tplc="36E0A558">
      <w:start w:val="1"/>
      <w:numFmt w:val="bullet"/>
      <w:lvlText w:val=""/>
      <w:lvlJc w:val="left"/>
      <w:pPr>
        <w:ind w:left="2880" w:hanging="360"/>
      </w:pPr>
      <w:rPr>
        <w:rFonts w:ascii="Symbol" w:hAnsi="Symbol" w:hint="default"/>
      </w:rPr>
    </w:lvl>
    <w:lvl w:ilvl="4" w:tplc="9F80A218">
      <w:start w:val="1"/>
      <w:numFmt w:val="bullet"/>
      <w:lvlText w:val="o"/>
      <w:lvlJc w:val="left"/>
      <w:pPr>
        <w:ind w:left="3600" w:hanging="360"/>
      </w:pPr>
      <w:rPr>
        <w:rFonts w:ascii="Courier New" w:hAnsi="Courier New" w:hint="default"/>
      </w:rPr>
    </w:lvl>
    <w:lvl w:ilvl="5" w:tplc="EE38870C">
      <w:start w:val="1"/>
      <w:numFmt w:val="bullet"/>
      <w:lvlText w:val=""/>
      <w:lvlJc w:val="left"/>
      <w:pPr>
        <w:ind w:left="4320" w:hanging="360"/>
      </w:pPr>
      <w:rPr>
        <w:rFonts w:ascii="Wingdings" w:hAnsi="Wingdings" w:hint="default"/>
      </w:rPr>
    </w:lvl>
    <w:lvl w:ilvl="6" w:tplc="7B0AACBA">
      <w:start w:val="1"/>
      <w:numFmt w:val="bullet"/>
      <w:lvlText w:val=""/>
      <w:lvlJc w:val="left"/>
      <w:pPr>
        <w:ind w:left="5040" w:hanging="360"/>
      </w:pPr>
      <w:rPr>
        <w:rFonts w:ascii="Symbol" w:hAnsi="Symbol" w:hint="default"/>
      </w:rPr>
    </w:lvl>
    <w:lvl w:ilvl="7" w:tplc="EC6C7984">
      <w:start w:val="1"/>
      <w:numFmt w:val="bullet"/>
      <w:lvlText w:val="o"/>
      <w:lvlJc w:val="left"/>
      <w:pPr>
        <w:ind w:left="5760" w:hanging="360"/>
      </w:pPr>
      <w:rPr>
        <w:rFonts w:ascii="Courier New" w:hAnsi="Courier New" w:hint="default"/>
      </w:rPr>
    </w:lvl>
    <w:lvl w:ilvl="8" w:tplc="50762144">
      <w:start w:val="1"/>
      <w:numFmt w:val="bullet"/>
      <w:lvlText w:val=""/>
      <w:lvlJc w:val="left"/>
      <w:pPr>
        <w:ind w:left="6480" w:hanging="360"/>
      </w:pPr>
      <w:rPr>
        <w:rFonts w:ascii="Wingdings" w:hAnsi="Wingdings" w:hint="default"/>
      </w:rPr>
    </w:lvl>
  </w:abstractNum>
  <w:abstractNum w:abstractNumId="4" w15:restartNumberingAfterBreak="0">
    <w:nsid w:val="6526FA96"/>
    <w:multiLevelType w:val="multilevel"/>
    <w:tmpl w:val="6144D7CE"/>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965165075">
    <w:abstractNumId w:val="0"/>
  </w:num>
  <w:num w:numId="2" w16cid:durableId="254172006">
    <w:abstractNumId w:val="4"/>
  </w:num>
  <w:num w:numId="3" w16cid:durableId="1551457161">
    <w:abstractNumId w:val="2"/>
  </w:num>
  <w:num w:numId="4" w16cid:durableId="1010525336">
    <w:abstractNumId w:val="1"/>
  </w:num>
  <w:num w:numId="5" w16cid:durableId="897739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PersonalInformation/>
  <w:removeDateAndTime/>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54AE19"/>
    <w:rsid w:val="00001C64"/>
    <w:rsid w:val="000165B1"/>
    <w:rsid w:val="00045769"/>
    <w:rsid w:val="00091A6F"/>
    <w:rsid w:val="001D5290"/>
    <w:rsid w:val="00217305"/>
    <w:rsid w:val="00293845"/>
    <w:rsid w:val="002A71ED"/>
    <w:rsid w:val="00313AE9"/>
    <w:rsid w:val="003336E6"/>
    <w:rsid w:val="003D24E1"/>
    <w:rsid w:val="00405299"/>
    <w:rsid w:val="00430EBD"/>
    <w:rsid w:val="00434E6A"/>
    <w:rsid w:val="00474171"/>
    <w:rsid w:val="004D682B"/>
    <w:rsid w:val="005053CA"/>
    <w:rsid w:val="005E7508"/>
    <w:rsid w:val="006F1088"/>
    <w:rsid w:val="006F4D7B"/>
    <w:rsid w:val="00741B44"/>
    <w:rsid w:val="00782BD0"/>
    <w:rsid w:val="007E38B4"/>
    <w:rsid w:val="007E7AC9"/>
    <w:rsid w:val="008207DB"/>
    <w:rsid w:val="00857273"/>
    <w:rsid w:val="00860686"/>
    <w:rsid w:val="008B392F"/>
    <w:rsid w:val="00942903"/>
    <w:rsid w:val="009A4EEB"/>
    <w:rsid w:val="009E4402"/>
    <w:rsid w:val="00AA2A52"/>
    <w:rsid w:val="00AE5C63"/>
    <w:rsid w:val="00AF6E38"/>
    <w:rsid w:val="00B16742"/>
    <w:rsid w:val="00B6263B"/>
    <w:rsid w:val="00B70689"/>
    <w:rsid w:val="00B97EEF"/>
    <w:rsid w:val="00C20127"/>
    <w:rsid w:val="00C34E8E"/>
    <w:rsid w:val="00C7E3B2"/>
    <w:rsid w:val="00DD56FA"/>
    <w:rsid w:val="00E028F9"/>
    <w:rsid w:val="00EC09BF"/>
    <w:rsid w:val="00F11A7C"/>
    <w:rsid w:val="00F201D2"/>
    <w:rsid w:val="00F20E02"/>
    <w:rsid w:val="00F7797F"/>
    <w:rsid w:val="00FA4F73"/>
    <w:rsid w:val="00FB72A5"/>
    <w:rsid w:val="0164B6DB"/>
    <w:rsid w:val="029CC5D0"/>
    <w:rsid w:val="02AD7A3D"/>
    <w:rsid w:val="02C08927"/>
    <w:rsid w:val="035018AD"/>
    <w:rsid w:val="0362A356"/>
    <w:rsid w:val="036B0123"/>
    <w:rsid w:val="041CAFA6"/>
    <w:rsid w:val="041CE8BF"/>
    <w:rsid w:val="046B7AFE"/>
    <w:rsid w:val="05779752"/>
    <w:rsid w:val="0735E4F6"/>
    <w:rsid w:val="09A42DB3"/>
    <w:rsid w:val="0A727C19"/>
    <w:rsid w:val="0AD25D9B"/>
    <w:rsid w:val="0AF5315A"/>
    <w:rsid w:val="0C31B13D"/>
    <w:rsid w:val="0C5781F6"/>
    <w:rsid w:val="0CCD29B8"/>
    <w:rsid w:val="0CE8B054"/>
    <w:rsid w:val="0FB9728E"/>
    <w:rsid w:val="103C752E"/>
    <w:rsid w:val="107A3E20"/>
    <w:rsid w:val="10D27DA6"/>
    <w:rsid w:val="120CFA72"/>
    <w:rsid w:val="122C6A29"/>
    <w:rsid w:val="14AB76DB"/>
    <w:rsid w:val="14D25308"/>
    <w:rsid w:val="15BE6DB0"/>
    <w:rsid w:val="1635E60A"/>
    <w:rsid w:val="16452D5A"/>
    <w:rsid w:val="17AAB8FD"/>
    <w:rsid w:val="17DC8F4B"/>
    <w:rsid w:val="17EE37FF"/>
    <w:rsid w:val="184E8880"/>
    <w:rsid w:val="197D19D6"/>
    <w:rsid w:val="1A718A07"/>
    <w:rsid w:val="1AF170D1"/>
    <w:rsid w:val="1BE597C1"/>
    <w:rsid w:val="1C116FD1"/>
    <w:rsid w:val="1DB7A903"/>
    <w:rsid w:val="1E242695"/>
    <w:rsid w:val="231FE4A4"/>
    <w:rsid w:val="238DAB01"/>
    <w:rsid w:val="23ABF753"/>
    <w:rsid w:val="247E4AD8"/>
    <w:rsid w:val="24A1203D"/>
    <w:rsid w:val="2503A96C"/>
    <w:rsid w:val="264D8613"/>
    <w:rsid w:val="26BC4020"/>
    <w:rsid w:val="27AC1A03"/>
    <w:rsid w:val="28173ABD"/>
    <w:rsid w:val="284BCC11"/>
    <w:rsid w:val="2876E044"/>
    <w:rsid w:val="289210A1"/>
    <w:rsid w:val="297D4CAF"/>
    <w:rsid w:val="29A8F332"/>
    <w:rsid w:val="2C40A7F2"/>
    <w:rsid w:val="2CDBC568"/>
    <w:rsid w:val="2D1B0279"/>
    <w:rsid w:val="2D3A7EB5"/>
    <w:rsid w:val="2D5B001A"/>
    <w:rsid w:val="2DE1C514"/>
    <w:rsid w:val="2E43F3A3"/>
    <w:rsid w:val="2E4BB501"/>
    <w:rsid w:val="3021CC41"/>
    <w:rsid w:val="305ACE52"/>
    <w:rsid w:val="30F8CE66"/>
    <w:rsid w:val="313C39DB"/>
    <w:rsid w:val="31B93373"/>
    <w:rsid w:val="31DB0E87"/>
    <w:rsid w:val="3293AB9F"/>
    <w:rsid w:val="3352C9AE"/>
    <w:rsid w:val="338EF059"/>
    <w:rsid w:val="3449EE7C"/>
    <w:rsid w:val="35E24147"/>
    <w:rsid w:val="360DA119"/>
    <w:rsid w:val="361FA1CD"/>
    <w:rsid w:val="3637E44F"/>
    <w:rsid w:val="371E1094"/>
    <w:rsid w:val="373E697A"/>
    <w:rsid w:val="375FF729"/>
    <w:rsid w:val="37F2E016"/>
    <w:rsid w:val="38B94812"/>
    <w:rsid w:val="38F98508"/>
    <w:rsid w:val="391C4DFD"/>
    <w:rsid w:val="3B0E07F1"/>
    <w:rsid w:val="3B317381"/>
    <w:rsid w:val="3B70CFFC"/>
    <w:rsid w:val="3BFF3D14"/>
    <w:rsid w:val="3C344F06"/>
    <w:rsid w:val="3DE9B5D1"/>
    <w:rsid w:val="3E0261A9"/>
    <w:rsid w:val="3E479B51"/>
    <w:rsid w:val="3F94BB57"/>
    <w:rsid w:val="4089222D"/>
    <w:rsid w:val="4208B6EB"/>
    <w:rsid w:val="421F661D"/>
    <w:rsid w:val="42F2B46A"/>
    <w:rsid w:val="433EAA74"/>
    <w:rsid w:val="434F26D9"/>
    <w:rsid w:val="4351A5A3"/>
    <w:rsid w:val="43D879DE"/>
    <w:rsid w:val="43E423AC"/>
    <w:rsid w:val="447A54B2"/>
    <w:rsid w:val="452B8730"/>
    <w:rsid w:val="465044CD"/>
    <w:rsid w:val="46ABD34F"/>
    <w:rsid w:val="4709CB73"/>
    <w:rsid w:val="4877DAA3"/>
    <w:rsid w:val="49069F4C"/>
    <w:rsid w:val="494BB9BF"/>
    <w:rsid w:val="49A0EBDE"/>
    <w:rsid w:val="4A231918"/>
    <w:rsid w:val="4A626DC6"/>
    <w:rsid w:val="4A62A9A7"/>
    <w:rsid w:val="4B22F411"/>
    <w:rsid w:val="4BC23E5B"/>
    <w:rsid w:val="4C034F66"/>
    <w:rsid w:val="4C59C722"/>
    <w:rsid w:val="4CA30852"/>
    <w:rsid w:val="4E69E803"/>
    <w:rsid w:val="4F6DFDF6"/>
    <w:rsid w:val="4F76BCD6"/>
    <w:rsid w:val="50DADD18"/>
    <w:rsid w:val="526669E2"/>
    <w:rsid w:val="53488235"/>
    <w:rsid w:val="5388768B"/>
    <w:rsid w:val="53E4A7C0"/>
    <w:rsid w:val="54438448"/>
    <w:rsid w:val="54E8B0A9"/>
    <w:rsid w:val="5517905B"/>
    <w:rsid w:val="55B72B15"/>
    <w:rsid w:val="561A7B4A"/>
    <w:rsid w:val="56A1392D"/>
    <w:rsid w:val="58AE07EB"/>
    <w:rsid w:val="59A0B4CF"/>
    <w:rsid w:val="5BEAF884"/>
    <w:rsid w:val="5C143CDA"/>
    <w:rsid w:val="5C5477FD"/>
    <w:rsid w:val="5C60A672"/>
    <w:rsid w:val="5C94368E"/>
    <w:rsid w:val="5CA05036"/>
    <w:rsid w:val="5DCB4C9A"/>
    <w:rsid w:val="5E68D399"/>
    <w:rsid w:val="5E7AD693"/>
    <w:rsid w:val="5F4EFFA5"/>
    <w:rsid w:val="5F8AE4BD"/>
    <w:rsid w:val="5FD9157A"/>
    <w:rsid w:val="5FEF55A3"/>
    <w:rsid w:val="6055C090"/>
    <w:rsid w:val="61142022"/>
    <w:rsid w:val="61EE10AD"/>
    <w:rsid w:val="620325BF"/>
    <w:rsid w:val="624E55B3"/>
    <w:rsid w:val="6272449C"/>
    <w:rsid w:val="62961F71"/>
    <w:rsid w:val="631F0DB2"/>
    <w:rsid w:val="6476A0F3"/>
    <w:rsid w:val="6624B695"/>
    <w:rsid w:val="666C897D"/>
    <w:rsid w:val="676384AA"/>
    <w:rsid w:val="68566F55"/>
    <w:rsid w:val="6884E9C5"/>
    <w:rsid w:val="692F0395"/>
    <w:rsid w:val="692F7E41"/>
    <w:rsid w:val="6941F390"/>
    <w:rsid w:val="6954AE19"/>
    <w:rsid w:val="6B5B37FA"/>
    <w:rsid w:val="6C2C0044"/>
    <w:rsid w:val="6CCEA143"/>
    <w:rsid w:val="6D52B617"/>
    <w:rsid w:val="6E053065"/>
    <w:rsid w:val="7019A3E1"/>
    <w:rsid w:val="7118582E"/>
    <w:rsid w:val="71582869"/>
    <w:rsid w:val="71E9245E"/>
    <w:rsid w:val="73014B68"/>
    <w:rsid w:val="731B1337"/>
    <w:rsid w:val="73247B8D"/>
    <w:rsid w:val="75D20F95"/>
    <w:rsid w:val="766ED076"/>
    <w:rsid w:val="766FD795"/>
    <w:rsid w:val="77DE265B"/>
    <w:rsid w:val="78DFF35A"/>
    <w:rsid w:val="7928127A"/>
    <w:rsid w:val="797E3ADF"/>
    <w:rsid w:val="799A3007"/>
    <w:rsid w:val="79B7AF9A"/>
    <w:rsid w:val="7AB41A4E"/>
    <w:rsid w:val="7B234100"/>
    <w:rsid w:val="7BF38B66"/>
    <w:rsid w:val="7C4648C3"/>
    <w:rsid w:val="7FCC07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54AE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F6DFDF6"/>
    <w:rPr>
      <w:lang w:val="en-GB"/>
    </w:rPr>
  </w:style>
  <w:style w:type="paragraph" w:styleId="Heading1">
    <w:name w:val="heading 1"/>
    <w:basedOn w:val="Normal"/>
    <w:next w:val="Normal"/>
    <w:uiPriority w:val="9"/>
    <w:qFormat/>
    <w:rsid w:val="4F6DF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F6DFDF6"/>
    <w:pPr>
      <w:ind w:left="720"/>
      <w:contextualSpacing/>
    </w:pPr>
  </w:style>
  <w:style w:type="paragraph" w:customStyle="1" w:styleId="ZFlag">
    <w:name w:val="Z_Flag"/>
    <w:basedOn w:val="Normal"/>
    <w:next w:val="Normal"/>
    <w:uiPriority w:val="99"/>
    <w:semiHidden/>
    <w:rsid w:val="4F6DFDF6"/>
    <w:pPr>
      <w:widowControl w:val="0"/>
      <w:spacing w:after="0"/>
      <w:ind w:right="85"/>
      <w:jc w:val="both"/>
    </w:pPr>
    <w:rPr>
      <w:rFonts w:ascii="Times New Roman" w:eastAsia="Times New Roman" w:hAnsi="Times New Roman" w:cs="Times New Roman"/>
    </w:rPr>
  </w:style>
  <w:style w:type="paragraph" w:customStyle="1" w:styleId="ZCom">
    <w:name w:val="Z_Com"/>
    <w:basedOn w:val="Normal"/>
    <w:next w:val="Normal"/>
    <w:uiPriority w:val="99"/>
    <w:semiHidden/>
    <w:rsid w:val="4F6DFDF6"/>
    <w:pPr>
      <w:widowControl w:val="0"/>
      <w:spacing w:before="90" w:after="0"/>
      <w:ind w:right="85"/>
      <w:jc w:val="both"/>
    </w:pPr>
    <w:rPr>
      <w:rFonts w:ascii="Times New Roman" w:eastAsia="Times New Roman" w:hAnsi="Times New Roman" w:cs="Times New Roman"/>
    </w:rPr>
  </w:style>
  <w:style w:type="paragraph" w:customStyle="1" w:styleId="ZDGName">
    <w:name w:val="Z_DGName"/>
    <w:basedOn w:val="Normal"/>
    <w:uiPriority w:val="99"/>
    <w:semiHidden/>
    <w:rsid w:val="4F6DFDF6"/>
    <w:pPr>
      <w:widowControl w:val="0"/>
      <w:spacing w:after="0"/>
      <w:ind w:right="85"/>
    </w:pPr>
    <w:rPr>
      <w:rFonts w:ascii="Times New Roman" w:eastAsia="Times New Roman" w:hAnsi="Times New Roman" w:cs="Times New Roman"/>
      <w:sz w:val="16"/>
      <w:szCs w:val="16"/>
    </w:rPr>
  </w:style>
  <w:style w:type="paragraph" w:customStyle="1" w:styleId="SubTitle1">
    <w:name w:val="SubTitle 1"/>
    <w:basedOn w:val="Normal"/>
    <w:uiPriority w:val="1"/>
    <w:rsid w:val="4F6DFDF6"/>
    <w:pPr>
      <w:spacing w:after="240"/>
      <w:jc w:val="center"/>
    </w:pPr>
    <w:rPr>
      <w:rFonts w:ascii="Times New Roman" w:eastAsia="Times New Roman" w:hAnsi="Times New Roman" w:cs="Times New Roman"/>
      <w:b/>
      <w:bCs/>
      <w:sz w:val="40"/>
      <w:szCs w:val="4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5FEF55A3"/>
    <w:rPr>
      <w:color w:val="467886"/>
      <w:u w:val="single"/>
    </w:rPr>
  </w:style>
  <w:style w:type="paragraph" w:styleId="FootnoteText">
    <w:name w:val="footnote text"/>
    <w:basedOn w:val="Normal"/>
    <w:uiPriority w:val="99"/>
    <w:semiHidden/>
    <w:unhideWhenUsed/>
    <w:rsid w:val="5FEF55A3"/>
    <w:pPr>
      <w:spacing w:after="0" w:line="240" w:lineRule="auto"/>
    </w:pPr>
    <w:rPr>
      <w:sz w:val="20"/>
      <w:szCs w:val="20"/>
    </w:rPr>
  </w:style>
  <w:style w:type="paragraph" w:customStyle="1" w:styleId="Text1">
    <w:name w:val="Text 1"/>
    <w:basedOn w:val="Normal"/>
    <w:uiPriority w:val="90"/>
    <w:qFormat/>
    <w:rsid w:val="5FEF55A3"/>
    <w:pPr>
      <w:spacing w:after="240"/>
      <w:ind w:left="482"/>
      <w:jc w:val="both"/>
    </w:pPr>
    <w:rPr>
      <w:rFonts w:ascii="Times New Roman" w:eastAsia="Times New Roman" w:hAnsi="Times New Roman" w:cs="Times New Roman"/>
    </w:rPr>
  </w:style>
  <w:style w:type="character" w:styleId="FootnoteReference">
    <w:name w:val="footnote reference"/>
    <w:basedOn w:val="DefaultParagraphFont"/>
    <w:uiPriority w:val="99"/>
    <w:semiHidden/>
    <w:unhideWhenUsed/>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34E8E"/>
    <w:pPr>
      <w:spacing w:after="0" w:line="240" w:lineRule="auto"/>
    </w:pPr>
    <w:rPr>
      <w:lang w:val="en-GB"/>
    </w:rPr>
  </w:style>
  <w:style w:type="paragraph" w:styleId="Header">
    <w:name w:val="header"/>
    <w:basedOn w:val="Normal"/>
    <w:link w:val="HeaderChar"/>
    <w:uiPriority w:val="99"/>
    <w:unhideWhenUsed/>
    <w:rsid w:val="00091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A6F"/>
    <w:rPr>
      <w:lang w:val="en-GB"/>
    </w:rPr>
  </w:style>
  <w:style w:type="paragraph" w:styleId="Footer">
    <w:name w:val="footer"/>
    <w:basedOn w:val="Normal"/>
    <w:link w:val="FooterChar"/>
    <w:uiPriority w:val="99"/>
    <w:unhideWhenUsed/>
    <w:rsid w:val="00091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A6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2025-10-24T11:35:00Z</dcterms:created>
  <dcterms:modified xsi:type="dcterms:W3CDTF">2025-11-17T10:10:00Z</dcterms:modified>
</cp:coreProperties>
</file>