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6612" w14:textId="69476914" w:rsidR="007D2008" w:rsidRPr="00460297" w:rsidRDefault="007D2008" w:rsidP="002B0E38">
      <w:pPr>
        <w:spacing w:after="0" w:line="240" w:lineRule="auto"/>
        <w:jc w:val="right"/>
        <w:rPr>
          <w:rFonts w:ascii="Cambria" w:eastAsia="Times New Roman" w:hAnsi="Cambria" w:cs="Times New Roman"/>
          <w:b/>
          <w:bCs/>
          <w:sz w:val="20"/>
          <w:szCs w:val="20"/>
        </w:rPr>
      </w:pPr>
      <w:r w:rsidRPr="00460297">
        <w:rPr>
          <w:rFonts w:ascii="Cambria" w:hAnsi="Cambria"/>
          <w:b/>
          <w:sz w:val="20"/>
        </w:rPr>
        <w:t>Original: inglés</w:t>
      </w:r>
    </w:p>
    <w:p w14:paraId="22F765DB" w14:textId="77777777" w:rsidR="007D2008" w:rsidRPr="00460297" w:rsidRDefault="007D2008" w:rsidP="002B0E38">
      <w:pPr>
        <w:spacing w:after="0" w:line="240" w:lineRule="auto"/>
        <w:jc w:val="center"/>
        <w:rPr>
          <w:rFonts w:ascii="Cambria" w:eastAsia="Times New Roman" w:hAnsi="Cambria" w:cs="Times New Roman"/>
          <w:b/>
          <w:bCs/>
          <w:sz w:val="20"/>
          <w:szCs w:val="20"/>
        </w:rPr>
      </w:pPr>
    </w:p>
    <w:p w14:paraId="6FDD52BB" w14:textId="5C986E8D" w:rsidR="000218D3" w:rsidRPr="00460297" w:rsidRDefault="009B5926" w:rsidP="002B0E38">
      <w:pPr>
        <w:spacing w:after="0" w:line="240" w:lineRule="auto"/>
        <w:jc w:val="center"/>
        <w:rPr>
          <w:rFonts w:ascii="Cambria" w:eastAsia="Times New Roman" w:hAnsi="Cambria" w:cs="Times New Roman"/>
          <w:b/>
          <w:sz w:val="20"/>
          <w:szCs w:val="20"/>
        </w:rPr>
      </w:pPr>
      <w:bookmarkStart w:id="0" w:name="_Hlk150265587"/>
      <w:r w:rsidRPr="00460297">
        <w:rPr>
          <w:rFonts w:ascii="Cambria" w:hAnsi="Cambria"/>
          <w:b/>
          <w:sz w:val="20"/>
        </w:rPr>
        <w:t xml:space="preserve">Informe de la Secretaría al Grupo de trabajo permanente para la mejora de </w:t>
      </w:r>
    </w:p>
    <w:p w14:paraId="066216FD" w14:textId="2DB91850" w:rsidR="00F34B1F" w:rsidRPr="00460297" w:rsidRDefault="009B5926" w:rsidP="002B0E38">
      <w:pPr>
        <w:spacing w:after="0" w:line="240" w:lineRule="auto"/>
        <w:jc w:val="center"/>
        <w:rPr>
          <w:rFonts w:ascii="Cambria" w:eastAsia="Times New Roman" w:hAnsi="Cambria" w:cs="Times New Roman"/>
          <w:b/>
          <w:bCs/>
          <w:sz w:val="20"/>
          <w:szCs w:val="20"/>
        </w:rPr>
      </w:pPr>
      <w:r w:rsidRPr="00460297">
        <w:rPr>
          <w:rFonts w:ascii="Cambria" w:hAnsi="Cambria"/>
          <w:b/>
          <w:sz w:val="20"/>
        </w:rPr>
        <w:t>las estadísticas de ICCAT y de sus medidas de conservación (GTP)</w:t>
      </w:r>
    </w:p>
    <w:p w14:paraId="7C1890AB" w14:textId="77777777" w:rsidR="00F34B1F" w:rsidRPr="00460297" w:rsidRDefault="00F34B1F" w:rsidP="002B0E38">
      <w:pPr>
        <w:spacing w:after="0" w:line="240" w:lineRule="auto"/>
        <w:jc w:val="center"/>
        <w:rPr>
          <w:rFonts w:ascii="Cambria" w:eastAsia="Times New Roman" w:hAnsi="Cambria" w:cs="Times New Roman"/>
          <w:bCs/>
          <w:i/>
          <w:sz w:val="20"/>
          <w:szCs w:val="20"/>
        </w:rPr>
      </w:pPr>
    </w:p>
    <w:p w14:paraId="5572E921" w14:textId="0244E044" w:rsidR="00F34B1F" w:rsidRPr="00460297" w:rsidRDefault="00FF65CD" w:rsidP="002B0E38">
      <w:pPr>
        <w:spacing w:after="0" w:line="240" w:lineRule="auto"/>
        <w:jc w:val="center"/>
        <w:rPr>
          <w:rFonts w:ascii="Cambria" w:eastAsia="Times New Roman" w:hAnsi="Cambria" w:cs="Times New Roman"/>
          <w:bCs/>
          <w:i/>
          <w:sz w:val="20"/>
          <w:szCs w:val="20"/>
        </w:rPr>
      </w:pPr>
      <w:r w:rsidRPr="00460297">
        <w:rPr>
          <w:rFonts w:ascii="Cambria" w:hAnsi="Cambria"/>
          <w:i/>
          <w:sz w:val="20"/>
        </w:rPr>
        <w:t>(Secretaría de ICCAT)</w:t>
      </w:r>
    </w:p>
    <w:bookmarkEnd w:id="0"/>
    <w:p w14:paraId="662D2942" w14:textId="77777777" w:rsidR="000B75D9" w:rsidRPr="00460297" w:rsidRDefault="000B75D9" w:rsidP="002B0E38">
      <w:pPr>
        <w:spacing w:after="0" w:line="240" w:lineRule="auto"/>
        <w:jc w:val="center"/>
        <w:rPr>
          <w:rFonts w:ascii="Cambria" w:eastAsia="Times New Roman" w:hAnsi="Cambria" w:cs="Times New Roman"/>
          <w:bCs/>
          <w:i/>
          <w:sz w:val="20"/>
          <w:szCs w:val="20"/>
          <w:lang w:val="en-US"/>
        </w:rPr>
      </w:pPr>
    </w:p>
    <w:p w14:paraId="594A2654" w14:textId="2CECCD1C" w:rsidR="000B75D9" w:rsidRPr="00460297" w:rsidRDefault="000B75D9" w:rsidP="002B0E38">
      <w:pPr>
        <w:spacing w:after="0" w:line="240" w:lineRule="auto"/>
        <w:rPr>
          <w:rFonts w:ascii="Cambria" w:eastAsia="Times New Roman" w:hAnsi="Cambria" w:cs="Times New Roman"/>
          <w:bCs/>
          <w:iCs/>
          <w:sz w:val="20"/>
          <w:szCs w:val="20"/>
          <w:lang w:val="en-US"/>
        </w:rPr>
      </w:pPr>
    </w:p>
    <w:p w14:paraId="2EF1ACFB" w14:textId="671DB4B6" w:rsidR="000B75D9" w:rsidRPr="00460297" w:rsidRDefault="000B75D9" w:rsidP="002B0E38">
      <w:pPr>
        <w:pStyle w:val="ListParagraph"/>
        <w:numPr>
          <w:ilvl w:val="0"/>
          <w:numId w:val="6"/>
        </w:numPr>
        <w:spacing w:after="0" w:line="240" w:lineRule="auto"/>
        <w:ind w:left="426" w:hanging="426"/>
        <w:contextualSpacing w:val="0"/>
        <w:jc w:val="both"/>
        <w:rPr>
          <w:rFonts w:ascii="Cambria" w:eastAsia="Times New Roman" w:hAnsi="Cambria" w:cs="Times New Roman"/>
          <w:b/>
          <w:sz w:val="20"/>
          <w:szCs w:val="20"/>
        </w:rPr>
      </w:pPr>
      <w:r w:rsidRPr="00460297">
        <w:rPr>
          <w:rFonts w:ascii="Cambria" w:hAnsi="Cambria"/>
          <w:b/>
          <w:sz w:val="20"/>
        </w:rPr>
        <w:t>Información comercial y otra información pesquera pertinente que pueda identificar las deficiencias en las estadísticas de ICCAT</w:t>
      </w:r>
    </w:p>
    <w:p w14:paraId="5E1514A1" w14:textId="77777777" w:rsidR="000B75D9" w:rsidRPr="00460297" w:rsidRDefault="000B75D9" w:rsidP="002B0E38">
      <w:pPr>
        <w:pStyle w:val="ListParagraph"/>
        <w:spacing w:after="0" w:line="240" w:lineRule="auto"/>
        <w:ind w:left="0"/>
        <w:contextualSpacing w:val="0"/>
        <w:rPr>
          <w:rFonts w:ascii="Cambria" w:eastAsia="Times New Roman" w:hAnsi="Cambria" w:cs="Times New Roman"/>
          <w:b/>
          <w:sz w:val="20"/>
          <w:szCs w:val="20"/>
        </w:rPr>
      </w:pPr>
    </w:p>
    <w:p w14:paraId="34667E51" w14:textId="78FBAA09" w:rsidR="00F34B1F" w:rsidRPr="00460297" w:rsidRDefault="000B75D9" w:rsidP="002B0E38">
      <w:pPr>
        <w:spacing w:after="0" w:line="240" w:lineRule="auto"/>
        <w:jc w:val="both"/>
        <w:rPr>
          <w:rFonts w:ascii="Cambria" w:eastAsia="Times New Roman" w:hAnsi="Cambria" w:cs="Times New Roman"/>
          <w:bCs/>
          <w:sz w:val="20"/>
          <w:szCs w:val="20"/>
        </w:rPr>
      </w:pPr>
      <w:r w:rsidRPr="00460297">
        <w:rPr>
          <w:rFonts w:ascii="Cambria" w:hAnsi="Cambria"/>
          <w:sz w:val="20"/>
        </w:rPr>
        <w:t>La información presentada en la Rec. 06-13 está disponible como COC_303_Annex1/2025. La Secretaría no observó ningún elemento específico que requiriera revisión. La información comercial sobre los programas de documento estadístico y de capturas figura en la sección 2</w:t>
      </w:r>
      <w:r w:rsidR="00AB3202" w:rsidRPr="00460297">
        <w:rPr>
          <w:rFonts w:ascii="Cambria" w:hAnsi="Cambria"/>
          <w:sz w:val="20"/>
        </w:rPr>
        <w:t xml:space="preserve"> más abajo</w:t>
      </w:r>
      <w:r w:rsidRPr="00460297">
        <w:rPr>
          <w:rFonts w:ascii="Cambria" w:hAnsi="Cambria"/>
          <w:sz w:val="20"/>
        </w:rPr>
        <w:t xml:space="preserve">. </w:t>
      </w:r>
    </w:p>
    <w:p w14:paraId="5C09DC77" w14:textId="77777777" w:rsidR="000B75D9" w:rsidRPr="00460297" w:rsidRDefault="000B75D9" w:rsidP="002B0E38">
      <w:pPr>
        <w:spacing w:after="0" w:line="240" w:lineRule="auto"/>
        <w:rPr>
          <w:rFonts w:ascii="Cambria" w:eastAsia="Times New Roman" w:hAnsi="Cambria" w:cs="Times New Roman"/>
          <w:bCs/>
          <w:sz w:val="20"/>
          <w:szCs w:val="20"/>
        </w:rPr>
      </w:pPr>
    </w:p>
    <w:p w14:paraId="1855739E" w14:textId="75ADB1B7" w:rsidR="000B75D9" w:rsidRPr="00460297" w:rsidRDefault="000B75D9" w:rsidP="002B0E38">
      <w:pPr>
        <w:spacing w:after="0" w:line="240" w:lineRule="auto"/>
        <w:jc w:val="both"/>
        <w:rPr>
          <w:rFonts w:ascii="Cambria" w:eastAsia="Times New Roman" w:hAnsi="Cambria" w:cs="Times New Roman"/>
          <w:bCs/>
          <w:sz w:val="20"/>
          <w:szCs w:val="20"/>
        </w:rPr>
      </w:pPr>
      <w:r w:rsidRPr="00460297">
        <w:rPr>
          <w:rFonts w:ascii="Cambria" w:hAnsi="Cambria"/>
          <w:sz w:val="20"/>
        </w:rPr>
        <w:t>Otra información pesquera, incluida la relativa a las capturas, muestra que tres Partes/Entidades o Entidades pesqueras (Dominica, Jamaica y Gibraltar) declararon capturas de túnidos o especies afines. Sin embargo, vari</w:t>
      </w:r>
      <w:r w:rsidR="00AB3202" w:rsidRPr="00460297">
        <w:rPr>
          <w:rFonts w:ascii="Cambria" w:hAnsi="Cambria"/>
          <w:sz w:val="20"/>
        </w:rPr>
        <w:t>a</w:t>
      </w:r>
      <w:r w:rsidRPr="00460297">
        <w:rPr>
          <w:rFonts w:ascii="Cambria" w:hAnsi="Cambria"/>
          <w:sz w:val="20"/>
        </w:rPr>
        <w:t>s otr</w:t>
      </w:r>
      <w:r w:rsidR="00AB3202" w:rsidRPr="00460297">
        <w:rPr>
          <w:rFonts w:ascii="Cambria" w:hAnsi="Cambria"/>
          <w:sz w:val="20"/>
        </w:rPr>
        <w:t>a</w:t>
      </w:r>
      <w:r w:rsidRPr="00460297">
        <w:rPr>
          <w:rFonts w:ascii="Cambria" w:hAnsi="Cambria"/>
          <w:sz w:val="20"/>
        </w:rPr>
        <w:t xml:space="preserve">s, de </w:t>
      </w:r>
      <w:r w:rsidR="00AB3202" w:rsidRPr="00460297">
        <w:rPr>
          <w:rFonts w:ascii="Cambria" w:hAnsi="Cambria"/>
          <w:sz w:val="20"/>
        </w:rPr>
        <w:t xml:space="preserve">las </w:t>
      </w:r>
      <w:r w:rsidRPr="00460297">
        <w:rPr>
          <w:rFonts w:ascii="Cambria" w:hAnsi="Cambria"/>
          <w:sz w:val="20"/>
        </w:rPr>
        <w:t xml:space="preserve">que se sabe que han capturado anteriormente tales especies, en 2025 no han comunicado datos de 2024. La </w:t>
      </w:r>
      <w:r w:rsidRPr="00460297">
        <w:rPr>
          <w:rFonts w:ascii="Cambria" w:hAnsi="Cambria"/>
          <w:b/>
          <w:bCs/>
          <w:sz w:val="20"/>
        </w:rPr>
        <w:t>Tabla 1</w:t>
      </w:r>
      <w:r w:rsidRPr="00460297">
        <w:rPr>
          <w:rFonts w:ascii="Cambria" w:hAnsi="Cambria"/>
          <w:sz w:val="20"/>
        </w:rPr>
        <w:t xml:space="preserve"> muestra las capturas declaradas por las </w:t>
      </w:r>
      <w:proofErr w:type="spellStart"/>
      <w:r w:rsidRPr="00460297">
        <w:rPr>
          <w:rFonts w:ascii="Cambria" w:hAnsi="Cambria"/>
          <w:sz w:val="20"/>
        </w:rPr>
        <w:t>NPC</w:t>
      </w:r>
      <w:proofErr w:type="spellEnd"/>
      <w:r w:rsidRPr="00460297">
        <w:rPr>
          <w:rFonts w:ascii="Cambria" w:hAnsi="Cambria"/>
          <w:sz w:val="20"/>
        </w:rPr>
        <w:t xml:space="preserve"> en los últimos 10 años. </w:t>
      </w:r>
    </w:p>
    <w:p w14:paraId="245B9294" w14:textId="77777777" w:rsidR="000B75D9" w:rsidRPr="00460297" w:rsidRDefault="000B75D9" w:rsidP="002B0E38">
      <w:pPr>
        <w:spacing w:after="0" w:line="240" w:lineRule="auto"/>
        <w:rPr>
          <w:rFonts w:ascii="Cambria" w:eastAsia="Times New Roman" w:hAnsi="Cambria" w:cs="Times New Roman"/>
          <w:bCs/>
          <w:sz w:val="20"/>
          <w:szCs w:val="20"/>
        </w:rPr>
      </w:pPr>
    </w:p>
    <w:p w14:paraId="0301D65A" w14:textId="77777777" w:rsidR="000B75D9" w:rsidRPr="00460297" w:rsidRDefault="000B75D9" w:rsidP="002B0E38">
      <w:pPr>
        <w:spacing w:after="0" w:line="240" w:lineRule="auto"/>
        <w:rPr>
          <w:rFonts w:ascii="Cambria" w:eastAsia="Times New Roman" w:hAnsi="Cambria" w:cs="Times New Roman"/>
          <w:bCs/>
          <w:sz w:val="20"/>
          <w:szCs w:val="20"/>
        </w:rPr>
      </w:pPr>
    </w:p>
    <w:p w14:paraId="070D246F" w14:textId="5753636F" w:rsidR="00025B0C" w:rsidRPr="00460297" w:rsidRDefault="000B75D9" w:rsidP="00AB3202">
      <w:pPr>
        <w:tabs>
          <w:tab w:val="left" w:pos="426"/>
        </w:tabs>
        <w:spacing w:after="0" w:line="240" w:lineRule="auto"/>
        <w:ind w:left="426" w:hanging="426"/>
        <w:rPr>
          <w:rFonts w:ascii="Cambria" w:eastAsia="Times New Roman" w:hAnsi="Cambria" w:cs="Times New Roman"/>
          <w:b/>
          <w:sz w:val="20"/>
          <w:szCs w:val="20"/>
        </w:rPr>
      </w:pPr>
      <w:r w:rsidRPr="00460297">
        <w:rPr>
          <w:rFonts w:ascii="Cambria" w:hAnsi="Cambria"/>
          <w:b/>
          <w:sz w:val="20"/>
        </w:rPr>
        <w:t>2.</w:t>
      </w:r>
      <w:r w:rsidRPr="00460297">
        <w:rPr>
          <w:rFonts w:ascii="Cambria" w:hAnsi="Cambria"/>
          <w:b/>
          <w:sz w:val="20"/>
        </w:rPr>
        <w:tab/>
      </w:r>
      <w:bookmarkStart w:id="1" w:name="_Hlk179982379"/>
      <w:r w:rsidRPr="00460297">
        <w:rPr>
          <w:rFonts w:ascii="Cambria" w:hAnsi="Cambria"/>
          <w:b/>
          <w:sz w:val="20"/>
        </w:rPr>
        <w:t>Documento estadístico, programas de documentación de capturas de atún rojo y otros datos comerciales</w:t>
      </w:r>
      <w:bookmarkEnd w:id="1"/>
    </w:p>
    <w:p w14:paraId="7B2CF66A" w14:textId="77777777" w:rsidR="00B729FB" w:rsidRPr="00460297" w:rsidRDefault="00B729FB" w:rsidP="002B0E38">
      <w:pPr>
        <w:tabs>
          <w:tab w:val="left" w:pos="426"/>
        </w:tabs>
        <w:spacing w:after="0" w:line="240" w:lineRule="auto"/>
        <w:rPr>
          <w:rFonts w:ascii="Cambria" w:eastAsia="Times New Roman" w:hAnsi="Cambria" w:cs="Times New Roman"/>
          <w:b/>
          <w:sz w:val="20"/>
          <w:szCs w:val="20"/>
        </w:rPr>
      </w:pPr>
    </w:p>
    <w:p w14:paraId="2FA8AAEB" w14:textId="75C1EDA9" w:rsidR="00E8781E" w:rsidRPr="00460297" w:rsidRDefault="00E8781E" w:rsidP="002B0E38">
      <w:pPr>
        <w:spacing w:after="0" w:line="240" w:lineRule="auto"/>
        <w:jc w:val="both"/>
        <w:rPr>
          <w:rFonts w:ascii="Cambria" w:eastAsia="Times New Roman" w:hAnsi="Cambria" w:cs="Times New Roman"/>
          <w:sz w:val="20"/>
          <w:szCs w:val="20"/>
        </w:rPr>
      </w:pPr>
      <w:r w:rsidRPr="00460297">
        <w:rPr>
          <w:rFonts w:ascii="Cambria" w:hAnsi="Cambria"/>
          <w:sz w:val="20"/>
        </w:rPr>
        <w:t>En las Tablas 23 y 24 del "Informe de la Secretaría sobre investigación y estadísticas de 2025" [PLE_10</w:t>
      </w:r>
      <w:r w:rsidR="00AB3202" w:rsidRPr="00460297">
        <w:rPr>
          <w:rFonts w:ascii="Cambria" w:hAnsi="Cambria"/>
          <w:sz w:val="20"/>
        </w:rPr>
        <w:t>5</w:t>
      </w:r>
      <w:r w:rsidRPr="00460297">
        <w:rPr>
          <w:rFonts w:ascii="Cambria" w:hAnsi="Cambria"/>
          <w:sz w:val="20"/>
        </w:rPr>
        <w:t>/2025] se incluye una comparación entre los datos de los documentos estadísticos (informes semestrales de pez espada y patudo) y los datos de la captura nominal de Tarea 1.</w:t>
      </w:r>
    </w:p>
    <w:p w14:paraId="4AD777A5" w14:textId="77777777" w:rsidR="00D23D6C" w:rsidRPr="00460297" w:rsidRDefault="00D23D6C" w:rsidP="002B0E38">
      <w:pPr>
        <w:spacing w:after="0" w:line="240" w:lineRule="auto"/>
        <w:jc w:val="both"/>
        <w:rPr>
          <w:rFonts w:ascii="Cambria" w:eastAsia="Times New Roman" w:hAnsi="Cambria" w:cs="Times New Roman"/>
          <w:strike/>
          <w:sz w:val="20"/>
          <w:szCs w:val="20"/>
        </w:rPr>
      </w:pPr>
    </w:p>
    <w:p w14:paraId="2DF00C63" w14:textId="241C9BA2" w:rsidR="00C7070B" w:rsidRPr="00460297" w:rsidRDefault="00C7070B" w:rsidP="002B0E38">
      <w:pPr>
        <w:tabs>
          <w:tab w:val="left" w:pos="284"/>
          <w:tab w:val="left" w:pos="567"/>
        </w:tabs>
        <w:autoSpaceDE w:val="0"/>
        <w:autoSpaceDN w:val="0"/>
        <w:adjustRightInd w:val="0"/>
        <w:spacing w:after="0" w:line="240" w:lineRule="auto"/>
        <w:jc w:val="both"/>
        <w:rPr>
          <w:rFonts w:ascii="Cambria" w:eastAsia="Times New Roman" w:hAnsi="Cambria" w:cs="Times New Roman"/>
          <w:b/>
          <w:bCs/>
          <w:i/>
          <w:sz w:val="20"/>
          <w:szCs w:val="20"/>
        </w:rPr>
      </w:pPr>
      <w:bookmarkStart w:id="2" w:name="_Hlk86835876"/>
      <w:r w:rsidRPr="00460297">
        <w:rPr>
          <w:rFonts w:ascii="Cambria" w:hAnsi="Cambria"/>
          <w:b/>
          <w:i/>
          <w:sz w:val="20"/>
        </w:rPr>
        <w:t>Validación y otra información requerida</w:t>
      </w:r>
    </w:p>
    <w:p w14:paraId="124C44F1" w14:textId="77777777" w:rsidR="00C31CA0" w:rsidRPr="00460297" w:rsidRDefault="00C31CA0" w:rsidP="002B0E38">
      <w:pPr>
        <w:tabs>
          <w:tab w:val="left" w:pos="284"/>
          <w:tab w:val="left" w:pos="567"/>
        </w:tabs>
        <w:autoSpaceDE w:val="0"/>
        <w:autoSpaceDN w:val="0"/>
        <w:adjustRightInd w:val="0"/>
        <w:spacing w:after="0" w:line="240" w:lineRule="auto"/>
        <w:jc w:val="both"/>
        <w:rPr>
          <w:rFonts w:ascii="Cambria" w:eastAsia="Times New Roman" w:hAnsi="Cambria" w:cs="Times New Roman"/>
          <w:i/>
          <w:sz w:val="20"/>
          <w:szCs w:val="20"/>
        </w:rPr>
      </w:pPr>
    </w:p>
    <w:bookmarkEnd w:id="2"/>
    <w:p w14:paraId="7086A510" w14:textId="4E4763CD" w:rsidR="00812983" w:rsidRPr="00460297"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460297">
        <w:rPr>
          <w:rFonts w:ascii="Cambria" w:hAnsi="Cambria"/>
          <w:sz w:val="20"/>
        </w:rPr>
        <w:t xml:space="preserve">La información sobre validación concerniente a las instituciones y personas autorizadas a validar los documentos estadísticos de ICCAT se publica en una página protegida con contraseña en: </w:t>
      </w:r>
      <w:hyperlink r:id="rId8" w:history="1">
        <w:r w:rsidRPr="00460297">
          <w:rPr>
            <w:rStyle w:val="Hyperlink"/>
            <w:rFonts w:ascii="Cambria" w:hAnsi="Cambria"/>
            <w:sz w:val="20"/>
            <w:u w:val="none"/>
          </w:rPr>
          <w:t>https://www.iccat.int/es/SDPsummary.asp</w:t>
        </w:r>
      </w:hyperlink>
    </w:p>
    <w:p w14:paraId="787748ED" w14:textId="77777777" w:rsidR="00812983" w:rsidRPr="00460297"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20E788A3" w14:textId="7B556DC7" w:rsidR="00617464" w:rsidRPr="00460297"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460297">
        <w:rPr>
          <w:rFonts w:ascii="Cambria" w:hAnsi="Cambria"/>
          <w:sz w:val="20"/>
        </w:rPr>
        <w:t xml:space="preserve">De conformidad con las </w:t>
      </w:r>
      <w:proofErr w:type="spellStart"/>
      <w:r w:rsidRPr="00460297">
        <w:rPr>
          <w:rFonts w:ascii="Cambria" w:hAnsi="Cambria"/>
          <w:sz w:val="20"/>
        </w:rPr>
        <w:t>Recs</w:t>
      </w:r>
      <w:proofErr w:type="spellEnd"/>
      <w:r w:rsidRPr="00460297">
        <w:rPr>
          <w:rFonts w:ascii="Cambria" w:hAnsi="Cambria"/>
          <w:sz w:val="20"/>
        </w:rPr>
        <w:t>. </w:t>
      </w:r>
      <w:hyperlink r:id="rId9" w:history="1">
        <w:r w:rsidRPr="00460297">
          <w:rPr>
            <w:rStyle w:val="Hyperlink"/>
            <w:rFonts w:ascii="Cambria" w:hAnsi="Cambria"/>
            <w:sz w:val="20"/>
            <w:u w:val="none"/>
          </w:rPr>
          <w:t>01-21</w:t>
        </w:r>
      </w:hyperlink>
      <w:r w:rsidRPr="00460297">
        <w:rPr>
          <w:rFonts w:ascii="Cambria" w:hAnsi="Cambria"/>
          <w:sz w:val="20"/>
        </w:rPr>
        <w:t xml:space="preserve"> y </w:t>
      </w:r>
      <w:hyperlink r:id="rId10" w:history="1">
        <w:r w:rsidRPr="00460297">
          <w:rPr>
            <w:rStyle w:val="Hyperlink"/>
            <w:rFonts w:ascii="Cambria" w:hAnsi="Cambria"/>
            <w:sz w:val="20"/>
            <w:u w:val="none"/>
          </w:rPr>
          <w:t>01-22</w:t>
        </w:r>
      </w:hyperlink>
      <w:r w:rsidRPr="00460297">
        <w:rPr>
          <w:rFonts w:ascii="Cambria" w:hAnsi="Cambria"/>
          <w:sz w:val="20"/>
        </w:rPr>
        <w:t xml:space="preserve">, los datos recibidos en el marco de los documentos estadísticos semestrales y/o </w:t>
      </w:r>
      <w:r w:rsidR="003F5A3C" w:rsidRPr="00460297">
        <w:rPr>
          <w:rFonts w:ascii="Cambria" w:hAnsi="Cambria"/>
          <w:sz w:val="20"/>
        </w:rPr>
        <w:t xml:space="preserve">certificados de reexportación de pez espada y patudo, que han sido actualizados en varios casos, desde el segundo semestre de 2024 (S2/2024)  hasta el primer semestre de 2025 (S1/2025), han sido recibidos por la Secretaría de las siguientes CPC: Canadá, China (R. P.), Côte d’Ivoire, El Salvador, UE (todos los pabellones combinados), Japón, Corea (Rep.), Marruecos, México, Noruega, Senegal, Türkiye, Reino Unido, Estados Unidos y Taipei Chino. </w:t>
      </w:r>
      <w:bookmarkStart w:id="3" w:name="_Hlk86848502"/>
    </w:p>
    <w:p w14:paraId="396A4AE5" w14:textId="77777777" w:rsidR="00617464" w:rsidRPr="00460297" w:rsidRDefault="00617464"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13359E84" w14:textId="5CECEE21" w:rsidR="00812983" w:rsidRPr="00460297" w:rsidRDefault="00F85647"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460297">
        <w:rPr>
          <w:rFonts w:ascii="Cambria" w:hAnsi="Cambria"/>
          <w:sz w:val="20"/>
        </w:rPr>
        <w:t>China (</w:t>
      </w:r>
      <w:proofErr w:type="spellStart"/>
      <w:r w:rsidRPr="00460297">
        <w:rPr>
          <w:rFonts w:ascii="Cambria" w:hAnsi="Cambria"/>
          <w:sz w:val="20"/>
        </w:rPr>
        <w:t>R.P</w:t>
      </w:r>
      <w:proofErr w:type="spellEnd"/>
      <w:r w:rsidRPr="00460297">
        <w:rPr>
          <w:rFonts w:ascii="Cambria" w:hAnsi="Cambria"/>
          <w:sz w:val="20"/>
        </w:rPr>
        <w:t xml:space="preserve">.) y México han confirmado </w:t>
      </w:r>
      <w:proofErr w:type="gramStart"/>
      <w:r w:rsidR="000720F5" w:rsidRPr="00460297">
        <w:rPr>
          <w:rFonts w:ascii="Cambria" w:hAnsi="Cambria"/>
          <w:sz w:val="20"/>
        </w:rPr>
        <w:t xml:space="preserve">de </w:t>
      </w:r>
      <w:r w:rsidR="00AB3202" w:rsidRPr="00460297">
        <w:rPr>
          <w:rFonts w:ascii="Cambria" w:hAnsi="Cambria"/>
          <w:sz w:val="20"/>
        </w:rPr>
        <w:t>que</w:t>
      </w:r>
      <w:proofErr w:type="gramEnd"/>
      <w:r w:rsidR="00AB3202" w:rsidRPr="00460297">
        <w:rPr>
          <w:rFonts w:ascii="Cambria" w:hAnsi="Cambria"/>
          <w:sz w:val="20"/>
        </w:rPr>
        <w:t xml:space="preserve"> no tienen </w:t>
      </w:r>
      <w:r w:rsidRPr="00460297">
        <w:rPr>
          <w:rFonts w:ascii="Cambria" w:hAnsi="Cambria"/>
          <w:sz w:val="20"/>
        </w:rPr>
        <w:t>ninguna importación de estas especies</w:t>
      </w:r>
      <w:r w:rsidR="00AB3202" w:rsidRPr="00460297">
        <w:rPr>
          <w:rFonts w:ascii="Cambria" w:hAnsi="Cambria"/>
          <w:sz w:val="20"/>
        </w:rPr>
        <w:t xml:space="preserve"> que declarar</w:t>
      </w:r>
      <w:r w:rsidRPr="00460297">
        <w:rPr>
          <w:rFonts w:ascii="Cambria" w:hAnsi="Cambria"/>
          <w:sz w:val="20"/>
        </w:rPr>
        <w:t xml:space="preserve">. </w:t>
      </w:r>
    </w:p>
    <w:bookmarkEnd w:id="3"/>
    <w:p w14:paraId="0B0EEF85" w14:textId="77777777" w:rsidR="00812983" w:rsidRPr="00460297"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57077252" w14:textId="0EE26465" w:rsidR="00812983" w:rsidRPr="00460297"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460297">
        <w:rPr>
          <w:rFonts w:ascii="Cambria" w:hAnsi="Cambria"/>
          <w:sz w:val="20"/>
        </w:rPr>
        <w:t>Estos informes semestrales del programa de documento estadístico (</w:t>
      </w:r>
      <w:proofErr w:type="spellStart"/>
      <w:r w:rsidRPr="00460297">
        <w:rPr>
          <w:rFonts w:ascii="Cambria" w:hAnsi="Cambria"/>
          <w:sz w:val="20"/>
        </w:rPr>
        <w:t>SDP</w:t>
      </w:r>
      <w:proofErr w:type="spellEnd"/>
      <w:r w:rsidRPr="00460297">
        <w:rPr>
          <w:rFonts w:ascii="Cambria" w:hAnsi="Cambria"/>
          <w:sz w:val="20"/>
        </w:rPr>
        <w:t>) revelan que algunas cantidades tanto de patudo como de pez espada siguen siendo importadas por las CPC desde zonas de pesca poco claras/desconocidas y pabellones de pesca sin clasificar, lo que dificulta distinguir si éstas han presentado o no su información de validación. También muestran que las importaciones de patudo se realizaron desde tres pabellones de pesca cuya información de validación aún no se ha presentado a la Secretaría.</w:t>
      </w:r>
      <w:bookmarkStart w:id="4" w:name="_Hlk212585031"/>
      <w:r w:rsidRPr="00460297">
        <w:rPr>
          <w:rFonts w:ascii="Cambria" w:hAnsi="Cambria"/>
          <w:sz w:val="20"/>
        </w:rPr>
        <w:t xml:space="preserve"> </w:t>
      </w:r>
      <w:bookmarkEnd w:id="4"/>
      <w:r w:rsidRPr="00460297">
        <w:rPr>
          <w:rFonts w:ascii="Cambria" w:hAnsi="Cambria"/>
          <w:sz w:val="20"/>
        </w:rPr>
        <w:t xml:space="preserve">Hasta la fecha sigue faltando información sobre validación de Colombia y Papúa Nueva Guinea solo para el patudo. La Secretaría se ha puesto en contacto con estos dos países para pedirles que consideraran la posibilidad de añadir información de validación del </w:t>
      </w:r>
      <w:proofErr w:type="spellStart"/>
      <w:r w:rsidRPr="00460297">
        <w:rPr>
          <w:rFonts w:ascii="Cambria" w:hAnsi="Cambria"/>
          <w:sz w:val="20"/>
        </w:rPr>
        <w:t>SDP</w:t>
      </w:r>
      <w:proofErr w:type="spellEnd"/>
      <w:r w:rsidRPr="00460297">
        <w:rPr>
          <w:rFonts w:ascii="Cambria" w:hAnsi="Cambria"/>
          <w:sz w:val="20"/>
        </w:rPr>
        <w:t xml:space="preserve"> para el patudo. </w:t>
      </w:r>
    </w:p>
    <w:p w14:paraId="53B985AF" w14:textId="77777777" w:rsidR="00812983" w:rsidRPr="00460297"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10E6A823" w14:textId="255B9516" w:rsidR="00F50AD7" w:rsidRPr="00460297"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460297">
        <w:rPr>
          <w:rFonts w:ascii="Cambria" w:hAnsi="Cambria"/>
          <w:sz w:val="20"/>
        </w:rPr>
        <w:t xml:space="preserve">La información sobre los informes semestrales se publica en el sitio web protegido por contraseña: </w:t>
      </w:r>
      <w:hyperlink r:id="rId11" w:history="1">
        <w:r w:rsidRPr="00460297">
          <w:rPr>
            <w:rStyle w:val="Hyperlink"/>
            <w:rFonts w:ascii="Cambria" w:hAnsi="Cambria"/>
            <w:sz w:val="20"/>
            <w:u w:val="none"/>
          </w:rPr>
          <w:t>https://www.iccat.int/es/SDPsummary.asp</w:t>
        </w:r>
      </w:hyperlink>
    </w:p>
    <w:p w14:paraId="3688490A" w14:textId="285C558B" w:rsidR="00F50AD7" w:rsidRPr="00460297" w:rsidRDefault="00F50AD7"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19D79759" w14:textId="77777777" w:rsidR="00AB3202" w:rsidRPr="00460297" w:rsidRDefault="00AB3202">
      <w:pPr>
        <w:rPr>
          <w:rFonts w:ascii="Cambria" w:hAnsi="Cambria"/>
          <w:b/>
          <w:i/>
          <w:sz w:val="20"/>
        </w:rPr>
      </w:pPr>
      <w:r w:rsidRPr="00460297">
        <w:rPr>
          <w:rFonts w:ascii="Cambria" w:hAnsi="Cambria"/>
          <w:b/>
          <w:i/>
          <w:sz w:val="20"/>
        </w:rPr>
        <w:br w:type="page"/>
      </w:r>
    </w:p>
    <w:p w14:paraId="7B5F080F" w14:textId="4F736ADE" w:rsidR="00CC4923" w:rsidRPr="00460297" w:rsidRDefault="00CC4923" w:rsidP="002B0E38">
      <w:pPr>
        <w:tabs>
          <w:tab w:val="left" w:pos="284"/>
          <w:tab w:val="left" w:pos="567"/>
        </w:tabs>
        <w:autoSpaceDE w:val="0"/>
        <w:autoSpaceDN w:val="0"/>
        <w:adjustRightInd w:val="0"/>
        <w:spacing w:after="0" w:line="240" w:lineRule="auto"/>
        <w:jc w:val="both"/>
        <w:rPr>
          <w:rFonts w:ascii="Cambria" w:eastAsia="Times New Roman" w:hAnsi="Cambria" w:cs="Times New Roman"/>
          <w:b/>
          <w:bCs/>
          <w:i/>
          <w:sz w:val="20"/>
          <w:szCs w:val="20"/>
        </w:rPr>
      </w:pPr>
      <w:r w:rsidRPr="00460297">
        <w:rPr>
          <w:rFonts w:ascii="Cambria" w:hAnsi="Cambria"/>
          <w:b/>
          <w:i/>
          <w:sz w:val="20"/>
        </w:rPr>
        <w:lastRenderedPageBreak/>
        <w:t xml:space="preserve">Presentación y procesamiento de los BCD y los </w:t>
      </w:r>
      <w:proofErr w:type="spellStart"/>
      <w:r w:rsidRPr="00460297">
        <w:rPr>
          <w:rFonts w:ascii="Cambria" w:hAnsi="Cambria"/>
          <w:b/>
          <w:i/>
          <w:sz w:val="20"/>
        </w:rPr>
        <w:t>BFTRC</w:t>
      </w:r>
      <w:proofErr w:type="spellEnd"/>
    </w:p>
    <w:p w14:paraId="07C52C73" w14:textId="77777777" w:rsidR="00CC4923" w:rsidRPr="00460297" w:rsidRDefault="00CC4923" w:rsidP="002B0E38">
      <w:pPr>
        <w:tabs>
          <w:tab w:val="left" w:pos="284"/>
          <w:tab w:val="left" w:pos="567"/>
        </w:tabs>
        <w:autoSpaceDE w:val="0"/>
        <w:autoSpaceDN w:val="0"/>
        <w:adjustRightInd w:val="0"/>
        <w:spacing w:after="0" w:line="240" w:lineRule="auto"/>
        <w:jc w:val="both"/>
        <w:rPr>
          <w:rFonts w:ascii="Cambria" w:eastAsia="Times New Roman" w:hAnsi="Cambria" w:cs="Times New Roman"/>
          <w:i/>
          <w:sz w:val="20"/>
          <w:szCs w:val="20"/>
        </w:rPr>
      </w:pPr>
    </w:p>
    <w:p w14:paraId="2FBF30D8" w14:textId="672273E8" w:rsidR="00047738" w:rsidRPr="00460297" w:rsidRDefault="00047738" w:rsidP="002B0E38">
      <w:pPr>
        <w:spacing w:after="0" w:line="240" w:lineRule="auto"/>
        <w:jc w:val="both"/>
        <w:rPr>
          <w:rFonts w:ascii="Cambria" w:eastAsia="Times New Roman" w:hAnsi="Cambria" w:cs="Times New Roman"/>
          <w:sz w:val="20"/>
          <w:szCs w:val="20"/>
        </w:rPr>
      </w:pPr>
      <w:r w:rsidRPr="00460297">
        <w:rPr>
          <w:rFonts w:ascii="Cambria" w:hAnsi="Cambria"/>
          <w:sz w:val="20"/>
        </w:rPr>
        <w:t>El número de BCD electrónicos (eBCD) y certificados de reexportación de atún rojo (</w:t>
      </w:r>
      <w:proofErr w:type="spellStart"/>
      <w:r w:rsidRPr="00460297">
        <w:rPr>
          <w:rFonts w:ascii="Cambria" w:hAnsi="Cambria"/>
          <w:sz w:val="20"/>
        </w:rPr>
        <w:t>BFTRC</w:t>
      </w:r>
      <w:proofErr w:type="spellEnd"/>
      <w:r w:rsidRPr="00460297">
        <w:rPr>
          <w:rFonts w:ascii="Cambria" w:hAnsi="Cambria"/>
          <w:sz w:val="20"/>
        </w:rPr>
        <w:t xml:space="preserve">) registrados en el sistema eBCD para el periodo comprendido entre el 1 de octubre de 2024 y el 17 de octubre de 2025 es de 22.939 BCD (17.453 BFT-E y 5.486 BFT-W) y 2.316 </w:t>
      </w:r>
      <w:proofErr w:type="spellStart"/>
      <w:r w:rsidRPr="00460297">
        <w:rPr>
          <w:rFonts w:ascii="Cambria" w:hAnsi="Cambria"/>
          <w:sz w:val="20"/>
        </w:rPr>
        <w:t>BFTRC</w:t>
      </w:r>
      <w:proofErr w:type="spellEnd"/>
      <w:r w:rsidRPr="00460297">
        <w:rPr>
          <w:rFonts w:ascii="Cambria" w:hAnsi="Cambria"/>
          <w:sz w:val="20"/>
        </w:rPr>
        <w:t>.</w:t>
      </w:r>
    </w:p>
    <w:p w14:paraId="5A649842" w14:textId="77777777" w:rsidR="003458F7" w:rsidRPr="00460297" w:rsidRDefault="003458F7" w:rsidP="002B0E38">
      <w:pPr>
        <w:spacing w:after="0" w:line="240" w:lineRule="auto"/>
        <w:jc w:val="both"/>
        <w:rPr>
          <w:rFonts w:ascii="Cambria" w:eastAsia="Times New Roman" w:hAnsi="Cambria" w:cs="Times New Roman"/>
          <w:sz w:val="20"/>
          <w:szCs w:val="20"/>
        </w:rPr>
      </w:pPr>
    </w:p>
    <w:p w14:paraId="16FBB5A9" w14:textId="1A3C72FB" w:rsidR="00047738" w:rsidRPr="00460297" w:rsidRDefault="00047738" w:rsidP="002B0E38">
      <w:pPr>
        <w:spacing w:after="0" w:line="240" w:lineRule="auto"/>
        <w:jc w:val="both"/>
        <w:rPr>
          <w:rFonts w:ascii="Cambria" w:hAnsi="Cambria"/>
          <w:sz w:val="20"/>
        </w:rPr>
      </w:pPr>
      <w:r w:rsidRPr="00460297">
        <w:rPr>
          <w:rFonts w:ascii="Cambria" w:hAnsi="Cambria"/>
          <w:sz w:val="20"/>
        </w:rPr>
        <w:t xml:space="preserve">No se han recibido nuevos </w:t>
      </w:r>
      <w:proofErr w:type="spellStart"/>
      <w:r w:rsidRPr="00460297">
        <w:rPr>
          <w:rFonts w:ascii="Cambria" w:hAnsi="Cambria"/>
          <w:sz w:val="20"/>
        </w:rPr>
        <w:t>BFTRC</w:t>
      </w:r>
      <w:proofErr w:type="spellEnd"/>
      <w:r w:rsidRPr="00460297">
        <w:rPr>
          <w:rFonts w:ascii="Cambria" w:hAnsi="Cambria"/>
          <w:sz w:val="20"/>
        </w:rPr>
        <w:t xml:space="preserve"> desde octubre de 2022.</w:t>
      </w:r>
    </w:p>
    <w:p w14:paraId="7252615B" w14:textId="77777777" w:rsidR="00AB3202" w:rsidRPr="00460297" w:rsidRDefault="00AB3202" w:rsidP="002B0E38">
      <w:pPr>
        <w:spacing w:after="0" w:line="240" w:lineRule="auto"/>
        <w:jc w:val="both"/>
        <w:rPr>
          <w:rFonts w:ascii="Cambria" w:eastAsia="Times New Roman" w:hAnsi="Cambria" w:cs="Times New Roman"/>
          <w:sz w:val="20"/>
          <w:szCs w:val="20"/>
        </w:rPr>
      </w:pPr>
    </w:p>
    <w:p w14:paraId="32F7B6CB" w14:textId="635ABBE7" w:rsidR="006924B3" w:rsidRPr="00460297" w:rsidRDefault="00AB3202" w:rsidP="006924B3">
      <w:pPr>
        <w:spacing w:after="0" w:line="240" w:lineRule="auto"/>
        <w:jc w:val="both"/>
        <w:rPr>
          <w:rFonts w:ascii="Cambria" w:eastAsia="Times New Roman" w:hAnsi="Cambria" w:cs="Times New Roman"/>
          <w:sz w:val="20"/>
          <w:szCs w:val="20"/>
        </w:rPr>
      </w:pPr>
      <w:r w:rsidRPr="00460297">
        <w:rPr>
          <w:rFonts w:ascii="Cambria" w:hAnsi="Cambria"/>
          <w:sz w:val="20"/>
        </w:rPr>
        <w:t>En</w:t>
      </w:r>
      <w:r w:rsidR="006924B3" w:rsidRPr="00460297">
        <w:rPr>
          <w:rFonts w:ascii="Cambria" w:hAnsi="Cambria"/>
          <w:sz w:val="20"/>
        </w:rPr>
        <w:t xml:space="preserve"> 2025 se celebraron dos reuniones del Grupo de trabajo permanente para la mejora de las estadísticas y normas de conservación de ICCAT (CDS WG) (junio); sus informes están disponibles como PWG_403/2025 y PWG_404/2025.</w:t>
      </w:r>
    </w:p>
    <w:p w14:paraId="642C5EA3" w14:textId="77777777" w:rsidR="006924B3" w:rsidRPr="00460297" w:rsidRDefault="006924B3" w:rsidP="006924B3">
      <w:pPr>
        <w:spacing w:after="0" w:line="240" w:lineRule="auto"/>
        <w:jc w:val="both"/>
        <w:rPr>
          <w:rFonts w:ascii="Cambria" w:eastAsia="Times New Roman" w:hAnsi="Cambria" w:cs="Times New Roman"/>
          <w:sz w:val="20"/>
          <w:szCs w:val="20"/>
        </w:rPr>
      </w:pPr>
    </w:p>
    <w:p w14:paraId="15378BB4" w14:textId="77777777" w:rsidR="006924B3" w:rsidRPr="00460297" w:rsidRDefault="006924B3" w:rsidP="00326196">
      <w:pPr>
        <w:spacing w:after="0" w:line="240" w:lineRule="auto"/>
        <w:jc w:val="both"/>
        <w:rPr>
          <w:rFonts w:ascii="Cambria" w:eastAsia="Times New Roman" w:hAnsi="Cambria" w:cs="Times New Roman"/>
          <w:sz w:val="20"/>
          <w:szCs w:val="20"/>
        </w:rPr>
      </w:pPr>
      <w:r w:rsidRPr="00460297">
        <w:rPr>
          <w:rFonts w:ascii="Cambria" w:hAnsi="Cambria"/>
          <w:sz w:val="20"/>
        </w:rPr>
        <w:t xml:space="preserve">La primera reunión, celebrada el 5 de junio, se centró en las cuestiones técnicas del sistema eBCD. Entre otros asuntos relacionados con el sistema eBCD, se abordó la necesidad de una actualización tecnológica de la plataforma eBCD. La segunda reunión, celebrada el 18 de junio, se centró en la ampliación del CDS. </w:t>
      </w:r>
    </w:p>
    <w:p w14:paraId="6B33E8BB" w14:textId="77777777" w:rsidR="003458F7" w:rsidRPr="00460297" w:rsidRDefault="003458F7" w:rsidP="002B0E38">
      <w:pPr>
        <w:spacing w:after="0" w:line="240" w:lineRule="auto"/>
        <w:jc w:val="both"/>
        <w:rPr>
          <w:rFonts w:ascii="Cambria" w:eastAsia="Times New Roman" w:hAnsi="Cambria" w:cs="Times New Roman"/>
          <w:sz w:val="20"/>
          <w:szCs w:val="20"/>
        </w:rPr>
      </w:pPr>
    </w:p>
    <w:p w14:paraId="6BCE3550" w14:textId="77777777" w:rsidR="00323800" w:rsidRPr="00460297" w:rsidRDefault="00323800" w:rsidP="002B0E38">
      <w:pPr>
        <w:spacing w:after="0" w:line="240" w:lineRule="auto"/>
        <w:jc w:val="both"/>
        <w:rPr>
          <w:rFonts w:ascii="Cambria" w:hAnsi="Cambria"/>
          <w:sz w:val="20"/>
          <w:szCs w:val="20"/>
        </w:rPr>
      </w:pPr>
      <w:r w:rsidRPr="00460297">
        <w:rPr>
          <w:rFonts w:ascii="Cambria" w:hAnsi="Cambria"/>
          <w:sz w:val="20"/>
        </w:rPr>
        <w:t>Se pusieron en producción los siguientes desarrollos:</w:t>
      </w:r>
    </w:p>
    <w:p w14:paraId="463737B6" w14:textId="77777777" w:rsidR="002B0E38" w:rsidRPr="00460297" w:rsidRDefault="002B0E38" w:rsidP="002B0E38">
      <w:pPr>
        <w:spacing w:after="0" w:line="240" w:lineRule="auto"/>
        <w:jc w:val="both"/>
        <w:rPr>
          <w:rFonts w:ascii="Cambria" w:hAnsi="Cambria"/>
          <w:sz w:val="20"/>
          <w:szCs w:val="20"/>
        </w:rPr>
      </w:pPr>
    </w:p>
    <w:p w14:paraId="60E03951" w14:textId="7EF94F89" w:rsidR="00323800" w:rsidRPr="00460297" w:rsidRDefault="00323800" w:rsidP="00D72005">
      <w:pPr>
        <w:spacing w:after="0" w:line="240" w:lineRule="auto"/>
        <w:jc w:val="both"/>
        <w:rPr>
          <w:rFonts w:ascii="Cambria" w:hAnsi="Cambria"/>
          <w:sz w:val="20"/>
          <w:szCs w:val="20"/>
        </w:rPr>
      </w:pPr>
      <w:r w:rsidRPr="00460297">
        <w:rPr>
          <w:rFonts w:ascii="Cambria" w:hAnsi="Cambria"/>
          <w:sz w:val="20"/>
        </w:rPr>
        <w:t>Sistema eBCD Versión 1.45 (febrero de 2025):</w:t>
      </w:r>
    </w:p>
    <w:p w14:paraId="7D7E2FA8" w14:textId="77777777" w:rsidR="00D72005" w:rsidRPr="00460297" w:rsidRDefault="00D72005" w:rsidP="00D72005">
      <w:pPr>
        <w:spacing w:after="0" w:line="240" w:lineRule="auto"/>
        <w:jc w:val="both"/>
        <w:rPr>
          <w:rFonts w:ascii="Cambria" w:hAnsi="Cambria"/>
          <w:sz w:val="20"/>
          <w:szCs w:val="20"/>
        </w:rPr>
      </w:pPr>
    </w:p>
    <w:p w14:paraId="1503D0FD" w14:textId="72379E2D" w:rsidR="00323800" w:rsidRPr="00460297" w:rsidRDefault="00323800" w:rsidP="00D72005">
      <w:pPr>
        <w:numPr>
          <w:ilvl w:val="0"/>
          <w:numId w:val="16"/>
        </w:numPr>
        <w:spacing w:after="0" w:line="240" w:lineRule="auto"/>
        <w:ind w:left="851" w:hanging="425"/>
        <w:jc w:val="both"/>
        <w:rPr>
          <w:rFonts w:ascii="Cambria" w:hAnsi="Cambria"/>
          <w:sz w:val="20"/>
          <w:szCs w:val="20"/>
        </w:rPr>
      </w:pPr>
      <w:r w:rsidRPr="00460297">
        <w:rPr>
          <w:rFonts w:ascii="Cambria" w:hAnsi="Cambria"/>
          <w:sz w:val="20"/>
        </w:rPr>
        <w:t>Párrafo 102 de la Rec. 21-08: Programa regional de observadores de ICCAT (</w:t>
      </w:r>
      <w:proofErr w:type="spellStart"/>
      <w:r w:rsidRPr="00460297">
        <w:rPr>
          <w:rFonts w:ascii="Cambria" w:hAnsi="Cambria"/>
          <w:sz w:val="20"/>
        </w:rPr>
        <w:t>ROP</w:t>
      </w:r>
      <w:proofErr w:type="spellEnd"/>
      <w:r w:rsidRPr="00460297">
        <w:rPr>
          <w:rFonts w:ascii="Cambria" w:hAnsi="Cambria"/>
          <w:sz w:val="20"/>
        </w:rPr>
        <w:t>).</w:t>
      </w:r>
    </w:p>
    <w:p w14:paraId="4E75375A" w14:textId="45544E80" w:rsidR="00323800" w:rsidRPr="00460297" w:rsidRDefault="00323800" w:rsidP="00D72005">
      <w:pPr>
        <w:numPr>
          <w:ilvl w:val="0"/>
          <w:numId w:val="16"/>
        </w:numPr>
        <w:spacing w:after="0" w:line="240" w:lineRule="auto"/>
        <w:ind w:left="851" w:hanging="425"/>
        <w:jc w:val="both"/>
        <w:rPr>
          <w:rFonts w:ascii="Cambria" w:hAnsi="Cambria"/>
          <w:sz w:val="20"/>
          <w:szCs w:val="20"/>
        </w:rPr>
      </w:pPr>
      <w:r w:rsidRPr="00460297">
        <w:rPr>
          <w:rFonts w:ascii="Cambria" w:hAnsi="Cambria"/>
          <w:sz w:val="20"/>
        </w:rPr>
        <w:t>Referencia n.º 5.5.5.: Desarrollo de una funcionalidad para permitir la agrupación de peces del mismo pabellón de origen/de la misma operación de pesca conjunta (</w:t>
      </w:r>
      <w:proofErr w:type="spellStart"/>
      <w:r w:rsidRPr="00460297">
        <w:rPr>
          <w:rFonts w:ascii="Cambria" w:hAnsi="Cambria"/>
          <w:sz w:val="20"/>
        </w:rPr>
        <w:t>JFO</w:t>
      </w:r>
      <w:proofErr w:type="spellEnd"/>
      <w:r w:rsidRPr="00460297">
        <w:rPr>
          <w:rFonts w:ascii="Cambria" w:hAnsi="Cambria"/>
          <w:sz w:val="20"/>
        </w:rPr>
        <w:t xml:space="preserve">) </w:t>
      </w:r>
      <w:r w:rsidR="00AB729E" w:rsidRPr="00460297">
        <w:rPr>
          <w:rFonts w:ascii="Cambria" w:hAnsi="Cambria"/>
          <w:sz w:val="20"/>
        </w:rPr>
        <w:t>[</w:t>
      </w:r>
      <w:r w:rsidRPr="00460297">
        <w:rPr>
          <w:rFonts w:ascii="Cambria" w:hAnsi="Cambria"/>
          <w:sz w:val="20"/>
        </w:rPr>
        <w:t>Segunda fase</w:t>
      </w:r>
      <w:r w:rsidR="00AB729E" w:rsidRPr="00460297">
        <w:rPr>
          <w:rFonts w:ascii="Cambria" w:hAnsi="Cambria"/>
          <w:sz w:val="20"/>
        </w:rPr>
        <w:t>].</w:t>
      </w:r>
    </w:p>
    <w:p w14:paraId="01D94F71" w14:textId="1DB30B56" w:rsidR="00323800" w:rsidRPr="00460297" w:rsidRDefault="00323800" w:rsidP="00D72005">
      <w:pPr>
        <w:numPr>
          <w:ilvl w:val="0"/>
          <w:numId w:val="16"/>
        </w:numPr>
        <w:spacing w:after="0" w:line="240" w:lineRule="auto"/>
        <w:ind w:left="851" w:hanging="425"/>
        <w:jc w:val="both"/>
        <w:rPr>
          <w:rFonts w:ascii="Cambria" w:hAnsi="Cambria"/>
          <w:sz w:val="20"/>
          <w:szCs w:val="20"/>
        </w:rPr>
      </w:pPr>
      <w:r w:rsidRPr="00460297">
        <w:rPr>
          <w:rFonts w:ascii="Cambria" w:hAnsi="Cambria"/>
          <w:sz w:val="20"/>
        </w:rPr>
        <w:t>Referencia n.º 3.4.: Comparación interanual de los códigos de las marcas.</w:t>
      </w:r>
    </w:p>
    <w:p w14:paraId="08C94A11" w14:textId="000A1422" w:rsidR="00323800" w:rsidRPr="00460297" w:rsidRDefault="00323800" w:rsidP="00D72005">
      <w:pPr>
        <w:numPr>
          <w:ilvl w:val="0"/>
          <w:numId w:val="16"/>
        </w:numPr>
        <w:spacing w:after="0" w:line="240" w:lineRule="auto"/>
        <w:ind w:left="851" w:hanging="425"/>
        <w:jc w:val="both"/>
        <w:rPr>
          <w:rFonts w:ascii="Cambria" w:hAnsi="Cambria"/>
          <w:sz w:val="20"/>
          <w:szCs w:val="20"/>
        </w:rPr>
      </w:pPr>
      <w:r w:rsidRPr="00460297">
        <w:rPr>
          <w:rFonts w:ascii="Cambria" w:hAnsi="Cambria"/>
          <w:sz w:val="20"/>
        </w:rPr>
        <w:t>Referencia n.º 5.5.6.: Mortalidad durante el viaje de remolque.</w:t>
      </w:r>
    </w:p>
    <w:p w14:paraId="2D2B2181" w14:textId="019EFB6A" w:rsidR="00323800" w:rsidRPr="00460297" w:rsidRDefault="00323800" w:rsidP="00D72005">
      <w:pPr>
        <w:numPr>
          <w:ilvl w:val="0"/>
          <w:numId w:val="16"/>
        </w:numPr>
        <w:spacing w:after="0" w:line="240" w:lineRule="auto"/>
        <w:ind w:left="851" w:hanging="425"/>
        <w:rPr>
          <w:rFonts w:ascii="Cambria" w:hAnsi="Cambria"/>
          <w:sz w:val="20"/>
          <w:szCs w:val="20"/>
        </w:rPr>
      </w:pPr>
      <w:r w:rsidRPr="00460297">
        <w:rPr>
          <w:rFonts w:ascii="Cambria" w:hAnsi="Cambria"/>
          <w:sz w:val="20"/>
        </w:rPr>
        <w:t>“Ayuda contextual” para la presentación de productos.</w:t>
      </w:r>
    </w:p>
    <w:p w14:paraId="6AB12C97" w14:textId="77777777" w:rsidR="00323800" w:rsidRPr="00460297" w:rsidRDefault="00323800" w:rsidP="002B0E38">
      <w:pPr>
        <w:spacing w:after="0" w:line="240" w:lineRule="auto"/>
        <w:jc w:val="center"/>
        <w:rPr>
          <w:rFonts w:ascii="Cambria" w:hAnsi="Cambria"/>
          <w:sz w:val="20"/>
          <w:szCs w:val="20"/>
        </w:rPr>
      </w:pPr>
    </w:p>
    <w:p w14:paraId="2A088C8A" w14:textId="39C7801A" w:rsidR="00323800" w:rsidRPr="00460297" w:rsidRDefault="00323800" w:rsidP="002B0E38">
      <w:pPr>
        <w:spacing w:after="0" w:line="240" w:lineRule="auto"/>
        <w:rPr>
          <w:rFonts w:ascii="Cambria" w:hAnsi="Cambria"/>
          <w:sz w:val="20"/>
          <w:szCs w:val="20"/>
        </w:rPr>
      </w:pPr>
      <w:r w:rsidRPr="00460297">
        <w:rPr>
          <w:rFonts w:ascii="Cambria" w:hAnsi="Cambria"/>
          <w:sz w:val="20"/>
        </w:rPr>
        <w:t xml:space="preserve">La última actualización del sistema eBCD (versión 1.45) se publicó el 11 de febrero de 2025, como se indica en el sitio web eBCD de ICCAT, </w:t>
      </w:r>
      <w:hyperlink r:id="rId12" w:history="1">
        <w:r w:rsidRPr="00460297">
          <w:rPr>
            <w:rStyle w:val="Hyperlink"/>
            <w:rFonts w:ascii="Cambria" w:hAnsi="Cambria"/>
            <w:sz w:val="20"/>
            <w:u w:val="none"/>
          </w:rPr>
          <w:t>https://etuna.iccat.int</w:t>
        </w:r>
      </w:hyperlink>
      <w:r w:rsidRPr="00460297">
        <w:rPr>
          <w:rFonts w:ascii="Cambria" w:hAnsi="Cambria"/>
          <w:sz w:val="20"/>
        </w:rPr>
        <w:t>, en el apartado "Ver novedades".</w:t>
      </w:r>
    </w:p>
    <w:p w14:paraId="73390F69" w14:textId="77777777" w:rsidR="00462689" w:rsidRPr="00460297" w:rsidRDefault="00462689" w:rsidP="002B0E38">
      <w:pPr>
        <w:tabs>
          <w:tab w:val="left" w:pos="300"/>
          <w:tab w:val="left" w:pos="700"/>
        </w:tabs>
        <w:spacing w:after="0" w:line="240" w:lineRule="auto"/>
        <w:jc w:val="both"/>
        <w:rPr>
          <w:rFonts w:ascii="Cambria" w:eastAsia="Times New Roman" w:hAnsi="Cambria" w:cs="Times New Roman"/>
          <w:sz w:val="20"/>
          <w:szCs w:val="20"/>
        </w:rPr>
      </w:pPr>
    </w:p>
    <w:p w14:paraId="7441CBFA" w14:textId="77777777" w:rsidR="003759E2" w:rsidRPr="00460297" w:rsidRDefault="003759E2" w:rsidP="002B0E38">
      <w:pPr>
        <w:tabs>
          <w:tab w:val="left" w:pos="300"/>
          <w:tab w:val="left" w:pos="700"/>
        </w:tabs>
        <w:spacing w:after="0" w:line="240" w:lineRule="auto"/>
        <w:jc w:val="both"/>
        <w:rPr>
          <w:rFonts w:ascii="Cambria" w:eastAsia="Times New Roman" w:hAnsi="Cambria" w:cs="Times New Roman"/>
          <w:sz w:val="20"/>
          <w:szCs w:val="20"/>
        </w:rPr>
      </w:pPr>
    </w:p>
    <w:p w14:paraId="34F3643A" w14:textId="16193F1F" w:rsidR="00D15C24" w:rsidRPr="00460297" w:rsidRDefault="000B75D9" w:rsidP="002B0E38">
      <w:pPr>
        <w:tabs>
          <w:tab w:val="left" w:pos="426"/>
        </w:tabs>
        <w:spacing w:after="0" w:line="240" w:lineRule="auto"/>
        <w:rPr>
          <w:rFonts w:ascii="Cambria" w:eastAsia="Times New Roman" w:hAnsi="Cambria" w:cs="Times New Roman"/>
          <w:b/>
          <w:sz w:val="20"/>
          <w:szCs w:val="20"/>
        </w:rPr>
      </w:pPr>
      <w:r w:rsidRPr="00460297">
        <w:rPr>
          <w:rFonts w:ascii="Cambria" w:hAnsi="Cambria"/>
          <w:b/>
          <w:sz w:val="20"/>
        </w:rPr>
        <w:t xml:space="preserve">3. </w:t>
      </w:r>
      <w:r w:rsidRPr="00460297">
        <w:rPr>
          <w:rFonts w:ascii="Cambria" w:hAnsi="Cambria"/>
          <w:b/>
          <w:sz w:val="20"/>
        </w:rPr>
        <w:tab/>
        <w:t>Programas de observadores</w:t>
      </w:r>
    </w:p>
    <w:p w14:paraId="16E90C8D" w14:textId="77777777" w:rsidR="00D15C24" w:rsidRPr="00460297" w:rsidRDefault="00D15C24" w:rsidP="002B0E38">
      <w:pPr>
        <w:tabs>
          <w:tab w:val="left" w:pos="567"/>
          <w:tab w:val="left" w:pos="700"/>
        </w:tabs>
        <w:spacing w:after="0" w:line="240" w:lineRule="auto"/>
        <w:jc w:val="both"/>
        <w:rPr>
          <w:rFonts w:ascii="Cambria" w:eastAsia="Times New Roman" w:hAnsi="Cambria" w:cs="Times New Roman"/>
          <w:b/>
          <w:sz w:val="20"/>
          <w:szCs w:val="20"/>
        </w:rPr>
      </w:pPr>
    </w:p>
    <w:p w14:paraId="682E70F4" w14:textId="76C3146C" w:rsidR="00F34B1F" w:rsidRPr="00460297" w:rsidRDefault="00F34B1F" w:rsidP="002B0E38">
      <w:pPr>
        <w:tabs>
          <w:tab w:val="left" w:pos="567"/>
          <w:tab w:val="left" w:pos="700"/>
        </w:tabs>
        <w:spacing w:after="0" w:line="240" w:lineRule="auto"/>
        <w:jc w:val="both"/>
        <w:rPr>
          <w:rFonts w:ascii="Cambria" w:eastAsia="Times New Roman" w:hAnsi="Cambria" w:cs="Times New Roman"/>
          <w:b/>
          <w:i/>
          <w:iCs/>
          <w:sz w:val="20"/>
          <w:szCs w:val="20"/>
        </w:rPr>
      </w:pPr>
      <w:r w:rsidRPr="00460297">
        <w:rPr>
          <w:rFonts w:ascii="Cambria" w:hAnsi="Cambria"/>
          <w:b/>
          <w:i/>
          <w:sz w:val="20"/>
        </w:rPr>
        <w:t>Programas regionales de observadores de ICCAT</w:t>
      </w:r>
    </w:p>
    <w:p w14:paraId="1AFAA038" w14:textId="77777777" w:rsidR="00AB5A4C" w:rsidRPr="00460297" w:rsidRDefault="00AB5A4C" w:rsidP="002B0E38">
      <w:pPr>
        <w:spacing w:after="0" w:line="240" w:lineRule="auto"/>
        <w:jc w:val="both"/>
        <w:rPr>
          <w:rFonts w:ascii="Cambria" w:eastAsia="Calibri" w:hAnsi="Cambria" w:cs="Times New Roman"/>
          <w:sz w:val="20"/>
          <w:szCs w:val="20"/>
        </w:rPr>
      </w:pPr>
      <w:bookmarkStart w:id="5" w:name="_Hlk22127990"/>
      <w:bookmarkStart w:id="6" w:name="_Hlk22127956"/>
    </w:p>
    <w:p w14:paraId="1820E7A8" w14:textId="36D6E919" w:rsidR="00654E0D" w:rsidRPr="00460297" w:rsidRDefault="00770100" w:rsidP="002B0E38">
      <w:pPr>
        <w:spacing w:after="0" w:line="240" w:lineRule="auto"/>
        <w:jc w:val="both"/>
        <w:rPr>
          <w:rFonts w:ascii="Cambria" w:eastAsia="Calibri" w:hAnsi="Cambria" w:cs="Times New Roman"/>
          <w:sz w:val="20"/>
          <w:szCs w:val="20"/>
        </w:rPr>
      </w:pPr>
      <w:r w:rsidRPr="00460297">
        <w:rPr>
          <w:rFonts w:ascii="Cambria" w:hAnsi="Cambria"/>
          <w:sz w:val="20"/>
        </w:rPr>
        <w:t>En el documento PWG_402/2025 se incluye el "Informe sobre la implementación del Programa regional de observadores de ICCAT (</w:t>
      </w:r>
      <w:proofErr w:type="spellStart"/>
      <w:r w:rsidRPr="00460297">
        <w:rPr>
          <w:rFonts w:ascii="Cambria" w:hAnsi="Cambria"/>
          <w:sz w:val="20"/>
        </w:rPr>
        <w:t>ROP</w:t>
      </w:r>
      <w:proofErr w:type="spellEnd"/>
      <w:r w:rsidRPr="00460297">
        <w:rPr>
          <w:rFonts w:ascii="Cambria" w:hAnsi="Cambria"/>
          <w:sz w:val="20"/>
        </w:rPr>
        <w:t>) para el transbordo 2024/2025", y en el documento PA2_601/2025 un "Informe sobre la implementación del programa regional de observadores de ICCAT para el atún rojo del Atlántico este y Mediterráneo (</w:t>
      </w:r>
      <w:proofErr w:type="spellStart"/>
      <w:r w:rsidRPr="00460297">
        <w:rPr>
          <w:rFonts w:ascii="Cambria" w:hAnsi="Cambria"/>
          <w:sz w:val="20"/>
        </w:rPr>
        <w:t>ROP</w:t>
      </w:r>
      <w:proofErr w:type="spellEnd"/>
      <w:r w:rsidRPr="00460297">
        <w:rPr>
          <w:rFonts w:ascii="Cambria" w:hAnsi="Cambria"/>
          <w:sz w:val="20"/>
        </w:rPr>
        <w:t>-BFT)".</w:t>
      </w:r>
    </w:p>
    <w:p w14:paraId="2EF2CFD6" w14:textId="77777777" w:rsidR="00654E0D" w:rsidRPr="00460297" w:rsidRDefault="00654E0D" w:rsidP="002B0E38">
      <w:pPr>
        <w:tabs>
          <w:tab w:val="left" w:pos="300"/>
          <w:tab w:val="left" w:pos="700"/>
        </w:tabs>
        <w:spacing w:after="0" w:line="240" w:lineRule="auto"/>
        <w:jc w:val="both"/>
        <w:rPr>
          <w:rFonts w:ascii="Cambria" w:eastAsia="Calibri" w:hAnsi="Cambria" w:cs="Times New Roman"/>
          <w:sz w:val="20"/>
          <w:szCs w:val="20"/>
        </w:rPr>
      </w:pPr>
    </w:p>
    <w:p w14:paraId="11D1C099" w14:textId="2B31F4F4" w:rsidR="00C15493" w:rsidRPr="00460297" w:rsidRDefault="00C15493" w:rsidP="002B0E38">
      <w:pPr>
        <w:tabs>
          <w:tab w:val="left" w:pos="567"/>
          <w:tab w:val="left" w:pos="700"/>
        </w:tabs>
        <w:spacing w:after="0" w:line="240" w:lineRule="auto"/>
        <w:jc w:val="both"/>
        <w:rPr>
          <w:rFonts w:ascii="Cambria" w:eastAsia="Calibri" w:hAnsi="Cambria" w:cs="Times New Roman"/>
          <w:b/>
          <w:bCs/>
          <w:i/>
          <w:iCs/>
          <w:sz w:val="20"/>
          <w:szCs w:val="20"/>
        </w:rPr>
      </w:pPr>
      <w:r w:rsidRPr="00460297">
        <w:rPr>
          <w:rFonts w:ascii="Cambria" w:hAnsi="Cambria"/>
          <w:b/>
          <w:i/>
          <w:sz w:val="20"/>
        </w:rPr>
        <w:t>Programas internos/nacionales</w:t>
      </w:r>
      <w:r w:rsidR="00AB729E" w:rsidRPr="00460297">
        <w:rPr>
          <w:rFonts w:ascii="Cambria" w:hAnsi="Cambria"/>
          <w:b/>
          <w:i/>
          <w:sz w:val="20"/>
        </w:rPr>
        <w:t xml:space="preserve"> de observadores</w:t>
      </w:r>
    </w:p>
    <w:p w14:paraId="36D672F7" w14:textId="77777777" w:rsidR="00C15493" w:rsidRPr="00460297" w:rsidRDefault="00C15493" w:rsidP="002B0E38">
      <w:pPr>
        <w:tabs>
          <w:tab w:val="left" w:pos="567"/>
          <w:tab w:val="left" w:pos="700"/>
        </w:tabs>
        <w:spacing w:after="0" w:line="240" w:lineRule="auto"/>
        <w:jc w:val="both"/>
        <w:rPr>
          <w:rFonts w:ascii="Cambria" w:eastAsia="Calibri" w:hAnsi="Cambria" w:cs="Times New Roman"/>
          <w:sz w:val="20"/>
          <w:szCs w:val="20"/>
        </w:rPr>
      </w:pPr>
    </w:p>
    <w:p w14:paraId="5C054F36" w14:textId="6FA19129" w:rsidR="00C15493" w:rsidRPr="00460297" w:rsidRDefault="00C15493" w:rsidP="002B0E38">
      <w:pPr>
        <w:tabs>
          <w:tab w:val="left" w:pos="567"/>
          <w:tab w:val="left" w:pos="700"/>
        </w:tabs>
        <w:spacing w:after="0" w:line="240" w:lineRule="auto"/>
        <w:jc w:val="both"/>
        <w:rPr>
          <w:rFonts w:ascii="Cambria" w:eastAsia="Calibri" w:hAnsi="Cambria" w:cs="Times New Roman"/>
          <w:sz w:val="20"/>
          <w:szCs w:val="20"/>
        </w:rPr>
      </w:pPr>
      <w:r w:rsidRPr="00460297">
        <w:rPr>
          <w:rFonts w:ascii="Cambria" w:hAnsi="Cambria"/>
          <w:sz w:val="20"/>
        </w:rPr>
        <w:t>Actualmente se requieren observadores nacionales en ciertos porcentajes de buques de captura de atún rojo del Atlántico este y Mediterráneo (distintos de los cerqueros) y en todos los remolcadores y almadrabas de atún rojo</w:t>
      </w:r>
      <w:r w:rsidR="00AB729E" w:rsidRPr="00460297">
        <w:rPr>
          <w:rFonts w:ascii="Cambria" w:hAnsi="Cambria"/>
          <w:sz w:val="20"/>
        </w:rPr>
        <w:t xml:space="preserve"> </w:t>
      </w:r>
      <w:r w:rsidRPr="00460297">
        <w:rPr>
          <w:rFonts w:ascii="Cambria" w:hAnsi="Cambria"/>
          <w:sz w:val="20"/>
        </w:rPr>
        <w:t>(</w:t>
      </w:r>
      <w:hyperlink r:id="rId13" w:history="1">
        <w:r w:rsidRPr="00460297">
          <w:rPr>
            <w:rStyle w:val="Hyperlink"/>
            <w:rFonts w:ascii="Cambria" w:hAnsi="Cambria"/>
            <w:sz w:val="20"/>
            <w:u w:val="none"/>
          </w:rPr>
          <w:t>Rec. 24-05</w:t>
        </w:r>
      </w:hyperlink>
      <w:r w:rsidRPr="00460297">
        <w:rPr>
          <w:rFonts w:ascii="Cambria" w:hAnsi="Cambria"/>
          <w:sz w:val="20"/>
        </w:rPr>
        <w:t>), así como en los buques de túnidos tropicales que pescan en el golfo de Guinea durante la veda de DCP (</w:t>
      </w:r>
      <w:hyperlink r:id="rId14" w:history="1">
        <w:r w:rsidRPr="00460297">
          <w:rPr>
            <w:rStyle w:val="Hyperlink"/>
            <w:rFonts w:ascii="Cambria" w:hAnsi="Cambria"/>
            <w:sz w:val="20"/>
            <w:u w:val="none"/>
          </w:rPr>
          <w:t>Rec. 24-01</w:t>
        </w:r>
      </w:hyperlink>
      <w:r w:rsidRPr="00460297">
        <w:rPr>
          <w:rFonts w:ascii="Cambria" w:hAnsi="Cambria"/>
          <w:sz w:val="20"/>
        </w:rPr>
        <w:t xml:space="preserve">) para fines de cumplimiento. No se ha desarrollado un formato específico para la información recopilada aparte de los formularios de datos estadísticos estándar. </w:t>
      </w:r>
    </w:p>
    <w:p w14:paraId="52BCB085" w14:textId="77777777" w:rsidR="00C15493" w:rsidRPr="00460297" w:rsidRDefault="00C15493" w:rsidP="002B0E38">
      <w:pPr>
        <w:tabs>
          <w:tab w:val="left" w:pos="567"/>
          <w:tab w:val="left" w:pos="700"/>
        </w:tabs>
        <w:spacing w:after="0" w:line="240" w:lineRule="auto"/>
        <w:jc w:val="both"/>
        <w:rPr>
          <w:rFonts w:ascii="Cambria" w:eastAsia="Calibri" w:hAnsi="Cambria" w:cs="Times New Roman"/>
          <w:sz w:val="20"/>
          <w:szCs w:val="20"/>
        </w:rPr>
      </w:pPr>
    </w:p>
    <w:p w14:paraId="2BCCB95B" w14:textId="2926E832" w:rsidR="00C15493" w:rsidRPr="00460297" w:rsidRDefault="00C15493" w:rsidP="002B0E38">
      <w:pPr>
        <w:spacing w:after="0" w:line="240" w:lineRule="auto"/>
        <w:jc w:val="both"/>
        <w:rPr>
          <w:rFonts w:ascii="Cambria" w:eastAsia="Calibri" w:hAnsi="Cambria" w:cs="Times New Roman"/>
          <w:b/>
          <w:bCs/>
          <w:sz w:val="20"/>
          <w:szCs w:val="20"/>
        </w:rPr>
      </w:pPr>
      <w:r w:rsidRPr="00460297">
        <w:rPr>
          <w:rFonts w:ascii="Cambria" w:hAnsi="Cambria"/>
          <w:sz w:val="20"/>
        </w:rPr>
        <w:t xml:space="preserve">La </w:t>
      </w:r>
      <w:hyperlink r:id="rId15" w:history="1">
        <w:r w:rsidRPr="00460297">
          <w:rPr>
            <w:rStyle w:val="Hyperlink"/>
            <w:rFonts w:ascii="Cambria" w:hAnsi="Cambria"/>
            <w:i/>
            <w:iCs/>
            <w:sz w:val="20"/>
            <w:u w:val="none"/>
          </w:rPr>
          <w:t>Recomendación de ICCAT sobre el establecimiento de normas mínimas para los programas de observadores científicos de los buques pesqueros</w:t>
        </w:r>
        <w:r w:rsidRPr="00460297">
          <w:rPr>
            <w:rStyle w:val="Hyperlink"/>
            <w:rFonts w:ascii="Cambria" w:hAnsi="Cambria"/>
            <w:sz w:val="20"/>
            <w:u w:val="none"/>
          </w:rPr>
          <w:t xml:space="preserve"> (Rec. 16-14)</w:t>
        </w:r>
      </w:hyperlink>
      <w:r w:rsidRPr="00460297">
        <w:rPr>
          <w:rFonts w:ascii="Cambria" w:hAnsi="Cambria"/>
          <w:sz w:val="20"/>
        </w:rPr>
        <w:t xml:space="preserve"> requiere la presentación de cierta información; en el documento COC_318/2025 se resume la información recibida por la Secretaría de ICCAT.</w:t>
      </w:r>
    </w:p>
    <w:p w14:paraId="2C679F30" w14:textId="2D591C73" w:rsidR="00D15C24" w:rsidRPr="00460297" w:rsidRDefault="00D15C24" w:rsidP="002B0E38">
      <w:pPr>
        <w:tabs>
          <w:tab w:val="left" w:pos="567"/>
          <w:tab w:val="left" w:pos="700"/>
        </w:tabs>
        <w:spacing w:after="0" w:line="240" w:lineRule="auto"/>
        <w:jc w:val="both"/>
        <w:rPr>
          <w:rFonts w:ascii="Cambria" w:eastAsia="Calibri" w:hAnsi="Cambria" w:cs="Times New Roman"/>
          <w:sz w:val="20"/>
          <w:szCs w:val="20"/>
        </w:rPr>
      </w:pPr>
    </w:p>
    <w:p w14:paraId="4EA524EB" w14:textId="77777777" w:rsidR="009D754A" w:rsidRPr="00460297" w:rsidRDefault="009D754A" w:rsidP="002B0E38">
      <w:pPr>
        <w:tabs>
          <w:tab w:val="left" w:pos="567"/>
          <w:tab w:val="left" w:pos="700"/>
        </w:tabs>
        <w:spacing w:after="0" w:line="240" w:lineRule="auto"/>
        <w:jc w:val="both"/>
        <w:rPr>
          <w:rFonts w:ascii="Cambria" w:eastAsia="Calibri" w:hAnsi="Cambria" w:cs="Times New Roman"/>
          <w:sz w:val="20"/>
          <w:szCs w:val="20"/>
        </w:rPr>
      </w:pPr>
    </w:p>
    <w:bookmarkEnd w:id="5"/>
    <w:bookmarkEnd w:id="6"/>
    <w:p w14:paraId="31BB62E5" w14:textId="2830E2B1" w:rsidR="00F34B1F" w:rsidRPr="00460297"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460297">
        <w:rPr>
          <w:rFonts w:ascii="Cambria" w:hAnsi="Cambria"/>
          <w:b/>
          <w:sz w:val="20"/>
        </w:rPr>
        <w:t>4.</w:t>
      </w:r>
      <w:r w:rsidRPr="00460297">
        <w:rPr>
          <w:rFonts w:ascii="Cambria" w:hAnsi="Cambria"/>
          <w:b/>
          <w:sz w:val="20"/>
        </w:rPr>
        <w:tab/>
        <w:t>Requisitos de los transbordos en puerto y en mar</w:t>
      </w:r>
    </w:p>
    <w:p w14:paraId="7CCDCB2C" w14:textId="77777777" w:rsidR="00F34B1F" w:rsidRPr="00460297" w:rsidRDefault="00F34B1F" w:rsidP="002B0E38">
      <w:pPr>
        <w:tabs>
          <w:tab w:val="left" w:pos="300"/>
          <w:tab w:val="left" w:pos="700"/>
        </w:tabs>
        <w:spacing w:after="0" w:line="240" w:lineRule="auto"/>
        <w:jc w:val="both"/>
        <w:rPr>
          <w:rFonts w:ascii="Cambria" w:eastAsia="Times New Roman" w:hAnsi="Cambria" w:cs="Times New Roman"/>
          <w:sz w:val="20"/>
          <w:szCs w:val="20"/>
        </w:rPr>
      </w:pPr>
    </w:p>
    <w:p w14:paraId="52819F2F" w14:textId="27A99DB1" w:rsidR="00C15493" w:rsidRPr="00460297" w:rsidRDefault="00C15493" w:rsidP="002B0E38">
      <w:pPr>
        <w:autoSpaceDE w:val="0"/>
        <w:autoSpaceDN w:val="0"/>
        <w:adjustRightInd w:val="0"/>
        <w:spacing w:after="0" w:line="240" w:lineRule="auto"/>
        <w:jc w:val="both"/>
        <w:rPr>
          <w:rFonts w:ascii="Cambria" w:eastAsia="Calibri" w:hAnsi="Cambria" w:cs="Times New Roman"/>
          <w:sz w:val="20"/>
          <w:szCs w:val="20"/>
        </w:rPr>
      </w:pPr>
      <w:r w:rsidRPr="00460297">
        <w:rPr>
          <w:rFonts w:ascii="Cambria" w:hAnsi="Cambria"/>
          <w:sz w:val="20"/>
        </w:rPr>
        <w:t xml:space="preserve">Véase el  PWG_402/2025, citado antes. Los informes sobre transbordo (en el mar y en puerto) de las CPC se han publicado en un sitio de la página web protegido con contraseña, junto con los informes exhaustivos que evalúan el contenido y las conclusiones de los informes de observadores.  </w:t>
      </w:r>
    </w:p>
    <w:p w14:paraId="25CC9DE3" w14:textId="35D1CD9B" w:rsidR="00AE7EF5" w:rsidRPr="00460297" w:rsidRDefault="00AE7EF5">
      <w:pPr>
        <w:rPr>
          <w:rFonts w:ascii="Cambria" w:eastAsia="Times New Roman" w:hAnsi="Cambria" w:cs="Times New Roman"/>
          <w:b/>
          <w:sz w:val="20"/>
          <w:szCs w:val="20"/>
        </w:rPr>
      </w:pPr>
      <w:r w:rsidRPr="00460297">
        <w:br w:type="page"/>
      </w:r>
    </w:p>
    <w:p w14:paraId="39611331" w14:textId="3554BDB7" w:rsidR="00F34B1F" w:rsidRPr="00460297"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460297">
        <w:rPr>
          <w:rFonts w:ascii="Cambria" w:hAnsi="Cambria"/>
          <w:b/>
          <w:sz w:val="20"/>
        </w:rPr>
        <w:lastRenderedPageBreak/>
        <w:t>5.</w:t>
      </w:r>
      <w:r w:rsidRPr="00460297">
        <w:rPr>
          <w:rFonts w:ascii="Cambria" w:hAnsi="Cambria"/>
          <w:b/>
          <w:sz w:val="20"/>
        </w:rPr>
        <w:tab/>
        <w:t>Normas de los acuerdos de fletamento y otros acuerdos pesqueros</w:t>
      </w:r>
    </w:p>
    <w:p w14:paraId="74F562A2" w14:textId="77777777" w:rsidR="003105FD" w:rsidRPr="00460297" w:rsidRDefault="003105FD" w:rsidP="002B0E38">
      <w:pPr>
        <w:tabs>
          <w:tab w:val="left" w:pos="300"/>
          <w:tab w:val="left" w:pos="700"/>
        </w:tabs>
        <w:spacing w:after="0" w:line="240" w:lineRule="auto"/>
        <w:jc w:val="both"/>
        <w:rPr>
          <w:rFonts w:ascii="Cambria" w:eastAsia="Times New Roman" w:hAnsi="Cambria" w:cs="Times New Roman"/>
          <w:b/>
          <w:sz w:val="20"/>
          <w:szCs w:val="20"/>
        </w:rPr>
      </w:pPr>
    </w:p>
    <w:p w14:paraId="464754D2" w14:textId="1AE936BC" w:rsidR="007E6493" w:rsidRPr="00460297" w:rsidRDefault="00F47B40" w:rsidP="002B0E38">
      <w:pPr>
        <w:tabs>
          <w:tab w:val="left" w:pos="300"/>
          <w:tab w:val="left" w:pos="700"/>
        </w:tabs>
        <w:spacing w:after="0" w:line="240" w:lineRule="auto"/>
        <w:jc w:val="both"/>
        <w:rPr>
          <w:rFonts w:ascii="Cambria" w:eastAsia="Calibri" w:hAnsi="Cambria" w:cs="Times New Roman"/>
          <w:sz w:val="20"/>
          <w:szCs w:val="20"/>
        </w:rPr>
      </w:pPr>
      <w:r w:rsidRPr="00460297">
        <w:rPr>
          <w:rFonts w:ascii="Cambria" w:hAnsi="Cambria"/>
          <w:sz w:val="20"/>
        </w:rPr>
        <w:t>Los informes resumidos sobre fletamento presentados en 2025 por Namibia figuran en el Apéndice 2 del "Informe de la Secretaría al Comité de cumplimiento de las medidas de conservación y ordenación de ICCAT" [COC_303/2025].</w:t>
      </w:r>
    </w:p>
    <w:p w14:paraId="4D87E059" w14:textId="77777777" w:rsidR="00207ED6" w:rsidRPr="00460297" w:rsidRDefault="00207ED6" w:rsidP="002B0E38">
      <w:pPr>
        <w:tabs>
          <w:tab w:val="left" w:pos="300"/>
          <w:tab w:val="left" w:pos="700"/>
        </w:tabs>
        <w:spacing w:after="0" w:line="240" w:lineRule="auto"/>
        <w:jc w:val="both"/>
        <w:rPr>
          <w:rFonts w:ascii="Cambria" w:eastAsia="Calibri" w:hAnsi="Cambria" w:cs="Times New Roman"/>
          <w:sz w:val="20"/>
          <w:szCs w:val="20"/>
        </w:rPr>
      </w:pPr>
    </w:p>
    <w:p w14:paraId="12A712CA" w14:textId="0E36981A" w:rsidR="007E6493" w:rsidRPr="00460297" w:rsidRDefault="007E6493" w:rsidP="002B0E38">
      <w:pPr>
        <w:tabs>
          <w:tab w:val="left" w:pos="300"/>
          <w:tab w:val="left" w:pos="700"/>
        </w:tabs>
        <w:spacing w:after="0" w:line="240" w:lineRule="auto"/>
        <w:jc w:val="both"/>
        <w:rPr>
          <w:rFonts w:ascii="Cambria" w:eastAsia="Calibri" w:hAnsi="Cambria" w:cs="Times New Roman"/>
          <w:sz w:val="20"/>
          <w:szCs w:val="20"/>
        </w:rPr>
      </w:pPr>
      <w:r w:rsidRPr="00460297">
        <w:rPr>
          <w:rFonts w:ascii="Cambria" w:hAnsi="Cambria"/>
          <w:sz w:val="20"/>
        </w:rPr>
        <w:t xml:space="preserve">La información sobre acuerdos de fletamento recibida por la Secretaría de conformidad con el párrafo 13 de la </w:t>
      </w:r>
      <w:hyperlink r:id="rId16" w:history="1">
        <w:r w:rsidRPr="00460297">
          <w:rPr>
            <w:rStyle w:val="Hyperlink"/>
            <w:rFonts w:ascii="Cambria" w:hAnsi="Cambria"/>
            <w:sz w:val="20"/>
            <w:u w:val="none"/>
          </w:rPr>
          <w:t>Rec. 13-14</w:t>
        </w:r>
      </w:hyperlink>
      <w:r w:rsidRPr="00460297">
        <w:rPr>
          <w:rFonts w:ascii="Cambria" w:hAnsi="Cambria"/>
          <w:sz w:val="20"/>
        </w:rPr>
        <w:t xml:space="preserve"> se presenta en la Tabla 10 del </w:t>
      </w:r>
      <w:r w:rsidR="00D82550" w:rsidRPr="00460297">
        <w:rPr>
          <w:rFonts w:ascii="Cambria" w:hAnsi="Cambria"/>
          <w:sz w:val="20"/>
        </w:rPr>
        <w:t>"Informe de la Secretaría al Comité de cumplimiento de las medidas de conservación y ordenación de ICCAT"</w:t>
      </w:r>
      <w:r w:rsidRPr="00460297">
        <w:rPr>
          <w:rFonts w:ascii="Cambria" w:hAnsi="Cambria"/>
          <w:sz w:val="20"/>
        </w:rPr>
        <w:t xml:space="preserve"> [COC_303/2025].</w:t>
      </w:r>
    </w:p>
    <w:p w14:paraId="2E889B36" w14:textId="77777777" w:rsidR="007E6493" w:rsidRPr="00460297" w:rsidRDefault="007E6493" w:rsidP="002B0E38">
      <w:pPr>
        <w:tabs>
          <w:tab w:val="left" w:pos="300"/>
          <w:tab w:val="left" w:pos="700"/>
        </w:tabs>
        <w:spacing w:after="0" w:line="240" w:lineRule="auto"/>
        <w:jc w:val="both"/>
        <w:rPr>
          <w:rFonts w:ascii="Cambria" w:eastAsia="Calibri" w:hAnsi="Cambria" w:cs="Times New Roman"/>
          <w:sz w:val="20"/>
          <w:szCs w:val="20"/>
        </w:rPr>
      </w:pPr>
    </w:p>
    <w:p w14:paraId="49B73990" w14:textId="762793B1" w:rsidR="007E6493" w:rsidRPr="00460297" w:rsidRDefault="007E6493" w:rsidP="002B0E38">
      <w:pPr>
        <w:autoSpaceDE w:val="0"/>
        <w:autoSpaceDN w:val="0"/>
        <w:adjustRightInd w:val="0"/>
        <w:spacing w:after="0" w:line="240" w:lineRule="auto"/>
        <w:jc w:val="both"/>
        <w:rPr>
          <w:rFonts w:ascii="Cambria" w:eastAsia="Calibri" w:hAnsi="Cambria" w:cs="Times New Roman"/>
          <w:sz w:val="20"/>
          <w:szCs w:val="20"/>
        </w:rPr>
      </w:pPr>
      <w:r w:rsidRPr="00460297">
        <w:rPr>
          <w:rFonts w:ascii="Cambria" w:hAnsi="Cambria"/>
          <w:sz w:val="20"/>
        </w:rPr>
        <w:t xml:space="preserve">De conformidad con la </w:t>
      </w:r>
      <w:hyperlink r:id="rId17" w:history="1">
        <w:r w:rsidRPr="00460297">
          <w:rPr>
            <w:rStyle w:val="Hyperlink"/>
            <w:rFonts w:ascii="Cambria" w:hAnsi="Cambria"/>
            <w:sz w:val="20"/>
            <w:u w:val="none"/>
          </w:rPr>
          <w:t>Rec. 14-07</w:t>
        </w:r>
      </w:hyperlink>
      <w:r w:rsidRPr="00460297">
        <w:rPr>
          <w:rFonts w:ascii="Cambria" w:hAnsi="Cambria"/>
          <w:sz w:val="20"/>
        </w:rPr>
        <w:t xml:space="preserve">, el resumen de los acuerdos de acceso comunicados por las CPC está disponible en el Anexo 6 del </w:t>
      </w:r>
      <w:r w:rsidR="00D82550" w:rsidRPr="00460297">
        <w:rPr>
          <w:rFonts w:ascii="Cambria" w:hAnsi="Cambria"/>
          <w:sz w:val="20"/>
        </w:rPr>
        <w:t>"Informe de la Secretaría al Comité de cumplimiento de las medidas de conservación y ordenación de ICCAT"</w:t>
      </w:r>
      <w:r w:rsidRPr="00460297">
        <w:rPr>
          <w:rFonts w:ascii="Cambria" w:hAnsi="Cambria"/>
          <w:sz w:val="20"/>
        </w:rPr>
        <w:t xml:space="preserve"> [COC_303/2025].  </w:t>
      </w:r>
    </w:p>
    <w:p w14:paraId="723A9EB4" w14:textId="77777777" w:rsidR="000B75D9" w:rsidRPr="00460297" w:rsidRDefault="000B75D9" w:rsidP="002B0E38">
      <w:pPr>
        <w:autoSpaceDE w:val="0"/>
        <w:autoSpaceDN w:val="0"/>
        <w:adjustRightInd w:val="0"/>
        <w:spacing w:after="0" w:line="240" w:lineRule="auto"/>
        <w:jc w:val="both"/>
        <w:rPr>
          <w:rFonts w:ascii="Cambria" w:eastAsia="Calibri" w:hAnsi="Cambria" w:cs="Times New Roman"/>
          <w:sz w:val="20"/>
          <w:szCs w:val="20"/>
        </w:rPr>
      </w:pPr>
    </w:p>
    <w:p w14:paraId="6CADBCAB" w14:textId="77777777" w:rsidR="00EB434D" w:rsidRPr="00460297" w:rsidRDefault="00EB434D" w:rsidP="002B0E38">
      <w:pPr>
        <w:autoSpaceDE w:val="0"/>
        <w:autoSpaceDN w:val="0"/>
        <w:adjustRightInd w:val="0"/>
        <w:spacing w:after="0" w:line="240" w:lineRule="auto"/>
        <w:jc w:val="both"/>
        <w:rPr>
          <w:rFonts w:ascii="Cambria" w:eastAsia="Calibri" w:hAnsi="Cambria" w:cs="Times New Roman"/>
          <w:sz w:val="20"/>
          <w:szCs w:val="20"/>
        </w:rPr>
      </w:pPr>
    </w:p>
    <w:p w14:paraId="170515A2" w14:textId="291ADA47" w:rsidR="00F34B1F" w:rsidRPr="00460297"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460297">
        <w:rPr>
          <w:rFonts w:ascii="Cambria" w:hAnsi="Cambria"/>
          <w:b/>
          <w:sz w:val="20"/>
        </w:rPr>
        <w:t>6.</w:t>
      </w:r>
      <w:r w:rsidRPr="00460297">
        <w:rPr>
          <w:rFonts w:ascii="Cambria" w:hAnsi="Cambria"/>
          <w:b/>
          <w:sz w:val="20"/>
        </w:rPr>
        <w:tab/>
        <w:t>Avistamiento de buques en el mar y programas de inspección</w:t>
      </w:r>
    </w:p>
    <w:p w14:paraId="60BC3EB1" w14:textId="77777777" w:rsidR="006C2B66" w:rsidRPr="00460297" w:rsidRDefault="006C2B66" w:rsidP="002B0E38">
      <w:pPr>
        <w:tabs>
          <w:tab w:val="left" w:pos="300"/>
          <w:tab w:val="left" w:pos="700"/>
        </w:tabs>
        <w:spacing w:after="0" w:line="240" w:lineRule="auto"/>
        <w:jc w:val="both"/>
        <w:rPr>
          <w:rFonts w:ascii="Cambria" w:eastAsia="Calibri" w:hAnsi="Cambria" w:cs="Times New Roman"/>
          <w:sz w:val="20"/>
          <w:szCs w:val="20"/>
        </w:rPr>
      </w:pPr>
      <w:bookmarkStart w:id="7" w:name="_Hlk86835939"/>
    </w:p>
    <w:bookmarkEnd w:id="7"/>
    <w:p w14:paraId="51EFE64C" w14:textId="012CD1DA" w:rsidR="00025F74" w:rsidRPr="00460297" w:rsidRDefault="00025F74" w:rsidP="002B0E38">
      <w:pPr>
        <w:tabs>
          <w:tab w:val="left" w:pos="300"/>
          <w:tab w:val="left" w:pos="700"/>
        </w:tabs>
        <w:spacing w:after="0" w:line="240" w:lineRule="auto"/>
        <w:jc w:val="both"/>
        <w:rPr>
          <w:rFonts w:ascii="Cambria" w:eastAsia="Calibri" w:hAnsi="Cambria" w:cs="Times New Roman"/>
          <w:sz w:val="20"/>
          <w:szCs w:val="20"/>
        </w:rPr>
      </w:pPr>
      <w:r w:rsidRPr="00460297">
        <w:rPr>
          <w:rFonts w:ascii="Cambria" w:hAnsi="Cambria"/>
          <w:sz w:val="20"/>
        </w:rPr>
        <w:t xml:space="preserve">Los informes del programa conjunto de inspección realizado de conformidad con la </w:t>
      </w:r>
      <w:hyperlink r:id="rId18" w:history="1">
        <w:r w:rsidRPr="00460297">
          <w:rPr>
            <w:rStyle w:val="Hyperlink"/>
            <w:rFonts w:ascii="Cambria" w:hAnsi="Cambria"/>
            <w:sz w:val="20"/>
            <w:u w:val="none"/>
          </w:rPr>
          <w:t>Rec. 24-05</w:t>
        </w:r>
      </w:hyperlink>
      <w:r w:rsidRPr="00460297">
        <w:rPr>
          <w:rFonts w:ascii="Cambria" w:hAnsi="Cambria"/>
          <w:sz w:val="20"/>
        </w:rPr>
        <w:t xml:space="preserve"> y la </w:t>
      </w:r>
      <w:hyperlink r:id="rId19" w:history="1">
        <w:r w:rsidRPr="00460297">
          <w:rPr>
            <w:rStyle w:val="Hyperlink"/>
            <w:rFonts w:ascii="Cambria" w:hAnsi="Cambria"/>
            <w:sz w:val="20"/>
            <w:u w:val="none"/>
          </w:rPr>
          <w:t>Rec. 16-05</w:t>
        </w:r>
      </w:hyperlink>
      <w:r w:rsidRPr="00460297">
        <w:rPr>
          <w:rFonts w:ascii="Cambria" w:hAnsi="Cambria"/>
          <w:sz w:val="20"/>
        </w:rPr>
        <w:t xml:space="preserve"> se han resumido en la Tabla 2 del </w:t>
      </w:r>
      <w:r w:rsidR="00D82550" w:rsidRPr="00460297">
        <w:rPr>
          <w:rFonts w:ascii="Cambria" w:hAnsi="Cambria"/>
          <w:sz w:val="20"/>
        </w:rPr>
        <w:t>"Informe de la Secretaría al Comité de cumplimiento de las medidas de conservación y ordenación de ICCAT"</w:t>
      </w:r>
      <w:r w:rsidRPr="00460297">
        <w:rPr>
          <w:rFonts w:ascii="Cambria" w:hAnsi="Cambria"/>
          <w:sz w:val="20"/>
        </w:rPr>
        <w:t xml:space="preserve"> [COC_303/2025].</w:t>
      </w:r>
    </w:p>
    <w:p w14:paraId="7B62C9DF" w14:textId="77777777" w:rsidR="00025F74" w:rsidRPr="00460297" w:rsidRDefault="00025F74" w:rsidP="002B0E38">
      <w:pPr>
        <w:tabs>
          <w:tab w:val="left" w:pos="300"/>
          <w:tab w:val="left" w:pos="700"/>
        </w:tabs>
        <w:spacing w:after="0" w:line="240" w:lineRule="auto"/>
        <w:jc w:val="both"/>
        <w:rPr>
          <w:rFonts w:ascii="Cambria" w:eastAsia="Calibri" w:hAnsi="Cambria" w:cs="Times New Roman"/>
          <w:sz w:val="20"/>
          <w:szCs w:val="20"/>
        </w:rPr>
      </w:pPr>
    </w:p>
    <w:p w14:paraId="41753ADB" w14:textId="71719028" w:rsidR="00C13F12" w:rsidRPr="00460297" w:rsidRDefault="00266B5B" w:rsidP="002B0E38">
      <w:pPr>
        <w:spacing w:after="0" w:line="240" w:lineRule="auto"/>
        <w:jc w:val="both"/>
        <w:rPr>
          <w:rFonts w:ascii="Cambria" w:eastAsia="Calibri" w:hAnsi="Cambria" w:cs="Times New Roman"/>
          <w:sz w:val="20"/>
          <w:szCs w:val="20"/>
        </w:rPr>
      </w:pPr>
      <w:r w:rsidRPr="00460297">
        <w:rPr>
          <w:rFonts w:ascii="Cambria" w:hAnsi="Cambria"/>
          <w:sz w:val="20"/>
        </w:rPr>
        <w:t xml:space="preserve">Se ha recibido información de la Unión Europea sobre el avistamiento de ocho buques y de Argelia sobre el avistamiento de nueve buques. Estos, junto con sus respectivas respuestas, cuando proceda, figuran en el Apéndice 5 del </w:t>
      </w:r>
      <w:r w:rsidR="00D82550" w:rsidRPr="00460297">
        <w:rPr>
          <w:rFonts w:ascii="Cambria" w:hAnsi="Cambria"/>
          <w:sz w:val="20"/>
        </w:rPr>
        <w:t>"Informe de la Secretaría al Comité de cumplimiento de las medidas de conservación y ordenación de ICCAT"</w:t>
      </w:r>
      <w:r w:rsidRPr="00460297">
        <w:rPr>
          <w:rFonts w:ascii="Cambria" w:hAnsi="Cambria"/>
          <w:sz w:val="20"/>
        </w:rPr>
        <w:t xml:space="preserve"> [COC_303/2025]. L</w:t>
      </w:r>
      <w:r w:rsidR="00D82550" w:rsidRPr="00460297">
        <w:rPr>
          <w:rFonts w:ascii="Cambria" w:hAnsi="Cambria"/>
          <w:sz w:val="20"/>
        </w:rPr>
        <w:t>as l</w:t>
      </w:r>
      <w:r w:rsidRPr="00460297">
        <w:rPr>
          <w:rFonts w:ascii="Cambria" w:hAnsi="Cambria"/>
          <w:sz w:val="20"/>
        </w:rPr>
        <w:t xml:space="preserve">istas de agencias, medios e inspectores figuran en el Anexo 4 del </w:t>
      </w:r>
      <w:r w:rsidR="00D82550" w:rsidRPr="00460297">
        <w:rPr>
          <w:rFonts w:ascii="Cambria" w:hAnsi="Cambria"/>
          <w:sz w:val="20"/>
        </w:rPr>
        <w:t xml:space="preserve">"Informe de la Secretaría al Comité de cumplimiento de las medidas de conservación y ordenación de ICCAT" </w:t>
      </w:r>
      <w:r w:rsidRPr="00460297">
        <w:rPr>
          <w:rFonts w:ascii="Cambria" w:hAnsi="Cambria"/>
          <w:sz w:val="20"/>
        </w:rPr>
        <w:t xml:space="preserve">[COC_303/2025]. Algunos informes de inspección recibidos incluían infracciones, y otros no, pero no se enviaron resúmenes en todos los casos. En el Apéndice 4 del </w:t>
      </w:r>
      <w:r w:rsidR="00E36E15" w:rsidRPr="00460297">
        <w:rPr>
          <w:rFonts w:ascii="Cambria" w:hAnsi="Cambria"/>
          <w:sz w:val="20"/>
        </w:rPr>
        <w:t xml:space="preserve">"Informe de la Secretaría al Comité de cumplimiento de las medidas de conservación y ordenación de ICCAT" </w:t>
      </w:r>
      <w:r w:rsidRPr="00460297">
        <w:rPr>
          <w:rFonts w:ascii="Cambria" w:hAnsi="Cambria"/>
          <w:sz w:val="20"/>
        </w:rPr>
        <w:t>[COC_303/2025] se incluye un resumen de los informes con las infracciones notificadas en el marco del JIS, así como sus respuestas cuando están disponibles.</w:t>
      </w:r>
    </w:p>
    <w:p w14:paraId="2268B510" w14:textId="77777777" w:rsidR="00E01AB0" w:rsidRPr="00460297" w:rsidRDefault="00E01AB0" w:rsidP="002B0E38">
      <w:pPr>
        <w:spacing w:after="0" w:line="240" w:lineRule="auto"/>
        <w:jc w:val="both"/>
        <w:rPr>
          <w:rFonts w:ascii="Cambria" w:eastAsia="Calibri" w:hAnsi="Cambria" w:cs="Times New Roman"/>
          <w:sz w:val="20"/>
          <w:szCs w:val="20"/>
        </w:rPr>
      </w:pPr>
    </w:p>
    <w:p w14:paraId="26584DD4" w14:textId="7309B7E8" w:rsidR="00025F74" w:rsidRPr="00460297" w:rsidRDefault="00025F74" w:rsidP="002B0E38">
      <w:pPr>
        <w:autoSpaceDE w:val="0"/>
        <w:autoSpaceDN w:val="0"/>
        <w:adjustRightInd w:val="0"/>
        <w:spacing w:after="0" w:line="240" w:lineRule="auto"/>
        <w:jc w:val="both"/>
        <w:rPr>
          <w:rFonts w:ascii="Cambria" w:eastAsia="Calibri" w:hAnsi="Cambria" w:cs="Times New Roman"/>
          <w:sz w:val="20"/>
          <w:szCs w:val="20"/>
        </w:rPr>
      </w:pPr>
      <w:r w:rsidRPr="00460297">
        <w:rPr>
          <w:rFonts w:ascii="Cambria" w:hAnsi="Cambria"/>
          <w:sz w:val="20"/>
        </w:rPr>
        <w:t xml:space="preserve">Los informes de inspección con las infracciones están disponibles en el Anexo 3 del </w:t>
      </w:r>
      <w:r w:rsidR="00E36E15" w:rsidRPr="00460297">
        <w:rPr>
          <w:rFonts w:ascii="Cambria" w:hAnsi="Cambria"/>
          <w:sz w:val="20"/>
        </w:rPr>
        <w:t xml:space="preserve">"Informe de la Secretaría al Comité de cumplimiento de las medidas de conservación y ordenación de ICCAT" </w:t>
      </w:r>
      <w:r w:rsidRPr="00460297">
        <w:rPr>
          <w:rFonts w:ascii="Cambria" w:hAnsi="Cambria"/>
          <w:sz w:val="20"/>
        </w:rPr>
        <w:t xml:space="preserve">[COC_303/2025].  </w:t>
      </w:r>
    </w:p>
    <w:p w14:paraId="7A586525" w14:textId="5C68EE5C" w:rsidR="00B729FB" w:rsidRPr="00460297" w:rsidRDefault="00B729FB" w:rsidP="002B0E38">
      <w:pPr>
        <w:tabs>
          <w:tab w:val="left" w:pos="426"/>
          <w:tab w:val="left" w:pos="700"/>
        </w:tabs>
        <w:spacing w:after="0" w:line="240" w:lineRule="auto"/>
        <w:jc w:val="both"/>
        <w:rPr>
          <w:rFonts w:ascii="Cambria" w:eastAsia="Times New Roman" w:hAnsi="Cambria" w:cs="Times New Roman"/>
          <w:b/>
          <w:sz w:val="20"/>
          <w:szCs w:val="20"/>
        </w:rPr>
      </w:pPr>
    </w:p>
    <w:p w14:paraId="408D2F97" w14:textId="77777777" w:rsidR="00E27753" w:rsidRPr="00460297" w:rsidRDefault="00E27753" w:rsidP="002B0E38">
      <w:pPr>
        <w:tabs>
          <w:tab w:val="left" w:pos="426"/>
          <w:tab w:val="left" w:pos="700"/>
        </w:tabs>
        <w:spacing w:after="0" w:line="240" w:lineRule="auto"/>
        <w:jc w:val="both"/>
        <w:rPr>
          <w:rFonts w:ascii="Cambria" w:eastAsia="Times New Roman" w:hAnsi="Cambria" w:cs="Times New Roman"/>
          <w:b/>
          <w:sz w:val="20"/>
          <w:szCs w:val="20"/>
        </w:rPr>
      </w:pPr>
    </w:p>
    <w:p w14:paraId="17A24CC9" w14:textId="3D182268" w:rsidR="00F34B1F" w:rsidRPr="00460297" w:rsidRDefault="000B75D9" w:rsidP="000C577C">
      <w:pPr>
        <w:tabs>
          <w:tab w:val="left" w:pos="426"/>
        </w:tabs>
        <w:spacing w:after="0" w:line="240" w:lineRule="auto"/>
        <w:jc w:val="both"/>
        <w:rPr>
          <w:rFonts w:ascii="Cambria" w:eastAsia="Times New Roman" w:hAnsi="Cambria" w:cs="Times New Roman"/>
          <w:b/>
          <w:sz w:val="20"/>
          <w:szCs w:val="20"/>
        </w:rPr>
      </w:pPr>
      <w:r w:rsidRPr="00460297">
        <w:rPr>
          <w:rFonts w:ascii="Cambria" w:hAnsi="Cambria"/>
          <w:b/>
          <w:sz w:val="20"/>
        </w:rPr>
        <w:t>7.</w:t>
      </w:r>
      <w:r w:rsidRPr="00460297">
        <w:rPr>
          <w:rFonts w:ascii="Cambria" w:hAnsi="Cambria"/>
          <w:b/>
          <w:sz w:val="20"/>
        </w:rPr>
        <w:tab/>
        <w:t>Programas de inspección en puerto y otras medidas del Estado rector del puerto</w:t>
      </w:r>
    </w:p>
    <w:p w14:paraId="06B1A6F8" w14:textId="77777777" w:rsidR="00E558EA" w:rsidRPr="00460297" w:rsidRDefault="00E558EA" w:rsidP="002B0E38">
      <w:pPr>
        <w:tabs>
          <w:tab w:val="left" w:pos="300"/>
          <w:tab w:val="left" w:pos="700"/>
        </w:tabs>
        <w:spacing w:after="0" w:line="240" w:lineRule="auto"/>
        <w:jc w:val="both"/>
        <w:rPr>
          <w:rFonts w:ascii="Cambria" w:eastAsia="Calibri" w:hAnsi="Cambria" w:cs="Times New Roman"/>
          <w:sz w:val="20"/>
          <w:szCs w:val="20"/>
        </w:rPr>
      </w:pPr>
    </w:p>
    <w:p w14:paraId="343CE9BE" w14:textId="06CAB27D" w:rsidR="00025F74" w:rsidRPr="00460297" w:rsidRDefault="00025F74" w:rsidP="002B0E38">
      <w:pPr>
        <w:tabs>
          <w:tab w:val="left" w:pos="300"/>
          <w:tab w:val="left" w:pos="700"/>
        </w:tabs>
        <w:spacing w:after="0" w:line="240" w:lineRule="auto"/>
        <w:jc w:val="both"/>
        <w:rPr>
          <w:rFonts w:ascii="Cambria" w:eastAsia="Calibri" w:hAnsi="Cambria" w:cs="Times New Roman"/>
          <w:color w:val="000000" w:themeColor="text1"/>
          <w:sz w:val="20"/>
          <w:szCs w:val="20"/>
        </w:rPr>
      </w:pPr>
      <w:r w:rsidRPr="00460297">
        <w:rPr>
          <w:rFonts w:ascii="Cambria" w:hAnsi="Cambria"/>
          <w:color w:val="000000" w:themeColor="text1"/>
          <w:sz w:val="20"/>
        </w:rPr>
        <w:t xml:space="preserve">La lista de puertos en los que los buques extranjeros pueden entrar se ha publicado en: </w:t>
      </w:r>
      <w:hyperlink r:id="rId20" w:history="1">
        <w:r w:rsidRPr="00460297">
          <w:rPr>
            <w:rFonts w:ascii="Cambria" w:hAnsi="Cambria"/>
            <w:color w:val="2F5496" w:themeColor="accent1" w:themeShade="BF"/>
            <w:sz w:val="20"/>
          </w:rPr>
          <w:t>https://iccat.int/es/Ports.asp</w:t>
        </w:r>
      </w:hyperlink>
      <w:r w:rsidRPr="00460297">
        <w:rPr>
          <w:rFonts w:ascii="Cambria" w:hAnsi="Cambria"/>
          <w:color w:val="000000" w:themeColor="text1"/>
          <w:sz w:val="20"/>
        </w:rPr>
        <w:t>, junto con los contactos y las horas de solicitud previa de entrada.</w:t>
      </w:r>
    </w:p>
    <w:p w14:paraId="1FDFEA9A" w14:textId="77777777" w:rsidR="00025F74" w:rsidRPr="00460297" w:rsidRDefault="00025F74" w:rsidP="002B0E38">
      <w:pPr>
        <w:tabs>
          <w:tab w:val="left" w:pos="300"/>
          <w:tab w:val="left" w:pos="700"/>
        </w:tabs>
        <w:spacing w:after="0" w:line="240" w:lineRule="auto"/>
        <w:jc w:val="both"/>
        <w:rPr>
          <w:rFonts w:ascii="Cambria" w:eastAsia="Calibri" w:hAnsi="Cambria" w:cs="Times New Roman"/>
          <w:color w:val="000000" w:themeColor="text1"/>
          <w:sz w:val="20"/>
          <w:szCs w:val="20"/>
        </w:rPr>
      </w:pPr>
    </w:p>
    <w:p w14:paraId="6C37E1D8" w14:textId="72D26ED3" w:rsidR="00025F74" w:rsidRPr="00460297" w:rsidRDefault="00025F74" w:rsidP="002B0E38">
      <w:pPr>
        <w:pStyle w:val="Default"/>
        <w:jc w:val="both"/>
        <w:rPr>
          <w:rStyle w:val="Hyperlink"/>
          <w:rFonts w:ascii="Cambria" w:eastAsia="Calibri" w:hAnsi="Cambria"/>
          <w:color w:val="2F5496" w:themeColor="accent1" w:themeShade="BF"/>
          <w:sz w:val="20"/>
          <w:szCs w:val="20"/>
          <w:u w:val="none"/>
        </w:rPr>
      </w:pPr>
      <w:r w:rsidRPr="00460297">
        <w:rPr>
          <w:rFonts w:ascii="Cambria" w:hAnsi="Cambria"/>
          <w:color w:val="000000" w:themeColor="text1"/>
          <w:sz w:val="20"/>
        </w:rPr>
        <w:t xml:space="preserve">En la Tabla 3 del </w:t>
      </w:r>
      <w:r w:rsidR="00E36E15" w:rsidRPr="00460297">
        <w:rPr>
          <w:rFonts w:ascii="Cambria" w:hAnsi="Cambria"/>
          <w:sz w:val="20"/>
        </w:rPr>
        <w:t xml:space="preserve">"Informe de la Secretaría al Comité de cumplimiento de las medidas de conservación y ordenación de ICCAT" </w:t>
      </w:r>
      <w:r w:rsidRPr="00460297">
        <w:rPr>
          <w:rFonts w:ascii="Cambria" w:hAnsi="Cambria"/>
          <w:color w:val="000000" w:themeColor="text1"/>
          <w:sz w:val="20"/>
        </w:rPr>
        <w:t xml:space="preserve">[COC_303/2025] figura un resumen de los informes de inspección en puerto recibidos. Las presuntas infracciones y las respuestas se publican en el sitio web protegido por contraseña: </w:t>
      </w:r>
      <w:hyperlink r:id="rId21" w:history="1">
        <w:r w:rsidRPr="00460297">
          <w:rPr>
            <w:rFonts w:ascii="Cambria" w:hAnsi="Cambria"/>
            <w:color w:val="2F5496" w:themeColor="accent1" w:themeShade="BF"/>
            <w:sz w:val="20"/>
          </w:rPr>
          <w:t>https://www.iccat.int/es/portinspection.html</w:t>
        </w:r>
      </w:hyperlink>
      <w:r w:rsidRPr="00460297">
        <w:rPr>
          <w:rFonts w:ascii="Cambria" w:hAnsi="Cambria"/>
          <w:color w:val="000000" w:themeColor="text1"/>
          <w:sz w:val="20"/>
        </w:rPr>
        <w:t>.</w:t>
      </w:r>
    </w:p>
    <w:p w14:paraId="7A6B3728" w14:textId="77777777" w:rsidR="00415C59" w:rsidRPr="00460297" w:rsidRDefault="00415C59" w:rsidP="002B0E38">
      <w:pPr>
        <w:pStyle w:val="Default"/>
        <w:jc w:val="both"/>
        <w:rPr>
          <w:rStyle w:val="Hyperlink"/>
          <w:rFonts w:ascii="Cambria" w:eastAsia="Calibri" w:hAnsi="Cambria"/>
          <w:color w:val="2F5496" w:themeColor="accent1" w:themeShade="BF"/>
          <w:sz w:val="20"/>
          <w:szCs w:val="20"/>
          <w:u w:val="none"/>
        </w:rPr>
      </w:pPr>
    </w:p>
    <w:p w14:paraId="1E308536" w14:textId="63C45586" w:rsidR="00266B5B" w:rsidRPr="00460297" w:rsidRDefault="00E36E15" w:rsidP="002B0E38">
      <w:pPr>
        <w:pStyle w:val="Default"/>
        <w:jc w:val="both"/>
        <w:rPr>
          <w:rStyle w:val="Hyperlink"/>
          <w:rFonts w:ascii="Cambria" w:eastAsia="Calibri" w:hAnsi="Cambria"/>
          <w:color w:val="2F5496" w:themeColor="accent1" w:themeShade="BF"/>
          <w:sz w:val="20"/>
          <w:szCs w:val="20"/>
          <w:u w:val="none"/>
        </w:rPr>
      </w:pPr>
      <w:r w:rsidRPr="00460297">
        <w:rPr>
          <w:rFonts w:ascii="Cambria" w:hAnsi="Cambria"/>
          <w:sz w:val="20"/>
        </w:rPr>
        <w:t>Un</w:t>
      </w:r>
      <w:r w:rsidR="00266B5B" w:rsidRPr="00460297">
        <w:rPr>
          <w:rFonts w:ascii="Cambria" w:hAnsi="Cambria"/>
          <w:sz w:val="20"/>
        </w:rPr>
        <w:t xml:space="preserve"> resumen de los informes anuales sobre las actividades de inspección en puerto presentados por las CPC</w:t>
      </w:r>
      <w:r w:rsidRPr="00460297">
        <w:rPr>
          <w:rFonts w:ascii="Cambria" w:hAnsi="Cambria"/>
          <w:sz w:val="20"/>
        </w:rPr>
        <w:t xml:space="preserve"> está publicado en el sitio web protegido con contraseña</w:t>
      </w:r>
      <w:r w:rsidR="00266B5B" w:rsidRPr="00460297">
        <w:rPr>
          <w:rFonts w:ascii="Cambria" w:hAnsi="Cambria"/>
          <w:sz w:val="20"/>
        </w:rPr>
        <w:t xml:space="preserve">: </w:t>
      </w:r>
      <w:hyperlink r:id="rId22" w:history="1">
        <w:r w:rsidR="00266B5B" w:rsidRPr="00460297">
          <w:rPr>
            <w:rFonts w:ascii="Cambria" w:hAnsi="Cambria"/>
            <w:color w:val="2F5496" w:themeColor="accent1" w:themeShade="BF"/>
            <w:sz w:val="20"/>
          </w:rPr>
          <w:t>https://www.iccat.int/es/portinspection.html</w:t>
        </w:r>
      </w:hyperlink>
      <w:r w:rsidR="00266B5B" w:rsidRPr="00460297">
        <w:rPr>
          <w:rFonts w:ascii="Cambria" w:hAnsi="Cambria"/>
          <w:sz w:val="20"/>
        </w:rPr>
        <w:t>.</w:t>
      </w:r>
    </w:p>
    <w:p w14:paraId="03598AC0" w14:textId="77777777" w:rsidR="007C4191" w:rsidRPr="00460297" w:rsidRDefault="007C4191" w:rsidP="002B0E38">
      <w:pPr>
        <w:pStyle w:val="Default"/>
        <w:jc w:val="both"/>
        <w:rPr>
          <w:rFonts w:ascii="Cambria" w:eastAsia="Calibri" w:hAnsi="Cambria"/>
          <w:color w:val="000000" w:themeColor="text1"/>
          <w:sz w:val="20"/>
          <w:szCs w:val="20"/>
        </w:rPr>
      </w:pPr>
    </w:p>
    <w:p w14:paraId="6D31499E" w14:textId="506F0D2A" w:rsidR="000B75D9" w:rsidRPr="00460297" w:rsidRDefault="00316DFD" w:rsidP="002B0E38">
      <w:pPr>
        <w:pStyle w:val="Default"/>
        <w:jc w:val="both"/>
        <w:rPr>
          <w:rFonts w:ascii="Cambria" w:eastAsia="Times New Roman" w:hAnsi="Cambria"/>
          <w:color w:val="auto"/>
          <w:sz w:val="20"/>
          <w:szCs w:val="20"/>
        </w:rPr>
      </w:pPr>
      <w:r w:rsidRPr="00460297">
        <w:rPr>
          <w:rFonts w:ascii="Cambria" w:hAnsi="Cambria"/>
          <w:sz w:val="20"/>
        </w:rPr>
        <w:t>En 2025, la misión de evaluación de las necesidades de control por el Estado rector del puerto, inicialmente prevista para julio o agosto de 2025 en Senegal, se ha pospuesto provisionalmente hasta diciembre de 2025. Véase el PWG_407/2025 para más información.</w:t>
      </w:r>
    </w:p>
    <w:p w14:paraId="387404BA" w14:textId="77777777" w:rsidR="00316DFD" w:rsidRPr="00460297" w:rsidRDefault="00316DFD" w:rsidP="002B0E38">
      <w:pPr>
        <w:pStyle w:val="Default"/>
        <w:jc w:val="both"/>
        <w:rPr>
          <w:rFonts w:ascii="Cambria" w:eastAsia="Times New Roman" w:hAnsi="Cambria"/>
          <w:color w:val="auto"/>
          <w:sz w:val="20"/>
          <w:szCs w:val="20"/>
        </w:rPr>
      </w:pPr>
    </w:p>
    <w:p w14:paraId="6548AF6A" w14:textId="77777777" w:rsidR="00E06FC9" w:rsidRPr="00460297" w:rsidRDefault="00E06FC9" w:rsidP="002B0E38">
      <w:pPr>
        <w:pStyle w:val="Default"/>
        <w:jc w:val="both"/>
        <w:rPr>
          <w:rFonts w:ascii="Cambria" w:eastAsia="Times New Roman" w:hAnsi="Cambria"/>
          <w:color w:val="auto"/>
          <w:sz w:val="20"/>
          <w:szCs w:val="20"/>
        </w:rPr>
      </w:pPr>
    </w:p>
    <w:p w14:paraId="0F32D1E2" w14:textId="77777777" w:rsidR="00E36E15" w:rsidRPr="00460297" w:rsidRDefault="00E36E15">
      <w:pPr>
        <w:rPr>
          <w:rFonts w:ascii="Cambria" w:hAnsi="Cambria"/>
          <w:b/>
          <w:sz w:val="20"/>
        </w:rPr>
      </w:pPr>
      <w:r w:rsidRPr="00460297">
        <w:rPr>
          <w:rFonts w:ascii="Cambria" w:hAnsi="Cambria"/>
          <w:b/>
          <w:sz w:val="20"/>
        </w:rPr>
        <w:br w:type="page"/>
      </w:r>
    </w:p>
    <w:p w14:paraId="55F9AB1A" w14:textId="7E11E2B2" w:rsidR="00F34B1F" w:rsidRPr="00460297" w:rsidRDefault="000B75D9" w:rsidP="002B0E38">
      <w:pPr>
        <w:tabs>
          <w:tab w:val="left" w:pos="426"/>
          <w:tab w:val="left" w:pos="700"/>
        </w:tabs>
        <w:spacing w:after="0" w:line="240" w:lineRule="auto"/>
        <w:jc w:val="both"/>
        <w:rPr>
          <w:rFonts w:ascii="Cambria" w:hAnsi="Cambria"/>
          <w:b/>
          <w:bCs/>
          <w:sz w:val="20"/>
          <w:szCs w:val="20"/>
        </w:rPr>
      </w:pPr>
      <w:r w:rsidRPr="00460297">
        <w:rPr>
          <w:rFonts w:ascii="Cambria" w:hAnsi="Cambria"/>
          <w:b/>
          <w:sz w:val="20"/>
        </w:rPr>
        <w:lastRenderedPageBreak/>
        <w:t>8.</w:t>
      </w:r>
      <w:r w:rsidRPr="00460297">
        <w:rPr>
          <w:rFonts w:ascii="Cambria" w:hAnsi="Cambria"/>
          <w:b/>
          <w:sz w:val="20"/>
        </w:rPr>
        <w:tab/>
      </w:r>
      <w:bookmarkStart w:id="8" w:name="_Hlk86406601"/>
      <w:r w:rsidRPr="00460297">
        <w:rPr>
          <w:rFonts w:ascii="Cambria" w:hAnsi="Cambria"/>
          <w:b/>
          <w:sz w:val="20"/>
        </w:rPr>
        <w:t xml:space="preserve">Requisitos del registro de buques </w:t>
      </w:r>
      <w:bookmarkEnd w:id="8"/>
    </w:p>
    <w:p w14:paraId="03064CEB" w14:textId="77777777" w:rsidR="00717BC4" w:rsidRPr="00460297" w:rsidRDefault="00717BC4" w:rsidP="002B0E38">
      <w:pPr>
        <w:tabs>
          <w:tab w:val="left" w:pos="426"/>
          <w:tab w:val="left" w:pos="700"/>
        </w:tabs>
        <w:spacing w:after="0" w:line="240" w:lineRule="auto"/>
        <w:jc w:val="both"/>
        <w:rPr>
          <w:rFonts w:ascii="Cambria" w:hAnsi="Cambria"/>
          <w:b/>
          <w:bCs/>
          <w:sz w:val="20"/>
          <w:szCs w:val="20"/>
        </w:rPr>
      </w:pPr>
    </w:p>
    <w:p w14:paraId="5124CA85" w14:textId="1466B5CB" w:rsidR="00D11FF5" w:rsidRPr="00460297" w:rsidRDefault="00D11FF5" w:rsidP="002B0E38">
      <w:pPr>
        <w:tabs>
          <w:tab w:val="left" w:pos="300"/>
          <w:tab w:val="left" w:pos="700"/>
        </w:tabs>
        <w:spacing w:after="0" w:line="240" w:lineRule="auto"/>
        <w:jc w:val="both"/>
        <w:rPr>
          <w:rFonts w:ascii="Cambria" w:eastAsia="Calibri" w:hAnsi="Cambria" w:cs="Times New Roman"/>
          <w:sz w:val="20"/>
          <w:szCs w:val="20"/>
        </w:rPr>
      </w:pPr>
      <w:r w:rsidRPr="00460297">
        <w:rPr>
          <w:rFonts w:ascii="Cambria" w:hAnsi="Cambria"/>
          <w:sz w:val="20"/>
        </w:rPr>
        <w:t xml:space="preserve">Para más información sobre el estado actual del Registro ICCAT de buques, puede consultarse el resumen de la Tabla 2. </w:t>
      </w:r>
    </w:p>
    <w:p w14:paraId="0B7A2A4F" w14:textId="77777777" w:rsidR="00D11FF5" w:rsidRPr="00460297" w:rsidRDefault="00D11FF5" w:rsidP="002B0E38">
      <w:pPr>
        <w:tabs>
          <w:tab w:val="left" w:pos="300"/>
          <w:tab w:val="left" w:pos="700"/>
        </w:tabs>
        <w:spacing w:after="0" w:line="240" w:lineRule="auto"/>
        <w:jc w:val="both"/>
        <w:rPr>
          <w:rFonts w:ascii="Cambria" w:eastAsia="Calibri" w:hAnsi="Cambria" w:cs="Times New Roman"/>
          <w:sz w:val="20"/>
          <w:szCs w:val="20"/>
        </w:rPr>
      </w:pPr>
    </w:p>
    <w:p w14:paraId="68B5D1F1" w14:textId="0D476A42" w:rsidR="00D11FF5" w:rsidRPr="00460297" w:rsidRDefault="00D11FF5" w:rsidP="002B0E38">
      <w:pPr>
        <w:tabs>
          <w:tab w:val="left" w:pos="300"/>
          <w:tab w:val="left" w:pos="700"/>
        </w:tabs>
        <w:spacing w:after="0" w:line="240" w:lineRule="auto"/>
        <w:jc w:val="both"/>
        <w:rPr>
          <w:rFonts w:ascii="Cambria" w:eastAsia="Calibri" w:hAnsi="Cambria" w:cs="Times New Roman"/>
          <w:sz w:val="20"/>
          <w:szCs w:val="20"/>
        </w:rPr>
      </w:pPr>
      <w:r w:rsidRPr="00460297">
        <w:rPr>
          <w:rFonts w:ascii="Cambria" w:hAnsi="Cambria"/>
          <w:sz w:val="20"/>
        </w:rPr>
        <w:t xml:space="preserve">En el Anexo 5 del </w:t>
      </w:r>
      <w:r w:rsidR="00E36E15" w:rsidRPr="00460297">
        <w:rPr>
          <w:rFonts w:ascii="Cambria" w:hAnsi="Cambria"/>
          <w:sz w:val="20"/>
        </w:rPr>
        <w:t>"Informe de la Secretaría al Comité de cumplimiento de las medidas de conservación y ordenación de ICCAT" [</w:t>
      </w:r>
      <w:r w:rsidRPr="00460297">
        <w:rPr>
          <w:rFonts w:ascii="Cambria" w:hAnsi="Cambria"/>
          <w:sz w:val="20"/>
        </w:rPr>
        <w:t>COC_303/2025</w:t>
      </w:r>
      <w:r w:rsidR="00E36E15" w:rsidRPr="00460297">
        <w:rPr>
          <w:rFonts w:ascii="Cambria" w:hAnsi="Cambria"/>
          <w:sz w:val="20"/>
        </w:rPr>
        <w:t>]</w:t>
      </w:r>
      <w:r w:rsidRPr="00460297">
        <w:rPr>
          <w:rFonts w:ascii="Cambria" w:hAnsi="Cambria"/>
          <w:sz w:val="20"/>
        </w:rPr>
        <w:t xml:space="preserve"> se presentan las listas de los buques que han llevado a cabo operaciones de pesca durante el año anterior en las pesquerías de túnidos tropicales, de pez espada del Mediterráneo y de atún rojo del Atlántico este y del Mediterráneo.  </w:t>
      </w:r>
    </w:p>
    <w:p w14:paraId="22440210" w14:textId="77777777" w:rsidR="00D11FF5" w:rsidRPr="00460297" w:rsidRDefault="00D11FF5" w:rsidP="002B0E38">
      <w:pPr>
        <w:tabs>
          <w:tab w:val="left" w:pos="300"/>
          <w:tab w:val="left" w:pos="700"/>
        </w:tabs>
        <w:spacing w:after="0" w:line="240" w:lineRule="auto"/>
        <w:jc w:val="both"/>
        <w:rPr>
          <w:rFonts w:ascii="Cambria" w:eastAsia="Calibri" w:hAnsi="Cambria" w:cs="Times New Roman"/>
          <w:sz w:val="20"/>
          <w:szCs w:val="20"/>
        </w:rPr>
      </w:pPr>
    </w:p>
    <w:p w14:paraId="260FEECA" w14:textId="3534CD83" w:rsidR="00D11FF5" w:rsidRPr="00460297" w:rsidRDefault="00D11FF5" w:rsidP="002B0E38">
      <w:pPr>
        <w:tabs>
          <w:tab w:val="left" w:pos="300"/>
          <w:tab w:val="left" w:pos="700"/>
        </w:tabs>
        <w:spacing w:after="0" w:line="240" w:lineRule="auto"/>
        <w:jc w:val="both"/>
        <w:rPr>
          <w:rFonts w:ascii="Cambria" w:eastAsia="Calibri" w:hAnsi="Cambria" w:cs="Times New Roman"/>
          <w:sz w:val="20"/>
          <w:szCs w:val="20"/>
        </w:rPr>
      </w:pPr>
      <w:r w:rsidRPr="00460297">
        <w:rPr>
          <w:rFonts w:ascii="Cambria" w:hAnsi="Cambria"/>
          <w:sz w:val="20"/>
        </w:rPr>
        <w:t xml:space="preserve">Persisten algunos problemas de comunicación, como la comunicación incompleta de las características de los buques, en particular para los requisitos de comunicación que son obligatorios. La </w:t>
      </w:r>
      <w:r w:rsidRPr="00460297">
        <w:rPr>
          <w:rFonts w:ascii="Cambria" w:hAnsi="Cambria"/>
          <w:b/>
          <w:bCs/>
          <w:sz w:val="20"/>
        </w:rPr>
        <w:t>Tabla 3</w:t>
      </w:r>
      <w:r w:rsidRPr="00460297">
        <w:rPr>
          <w:rFonts w:ascii="Cambria" w:hAnsi="Cambria"/>
          <w:sz w:val="20"/>
        </w:rPr>
        <w:t xml:space="preserve"> proporciona información detallada por CPC en este sentido.</w:t>
      </w:r>
    </w:p>
    <w:p w14:paraId="5F541573" w14:textId="77777777" w:rsidR="00E06FC9" w:rsidRPr="00460297" w:rsidRDefault="00E06FC9" w:rsidP="002B0E38">
      <w:pPr>
        <w:pStyle w:val="wordsection1"/>
        <w:spacing w:before="0" w:beforeAutospacing="0" w:after="0" w:afterAutospacing="0"/>
        <w:jc w:val="both"/>
        <w:rPr>
          <w:rFonts w:ascii="Cambria" w:eastAsia="Calibri" w:hAnsi="Cambria" w:cs="Times New Roman"/>
          <w:sz w:val="20"/>
          <w:szCs w:val="20"/>
        </w:rPr>
      </w:pPr>
    </w:p>
    <w:p w14:paraId="3FE91668" w14:textId="62F845E2" w:rsidR="00310709" w:rsidRPr="00460297" w:rsidRDefault="00D11FF5" w:rsidP="002B0E38">
      <w:pPr>
        <w:pStyle w:val="wordsection1"/>
        <w:spacing w:before="0" w:beforeAutospacing="0" w:after="0" w:afterAutospacing="0"/>
        <w:jc w:val="both"/>
        <w:rPr>
          <w:rFonts w:ascii="Cambria" w:hAnsi="Cambria"/>
          <w:sz w:val="20"/>
          <w:szCs w:val="20"/>
        </w:rPr>
      </w:pPr>
      <w:r w:rsidRPr="00460297">
        <w:rPr>
          <w:rFonts w:ascii="Cambria" w:hAnsi="Cambria"/>
          <w:sz w:val="20"/>
        </w:rPr>
        <w:t xml:space="preserve">Como puede verse en la </w:t>
      </w:r>
      <w:r w:rsidRPr="00460297">
        <w:rPr>
          <w:rFonts w:ascii="Cambria" w:hAnsi="Cambria"/>
          <w:b/>
          <w:bCs/>
          <w:sz w:val="20"/>
        </w:rPr>
        <w:t>Tabla 4</w:t>
      </w:r>
      <w:r w:rsidRPr="00460297">
        <w:rPr>
          <w:rFonts w:ascii="Cambria" w:hAnsi="Cambria"/>
          <w:sz w:val="20"/>
        </w:rPr>
        <w:t>, un total de 345 buques con una eslora total de 20 m o superior contaban con una justificación para el hecho de no disponer de un número OMI.</w:t>
      </w:r>
      <w:r w:rsidRPr="00460297">
        <w:rPr>
          <w:rFonts w:ascii="Cambria" w:hAnsi="Cambria"/>
          <w:b/>
          <w:sz w:val="20"/>
        </w:rPr>
        <w:t xml:space="preserve"> </w:t>
      </w:r>
      <w:r w:rsidRPr="00460297">
        <w:rPr>
          <w:rFonts w:ascii="Cambria" w:hAnsi="Cambria"/>
          <w:sz w:val="20"/>
        </w:rPr>
        <w:t>De estos, 343 no son buques comerciales, todos comunicados como barcos deportivos/de recreo que, por lo tanto, no están obligados a tener un número OMI. Este año, se comunicaron un total de tres (3) buques comerciales de 2</w:t>
      </w:r>
      <w:r w:rsidR="00E36E15" w:rsidRPr="00460297">
        <w:rPr>
          <w:rFonts w:ascii="Cambria" w:hAnsi="Cambria"/>
          <w:sz w:val="20"/>
        </w:rPr>
        <w:t>0</w:t>
      </w:r>
      <w:r w:rsidRPr="00460297">
        <w:rPr>
          <w:rFonts w:ascii="Cambria" w:hAnsi="Cambria"/>
          <w:sz w:val="20"/>
        </w:rPr>
        <w:t xml:space="preserve"> m de eslora o </w:t>
      </w:r>
      <w:r w:rsidR="00E36E15" w:rsidRPr="00460297">
        <w:rPr>
          <w:rFonts w:ascii="Cambria" w:hAnsi="Cambria"/>
          <w:sz w:val="20"/>
        </w:rPr>
        <w:t>superior</w:t>
      </w:r>
      <w:r w:rsidRPr="00460297">
        <w:rPr>
          <w:rFonts w:ascii="Cambria" w:hAnsi="Cambria"/>
          <w:sz w:val="20"/>
        </w:rPr>
        <w:t xml:space="preserve"> con números OMI desconocidos, lo que no se ajusta a las reglamentaciones de ICCAT (Rec. 21-14). La Secretaría se pondrá en contacto con </w:t>
      </w:r>
      <w:r w:rsidR="00E36E15" w:rsidRPr="00460297">
        <w:rPr>
          <w:rFonts w:ascii="Cambria" w:hAnsi="Cambria"/>
          <w:sz w:val="20"/>
        </w:rPr>
        <w:t>la</w:t>
      </w:r>
      <w:r w:rsidRPr="00460297">
        <w:rPr>
          <w:rFonts w:ascii="Cambria" w:hAnsi="Cambria"/>
          <w:sz w:val="20"/>
        </w:rPr>
        <w:t xml:space="preserve"> CPC correspondiente para resolver esta cuestión.</w:t>
      </w:r>
    </w:p>
    <w:p w14:paraId="6A87BB2E" w14:textId="77777777" w:rsidR="00217C11" w:rsidRPr="00460297" w:rsidRDefault="00217C11" w:rsidP="002B0E38">
      <w:pPr>
        <w:tabs>
          <w:tab w:val="left" w:pos="300"/>
          <w:tab w:val="left" w:pos="700"/>
        </w:tabs>
        <w:spacing w:after="0" w:line="240" w:lineRule="auto"/>
        <w:jc w:val="both"/>
        <w:rPr>
          <w:rFonts w:ascii="Cambria" w:eastAsia="Calibri" w:hAnsi="Cambria" w:cs="Times New Roman"/>
          <w:sz w:val="20"/>
          <w:szCs w:val="20"/>
        </w:rPr>
      </w:pPr>
    </w:p>
    <w:p w14:paraId="10175489" w14:textId="222B19C1" w:rsidR="00D11FF5" w:rsidRPr="00460297" w:rsidRDefault="00D11FF5" w:rsidP="002B0E38">
      <w:pPr>
        <w:tabs>
          <w:tab w:val="left" w:pos="300"/>
          <w:tab w:val="left" w:pos="700"/>
        </w:tabs>
        <w:spacing w:after="0" w:line="240" w:lineRule="auto"/>
        <w:jc w:val="both"/>
        <w:rPr>
          <w:rFonts w:ascii="Cambria" w:eastAsia="Calibri" w:hAnsi="Cambria" w:cs="Times New Roman"/>
          <w:sz w:val="20"/>
          <w:szCs w:val="20"/>
        </w:rPr>
      </w:pPr>
      <w:r w:rsidRPr="00460297">
        <w:rPr>
          <w:rFonts w:ascii="Cambria" w:hAnsi="Cambria"/>
          <w:sz w:val="20"/>
        </w:rPr>
        <w:t xml:space="preserve">Dado que la Comisión autorizó a la Secretaría a desactivar los buques cuyas autorizaciones han expirado, los buques cuya autorización haya expirado desde 45 días antes o más se pasan regularmente al Registro ICCAT de buques inactivos. </w:t>
      </w:r>
    </w:p>
    <w:p w14:paraId="50327510" w14:textId="77777777" w:rsidR="004177CF" w:rsidRPr="00460297" w:rsidRDefault="004177CF" w:rsidP="002B0E38">
      <w:pPr>
        <w:tabs>
          <w:tab w:val="left" w:pos="300"/>
          <w:tab w:val="left" w:pos="700"/>
        </w:tabs>
        <w:spacing w:after="0" w:line="240" w:lineRule="auto"/>
        <w:jc w:val="both"/>
        <w:rPr>
          <w:rFonts w:ascii="Cambria" w:eastAsia="Calibri" w:hAnsi="Cambria" w:cs="Times New Roman"/>
          <w:sz w:val="20"/>
          <w:szCs w:val="20"/>
        </w:rPr>
      </w:pPr>
    </w:p>
    <w:p w14:paraId="76F560CF" w14:textId="77777777" w:rsidR="00EB434D" w:rsidRPr="00460297" w:rsidRDefault="00EB434D" w:rsidP="002B0E38">
      <w:pPr>
        <w:tabs>
          <w:tab w:val="left" w:pos="300"/>
          <w:tab w:val="left" w:pos="700"/>
        </w:tabs>
        <w:spacing w:after="0" w:line="240" w:lineRule="auto"/>
        <w:jc w:val="both"/>
        <w:rPr>
          <w:rFonts w:ascii="Cambria" w:eastAsia="Calibri" w:hAnsi="Cambria" w:cs="Times New Roman"/>
          <w:sz w:val="20"/>
          <w:szCs w:val="20"/>
        </w:rPr>
      </w:pPr>
    </w:p>
    <w:p w14:paraId="56969F23" w14:textId="71474A03" w:rsidR="00F34B1F" w:rsidRPr="00460297" w:rsidRDefault="00346924" w:rsidP="002B0E38">
      <w:pPr>
        <w:tabs>
          <w:tab w:val="left" w:pos="426"/>
          <w:tab w:val="left" w:pos="700"/>
        </w:tabs>
        <w:spacing w:after="0" w:line="240" w:lineRule="auto"/>
        <w:jc w:val="both"/>
        <w:rPr>
          <w:rFonts w:ascii="Cambria" w:eastAsia="Times New Roman" w:hAnsi="Cambria" w:cs="Times New Roman"/>
          <w:i/>
          <w:sz w:val="20"/>
          <w:szCs w:val="20"/>
        </w:rPr>
      </w:pPr>
      <w:r w:rsidRPr="00460297">
        <w:rPr>
          <w:rFonts w:ascii="Cambria" w:hAnsi="Cambria"/>
          <w:b/>
          <w:sz w:val="20"/>
        </w:rPr>
        <w:t>9.</w:t>
      </w:r>
      <w:r w:rsidRPr="00460297">
        <w:rPr>
          <w:rFonts w:ascii="Cambria" w:hAnsi="Cambria"/>
          <w:b/>
          <w:sz w:val="20"/>
        </w:rPr>
        <w:tab/>
        <w:t>Requisitos del sistema de seguimiento de buques</w:t>
      </w:r>
    </w:p>
    <w:p w14:paraId="3580C311" w14:textId="77777777" w:rsidR="00E558EA" w:rsidRPr="00460297" w:rsidRDefault="00E558EA" w:rsidP="002B0E38">
      <w:pPr>
        <w:tabs>
          <w:tab w:val="left" w:pos="567"/>
          <w:tab w:val="left" w:pos="700"/>
        </w:tabs>
        <w:spacing w:after="0" w:line="240" w:lineRule="auto"/>
        <w:jc w:val="both"/>
        <w:rPr>
          <w:rFonts w:ascii="Cambria" w:eastAsia="Calibri" w:hAnsi="Cambria" w:cs="Times New Roman"/>
          <w:sz w:val="20"/>
          <w:szCs w:val="20"/>
        </w:rPr>
      </w:pPr>
    </w:p>
    <w:p w14:paraId="739C8937" w14:textId="14F59101" w:rsidR="00F34B1F" w:rsidRPr="00460297" w:rsidRDefault="007E6493" w:rsidP="002B0E38">
      <w:pPr>
        <w:tabs>
          <w:tab w:val="left" w:pos="567"/>
          <w:tab w:val="left" w:pos="700"/>
        </w:tabs>
        <w:spacing w:after="0" w:line="240" w:lineRule="auto"/>
        <w:jc w:val="both"/>
        <w:rPr>
          <w:rFonts w:ascii="Cambria" w:eastAsia="Calibri" w:hAnsi="Cambria" w:cs="Times New Roman"/>
          <w:sz w:val="20"/>
          <w:szCs w:val="20"/>
        </w:rPr>
      </w:pPr>
      <w:r w:rsidRPr="00460297">
        <w:rPr>
          <w:rFonts w:ascii="Cambria" w:hAnsi="Cambria"/>
          <w:sz w:val="20"/>
        </w:rPr>
        <w:t xml:space="preserve">En las Tabla 4, 5 y 6 del </w:t>
      </w:r>
      <w:r w:rsidR="00E36E15" w:rsidRPr="00460297">
        <w:rPr>
          <w:rFonts w:ascii="Cambria" w:hAnsi="Cambria"/>
          <w:sz w:val="20"/>
        </w:rPr>
        <w:t>"Informe de la Secretaría al Comité de cumplimiento de las medidas de conservación y ordenación de ICCAT" [COC_303/2025]</w:t>
      </w:r>
      <w:r w:rsidRPr="00460297">
        <w:rPr>
          <w:rFonts w:ascii="Cambria" w:hAnsi="Cambria"/>
          <w:sz w:val="20"/>
        </w:rPr>
        <w:t xml:space="preserve"> figura información sobre los mensajes VMS recibidos en la Secretaría.</w:t>
      </w:r>
    </w:p>
    <w:p w14:paraId="398DFE39" w14:textId="175E9232" w:rsidR="006D5819" w:rsidRPr="00460297" w:rsidRDefault="006D5819" w:rsidP="002B0E38">
      <w:pPr>
        <w:spacing w:after="0" w:line="240" w:lineRule="auto"/>
        <w:jc w:val="both"/>
        <w:rPr>
          <w:rFonts w:ascii="Cambria" w:eastAsia="Times New Roman" w:hAnsi="Cambria" w:cs="Times New Roman"/>
          <w:sz w:val="20"/>
          <w:szCs w:val="20"/>
        </w:rPr>
      </w:pPr>
    </w:p>
    <w:p w14:paraId="31C61E70" w14:textId="77777777" w:rsidR="006D5819" w:rsidRPr="00460297" w:rsidRDefault="006D5819" w:rsidP="002B0E38">
      <w:pPr>
        <w:spacing w:after="0" w:line="240" w:lineRule="auto"/>
        <w:jc w:val="both"/>
        <w:rPr>
          <w:rFonts w:ascii="Cambria" w:eastAsia="Times New Roman" w:hAnsi="Cambria" w:cs="Times New Roman"/>
          <w:sz w:val="20"/>
          <w:szCs w:val="20"/>
        </w:rPr>
      </w:pPr>
    </w:p>
    <w:p w14:paraId="57490B46" w14:textId="36B36F7A" w:rsidR="00F34B1F" w:rsidRPr="00460297" w:rsidRDefault="00346924" w:rsidP="002B0E38">
      <w:pPr>
        <w:tabs>
          <w:tab w:val="left" w:pos="426"/>
          <w:tab w:val="left" w:pos="700"/>
        </w:tabs>
        <w:spacing w:after="0" w:line="240" w:lineRule="auto"/>
        <w:jc w:val="both"/>
        <w:rPr>
          <w:rFonts w:ascii="Cambria" w:eastAsia="Times New Roman" w:hAnsi="Cambria" w:cs="Times New Roman"/>
          <w:b/>
          <w:sz w:val="20"/>
          <w:szCs w:val="20"/>
        </w:rPr>
      </w:pPr>
      <w:r w:rsidRPr="00460297">
        <w:rPr>
          <w:rFonts w:ascii="Cambria" w:hAnsi="Cambria"/>
          <w:b/>
          <w:sz w:val="20"/>
          <w:szCs w:val="20"/>
        </w:rPr>
        <w:t>10.</w:t>
      </w:r>
      <w:r w:rsidRPr="00460297">
        <w:rPr>
          <w:rFonts w:ascii="Cambria" w:hAnsi="Cambria"/>
          <w:b/>
          <w:sz w:val="20"/>
          <w:szCs w:val="20"/>
        </w:rPr>
        <w:tab/>
        <w:t>Responsabilidades del Estado del pabellón</w:t>
      </w:r>
    </w:p>
    <w:p w14:paraId="148E86A0" w14:textId="77777777" w:rsidR="00DE5794" w:rsidRPr="00460297" w:rsidRDefault="00DE5794" w:rsidP="002B0E38">
      <w:pPr>
        <w:tabs>
          <w:tab w:val="left" w:pos="567"/>
          <w:tab w:val="left" w:pos="700"/>
        </w:tabs>
        <w:spacing w:after="0" w:line="240" w:lineRule="auto"/>
        <w:jc w:val="both"/>
        <w:rPr>
          <w:rFonts w:ascii="Cambria" w:eastAsia="Times New Roman" w:hAnsi="Cambria" w:cs="Times New Roman"/>
          <w:b/>
          <w:sz w:val="20"/>
          <w:szCs w:val="20"/>
        </w:rPr>
      </w:pPr>
    </w:p>
    <w:p w14:paraId="62FE311E" w14:textId="6F7FEFED" w:rsidR="007E6493" w:rsidRPr="00460297" w:rsidRDefault="007E6493" w:rsidP="002B0E38">
      <w:pPr>
        <w:tabs>
          <w:tab w:val="left" w:pos="300"/>
          <w:tab w:val="left" w:pos="700"/>
        </w:tabs>
        <w:spacing w:after="0" w:line="240" w:lineRule="auto"/>
        <w:jc w:val="both"/>
        <w:rPr>
          <w:rFonts w:ascii="Cambria" w:eastAsia="Calibri" w:hAnsi="Cambria" w:cs="Times New Roman"/>
          <w:sz w:val="20"/>
          <w:szCs w:val="20"/>
        </w:rPr>
      </w:pPr>
      <w:hyperlink r:id="rId23" w:history="1">
        <w:r w:rsidRPr="00460297">
          <w:rPr>
            <w:rStyle w:val="Hyperlink"/>
            <w:rFonts w:ascii="Cambria" w:hAnsi="Cambria"/>
            <w:color w:val="000000" w:themeColor="text1"/>
            <w:sz w:val="20"/>
            <w:szCs w:val="20"/>
            <w:u w:val="none"/>
          </w:rPr>
          <w:t xml:space="preserve">La </w:t>
        </w:r>
        <w:r w:rsidRPr="00460297">
          <w:rPr>
            <w:rStyle w:val="Hyperlink"/>
            <w:rFonts w:ascii="Cambria" w:hAnsi="Cambria"/>
            <w:sz w:val="20"/>
            <w:szCs w:val="20"/>
            <w:u w:val="none"/>
          </w:rPr>
          <w:t xml:space="preserve">Rec. 03-12 </w:t>
        </w:r>
      </w:hyperlink>
      <w:r w:rsidRPr="00460297">
        <w:rPr>
          <w:rFonts w:ascii="Cambria" w:hAnsi="Cambria"/>
          <w:sz w:val="20"/>
          <w:szCs w:val="20"/>
        </w:rPr>
        <w:t xml:space="preserve">no requiere la presentación de información específica; la Secretaría no tiene nada que comunicar a este efecto. </w:t>
      </w:r>
    </w:p>
    <w:p w14:paraId="36CA1F35" w14:textId="188A7413" w:rsidR="00717BC4" w:rsidRPr="00460297" w:rsidRDefault="00717BC4" w:rsidP="002B0E38">
      <w:pPr>
        <w:tabs>
          <w:tab w:val="left" w:pos="300"/>
          <w:tab w:val="left" w:pos="700"/>
        </w:tabs>
        <w:spacing w:after="0" w:line="240" w:lineRule="auto"/>
        <w:jc w:val="both"/>
        <w:rPr>
          <w:rFonts w:ascii="Cambria" w:eastAsia="Calibri" w:hAnsi="Cambria" w:cs="Times New Roman"/>
          <w:sz w:val="20"/>
          <w:szCs w:val="20"/>
        </w:rPr>
      </w:pPr>
    </w:p>
    <w:p w14:paraId="1293B806" w14:textId="77777777" w:rsidR="006D5819" w:rsidRPr="00460297" w:rsidRDefault="006D5819" w:rsidP="002B0E38">
      <w:pPr>
        <w:tabs>
          <w:tab w:val="left" w:pos="300"/>
          <w:tab w:val="left" w:pos="700"/>
        </w:tabs>
        <w:spacing w:after="0" w:line="240" w:lineRule="auto"/>
        <w:jc w:val="both"/>
        <w:rPr>
          <w:rFonts w:ascii="Cambria" w:eastAsia="Calibri" w:hAnsi="Cambria" w:cs="Times New Roman"/>
          <w:sz w:val="20"/>
          <w:szCs w:val="20"/>
        </w:rPr>
      </w:pPr>
    </w:p>
    <w:p w14:paraId="3B4C434F" w14:textId="1CC86B32" w:rsidR="00F34B1F" w:rsidRPr="00460297" w:rsidRDefault="00F34B1F" w:rsidP="002B0E38">
      <w:pPr>
        <w:tabs>
          <w:tab w:val="left" w:pos="426"/>
          <w:tab w:val="left" w:pos="700"/>
        </w:tabs>
        <w:spacing w:after="0" w:line="240" w:lineRule="auto"/>
        <w:jc w:val="both"/>
        <w:rPr>
          <w:rFonts w:ascii="Cambria" w:eastAsia="Times New Roman" w:hAnsi="Cambria" w:cs="Times New Roman"/>
          <w:b/>
          <w:sz w:val="20"/>
          <w:szCs w:val="20"/>
        </w:rPr>
      </w:pPr>
      <w:r w:rsidRPr="00460297">
        <w:rPr>
          <w:rFonts w:ascii="Cambria" w:hAnsi="Cambria"/>
          <w:b/>
          <w:sz w:val="20"/>
          <w:szCs w:val="20"/>
        </w:rPr>
        <w:t>11.</w:t>
      </w:r>
      <w:r w:rsidRPr="00460297">
        <w:rPr>
          <w:rFonts w:ascii="Cambria" w:hAnsi="Cambria"/>
          <w:b/>
          <w:sz w:val="20"/>
          <w:szCs w:val="20"/>
        </w:rPr>
        <w:tab/>
        <w:t xml:space="preserve">Examen y establecimiento de la lista de buques </w:t>
      </w:r>
      <w:proofErr w:type="spellStart"/>
      <w:r w:rsidRPr="00460297">
        <w:rPr>
          <w:rFonts w:ascii="Cambria" w:hAnsi="Cambria"/>
          <w:b/>
          <w:sz w:val="20"/>
          <w:szCs w:val="20"/>
        </w:rPr>
        <w:t>IUU</w:t>
      </w:r>
      <w:proofErr w:type="spellEnd"/>
    </w:p>
    <w:p w14:paraId="73148B45" w14:textId="0FC70FD2" w:rsidR="00E558EA" w:rsidRPr="00460297" w:rsidRDefault="00E558EA" w:rsidP="002B0E38">
      <w:pPr>
        <w:spacing w:after="0" w:line="240" w:lineRule="auto"/>
        <w:jc w:val="both"/>
        <w:rPr>
          <w:rFonts w:ascii="Cambria" w:eastAsia="Calibri" w:hAnsi="Cambria" w:cs="Times New Roman"/>
          <w:sz w:val="20"/>
          <w:szCs w:val="20"/>
        </w:rPr>
      </w:pPr>
    </w:p>
    <w:p w14:paraId="530C1193" w14:textId="14E426D9" w:rsidR="00B66104" w:rsidRPr="00460297" w:rsidRDefault="00DB508E" w:rsidP="002B0E38">
      <w:pPr>
        <w:spacing w:after="0" w:line="240" w:lineRule="auto"/>
        <w:jc w:val="both"/>
        <w:rPr>
          <w:rFonts w:ascii="Cambria" w:eastAsia="Calibri" w:hAnsi="Cambria" w:cs="Times New Roman"/>
          <w:sz w:val="20"/>
          <w:szCs w:val="20"/>
        </w:rPr>
      </w:pPr>
      <w:r w:rsidRPr="00460297">
        <w:rPr>
          <w:rFonts w:ascii="Cambria" w:hAnsi="Cambria"/>
          <w:sz w:val="20"/>
          <w:szCs w:val="20"/>
        </w:rPr>
        <w:t xml:space="preserve">El proyecto de lista de 2025 de buques supuestamente implicados en actividades de pesca </w:t>
      </w:r>
      <w:proofErr w:type="spellStart"/>
      <w:r w:rsidRPr="00460297">
        <w:rPr>
          <w:rFonts w:ascii="Cambria" w:hAnsi="Cambria"/>
          <w:sz w:val="20"/>
          <w:szCs w:val="20"/>
        </w:rPr>
        <w:t>IUU</w:t>
      </w:r>
      <w:proofErr w:type="spellEnd"/>
      <w:r w:rsidRPr="00460297">
        <w:rPr>
          <w:rFonts w:ascii="Cambria" w:hAnsi="Cambria"/>
          <w:sz w:val="20"/>
          <w:szCs w:val="20"/>
        </w:rPr>
        <w:t xml:space="preserve">, para su consideración y posible adopción por parte de la Comisión, </w:t>
      </w:r>
      <w:r w:rsidR="00E36E15" w:rsidRPr="00460297">
        <w:rPr>
          <w:rFonts w:ascii="Cambria" w:hAnsi="Cambria"/>
          <w:sz w:val="20"/>
          <w:szCs w:val="20"/>
        </w:rPr>
        <w:t xml:space="preserve">figura como </w:t>
      </w:r>
      <w:r w:rsidRPr="00460297">
        <w:rPr>
          <w:rFonts w:ascii="Cambria" w:hAnsi="Cambria"/>
          <w:sz w:val="20"/>
          <w:szCs w:val="20"/>
        </w:rPr>
        <w:t xml:space="preserve">documento PWG_405/2025. </w:t>
      </w:r>
    </w:p>
    <w:p w14:paraId="2BAC1141" w14:textId="77777777" w:rsidR="00324E62" w:rsidRPr="00460297" w:rsidRDefault="00324E62" w:rsidP="002B0E38">
      <w:pPr>
        <w:spacing w:after="0" w:line="240" w:lineRule="auto"/>
        <w:rPr>
          <w:rFonts w:ascii="Cambria" w:eastAsia="Calibri" w:hAnsi="Cambria" w:cs="Times New Roman"/>
          <w:sz w:val="20"/>
          <w:szCs w:val="20"/>
        </w:rPr>
        <w:sectPr w:rsidR="00324E62" w:rsidRPr="00460297" w:rsidSect="002B0E38">
          <w:headerReference w:type="default" r:id="rId24"/>
          <w:footerReference w:type="default" r:id="rId25"/>
          <w:pgSz w:w="11906" w:h="16838" w:code="9"/>
          <w:pgMar w:top="1418" w:right="1418" w:bottom="1418" w:left="1418" w:header="851" w:footer="1134" w:gutter="0"/>
          <w:cols w:space="708"/>
          <w:docGrid w:linePitch="360"/>
        </w:sectPr>
      </w:pPr>
    </w:p>
    <w:p w14:paraId="4AC9DE9F" w14:textId="5F3CE116" w:rsidR="00B66104" w:rsidRPr="00460297" w:rsidRDefault="00B66104" w:rsidP="002B0E38">
      <w:pPr>
        <w:spacing w:after="0" w:line="240" w:lineRule="auto"/>
        <w:jc w:val="both"/>
        <w:rPr>
          <w:rFonts w:ascii="Cambria" w:hAnsi="Cambria"/>
          <w:sz w:val="20"/>
          <w:szCs w:val="20"/>
        </w:rPr>
      </w:pPr>
      <w:r w:rsidRPr="00460297">
        <w:rPr>
          <w:rFonts w:ascii="Cambria" w:hAnsi="Cambria"/>
          <w:b/>
          <w:sz w:val="20"/>
        </w:rPr>
        <w:lastRenderedPageBreak/>
        <w:t>Tabla 1.</w:t>
      </w:r>
      <w:r w:rsidRPr="00460297">
        <w:rPr>
          <w:rFonts w:ascii="Cambria" w:hAnsi="Cambria"/>
          <w:sz w:val="20"/>
        </w:rPr>
        <w:t xml:space="preserve"> Capturas por </w:t>
      </w:r>
      <w:r w:rsidR="00D1702B" w:rsidRPr="00460297">
        <w:rPr>
          <w:rFonts w:ascii="Cambria" w:hAnsi="Cambria"/>
          <w:sz w:val="20"/>
        </w:rPr>
        <w:t>no CPC</w:t>
      </w:r>
      <w:r w:rsidRPr="00460297">
        <w:rPr>
          <w:rFonts w:ascii="Cambria" w:hAnsi="Cambria"/>
          <w:sz w:val="20"/>
        </w:rPr>
        <w:t>, 2015-2024.</w:t>
      </w:r>
    </w:p>
    <w:p w14:paraId="4C0BC0D8" w14:textId="77777777" w:rsidR="00086131" w:rsidRPr="00460297" w:rsidRDefault="00086131" w:rsidP="002B0E38">
      <w:pPr>
        <w:spacing w:after="0" w:line="240" w:lineRule="auto"/>
        <w:jc w:val="both"/>
        <w:rPr>
          <w:rFonts w:ascii="Cambria" w:hAnsi="Cambria"/>
          <w:sz w:val="20"/>
          <w:szCs w:val="20"/>
        </w:rPr>
      </w:pPr>
    </w:p>
    <w:tbl>
      <w:tblPr>
        <w:tblW w:w="4692" w:type="pct"/>
        <w:tblLook w:val="04A0" w:firstRow="1" w:lastRow="0" w:firstColumn="1" w:lastColumn="0" w:noHBand="0" w:noVBand="1"/>
      </w:tblPr>
      <w:tblGrid>
        <w:gridCol w:w="1337"/>
        <w:gridCol w:w="1066"/>
        <w:gridCol w:w="1187"/>
        <w:gridCol w:w="1187"/>
        <w:gridCol w:w="1187"/>
        <w:gridCol w:w="1045"/>
        <w:gridCol w:w="1045"/>
        <w:gridCol w:w="1187"/>
        <w:gridCol w:w="1045"/>
        <w:gridCol w:w="1045"/>
        <w:gridCol w:w="1045"/>
        <w:gridCol w:w="754"/>
      </w:tblGrid>
      <w:tr w:rsidR="00086131" w:rsidRPr="00460297" w14:paraId="2940581A" w14:textId="77777777" w:rsidTr="00086131">
        <w:trPr>
          <w:trHeight w:val="374"/>
          <w:tblHeader/>
        </w:trPr>
        <w:tc>
          <w:tcPr>
            <w:tcW w:w="509" w:type="pct"/>
            <w:vMerge w:val="restart"/>
            <w:tcBorders>
              <w:top w:val="single" w:sz="4" w:space="0" w:color="auto"/>
              <w:left w:val="single" w:sz="4" w:space="0" w:color="auto"/>
              <w:bottom w:val="single" w:sz="4" w:space="0" w:color="auto"/>
              <w:right w:val="single" w:sz="4" w:space="0" w:color="auto"/>
            </w:tcBorders>
            <w:vAlign w:val="center"/>
            <w:hideMark/>
          </w:tcPr>
          <w:p w14:paraId="4D87330F" w14:textId="77777777" w:rsidR="0025576A" w:rsidRPr="00460297" w:rsidRDefault="0025576A" w:rsidP="002B0E38">
            <w:pPr>
              <w:spacing w:after="0" w:line="240" w:lineRule="auto"/>
              <w:rPr>
                <w:rFonts w:ascii="Cambria" w:eastAsia="Times New Roman" w:hAnsi="Cambria" w:cs="Times New Roman"/>
                <w:b/>
                <w:bCs/>
                <w:i/>
                <w:iCs/>
                <w:color w:val="000000"/>
                <w:sz w:val="18"/>
                <w:szCs w:val="18"/>
              </w:rPr>
            </w:pPr>
            <w:r w:rsidRPr="00460297">
              <w:rPr>
                <w:rFonts w:ascii="Cambria" w:hAnsi="Cambria"/>
                <w:b/>
                <w:i/>
                <w:color w:val="000000"/>
                <w:sz w:val="18"/>
              </w:rPr>
              <w:t>No CPC</w:t>
            </w:r>
          </w:p>
        </w:tc>
        <w:tc>
          <w:tcPr>
            <w:tcW w:w="406" w:type="pct"/>
            <w:vMerge w:val="restart"/>
            <w:tcBorders>
              <w:top w:val="single" w:sz="4" w:space="0" w:color="auto"/>
              <w:left w:val="single" w:sz="4" w:space="0" w:color="auto"/>
              <w:bottom w:val="single" w:sz="4" w:space="0" w:color="auto"/>
              <w:right w:val="single" w:sz="4" w:space="0" w:color="auto"/>
            </w:tcBorders>
            <w:noWrap/>
            <w:vAlign w:val="center"/>
            <w:hideMark/>
          </w:tcPr>
          <w:p w14:paraId="56BEA0E3"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Especies</w:t>
            </w:r>
          </w:p>
        </w:tc>
        <w:tc>
          <w:tcPr>
            <w:tcW w:w="4085" w:type="pct"/>
            <w:gridSpan w:val="10"/>
            <w:tcBorders>
              <w:top w:val="single" w:sz="4" w:space="0" w:color="auto"/>
              <w:left w:val="nil"/>
              <w:bottom w:val="single" w:sz="4" w:space="0" w:color="auto"/>
              <w:right w:val="single" w:sz="4" w:space="0" w:color="auto"/>
            </w:tcBorders>
            <w:noWrap/>
            <w:vAlign w:val="center"/>
            <w:hideMark/>
          </w:tcPr>
          <w:p w14:paraId="6A2F0785"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Capturas por año (t)</w:t>
            </w:r>
          </w:p>
        </w:tc>
      </w:tr>
      <w:tr w:rsidR="002B0E38" w:rsidRPr="00460297" w14:paraId="48C40FBA" w14:textId="77777777" w:rsidTr="00086131">
        <w:trPr>
          <w:trHeight w:val="377"/>
        </w:trPr>
        <w:tc>
          <w:tcPr>
            <w:tcW w:w="509" w:type="pct"/>
            <w:vMerge/>
            <w:tcBorders>
              <w:top w:val="single" w:sz="4" w:space="0" w:color="auto"/>
              <w:left w:val="single" w:sz="4" w:space="0" w:color="auto"/>
              <w:bottom w:val="single" w:sz="4" w:space="0" w:color="auto"/>
              <w:right w:val="single" w:sz="4" w:space="0" w:color="auto"/>
            </w:tcBorders>
            <w:vAlign w:val="center"/>
            <w:hideMark/>
          </w:tcPr>
          <w:p w14:paraId="2480AEAB" w14:textId="77777777" w:rsidR="0025576A" w:rsidRPr="00460297" w:rsidRDefault="0025576A" w:rsidP="002B0E38">
            <w:pPr>
              <w:spacing w:after="0" w:line="240" w:lineRule="auto"/>
              <w:rPr>
                <w:rFonts w:ascii="Cambria" w:eastAsia="Times New Roman" w:hAnsi="Cambria" w:cs="Times New Roman"/>
                <w:b/>
                <w:bCs/>
                <w:i/>
                <w:iCs/>
                <w:color w:val="000000"/>
                <w:sz w:val="18"/>
                <w:szCs w:val="18"/>
                <w:lang w:eastAsia="en-GB"/>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B9AC10"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90AC8C4"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2015</w:t>
            </w:r>
          </w:p>
        </w:tc>
        <w:tc>
          <w:tcPr>
            <w:tcW w:w="452" w:type="pct"/>
            <w:tcBorders>
              <w:top w:val="nil"/>
              <w:left w:val="nil"/>
              <w:bottom w:val="single" w:sz="4" w:space="0" w:color="auto"/>
              <w:right w:val="single" w:sz="4" w:space="0" w:color="auto"/>
            </w:tcBorders>
            <w:noWrap/>
            <w:vAlign w:val="center"/>
            <w:hideMark/>
          </w:tcPr>
          <w:p w14:paraId="1DC4D0DC"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2016</w:t>
            </w:r>
          </w:p>
        </w:tc>
        <w:tc>
          <w:tcPr>
            <w:tcW w:w="452" w:type="pct"/>
            <w:tcBorders>
              <w:top w:val="nil"/>
              <w:left w:val="nil"/>
              <w:bottom w:val="single" w:sz="4" w:space="0" w:color="auto"/>
              <w:right w:val="single" w:sz="4" w:space="0" w:color="auto"/>
            </w:tcBorders>
            <w:noWrap/>
            <w:vAlign w:val="center"/>
            <w:hideMark/>
          </w:tcPr>
          <w:p w14:paraId="228D509B"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2017</w:t>
            </w:r>
          </w:p>
        </w:tc>
        <w:tc>
          <w:tcPr>
            <w:tcW w:w="398" w:type="pct"/>
            <w:tcBorders>
              <w:top w:val="nil"/>
              <w:left w:val="nil"/>
              <w:bottom w:val="single" w:sz="4" w:space="0" w:color="auto"/>
              <w:right w:val="single" w:sz="4" w:space="0" w:color="auto"/>
            </w:tcBorders>
            <w:noWrap/>
            <w:vAlign w:val="center"/>
            <w:hideMark/>
          </w:tcPr>
          <w:p w14:paraId="225A0521"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2018</w:t>
            </w:r>
          </w:p>
        </w:tc>
        <w:tc>
          <w:tcPr>
            <w:tcW w:w="398" w:type="pct"/>
            <w:tcBorders>
              <w:top w:val="nil"/>
              <w:left w:val="nil"/>
              <w:bottom w:val="single" w:sz="4" w:space="0" w:color="auto"/>
              <w:right w:val="single" w:sz="4" w:space="0" w:color="auto"/>
            </w:tcBorders>
            <w:noWrap/>
            <w:vAlign w:val="center"/>
            <w:hideMark/>
          </w:tcPr>
          <w:p w14:paraId="72838D04"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2019</w:t>
            </w:r>
          </w:p>
        </w:tc>
        <w:tc>
          <w:tcPr>
            <w:tcW w:w="452" w:type="pct"/>
            <w:tcBorders>
              <w:top w:val="nil"/>
              <w:left w:val="nil"/>
              <w:bottom w:val="single" w:sz="4" w:space="0" w:color="auto"/>
              <w:right w:val="single" w:sz="4" w:space="0" w:color="auto"/>
            </w:tcBorders>
            <w:noWrap/>
            <w:vAlign w:val="center"/>
            <w:hideMark/>
          </w:tcPr>
          <w:p w14:paraId="3BC5BDFA"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2020</w:t>
            </w:r>
          </w:p>
        </w:tc>
        <w:tc>
          <w:tcPr>
            <w:tcW w:w="398" w:type="pct"/>
            <w:tcBorders>
              <w:top w:val="nil"/>
              <w:left w:val="nil"/>
              <w:bottom w:val="single" w:sz="4" w:space="0" w:color="auto"/>
              <w:right w:val="single" w:sz="4" w:space="0" w:color="auto"/>
            </w:tcBorders>
            <w:noWrap/>
            <w:vAlign w:val="center"/>
            <w:hideMark/>
          </w:tcPr>
          <w:p w14:paraId="2C15EC79"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2021</w:t>
            </w:r>
          </w:p>
        </w:tc>
        <w:tc>
          <w:tcPr>
            <w:tcW w:w="398" w:type="pct"/>
            <w:tcBorders>
              <w:top w:val="nil"/>
              <w:left w:val="nil"/>
              <w:bottom w:val="single" w:sz="4" w:space="0" w:color="auto"/>
              <w:right w:val="single" w:sz="4" w:space="0" w:color="auto"/>
            </w:tcBorders>
            <w:noWrap/>
            <w:vAlign w:val="center"/>
            <w:hideMark/>
          </w:tcPr>
          <w:p w14:paraId="601DB0D3"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2022</w:t>
            </w:r>
          </w:p>
        </w:tc>
        <w:tc>
          <w:tcPr>
            <w:tcW w:w="398" w:type="pct"/>
            <w:tcBorders>
              <w:top w:val="nil"/>
              <w:left w:val="nil"/>
              <w:bottom w:val="single" w:sz="4" w:space="0" w:color="auto"/>
              <w:right w:val="single" w:sz="4" w:space="0" w:color="auto"/>
            </w:tcBorders>
            <w:noWrap/>
            <w:vAlign w:val="center"/>
            <w:hideMark/>
          </w:tcPr>
          <w:p w14:paraId="6E158ACE"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2023</w:t>
            </w:r>
          </w:p>
        </w:tc>
        <w:tc>
          <w:tcPr>
            <w:tcW w:w="286" w:type="pct"/>
            <w:tcBorders>
              <w:top w:val="nil"/>
              <w:left w:val="nil"/>
              <w:bottom w:val="single" w:sz="4" w:space="0" w:color="auto"/>
              <w:right w:val="single" w:sz="4" w:space="0" w:color="auto"/>
            </w:tcBorders>
            <w:noWrap/>
            <w:vAlign w:val="center"/>
            <w:hideMark/>
          </w:tcPr>
          <w:p w14:paraId="4B7B0037" w14:textId="77777777" w:rsidR="0025576A" w:rsidRPr="00460297" w:rsidRDefault="0025576A" w:rsidP="00086131">
            <w:pPr>
              <w:spacing w:after="0" w:line="240" w:lineRule="auto"/>
              <w:jc w:val="center"/>
              <w:rPr>
                <w:rFonts w:ascii="Cambria" w:eastAsia="Times New Roman" w:hAnsi="Cambria" w:cs="Times New Roman"/>
                <w:b/>
                <w:bCs/>
                <w:i/>
                <w:iCs/>
                <w:color w:val="000000"/>
                <w:sz w:val="18"/>
                <w:szCs w:val="18"/>
              </w:rPr>
            </w:pPr>
            <w:r w:rsidRPr="00460297">
              <w:rPr>
                <w:rFonts w:ascii="Cambria" w:hAnsi="Cambria"/>
                <w:b/>
                <w:i/>
                <w:color w:val="000000"/>
                <w:sz w:val="18"/>
              </w:rPr>
              <w:t>2024</w:t>
            </w:r>
          </w:p>
        </w:tc>
      </w:tr>
      <w:tr w:rsidR="00086131" w:rsidRPr="00460297" w14:paraId="2169B6D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49C32EE"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18"/>
              </w:rPr>
              <w:t>Dominica</w:t>
            </w:r>
          </w:p>
        </w:tc>
        <w:tc>
          <w:tcPr>
            <w:tcW w:w="406" w:type="pct"/>
            <w:tcBorders>
              <w:top w:val="nil"/>
              <w:left w:val="nil"/>
              <w:bottom w:val="single" w:sz="4" w:space="0" w:color="auto"/>
              <w:right w:val="single" w:sz="4" w:space="0" w:color="auto"/>
            </w:tcBorders>
            <w:noWrap/>
            <w:vAlign w:val="center"/>
            <w:hideMark/>
          </w:tcPr>
          <w:p w14:paraId="175A9E9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ALB</w:t>
            </w:r>
          </w:p>
        </w:tc>
        <w:tc>
          <w:tcPr>
            <w:tcW w:w="452" w:type="pct"/>
            <w:tcBorders>
              <w:top w:val="nil"/>
              <w:left w:val="nil"/>
              <w:bottom w:val="single" w:sz="4" w:space="0" w:color="auto"/>
              <w:right w:val="single" w:sz="4" w:space="0" w:color="auto"/>
            </w:tcBorders>
            <w:noWrap/>
            <w:vAlign w:val="center"/>
            <w:hideMark/>
          </w:tcPr>
          <w:p w14:paraId="0A81ECC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1,25</w:t>
            </w:r>
          </w:p>
        </w:tc>
        <w:tc>
          <w:tcPr>
            <w:tcW w:w="452" w:type="pct"/>
            <w:tcBorders>
              <w:top w:val="nil"/>
              <w:left w:val="nil"/>
              <w:bottom w:val="single" w:sz="4" w:space="0" w:color="auto"/>
              <w:right w:val="single" w:sz="4" w:space="0" w:color="auto"/>
            </w:tcBorders>
            <w:noWrap/>
            <w:vAlign w:val="center"/>
            <w:hideMark/>
          </w:tcPr>
          <w:p w14:paraId="3566634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0,84</w:t>
            </w:r>
          </w:p>
        </w:tc>
        <w:tc>
          <w:tcPr>
            <w:tcW w:w="452" w:type="pct"/>
            <w:tcBorders>
              <w:top w:val="nil"/>
              <w:left w:val="nil"/>
              <w:bottom w:val="single" w:sz="4" w:space="0" w:color="auto"/>
              <w:right w:val="single" w:sz="4" w:space="0" w:color="auto"/>
            </w:tcBorders>
            <w:noWrap/>
            <w:vAlign w:val="center"/>
            <w:hideMark/>
          </w:tcPr>
          <w:p w14:paraId="33FC008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1,22</w:t>
            </w:r>
          </w:p>
        </w:tc>
        <w:tc>
          <w:tcPr>
            <w:tcW w:w="398" w:type="pct"/>
            <w:tcBorders>
              <w:top w:val="nil"/>
              <w:left w:val="nil"/>
              <w:bottom w:val="single" w:sz="4" w:space="0" w:color="auto"/>
              <w:right w:val="single" w:sz="4" w:space="0" w:color="auto"/>
            </w:tcBorders>
            <w:noWrap/>
            <w:vAlign w:val="center"/>
            <w:hideMark/>
          </w:tcPr>
          <w:p w14:paraId="65ACEB1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0,13</w:t>
            </w:r>
          </w:p>
        </w:tc>
        <w:tc>
          <w:tcPr>
            <w:tcW w:w="398" w:type="pct"/>
            <w:tcBorders>
              <w:top w:val="nil"/>
              <w:left w:val="nil"/>
              <w:bottom w:val="single" w:sz="4" w:space="0" w:color="auto"/>
              <w:right w:val="single" w:sz="4" w:space="0" w:color="auto"/>
            </w:tcBorders>
            <w:noWrap/>
            <w:vAlign w:val="center"/>
            <w:hideMark/>
          </w:tcPr>
          <w:p w14:paraId="35C2FBF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1,63</w:t>
            </w:r>
          </w:p>
        </w:tc>
        <w:tc>
          <w:tcPr>
            <w:tcW w:w="452" w:type="pct"/>
            <w:tcBorders>
              <w:top w:val="nil"/>
              <w:left w:val="nil"/>
              <w:bottom w:val="single" w:sz="4" w:space="0" w:color="auto"/>
              <w:right w:val="single" w:sz="4" w:space="0" w:color="auto"/>
            </w:tcBorders>
            <w:noWrap/>
            <w:vAlign w:val="center"/>
            <w:hideMark/>
          </w:tcPr>
          <w:p w14:paraId="1447FD5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0,48</w:t>
            </w:r>
          </w:p>
        </w:tc>
        <w:tc>
          <w:tcPr>
            <w:tcW w:w="398" w:type="pct"/>
            <w:tcBorders>
              <w:top w:val="nil"/>
              <w:left w:val="nil"/>
              <w:bottom w:val="single" w:sz="4" w:space="0" w:color="auto"/>
              <w:right w:val="single" w:sz="4" w:space="0" w:color="auto"/>
            </w:tcBorders>
            <w:noWrap/>
            <w:vAlign w:val="center"/>
            <w:hideMark/>
          </w:tcPr>
          <w:p w14:paraId="28CE62DF" w14:textId="74D6C7A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0B3D94F" w14:textId="6EB6EFE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EA46C70" w14:textId="7B1DF8E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64E0DC2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r>
      <w:tr w:rsidR="00086131" w:rsidRPr="00460297" w14:paraId="78DA0A8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F98B35E"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02605B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AMB</w:t>
            </w:r>
          </w:p>
        </w:tc>
        <w:tc>
          <w:tcPr>
            <w:tcW w:w="452" w:type="pct"/>
            <w:tcBorders>
              <w:top w:val="nil"/>
              <w:left w:val="nil"/>
              <w:bottom w:val="single" w:sz="4" w:space="0" w:color="auto"/>
              <w:right w:val="single" w:sz="4" w:space="0" w:color="auto"/>
            </w:tcBorders>
            <w:noWrap/>
            <w:vAlign w:val="center"/>
            <w:hideMark/>
          </w:tcPr>
          <w:p w14:paraId="5DB7601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1,89</w:t>
            </w:r>
          </w:p>
        </w:tc>
        <w:tc>
          <w:tcPr>
            <w:tcW w:w="452" w:type="pct"/>
            <w:tcBorders>
              <w:top w:val="nil"/>
              <w:left w:val="nil"/>
              <w:bottom w:val="single" w:sz="4" w:space="0" w:color="auto"/>
              <w:right w:val="single" w:sz="4" w:space="0" w:color="auto"/>
            </w:tcBorders>
            <w:noWrap/>
            <w:vAlign w:val="center"/>
            <w:hideMark/>
          </w:tcPr>
          <w:p w14:paraId="5EEEBEF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0,08</w:t>
            </w:r>
          </w:p>
        </w:tc>
        <w:tc>
          <w:tcPr>
            <w:tcW w:w="452" w:type="pct"/>
            <w:tcBorders>
              <w:top w:val="nil"/>
              <w:left w:val="nil"/>
              <w:bottom w:val="single" w:sz="4" w:space="0" w:color="auto"/>
              <w:right w:val="single" w:sz="4" w:space="0" w:color="auto"/>
            </w:tcBorders>
            <w:noWrap/>
            <w:vAlign w:val="center"/>
            <w:hideMark/>
          </w:tcPr>
          <w:p w14:paraId="08216E7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398" w:type="pct"/>
            <w:tcBorders>
              <w:top w:val="nil"/>
              <w:left w:val="nil"/>
              <w:bottom w:val="single" w:sz="4" w:space="0" w:color="auto"/>
              <w:right w:val="single" w:sz="4" w:space="0" w:color="auto"/>
            </w:tcBorders>
            <w:noWrap/>
            <w:vAlign w:val="center"/>
            <w:hideMark/>
          </w:tcPr>
          <w:p w14:paraId="059879F2" w14:textId="47E3D37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58AE5C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452" w:type="pct"/>
            <w:tcBorders>
              <w:top w:val="nil"/>
              <w:left w:val="nil"/>
              <w:bottom w:val="single" w:sz="4" w:space="0" w:color="auto"/>
              <w:right w:val="single" w:sz="4" w:space="0" w:color="auto"/>
            </w:tcBorders>
            <w:noWrap/>
            <w:vAlign w:val="center"/>
            <w:hideMark/>
          </w:tcPr>
          <w:p w14:paraId="7C9E956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0,32</w:t>
            </w:r>
          </w:p>
        </w:tc>
        <w:tc>
          <w:tcPr>
            <w:tcW w:w="398" w:type="pct"/>
            <w:tcBorders>
              <w:top w:val="nil"/>
              <w:left w:val="nil"/>
              <w:bottom w:val="single" w:sz="4" w:space="0" w:color="auto"/>
              <w:right w:val="single" w:sz="4" w:space="0" w:color="auto"/>
            </w:tcBorders>
            <w:noWrap/>
            <w:vAlign w:val="center"/>
            <w:hideMark/>
          </w:tcPr>
          <w:p w14:paraId="6AD59502" w14:textId="0A33A88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C267C9" w14:textId="7AD56DB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3145FD1" w14:textId="68DF703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FAC8793" w14:textId="5EE1646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AEFEC8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FD223F2"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BB9EB8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AWI</w:t>
            </w:r>
            <w:proofErr w:type="spellEnd"/>
          </w:p>
        </w:tc>
        <w:tc>
          <w:tcPr>
            <w:tcW w:w="452" w:type="pct"/>
            <w:tcBorders>
              <w:top w:val="nil"/>
              <w:left w:val="nil"/>
              <w:bottom w:val="single" w:sz="4" w:space="0" w:color="auto"/>
              <w:right w:val="single" w:sz="4" w:space="0" w:color="auto"/>
            </w:tcBorders>
            <w:noWrap/>
            <w:vAlign w:val="center"/>
            <w:hideMark/>
          </w:tcPr>
          <w:p w14:paraId="468D9A7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0,10</w:t>
            </w:r>
          </w:p>
        </w:tc>
        <w:tc>
          <w:tcPr>
            <w:tcW w:w="452" w:type="pct"/>
            <w:tcBorders>
              <w:top w:val="nil"/>
              <w:left w:val="nil"/>
              <w:bottom w:val="single" w:sz="4" w:space="0" w:color="auto"/>
              <w:right w:val="single" w:sz="4" w:space="0" w:color="auto"/>
            </w:tcBorders>
            <w:noWrap/>
            <w:vAlign w:val="center"/>
            <w:hideMark/>
          </w:tcPr>
          <w:p w14:paraId="416BD42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452" w:type="pct"/>
            <w:tcBorders>
              <w:top w:val="nil"/>
              <w:left w:val="nil"/>
              <w:bottom w:val="single" w:sz="4" w:space="0" w:color="auto"/>
              <w:right w:val="single" w:sz="4" w:space="0" w:color="auto"/>
            </w:tcBorders>
            <w:noWrap/>
            <w:vAlign w:val="center"/>
            <w:hideMark/>
          </w:tcPr>
          <w:p w14:paraId="60B76902" w14:textId="07D646A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744677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398" w:type="pct"/>
            <w:tcBorders>
              <w:top w:val="nil"/>
              <w:left w:val="nil"/>
              <w:bottom w:val="single" w:sz="4" w:space="0" w:color="auto"/>
              <w:right w:val="single" w:sz="4" w:space="0" w:color="auto"/>
            </w:tcBorders>
            <w:noWrap/>
            <w:vAlign w:val="center"/>
            <w:hideMark/>
          </w:tcPr>
          <w:p w14:paraId="16411B3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452" w:type="pct"/>
            <w:tcBorders>
              <w:top w:val="nil"/>
              <w:left w:val="nil"/>
              <w:bottom w:val="single" w:sz="4" w:space="0" w:color="auto"/>
              <w:right w:val="single" w:sz="4" w:space="0" w:color="auto"/>
            </w:tcBorders>
            <w:noWrap/>
            <w:vAlign w:val="center"/>
            <w:hideMark/>
          </w:tcPr>
          <w:p w14:paraId="5ABECE32" w14:textId="4261FA3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4F9489A" w14:textId="43C9FA7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A632020" w14:textId="369B385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7D43FD8" w14:textId="7BCD64E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04A2219B" w14:textId="11A3EE9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5C50AC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1510FB8"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DD4CD2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BAZ</w:t>
            </w:r>
          </w:p>
        </w:tc>
        <w:tc>
          <w:tcPr>
            <w:tcW w:w="452" w:type="pct"/>
            <w:tcBorders>
              <w:top w:val="nil"/>
              <w:left w:val="nil"/>
              <w:bottom w:val="single" w:sz="4" w:space="0" w:color="auto"/>
              <w:right w:val="single" w:sz="4" w:space="0" w:color="auto"/>
            </w:tcBorders>
            <w:noWrap/>
            <w:vAlign w:val="center"/>
            <w:hideMark/>
          </w:tcPr>
          <w:p w14:paraId="47D00E3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4,72</w:t>
            </w:r>
          </w:p>
        </w:tc>
        <w:tc>
          <w:tcPr>
            <w:tcW w:w="452" w:type="pct"/>
            <w:tcBorders>
              <w:top w:val="nil"/>
              <w:left w:val="nil"/>
              <w:bottom w:val="single" w:sz="4" w:space="0" w:color="auto"/>
              <w:right w:val="single" w:sz="4" w:space="0" w:color="auto"/>
            </w:tcBorders>
            <w:noWrap/>
            <w:vAlign w:val="center"/>
            <w:hideMark/>
          </w:tcPr>
          <w:p w14:paraId="13BD354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3,17</w:t>
            </w:r>
          </w:p>
        </w:tc>
        <w:tc>
          <w:tcPr>
            <w:tcW w:w="452" w:type="pct"/>
            <w:tcBorders>
              <w:top w:val="nil"/>
              <w:left w:val="nil"/>
              <w:bottom w:val="single" w:sz="4" w:space="0" w:color="auto"/>
              <w:right w:val="single" w:sz="4" w:space="0" w:color="auto"/>
            </w:tcBorders>
            <w:noWrap/>
            <w:vAlign w:val="center"/>
            <w:hideMark/>
          </w:tcPr>
          <w:p w14:paraId="5CB1EFE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2,05</w:t>
            </w:r>
          </w:p>
        </w:tc>
        <w:tc>
          <w:tcPr>
            <w:tcW w:w="398" w:type="pct"/>
            <w:tcBorders>
              <w:top w:val="nil"/>
              <w:left w:val="nil"/>
              <w:bottom w:val="single" w:sz="4" w:space="0" w:color="auto"/>
              <w:right w:val="single" w:sz="4" w:space="0" w:color="auto"/>
            </w:tcBorders>
            <w:noWrap/>
            <w:vAlign w:val="center"/>
            <w:hideMark/>
          </w:tcPr>
          <w:p w14:paraId="314E896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2,47</w:t>
            </w:r>
          </w:p>
        </w:tc>
        <w:tc>
          <w:tcPr>
            <w:tcW w:w="398" w:type="pct"/>
            <w:tcBorders>
              <w:top w:val="nil"/>
              <w:left w:val="nil"/>
              <w:bottom w:val="single" w:sz="4" w:space="0" w:color="auto"/>
              <w:right w:val="single" w:sz="4" w:space="0" w:color="auto"/>
            </w:tcBorders>
            <w:noWrap/>
            <w:vAlign w:val="center"/>
            <w:hideMark/>
          </w:tcPr>
          <w:p w14:paraId="2CFB002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4,84</w:t>
            </w:r>
          </w:p>
        </w:tc>
        <w:tc>
          <w:tcPr>
            <w:tcW w:w="452" w:type="pct"/>
            <w:tcBorders>
              <w:top w:val="nil"/>
              <w:left w:val="nil"/>
              <w:bottom w:val="single" w:sz="4" w:space="0" w:color="auto"/>
              <w:right w:val="single" w:sz="4" w:space="0" w:color="auto"/>
            </w:tcBorders>
            <w:noWrap/>
            <w:vAlign w:val="center"/>
            <w:hideMark/>
          </w:tcPr>
          <w:p w14:paraId="3440AA2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4,01</w:t>
            </w:r>
          </w:p>
        </w:tc>
        <w:tc>
          <w:tcPr>
            <w:tcW w:w="398" w:type="pct"/>
            <w:tcBorders>
              <w:top w:val="nil"/>
              <w:left w:val="nil"/>
              <w:bottom w:val="single" w:sz="4" w:space="0" w:color="auto"/>
              <w:right w:val="single" w:sz="4" w:space="0" w:color="auto"/>
            </w:tcBorders>
            <w:noWrap/>
            <w:vAlign w:val="center"/>
            <w:hideMark/>
          </w:tcPr>
          <w:p w14:paraId="2FCDAFC2" w14:textId="590420F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0DC616C" w14:textId="0E7294D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1922BB3" w14:textId="5CC459B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FA34618" w14:textId="73B28D0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97758E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33B66D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8E5D55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BEN</w:t>
            </w:r>
          </w:p>
        </w:tc>
        <w:tc>
          <w:tcPr>
            <w:tcW w:w="452" w:type="pct"/>
            <w:tcBorders>
              <w:top w:val="nil"/>
              <w:left w:val="nil"/>
              <w:bottom w:val="single" w:sz="4" w:space="0" w:color="auto"/>
              <w:right w:val="single" w:sz="4" w:space="0" w:color="auto"/>
            </w:tcBorders>
            <w:noWrap/>
            <w:vAlign w:val="center"/>
            <w:hideMark/>
          </w:tcPr>
          <w:p w14:paraId="24367F7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10,33</w:t>
            </w:r>
          </w:p>
        </w:tc>
        <w:tc>
          <w:tcPr>
            <w:tcW w:w="452" w:type="pct"/>
            <w:tcBorders>
              <w:top w:val="nil"/>
              <w:left w:val="nil"/>
              <w:bottom w:val="single" w:sz="4" w:space="0" w:color="auto"/>
              <w:right w:val="single" w:sz="4" w:space="0" w:color="auto"/>
            </w:tcBorders>
            <w:noWrap/>
            <w:vAlign w:val="center"/>
            <w:hideMark/>
          </w:tcPr>
          <w:p w14:paraId="59C5B54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8,85</w:t>
            </w:r>
          </w:p>
        </w:tc>
        <w:tc>
          <w:tcPr>
            <w:tcW w:w="452" w:type="pct"/>
            <w:tcBorders>
              <w:top w:val="nil"/>
              <w:left w:val="nil"/>
              <w:bottom w:val="single" w:sz="4" w:space="0" w:color="auto"/>
              <w:right w:val="single" w:sz="4" w:space="0" w:color="auto"/>
            </w:tcBorders>
            <w:noWrap/>
            <w:vAlign w:val="center"/>
            <w:hideMark/>
          </w:tcPr>
          <w:p w14:paraId="10C74619" w14:textId="23D8632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7D8EB7F" w14:textId="3F61093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7CF4CBD" w14:textId="08AB5D5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6BFD431" w14:textId="3128D50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83C13FF" w14:textId="06825CF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3D80052" w14:textId="52364D1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09105BB" w14:textId="083977B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695BCC3" w14:textId="1FB2EFC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D5932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29AB4D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4187FE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BET</w:t>
            </w:r>
            <w:proofErr w:type="spellEnd"/>
          </w:p>
        </w:tc>
        <w:tc>
          <w:tcPr>
            <w:tcW w:w="452" w:type="pct"/>
            <w:tcBorders>
              <w:top w:val="nil"/>
              <w:left w:val="nil"/>
              <w:bottom w:val="single" w:sz="4" w:space="0" w:color="auto"/>
              <w:right w:val="single" w:sz="4" w:space="0" w:color="auto"/>
            </w:tcBorders>
            <w:noWrap/>
            <w:vAlign w:val="center"/>
            <w:hideMark/>
          </w:tcPr>
          <w:p w14:paraId="1AEFE56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0,14</w:t>
            </w:r>
          </w:p>
        </w:tc>
        <w:tc>
          <w:tcPr>
            <w:tcW w:w="452" w:type="pct"/>
            <w:tcBorders>
              <w:top w:val="nil"/>
              <w:left w:val="nil"/>
              <w:bottom w:val="single" w:sz="4" w:space="0" w:color="auto"/>
              <w:right w:val="single" w:sz="4" w:space="0" w:color="auto"/>
            </w:tcBorders>
            <w:noWrap/>
            <w:vAlign w:val="center"/>
            <w:hideMark/>
          </w:tcPr>
          <w:p w14:paraId="003FD55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0,19</w:t>
            </w:r>
          </w:p>
        </w:tc>
        <w:tc>
          <w:tcPr>
            <w:tcW w:w="452" w:type="pct"/>
            <w:tcBorders>
              <w:top w:val="nil"/>
              <w:left w:val="nil"/>
              <w:bottom w:val="single" w:sz="4" w:space="0" w:color="auto"/>
              <w:right w:val="single" w:sz="4" w:space="0" w:color="auto"/>
            </w:tcBorders>
            <w:noWrap/>
            <w:vAlign w:val="center"/>
            <w:hideMark/>
          </w:tcPr>
          <w:p w14:paraId="2BE8444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0,39</w:t>
            </w:r>
          </w:p>
        </w:tc>
        <w:tc>
          <w:tcPr>
            <w:tcW w:w="398" w:type="pct"/>
            <w:tcBorders>
              <w:top w:val="nil"/>
              <w:left w:val="nil"/>
              <w:bottom w:val="single" w:sz="4" w:space="0" w:color="auto"/>
              <w:right w:val="single" w:sz="4" w:space="0" w:color="auto"/>
            </w:tcBorders>
            <w:noWrap/>
            <w:vAlign w:val="center"/>
            <w:hideMark/>
          </w:tcPr>
          <w:p w14:paraId="0890DB5A" w14:textId="2EA4F9D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83BAEFD" w14:textId="0A11531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4B4E89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0,20</w:t>
            </w:r>
          </w:p>
        </w:tc>
        <w:tc>
          <w:tcPr>
            <w:tcW w:w="398" w:type="pct"/>
            <w:tcBorders>
              <w:top w:val="nil"/>
              <w:left w:val="nil"/>
              <w:bottom w:val="single" w:sz="4" w:space="0" w:color="auto"/>
              <w:right w:val="single" w:sz="4" w:space="0" w:color="auto"/>
            </w:tcBorders>
            <w:noWrap/>
            <w:vAlign w:val="center"/>
            <w:hideMark/>
          </w:tcPr>
          <w:p w14:paraId="0B4BCA0A" w14:textId="55AD9D1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592ABA9" w14:textId="006FEE8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6D05DEB" w14:textId="611F220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2AFCD06" w14:textId="0268ACE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F14CE0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1E1F285"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4218AF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BFT</w:t>
            </w:r>
          </w:p>
        </w:tc>
        <w:tc>
          <w:tcPr>
            <w:tcW w:w="452" w:type="pct"/>
            <w:tcBorders>
              <w:top w:val="nil"/>
              <w:left w:val="nil"/>
              <w:bottom w:val="single" w:sz="4" w:space="0" w:color="auto"/>
              <w:right w:val="single" w:sz="4" w:space="0" w:color="auto"/>
            </w:tcBorders>
            <w:noWrap/>
            <w:vAlign w:val="center"/>
            <w:hideMark/>
          </w:tcPr>
          <w:p w14:paraId="45DD1DD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452" w:type="pct"/>
            <w:tcBorders>
              <w:top w:val="nil"/>
              <w:left w:val="nil"/>
              <w:bottom w:val="single" w:sz="4" w:space="0" w:color="auto"/>
              <w:right w:val="single" w:sz="4" w:space="0" w:color="auto"/>
            </w:tcBorders>
            <w:noWrap/>
            <w:vAlign w:val="center"/>
            <w:hideMark/>
          </w:tcPr>
          <w:p w14:paraId="4ECEA18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c>
          <w:tcPr>
            <w:tcW w:w="452" w:type="pct"/>
            <w:tcBorders>
              <w:top w:val="nil"/>
              <w:left w:val="nil"/>
              <w:bottom w:val="single" w:sz="4" w:space="0" w:color="auto"/>
              <w:right w:val="single" w:sz="4" w:space="0" w:color="auto"/>
            </w:tcBorders>
            <w:noWrap/>
            <w:vAlign w:val="center"/>
            <w:hideMark/>
          </w:tcPr>
          <w:p w14:paraId="6817FC34" w14:textId="04BECB4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B334542" w14:textId="2688373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8F4E42B" w14:textId="52BADEB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5E234BD" w14:textId="65FFB1D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0E1EE3" w14:textId="1D57727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2C3B757" w14:textId="3ECEC00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95D6C63" w14:textId="1CAAB2D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6013B508" w14:textId="5B9C1FE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60D3CC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C31698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EAAC28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BLF</w:t>
            </w:r>
            <w:proofErr w:type="spellEnd"/>
          </w:p>
        </w:tc>
        <w:tc>
          <w:tcPr>
            <w:tcW w:w="452" w:type="pct"/>
            <w:tcBorders>
              <w:top w:val="nil"/>
              <w:left w:val="nil"/>
              <w:bottom w:val="single" w:sz="4" w:space="0" w:color="auto"/>
              <w:right w:val="single" w:sz="4" w:space="0" w:color="auto"/>
            </w:tcBorders>
            <w:noWrap/>
            <w:vAlign w:val="center"/>
            <w:hideMark/>
          </w:tcPr>
          <w:p w14:paraId="57F678E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23,95</w:t>
            </w:r>
          </w:p>
        </w:tc>
        <w:tc>
          <w:tcPr>
            <w:tcW w:w="452" w:type="pct"/>
            <w:tcBorders>
              <w:top w:val="nil"/>
              <w:left w:val="nil"/>
              <w:bottom w:val="single" w:sz="4" w:space="0" w:color="auto"/>
              <w:right w:val="single" w:sz="4" w:space="0" w:color="auto"/>
            </w:tcBorders>
            <w:noWrap/>
            <w:vAlign w:val="center"/>
            <w:hideMark/>
          </w:tcPr>
          <w:p w14:paraId="258851E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33,69</w:t>
            </w:r>
          </w:p>
        </w:tc>
        <w:tc>
          <w:tcPr>
            <w:tcW w:w="452" w:type="pct"/>
            <w:tcBorders>
              <w:top w:val="nil"/>
              <w:left w:val="nil"/>
              <w:bottom w:val="single" w:sz="4" w:space="0" w:color="auto"/>
              <w:right w:val="single" w:sz="4" w:space="0" w:color="auto"/>
            </w:tcBorders>
            <w:noWrap/>
            <w:vAlign w:val="center"/>
            <w:hideMark/>
          </w:tcPr>
          <w:p w14:paraId="79BA5ED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33,59</w:t>
            </w:r>
          </w:p>
        </w:tc>
        <w:tc>
          <w:tcPr>
            <w:tcW w:w="398" w:type="pct"/>
            <w:tcBorders>
              <w:top w:val="nil"/>
              <w:left w:val="nil"/>
              <w:bottom w:val="single" w:sz="4" w:space="0" w:color="auto"/>
              <w:right w:val="single" w:sz="4" w:space="0" w:color="auto"/>
            </w:tcBorders>
            <w:noWrap/>
            <w:vAlign w:val="center"/>
            <w:hideMark/>
          </w:tcPr>
          <w:p w14:paraId="7DD5FF4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17,48</w:t>
            </w:r>
          </w:p>
        </w:tc>
        <w:tc>
          <w:tcPr>
            <w:tcW w:w="398" w:type="pct"/>
            <w:tcBorders>
              <w:top w:val="nil"/>
              <w:left w:val="nil"/>
              <w:bottom w:val="single" w:sz="4" w:space="0" w:color="auto"/>
              <w:right w:val="single" w:sz="4" w:space="0" w:color="auto"/>
            </w:tcBorders>
            <w:noWrap/>
            <w:vAlign w:val="center"/>
            <w:hideMark/>
          </w:tcPr>
          <w:p w14:paraId="15AE38A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23,82</w:t>
            </w:r>
          </w:p>
        </w:tc>
        <w:tc>
          <w:tcPr>
            <w:tcW w:w="452" w:type="pct"/>
            <w:tcBorders>
              <w:top w:val="nil"/>
              <w:left w:val="nil"/>
              <w:bottom w:val="single" w:sz="4" w:space="0" w:color="auto"/>
              <w:right w:val="single" w:sz="4" w:space="0" w:color="auto"/>
            </w:tcBorders>
            <w:noWrap/>
            <w:vAlign w:val="center"/>
            <w:hideMark/>
          </w:tcPr>
          <w:p w14:paraId="57C048F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8,24</w:t>
            </w:r>
          </w:p>
        </w:tc>
        <w:tc>
          <w:tcPr>
            <w:tcW w:w="398" w:type="pct"/>
            <w:tcBorders>
              <w:top w:val="nil"/>
              <w:left w:val="nil"/>
              <w:bottom w:val="single" w:sz="4" w:space="0" w:color="auto"/>
              <w:right w:val="single" w:sz="4" w:space="0" w:color="auto"/>
            </w:tcBorders>
            <w:noWrap/>
            <w:vAlign w:val="center"/>
            <w:hideMark/>
          </w:tcPr>
          <w:p w14:paraId="06BD0873" w14:textId="0F80981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CF9E4E4" w14:textId="5356920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9CED2C0" w14:textId="3B2CE5D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E77D402" w14:textId="4479638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2FF118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4E14EEC"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29D892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BON</w:t>
            </w:r>
          </w:p>
        </w:tc>
        <w:tc>
          <w:tcPr>
            <w:tcW w:w="452" w:type="pct"/>
            <w:tcBorders>
              <w:top w:val="nil"/>
              <w:left w:val="nil"/>
              <w:bottom w:val="single" w:sz="4" w:space="0" w:color="auto"/>
              <w:right w:val="single" w:sz="4" w:space="0" w:color="auto"/>
            </w:tcBorders>
            <w:noWrap/>
            <w:vAlign w:val="center"/>
            <w:hideMark/>
          </w:tcPr>
          <w:p w14:paraId="20A379B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2,32</w:t>
            </w:r>
          </w:p>
        </w:tc>
        <w:tc>
          <w:tcPr>
            <w:tcW w:w="452" w:type="pct"/>
            <w:tcBorders>
              <w:top w:val="nil"/>
              <w:left w:val="nil"/>
              <w:bottom w:val="single" w:sz="4" w:space="0" w:color="auto"/>
              <w:right w:val="single" w:sz="4" w:space="0" w:color="auto"/>
            </w:tcBorders>
            <w:noWrap/>
            <w:vAlign w:val="center"/>
            <w:hideMark/>
          </w:tcPr>
          <w:p w14:paraId="3A80D4D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6,76</w:t>
            </w:r>
          </w:p>
        </w:tc>
        <w:tc>
          <w:tcPr>
            <w:tcW w:w="452" w:type="pct"/>
            <w:tcBorders>
              <w:top w:val="nil"/>
              <w:left w:val="nil"/>
              <w:bottom w:val="single" w:sz="4" w:space="0" w:color="auto"/>
              <w:right w:val="single" w:sz="4" w:space="0" w:color="auto"/>
            </w:tcBorders>
            <w:noWrap/>
            <w:vAlign w:val="center"/>
            <w:hideMark/>
          </w:tcPr>
          <w:p w14:paraId="7B713B6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1,31</w:t>
            </w:r>
          </w:p>
        </w:tc>
        <w:tc>
          <w:tcPr>
            <w:tcW w:w="398" w:type="pct"/>
            <w:tcBorders>
              <w:top w:val="nil"/>
              <w:left w:val="nil"/>
              <w:bottom w:val="single" w:sz="4" w:space="0" w:color="auto"/>
              <w:right w:val="single" w:sz="4" w:space="0" w:color="auto"/>
            </w:tcBorders>
            <w:noWrap/>
            <w:vAlign w:val="center"/>
            <w:hideMark/>
          </w:tcPr>
          <w:p w14:paraId="41FFCFD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0,44</w:t>
            </w:r>
          </w:p>
        </w:tc>
        <w:tc>
          <w:tcPr>
            <w:tcW w:w="398" w:type="pct"/>
            <w:tcBorders>
              <w:top w:val="nil"/>
              <w:left w:val="nil"/>
              <w:bottom w:val="single" w:sz="4" w:space="0" w:color="auto"/>
              <w:right w:val="single" w:sz="4" w:space="0" w:color="auto"/>
            </w:tcBorders>
            <w:noWrap/>
            <w:vAlign w:val="center"/>
            <w:hideMark/>
          </w:tcPr>
          <w:p w14:paraId="0DD4DEE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2,06</w:t>
            </w:r>
          </w:p>
        </w:tc>
        <w:tc>
          <w:tcPr>
            <w:tcW w:w="452" w:type="pct"/>
            <w:tcBorders>
              <w:top w:val="nil"/>
              <w:left w:val="nil"/>
              <w:bottom w:val="single" w:sz="4" w:space="0" w:color="auto"/>
              <w:right w:val="single" w:sz="4" w:space="0" w:color="auto"/>
            </w:tcBorders>
            <w:noWrap/>
            <w:vAlign w:val="center"/>
            <w:hideMark/>
          </w:tcPr>
          <w:p w14:paraId="3A77B9B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6,14</w:t>
            </w:r>
          </w:p>
        </w:tc>
        <w:tc>
          <w:tcPr>
            <w:tcW w:w="398" w:type="pct"/>
            <w:tcBorders>
              <w:top w:val="nil"/>
              <w:left w:val="nil"/>
              <w:bottom w:val="single" w:sz="4" w:space="0" w:color="auto"/>
              <w:right w:val="single" w:sz="4" w:space="0" w:color="auto"/>
            </w:tcBorders>
            <w:noWrap/>
            <w:vAlign w:val="center"/>
            <w:hideMark/>
          </w:tcPr>
          <w:p w14:paraId="1E1CF9CD" w14:textId="7FEB513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8A7F028" w14:textId="019850E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DB521B2" w14:textId="4B655DC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68DA8A78" w14:textId="0ACA7DC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F451ED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E4F81FE"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B3AB7F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BUM</w:t>
            </w:r>
          </w:p>
        </w:tc>
        <w:tc>
          <w:tcPr>
            <w:tcW w:w="452" w:type="pct"/>
            <w:tcBorders>
              <w:top w:val="nil"/>
              <w:left w:val="nil"/>
              <w:bottom w:val="single" w:sz="4" w:space="0" w:color="auto"/>
              <w:right w:val="single" w:sz="4" w:space="0" w:color="auto"/>
            </w:tcBorders>
            <w:noWrap/>
            <w:vAlign w:val="center"/>
            <w:hideMark/>
          </w:tcPr>
          <w:p w14:paraId="56B0CF5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61,86</w:t>
            </w:r>
          </w:p>
        </w:tc>
        <w:tc>
          <w:tcPr>
            <w:tcW w:w="452" w:type="pct"/>
            <w:tcBorders>
              <w:top w:val="nil"/>
              <w:left w:val="nil"/>
              <w:bottom w:val="single" w:sz="4" w:space="0" w:color="auto"/>
              <w:right w:val="single" w:sz="4" w:space="0" w:color="auto"/>
            </w:tcBorders>
            <w:noWrap/>
            <w:vAlign w:val="center"/>
            <w:hideMark/>
          </w:tcPr>
          <w:p w14:paraId="580EBDB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48,58</w:t>
            </w:r>
          </w:p>
        </w:tc>
        <w:tc>
          <w:tcPr>
            <w:tcW w:w="452" w:type="pct"/>
            <w:tcBorders>
              <w:top w:val="nil"/>
              <w:left w:val="nil"/>
              <w:bottom w:val="single" w:sz="4" w:space="0" w:color="auto"/>
              <w:right w:val="single" w:sz="4" w:space="0" w:color="auto"/>
            </w:tcBorders>
            <w:noWrap/>
            <w:vAlign w:val="center"/>
            <w:hideMark/>
          </w:tcPr>
          <w:p w14:paraId="48917E3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74,01</w:t>
            </w:r>
          </w:p>
        </w:tc>
        <w:tc>
          <w:tcPr>
            <w:tcW w:w="398" w:type="pct"/>
            <w:tcBorders>
              <w:top w:val="nil"/>
              <w:left w:val="nil"/>
              <w:bottom w:val="single" w:sz="4" w:space="0" w:color="auto"/>
              <w:right w:val="single" w:sz="4" w:space="0" w:color="auto"/>
            </w:tcBorders>
            <w:noWrap/>
            <w:vAlign w:val="center"/>
            <w:hideMark/>
          </w:tcPr>
          <w:p w14:paraId="10A397D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52,28</w:t>
            </w:r>
          </w:p>
        </w:tc>
        <w:tc>
          <w:tcPr>
            <w:tcW w:w="398" w:type="pct"/>
            <w:tcBorders>
              <w:top w:val="nil"/>
              <w:left w:val="nil"/>
              <w:bottom w:val="single" w:sz="4" w:space="0" w:color="auto"/>
              <w:right w:val="single" w:sz="4" w:space="0" w:color="auto"/>
            </w:tcBorders>
            <w:noWrap/>
            <w:vAlign w:val="center"/>
            <w:hideMark/>
          </w:tcPr>
          <w:p w14:paraId="6F04CBC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45,16</w:t>
            </w:r>
          </w:p>
        </w:tc>
        <w:tc>
          <w:tcPr>
            <w:tcW w:w="452" w:type="pct"/>
            <w:tcBorders>
              <w:top w:val="nil"/>
              <w:left w:val="nil"/>
              <w:bottom w:val="single" w:sz="4" w:space="0" w:color="auto"/>
              <w:right w:val="single" w:sz="4" w:space="0" w:color="auto"/>
            </w:tcBorders>
            <w:noWrap/>
            <w:vAlign w:val="center"/>
            <w:hideMark/>
          </w:tcPr>
          <w:p w14:paraId="26096AE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63,73</w:t>
            </w:r>
          </w:p>
        </w:tc>
        <w:tc>
          <w:tcPr>
            <w:tcW w:w="398" w:type="pct"/>
            <w:tcBorders>
              <w:top w:val="nil"/>
              <w:left w:val="nil"/>
              <w:bottom w:val="single" w:sz="4" w:space="0" w:color="auto"/>
              <w:right w:val="single" w:sz="4" w:space="0" w:color="auto"/>
            </w:tcBorders>
            <w:noWrap/>
            <w:vAlign w:val="center"/>
            <w:hideMark/>
          </w:tcPr>
          <w:p w14:paraId="52560364" w14:textId="1548C16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8CD025F" w14:textId="233001B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BE0D7B1" w14:textId="03BE313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BBF91B1" w14:textId="3272776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F7D607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9BC514F"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887F04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CER</w:t>
            </w:r>
          </w:p>
        </w:tc>
        <w:tc>
          <w:tcPr>
            <w:tcW w:w="452" w:type="pct"/>
            <w:tcBorders>
              <w:top w:val="nil"/>
              <w:left w:val="nil"/>
              <w:bottom w:val="single" w:sz="4" w:space="0" w:color="auto"/>
              <w:right w:val="single" w:sz="4" w:space="0" w:color="auto"/>
            </w:tcBorders>
            <w:noWrap/>
            <w:vAlign w:val="center"/>
            <w:hideMark/>
          </w:tcPr>
          <w:p w14:paraId="4219D6E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c>
          <w:tcPr>
            <w:tcW w:w="452" w:type="pct"/>
            <w:tcBorders>
              <w:top w:val="nil"/>
              <w:left w:val="nil"/>
              <w:bottom w:val="single" w:sz="4" w:space="0" w:color="auto"/>
              <w:right w:val="single" w:sz="4" w:space="0" w:color="auto"/>
            </w:tcBorders>
            <w:noWrap/>
            <w:vAlign w:val="center"/>
            <w:hideMark/>
          </w:tcPr>
          <w:p w14:paraId="7456CA4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0,27</w:t>
            </w:r>
          </w:p>
        </w:tc>
        <w:tc>
          <w:tcPr>
            <w:tcW w:w="452" w:type="pct"/>
            <w:tcBorders>
              <w:top w:val="nil"/>
              <w:left w:val="nil"/>
              <w:bottom w:val="single" w:sz="4" w:space="0" w:color="auto"/>
              <w:right w:val="single" w:sz="4" w:space="0" w:color="auto"/>
            </w:tcBorders>
            <w:noWrap/>
            <w:vAlign w:val="center"/>
            <w:hideMark/>
          </w:tcPr>
          <w:p w14:paraId="409A64D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0,45</w:t>
            </w:r>
          </w:p>
        </w:tc>
        <w:tc>
          <w:tcPr>
            <w:tcW w:w="398" w:type="pct"/>
            <w:tcBorders>
              <w:top w:val="nil"/>
              <w:left w:val="nil"/>
              <w:bottom w:val="single" w:sz="4" w:space="0" w:color="auto"/>
              <w:right w:val="single" w:sz="4" w:space="0" w:color="auto"/>
            </w:tcBorders>
            <w:noWrap/>
            <w:vAlign w:val="center"/>
            <w:hideMark/>
          </w:tcPr>
          <w:p w14:paraId="7E1ACF7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0,28</w:t>
            </w:r>
          </w:p>
        </w:tc>
        <w:tc>
          <w:tcPr>
            <w:tcW w:w="398" w:type="pct"/>
            <w:tcBorders>
              <w:top w:val="nil"/>
              <w:left w:val="nil"/>
              <w:bottom w:val="single" w:sz="4" w:space="0" w:color="auto"/>
              <w:right w:val="single" w:sz="4" w:space="0" w:color="auto"/>
            </w:tcBorders>
            <w:noWrap/>
            <w:vAlign w:val="center"/>
            <w:hideMark/>
          </w:tcPr>
          <w:p w14:paraId="6596CA4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0,15</w:t>
            </w:r>
          </w:p>
        </w:tc>
        <w:tc>
          <w:tcPr>
            <w:tcW w:w="452" w:type="pct"/>
            <w:tcBorders>
              <w:top w:val="nil"/>
              <w:left w:val="nil"/>
              <w:bottom w:val="single" w:sz="4" w:space="0" w:color="auto"/>
              <w:right w:val="single" w:sz="4" w:space="0" w:color="auto"/>
            </w:tcBorders>
            <w:noWrap/>
            <w:vAlign w:val="center"/>
            <w:hideMark/>
          </w:tcPr>
          <w:p w14:paraId="64DAAD9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0,11</w:t>
            </w:r>
          </w:p>
        </w:tc>
        <w:tc>
          <w:tcPr>
            <w:tcW w:w="398" w:type="pct"/>
            <w:tcBorders>
              <w:top w:val="nil"/>
              <w:left w:val="nil"/>
              <w:bottom w:val="single" w:sz="4" w:space="0" w:color="auto"/>
              <w:right w:val="single" w:sz="4" w:space="0" w:color="auto"/>
            </w:tcBorders>
            <w:noWrap/>
            <w:vAlign w:val="center"/>
            <w:hideMark/>
          </w:tcPr>
          <w:p w14:paraId="3441F1EA" w14:textId="6C5C5AC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0EA6E1B" w14:textId="2E13576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C8EE252" w14:textId="370C5BB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08D1578" w14:textId="7028354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A8A8DD1"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7EB17E3"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1004B1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CVJ</w:t>
            </w:r>
            <w:proofErr w:type="spellEnd"/>
          </w:p>
        </w:tc>
        <w:tc>
          <w:tcPr>
            <w:tcW w:w="452" w:type="pct"/>
            <w:tcBorders>
              <w:top w:val="nil"/>
              <w:left w:val="nil"/>
              <w:bottom w:val="single" w:sz="4" w:space="0" w:color="auto"/>
              <w:right w:val="single" w:sz="4" w:space="0" w:color="auto"/>
            </w:tcBorders>
            <w:noWrap/>
            <w:vAlign w:val="center"/>
            <w:hideMark/>
          </w:tcPr>
          <w:p w14:paraId="534C785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8,15</w:t>
            </w:r>
          </w:p>
        </w:tc>
        <w:tc>
          <w:tcPr>
            <w:tcW w:w="452" w:type="pct"/>
            <w:tcBorders>
              <w:top w:val="nil"/>
              <w:left w:val="nil"/>
              <w:bottom w:val="single" w:sz="4" w:space="0" w:color="auto"/>
              <w:right w:val="single" w:sz="4" w:space="0" w:color="auto"/>
            </w:tcBorders>
            <w:noWrap/>
            <w:vAlign w:val="center"/>
            <w:hideMark/>
          </w:tcPr>
          <w:p w14:paraId="37B2293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18,08</w:t>
            </w:r>
          </w:p>
        </w:tc>
        <w:tc>
          <w:tcPr>
            <w:tcW w:w="452" w:type="pct"/>
            <w:tcBorders>
              <w:top w:val="nil"/>
              <w:left w:val="nil"/>
              <w:bottom w:val="single" w:sz="4" w:space="0" w:color="auto"/>
              <w:right w:val="single" w:sz="4" w:space="0" w:color="auto"/>
            </w:tcBorders>
            <w:noWrap/>
            <w:vAlign w:val="center"/>
            <w:hideMark/>
          </w:tcPr>
          <w:p w14:paraId="48E38A2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8,69</w:t>
            </w:r>
          </w:p>
        </w:tc>
        <w:tc>
          <w:tcPr>
            <w:tcW w:w="398" w:type="pct"/>
            <w:tcBorders>
              <w:top w:val="nil"/>
              <w:left w:val="nil"/>
              <w:bottom w:val="single" w:sz="4" w:space="0" w:color="auto"/>
              <w:right w:val="single" w:sz="4" w:space="0" w:color="auto"/>
            </w:tcBorders>
            <w:noWrap/>
            <w:vAlign w:val="center"/>
            <w:hideMark/>
          </w:tcPr>
          <w:p w14:paraId="5C38DBD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10,39</w:t>
            </w:r>
          </w:p>
        </w:tc>
        <w:tc>
          <w:tcPr>
            <w:tcW w:w="398" w:type="pct"/>
            <w:tcBorders>
              <w:top w:val="nil"/>
              <w:left w:val="nil"/>
              <w:bottom w:val="single" w:sz="4" w:space="0" w:color="auto"/>
              <w:right w:val="single" w:sz="4" w:space="0" w:color="auto"/>
            </w:tcBorders>
            <w:noWrap/>
            <w:vAlign w:val="center"/>
            <w:hideMark/>
          </w:tcPr>
          <w:p w14:paraId="0C563B0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6,86</w:t>
            </w:r>
          </w:p>
        </w:tc>
        <w:tc>
          <w:tcPr>
            <w:tcW w:w="452" w:type="pct"/>
            <w:tcBorders>
              <w:top w:val="nil"/>
              <w:left w:val="nil"/>
              <w:bottom w:val="single" w:sz="4" w:space="0" w:color="auto"/>
              <w:right w:val="single" w:sz="4" w:space="0" w:color="auto"/>
            </w:tcBorders>
            <w:noWrap/>
            <w:vAlign w:val="center"/>
            <w:hideMark/>
          </w:tcPr>
          <w:p w14:paraId="6323E57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7,43</w:t>
            </w:r>
          </w:p>
        </w:tc>
        <w:tc>
          <w:tcPr>
            <w:tcW w:w="398" w:type="pct"/>
            <w:tcBorders>
              <w:top w:val="nil"/>
              <w:left w:val="nil"/>
              <w:bottom w:val="single" w:sz="4" w:space="0" w:color="auto"/>
              <w:right w:val="single" w:sz="4" w:space="0" w:color="auto"/>
            </w:tcBorders>
            <w:noWrap/>
            <w:vAlign w:val="center"/>
            <w:hideMark/>
          </w:tcPr>
          <w:p w14:paraId="73270994" w14:textId="5190D9E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BA75C91" w14:textId="3D046F8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96EC70" w14:textId="6E37442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1EF93C49" w14:textId="593DF87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03D29DDA"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06F67D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CEF5F9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DOL</w:t>
            </w:r>
            <w:proofErr w:type="spellEnd"/>
          </w:p>
        </w:tc>
        <w:tc>
          <w:tcPr>
            <w:tcW w:w="452" w:type="pct"/>
            <w:tcBorders>
              <w:top w:val="nil"/>
              <w:left w:val="nil"/>
              <w:bottom w:val="single" w:sz="4" w:space="0" w:color="auto"/>
              <w:right w:val="single" w:sz="4" w:space="0" w:color="auto"/>
            </w:tcBorders>
            <w:noWrap/>
            <w:vAlign w:val="center"/>
            <w:hideMark/>
          </w:tcPr>
          <w:p w14:paraId="2632544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294,54</w:t>
            </w:r>
          </w:p>
        </w:tc>
        <w:tc>
          <w:tcPr>
            <w:tcW w:w="452" w:type="pct"/>
            <w:tcBorders>
              <w:top w:val="nil"/>
              <w:left w:val="nil"/>
              <w:bottom w:val="single" w:sz="4" w:space="0" w:color="auto"/>
              <w:right w:val="single" w:sz="4" w:space="0" w:color="auto"/>
            </w:tcBorders>
            <w:noWrap/>
            <w:vAlign w:val="center"/>
            <w:hideMark/>
          </w:tcPr>
          <w:p w14:paraId="73D82BB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185,98</w:t>
            </w:r>
          </w:p>
        </w:tc>
        <w:tc>
          <w:tcPr>
            <w:tcW w:w="452" w:type="pct"/>
            <w:tcBorders>
              <w:top w:val="nil"/>
              <w:left w:val="nil"/>
              <w:bottom w:val="single" w:sz="4" w:space="0" w:color="auto"/>
              <w:right w:val="single" w:sz="4" w:space="0" w:color="auto"/>
            </w:tcBorders>
            <w:noWrap/>
            <w:vAlign w:val="center"/>
            <w:hideMark/>
          </w:tcPr>
          <w:p w14:paraId="4712ECD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250,46</w:t>
            </w:r>
          </w:p>
        </w:tc>
        <w:tc>
          <w:tcPr>
            <w:tcW w:w="398" w:type="pct"/>
            <w:tcBorders>
              <w:top w:val="nil"/>
              <w:left w:val="nil"/>
              <w:bottom w:val="single" w:sz="4" w:space="0" w:color="auto"/>
              <w:right w:val="single" w:sz="4" w:space="0" w:color="auto"/>
            </w:tcBorders>
            <w:noWrap/>
            <w:vAlign w:val="center"/>
            <w:hideMark/>
          </w:tcPr>
          <w:p w14:paraId="3C14E59F" w14:textId="3971A98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8B9E5B9" w14:textId="5882422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EAE9F54" w14:textId="18312B1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C235166" w14:textId="314EBF1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1F6A7DF" w14:textId="35049B0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E92EC8F" w14:textId="0CBB7F8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589D58F" w14:textId="10185C2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448B0BF4"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1FE71F0"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965D17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FLY</w:t>
            </w:r>
            <w:proofErr w:type="spellEnd"/>
          </w:p>
        </w:tc>
        <w:tc>
          <w:tcPr>
            <w:tcW w:w="452" w:type="pct"/>
            <w:tcBorders>
              <w:top w:val="nil"/>
              <w:left w:val="nil"/>
              <w:bottom w:val="single" w:sz="4" w:space="0" w:color="auto"/>
              <w:right w:val="single" w:sz="4" w:space="0" w:color="auto"/>
            </w:tcBorders>
            <w:noWrap/>
            <w:vAlign w:val="center"/>
            <w:hideMark/>
          </w:tcPr>
          <w:p w14:paraId="322099F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1,70</w:t>
            </w:r>
          </w:p>
        </w:tc>
        <w:tc>
          <w:tcPr>
            <w:tcW w:w="452" w:type="pct"/>
            <w:tcBorders>
              <w:top w:val="nil"/>
              <w:left w:val="nil"/>
              <w:bottom w:val="single" w:sz="4" w:space="0" w:color="auto"/>
              <w:right w:val="single" w:sz="4" w:space="0" w:color="auto"/>
            </w:tcBorders>
            <w:noWrap/>
            <w:vAlign w:val="center"/>
            <w:hideMark/>
          </w:tcPr>
          <w:p w14:paraId="27BE8DB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2,56</w:t>
            </w:r>
          </w:p>
        </w:tc>
        <w:tc>
          <w:tcPr>
            <w:tcW w:w="452" w:type="pct"/>
            <w:tcBorders>
              <w:top w:val="nil"/>
              <w:left w:val="nil"/>
              <w:bottom w:val="single" w:sz="4" w:space="0" w:color="auto"/>
              <w:right w:val="single" w:sz="4" w:space="0" w:color="auto"/>
            </w:tcBorders>
            <w:noWrap/>
            <w:vAlign w:val="center"/>
            <w:hideMark/>
          </w:tcPr>
          <w:p w14:paraId="545067A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0,46</w:t>
            </w:r>
          </w:p>
        </w:tc>
        <w:tc>
          <w:tcPr>
            <w:tcW w:w="398" w:type="pct"/>
            <w:tcBorders>
              <w:top w:val="nil"/>
              <w:left w:val="nil"/>
              <w:bottom w:val="single" w:sz="4" w:space="0" w:color="auto"/>
              <w:right w:val="single" w:sz="4" w:space="0" w:color="auto"/>
            </w:tcBorders>
            <w:noWrap/>
            <w:vAlign w:val="center"/>
            <w:hideMark/>
          </w:tcPr>
          <w:p w14:paraId="2BA60D6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0,14</w:t>
            </w:r>
          </w:p>
        </w:tc>
        <w:tc>
          <w:tcPr>
            <w:tcW w:w="398" w:type="pct"/>
            <w:tcBorders>
              <w:top w:val="nil"/>
              <w:left w:val="nil"/>
              <w:bottom w:val="single" w:sz="4" w:space="0" w:color="auto"/>
              <w:right w:val="single" w:sz="4" w:space="0" w:color="auto"/>
            </w:tcBorders>
            <w:noWrap/>
            <w:vAlign w:val="center"/>
            <w:hideMark/>
          </w:tcPr>
          <w:p w14:paraId="1C5DBD3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1,91</w:t>
            </w:r>
          </w:p>
        </w:tc>
        <w:tc>
          <w:tcPr>
            <w:tcW w:w="452" w:type="pct"/>
            <w:tcBorders>
              <w:top w:val="nil"/>
              <w:left w:val="nil"/>
              <w:bottom w:val="single" w:sz="4" w:space="0" w:color="auto"/>
              <w:right w:val="single" w:sz="4" w:space="0" w:color="auto"/>
            </w:tcBorders>
            <w:noWrap/>
            <w:vAlign w:val="center"/>
            <w:hideMark/>
          </w:tcPr>
          <w:p w14:paraId="53304CF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1,17</w:t>
            </w:r>
          </w:p>
        </w:tc>
        <w:tc>
          <w:tcPr>
            <w:tcW w:w="398" w:type="pct"/>
            <w:tcBorders>
              <w:top w:val="nil"/>
              <w:left w:val="nil"/>
              <w:bottom w:val="single" w:sz="4" w:space="0" w:color="auto"/>
              <w:right w:val="single" w:sz="4" w:space="0" w:color="auto"/>
            </w:tcBorders>
            <w:noWrap/>
            <w:vAlign w:val="center"/>
            <w:hideMark/>
          </w:tcPr>
          <w:p w14:paraId="7F0611E5" w14:textId="1193EC2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6E980CB" w14:textId="72D87A6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6FEB64C" w14:textId="75DC852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4A4778C" w14:textId="27ED0AC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49220B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5565E2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D6758E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GBA</w:t>
            </w:r>
            <w:proofErr w:type="spellEnd"/>
          </w:p>
        </w:tc>
        <w:tc>
          <w:tcPr>
            <w:tcW w:w="452" w:type="pct"/>
            <w:tcBorders>
              <w:top w:val="nil"/>
              <w:left w:val="nil"/>
              <w:bottom w:val="single" w:sz="4" w:space="0" w:color="auto"/>
              <w:right w:val="single" w:sz="4" w:space="0" w:color="auto"/>
            </w:tcBorders>
            <w:noWrap/>
            <w:vAlign w:val="center"/>
            <w:hideMark/>
          </w:tcPr>
          <w:p w14:paraId="00C9B7F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3,87</w:t>
            </w:r>
          </w:p>
        </w:tc>
        <w:tc>
          <w:tcPr>
            <w:tcW w:w="452" w:type="pct"/>
            <w:tcBorders>
              <w:top w:val="nil"/>
              <w:left w:val="nil"/>
              <w:bottom w:val="single" w:sz="4" w:space="0" w:color="auto"/>
              <w:right w:val="single" w:sz="4" w:space="0" w:color="auto"/>
            </w:tcBorders>
            <w:noWrap/>
            <w:vAlign w:val="center"/>
            <w:hideMark/>
          </w:tcPr>
          <w:p w14:paraId="55A3148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4,05</w:t>
            </w:r>
          </w:p>
        </w:tc>
        <w:tc>
          <w:tcPr>
            <w:tcW w:w="452" w:type="pct"/>
            <w:tcBorders>
              <w:top w:val="nil"/>
              <w:left w:val="nil"/>
              <w:bottom w:val="single" w:sz="4" w:space="0" w:color="auto"/>
              <w:right w:val="single" w:sz="4" w:space="0" w:color="auto"/>
            </w:tcBorders>
            <w:noWrap/>
            <w:vAlign w:val="center"/>
            <w:hideMark/>
          </w:tcPr>
          <w:p w14:paraId="6C57A02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5,42</w:t>
            </w:r>
          </w:p>
        </w:tc>
        <w:tc>
          <w:tcPr>
            <w:tcW w:w="398" w:type="pct"/>
            <w:tcBorders>
              <w:top w:val="nil"/>
              <w:left w:val="nil"/>
              <w:bottom w:val="single" w:sz="4" w:space="0" w:color="auto"/>
              <w:right w:val="single" w:sz="4" w:space="0" w:color="auto"/>
            </w:tcBorders>
            <w:noWrap/>
            <w:vAlign w:val="center"/>
            <w:hideMark/>
          </w:tcPr>
          <w:p w14:paraId="78A7583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2,45</w:t>
            </w:r>
          </w:p>
        </w:tc>
        <w:tc>
          <w:tcPr>
            <w:tcW w:w="398" w:type="pct"/>
            <w:tcBorders>
              <w:top w:val="nil"/>
              <w:left w:val="nil"/>
              <w:bottom w:val="single" w:sz="4" w:space="0" w:color="auto"/>
              <w:right w:val="single" w:sz="4" w:space="0" w:color="auto"/>
            </w:tcBorders>
            <w:noWrap/>
            <w:vAlign w:val="center"/>
            <w:hideMark/>
          </w:tcPr>
          <w:p w14:paraId="46F15AB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5,19</w:t>
            </w:r>
          </w:p>
        </w:tc>
        <w:tc>
          <w:tcPr>
            <w:tcW w:w="452" w:type="pct"/>
            <w:tcBorders>
              <w:top w:val="nil"/>
              <w:left w:val="nil"/>
              <w:bottom w:val="single" w:sz="4" w:space="0" w:color="auto"/>
              <w:right w:val="single" w:sz="4" w:space="0" w:color="auto"/>
            </w:tcBorders>
            <w:noWrap/>
            <w:vAlign w:val="center"/>
            <w:hideMark/>
          </w:tcPr>
          <w:p w14:paraId="343181E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5,76</w:t>
            </w:r>
          </w:p>
        </w:tc>
        <w:tc>
          <w:tcPr>
            <w:tcW w:w="398" w:type="pct"/>
            <w:tcBorders>
              <w:top w:val="nil"/>
              <w:left w:val="nil"/>
              <w:bottom w:val="single" w:sz="4" w:space="0" w:color="auto"/>
              <w:right w:val="single" w:sz="4" w:space="0" w:color="auto"/>
            </w:tcBorders>
            <w:noWrap/>
            <w:vAlign w:val="center"/>
            <w:hideMark/>
          </w:tcPr>
          <w:p w14:paraId="6A527FCB" w14:textId="4BC4280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9FD8401" w14:textId="3F4047F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DBE24D6" w14:textId="2014D99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297CCA1" w14:textId="5AED5FE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1BB4276"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4FEF43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3EB97A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KGM</w:t>
            </w:r>
            <w:proofErr w:type="spellEnd"/>
          </w:p>
        </w:tc>
        <w:tc>
          <w:tcPr>
            <w:tcW w:w="452" w:type="pct"/>
            <w:tcBorders>
              <w:top w:val="nil"/>
              <w:left w:val="nil"/>
              <w:bottom w:val="single" w:sz="4" w:space="0" w:color="auto"/>
              <w:right w:val="single" w:sz="4" w:space="0" w:color="auto"/>
            </w:tcBorders>
            <w:noWrap/>
            <w:vAlign w:val="center"/>
            <w:hideMark/>
          </w:tcPr>
          <w:p w14:paraId="5024D76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452" w:type="pct"/>
            <w:tcBorders>
              <w:top w:val="nil"/>
              <w:left w:val="nil"/>
              <w:bottom w:val="single" w:sz="4" w:space="0" w:color="auto"/>
              <w:right w:val="single" w:sz="4" w:space="0" w:color="auto"/>
            </w:tcBorders>
            <w:noWrap/>
            <w:vAlign w:val="center"/>
            <w:hideMark/>
          </w:tcPr>
          <w:p w14:paraId="3069459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452" w:type="pct"/>
            <w:tcBorders>
              <w:top w:val="nil"/>
              <w:left w:val="nil"/>
              <w:bottom w:val="single" w:sz="4" w:space="0" w:color="auto"/>
              <w:right w:val="single" w:sz="4" w:space="0" w:color="auto"/>
            </w:tcBorders>
            <w:noWrap/>
            <w:vAlign w:val="center"/>
            <w:hideMark/>
          </w:tcPr>
          <w:p w14:paraId="519EA4C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0,08</w:t>
            </w:r>
          </w:p>
        </w:tc>
        <w:tc>
          <w:tcPr>
            <w:tcW w:w="398" w:type="pct"/>
            <w:tcBorders>
              <w:top w:val="nil"/>
              <w:left w:val="nil"/>
              <w:bottom w:val="single" w:sz="4" w:space="0" w:color="auto"/>
              <w:right w:val="single" w:sz="4" w:space="0" w:color="auto"/>
            </w:tcBorders>
            <w:noWrap/>
            <w:vAlign w:val="center"/>
            <w:hideMark/>
          </w:tcPr>
          <w:p w14:paraId="4E23CBEB" w14:textId="5F853B7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E52D29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0,19</w:t>
            </w:r>
          </w:p>
        </w:tc>
        <w:tc>
          <w:tcPr>
            <w:tcW w:w="452" w:type="pct"/>
            <w:tcBorders>
              <w:top w:val="nil"/>
              <w:left w:val="nil"/>
              <w:bottom w:val="single" w:sz="4" w:space="0" w:color="auto"/>
              <w:right w:val="single" w:sz="4" w:space="0" w:color="auto"/>
            </w:tcBorders>
            <w:noWrap/>
            <w:vAlign w:val="center"/>
            <w:hideMark/>
          </w:tcPr>
          <w:p w14:paraId="5A66752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0,23</w:t>
            </w:r>
          </w:p>
        </w:tc>
        <w:tc>
          <w:tcPr>
            <w:tcW w:w="398" w:type="pct"/>
            <w:tcBorders>
              <w:top w:val="nil"/>
              <w:left w:val="nil"/>
              <w:bottom w:val="single" w:sz="4" w:space="0" w:color="auto"/>
              <w:right w:val="single" w:sz="4" w:space="0" w:color="auto"/>
            </w:tcBorders>
            <w:noWrap/>
            <w:vAlign w:val="center"/>
            <w:hideMark/>
          </w:tcPr>
          <w:p w14:paraId="27A921C6" w14:textId="1548466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818325" w14:textId="10C20AB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990F097" w14:textId="7F22609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86ABC00" w14:textId="64DFF3E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4844C14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7F18972"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832DFC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LTA</w:t>
            </w:r>
            <w:proofErr w:type="spellEnd"/>
          </w:p>
        </w:tc>
        <w:tc>
          <w:tcPr>
            <w:tcW w:w="452" w:type="pct"/>
            <w:tcBorders>
              <w:top w:val="nil"/>
              <w:left w:val="nil"/>
              <w:bottom w:val="single" w:sz="4" w:space="0" w:color="auto"/>
              <w:right w:val="single" w:sz="4" w:space="0" w:color="auto"/>
            </w:tcBorders>
            <w:noWrap/>
            <w:vAlign w:val="center"/>
            <w:hideMark/>
          </w:tcPr>
          <w:p w14:paraId="22C0082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0,64</w:t>
            </w:r>
          </w:p>
        </w:tc>
        <w:tc>
          <w:tcPr>
            <w:tcW w:w="452" w:type="pct"/>
            <w:tcBorders>
              <w:top w:val="nil"/>
              <w:left w:val="nil"/>
              <w:bottom w:val="single" w:sz="4" w:space="0" w:color="auto"/>
              <w:right w:val="single" w:sz="4" w:space="0" w:color="auto"/>
            </w:tcBorders>
            <w:noWrap/>
            <w:vAlign w:val="center"/>
            <w:hideMark/>
          </w:tcPr>
          <w:p w14:paraId="3C05636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1,15</w:t>
            </w:r>
          </w:p>
        </w:tc>
        <w:tc>
          <w:tcPr>
            <w:tcW w:w="452" w:type="pct"/>
            <w:tcBorders>
              <w:top w:val="nil"/>
              <w:left w:val="nil"/>
              <w:bottom w:val="single" w:sz="4" w:space="0" w:color="auto"/>
              <w:right w:val="single" w:sz="4" w:space="0" w:color="auto"/>
            </w:tcBorders>
            <w:noWrap/>
            <w:vAlign w:val="center"/>
            <w:hideMark/>
          </w:tcPr>
          <w:p w14:paraId="35C28EA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1,32</w:t>
            </w:r>
          </w:p>
        </w:tc>
        <w:tc>
          <w:tcPr>
            <w:tcW w:w="398" w:type="pct"/>
            <w:tcBorders>
              <w:top w:val="nil"/>
              <w:left w:val="nil"/>
              <w:bottom w:val="single" w:sz="4" w:space="0" w:color="auto"/>
              <w:right w:val="single" w:sz="4" w:space="0" w:color="auto"/>
            </w:tcBorders>
            <w:noWrap/>
            <w:vAlign w:val="center"/>
            <w:hideMark/>
          </w:tcPr>
          <w:p w14:paraId="03E8682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0,61</w:t>
            </w:r>
          </w:p>
        </w:tc>
        <w:tc>
          <w:tcPr>
            <w:tcW w:w="398" w:type="pct"/>
            <w:tcBorders>
              <w:top w:val="nil"/>
              <w:left w:val="nil"/>
              <w:bottom w:val="single" w:sz="4" w:space="0" w:color="auto"/>
              <w:right w:val="single" w:sz="4" w:space="0" w:color="auto"/>
            </w:tcBorders>
            <w:noWrap/>
            <w:vAlign w:val="center"/>
            <w:hideMark/>
          </w:tcPr>
          <w:p w14:paraId="05F069D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0,87</w:t>
            </w:r>
          </w:p>
        </w:tc>
        <w:tc>
          <w:tcPr>
            <w:tcW w:w="452" w:type="pct"/>
            <w:tcBorders>
              <w:top w:val="nil"/>
              <w:left w:val="nil"/>
              <w:bottom w:val="single" w:sz="4" w:space="0" w:color="auto"/>
              <w:right w:val="single" w:sz="4" w:space="0" w:color="auto"/>
            </w:tcBorders>
            <w:noWrap/>
            <w:vAlign w:val="center"/>
            <w:hideMark/>
          </w:tcPr>
          <w:p w14:paraId="73188C5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0,05</w:t>
            </w:r>
          </w:p>
        </w:tc>
        <w:tc>
          <w:tcPr>
            <w:tcW w:w="398" w:type="pct"/>
            <w:tcBorders>
              <w:top w:val="nil"/>
              <w:left w:val="nil"/>
              <w:bottom w:val="single" w:sz="4" w:space="0" w:color="auto"/>
              <w:right w:val="single" w:sz="4" w:space="0" w:color="auto"/>
            </w:tcBorders>
            <w:noWrap/>
            <w:vAlign w:val="center"/>
            <w:hideMark/>
          </w:tcPr>
          <w:p w14:paraId="0FCC7A10" w14:textId="7E9C61D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7381EB" w14:textId="50628A8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44BE080" w14:textId="6F68A4E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DF056F5" w14:textId="1C8BC9B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DCA2E2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0B7BD8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3EF8E4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OCS</w:t>
            </w:r>
            <w:proofErr w:type="spellEnd"/>
          </w:p>
        </w:tc>
        <w:tc>
          <w:tcPr>
            <w:tcW w:w="452" w:type="pct"/>
            <w:tcBorders>
              <w:top w:val="nil"/>
              <w:left w:val="nil"/>
              <w:bottom w:val="single" w:sz="4" w:space="0" w:color="auto"/>
              <w:right w:val="single" w:sz="4" w:space="0" w:color="auto"/>
            </w:tcBorders>
            <w:noWrap/>
            <w:vAlign w:val="center"/>
            <w:hideMark/>
          </w:tcPr>
          <w:p w14:paraId="4831511E" w14:textId="39C5BB7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701CF55" w14:textId="71B552C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B7BA4C8" w14:textId="54350C2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16D494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c>
          <w:tcPr>
            <w:tcW w:w="398" w:type="pct"/>
            <w:tcBorders>
              <w:top w:val="nil"/>
              <w:left w:val="nil"/>
              <w:bottom w:val="single" w:sz="4" w:space="0" w:color="auto"/>
              <w:right w:val="single" w:sz="4" w:space="0" w:color="auto"/>
            </w:tcBorders>
            <w:noWrap/>
            <w:vAlign w:val="center"/>
            <w:hideMark/>
          </w:tcPr>
          <w:p w14:paraId="78A0DA3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0,05</w:t>
            </w:r>
          </w:p>
        </w:tc>
        <w:tc>
          <w:tcPr>
            <w:tcW w:w="452" w:type="pct"/>
            <w:tcBorders>
              <w:top w:val="nil"/>
              <w:left w:val="nil"/>
              <w:bottom w:val="single" w:sz="4" w:space="0" w:color="auto"/>
              <w:right w:val="single" w:sz="4" w:space="0" w:color="auto"/>
            </w:tcBorders>
            <w:noWrap/>
            <w:vAlign w:val="center"/>
            <w:hideMark/>
          </w:tcPr>
          <w:p w14:paraId="4DE1783B" w14:textId="12213EF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DCE4513" w14:textId="2079660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D3CDB58" w14:textId="6C4C857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B798F5" w14:textId="4EA82AE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873CE9D" w14:textId="2482944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35EE9B4"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05A900C"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D55076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RRU</w:t>
            </w:r>
            <w:proofErr w:type="spellEnd"/>
          </w:p>
        </w:tc>
        <w:tc>
          <w:tcPr>
            <w:tcW w:w="452" w:type="pct"/>
            <w:tcBorders>
              <w:top w:val="nil"/>
              <w:left w:val="nil"/>
              <w:bottom w:val="single" w:sz="4" w:space="0" w:color="auto"/>
              <w:right w:val="single" w:sz="4" w:space="0" w:color="auto"/>
            </w:tcBorders>
            <w:noWrap/>
            <w:vAlign w:val="center"/>
            <w:hideMark/>
          </w:tcPr>
          <w:p w14:paraId="220AF68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17,97</w:t>
            </w:r>
          </w:p>
        </w:tc>
        <w:tc>
          <w:tcPr>
            <w:tcW w:w="452" w:type="pct"/>
            <w:tcBorders>
              <w:top w:val="nil"/>
              <w:left w:val="nil"/>
              <w:bottom w:val="single" w:sz="4" w:space="0" w:color="auto"/>
              <w:right w:val="single" w:sz="4" w:space="0" w:color="auto"/>
            </w:tcBorders>
            <w:noWrap/>
            <w:vAlign w:val="center"/>
            <w:hideMark/>
          </w:tcPr>
          <w:p w14:paraId="19A084A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11,02</w:t>
            </w:r>
          </w:p>
        </w:tc>
        <w:tc>
          <w:tcPr>
            <w:tcW w:w="452" w:type="pct"/>
            <w:tcBorders>
              <w:top w:val="nil"/>
              <w:left w:val="nil"/>
              <w:bottom w:val="single" w:sz="4" w:space="0" w:color="auto"/>
              <w:right w:val="single" w:sz="4" w:space="0" w:color="auto"/>
            </w:tcBorders>
            <w:noWrap/>
            <w:vAlign w:val="center"/>
            <w:hideMark/>
          </w:tcPr>
          <w:p w14:paraId="3E0D5B2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8,45</w:t>
            </w:r>
          </w:p>
        </w:tc>
        <w:tc>
          <w:tcPr>
            <w:tcW w:w="398" w:type="pct"/>
            <w:tcBorders>
              <w:top w:val="nil"/>
              <w:left w:val="nil"/>
              <w:bottom w:val="single" w:sz="4" w:space="0" w:color="auto"/>
              <w:right w:val="single" w:sz="4" w:space="0" w:color="auto"/>
            </w:tcBorders>
            <w:noWrap/>
            <w:vAlign w:val="center"/>
            <w:hideMark/>
          </w:tcPr>
          <w:p w14:paraId="216DA26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5,20</w:t>
            </w:r>
          </w:p>
        </w:tc>
        <w:tc>
          <w:tcPr>
            <w:tcW w:w="398" w:type="pct"/>
            <w:tcBorders>
              <w:top w:val="nil"/>
              <w:left w:val="nil"/>
              <w:bottom w:val="single" w:sz="4" w:space="0" w:color="auto"/>
              <w:right w:val="single" w:sz="4" w:space="0" w:color="auto"/>
            </w:tcBorders>
            <w:noWrap/>
            <w:vAlign w:val="center"/>
            <w:hideMark/>
          </w:tcPr>
          <w:p w14:paraId="05FC4A1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8,36</w:t>
            </w:r>
          </w:p>
        </w:tc>
        <w:tc>
          <w:tcPr>
            <w:tcW w:w="452" w:type="pct"/>
            <w:tcBorders>
              <w:top w:val="nil"/>
              <w:left w:val="nil"/>
              <w:bottom w:val="single" w:sz="4" w:space="0" w:color="auto"/>
              <w:right w:val="single" w:sz="4" w:space="0" w:color="auto"/>
            </w:tcBorders>
            <w:noWrap/>
            <w:vAlign w:val="center"/>
            <w:hideMark/>
          </w:tcPr>
          <w:p w14:paraId="3AB269A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10,17</w:t>
            </w:r>
          </w:p>
        </w:tc>
        <w:tc>
          <w:tcPr>
            <w:tcW w:w="398" w:type="pct"/>
            <w:tcBorders>
              <w:top w:val="nil"/>
              <w:left w:val="nil"/>
              <w:bottom w:val="single" w:sz="4" w:space="0" w:color="auto"/>
              <w:right w:val="single" w:sz="4" w:space="0" w:color="auto"/>
            </w:tcBorders>
            <w:noWrap/>
            <w:vAlign w:val="center"/>
            <w:hideMark/>
          </w:tcPr>
          <w:p w14:paraId="698C390E" w14:textId="407FD9D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75C4EC" w14:textId="03D3CED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8106EB9" w14:textId="6FB3C70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97472A4" w14:textId="5EE65F9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A992CE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B3855F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B479C3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RUB</w:t>
            </w:r>
          </w:p>
        </w:tc>
        <w:tc>
          <w:tcPr>
            <w:tcW w:w="452" w:type="pct"/>
            <w:tcBorders>
              <w:top w:val="nil"/>
              <w:left w:val="nil"/>
              <w:bottom w:val="single" w:sz="4" w:space="0" w:color="auto"/>
              <w:right w:val="single" w:sz="4" w:space="0" w:color="auto"/>
            </w:tcBorders>
            <w:noWrap/>
            <w:vAlign w:val="center"/>
            <w:hideMark/>
          </w:tcPr>
          <w:p w14:paraId="05407A2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3,40</w:t>
            </w:r>
          </w:p>
        </w:tc>
        <w:tc>
          <w:tcPr>
            <w:tcW w:w="452" w:type="pct"/>
            <w:tcBorders>
              <w:top w:val="nil"/>
              <w:left w:val="nil"/>
              <w:bottom w:val="single" w:sz="4" w:space="0" w:color="auto"/>
              <w:right w:val="single" w:sz="4" w:space="0" w:color="auto"/>
            </w:tcBorders>
            <w:noWrap/>
            <w:vAlign w:val="center"/>
            <w:hideMark/>
          </w:tcPr>
          <w:p w14:paraId="159B801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4,00</w:t>
            </w:r>
          </w:p>
        </w:tc>
        <w:tc>
          <w:tcPr>
            <w:tcW w:w="452" w:type="pct"/>
            <w:tcBorders>
              <w:top w:val="nil"/>
              <w:left w:val="nil"/>
              <w:bottom w:val="single" w:sz="4" w:space="0" w:color="auto"/>
              <w:right w:val="single" w:sz="4" w:space="0" w:color="auto"/>
            </w:tcBorders>
            <w:noWrap/>
            <w:vAlign w:val="center"/>
            <w:hideMark/>
          </w:tcPr>
          <w:p w14:paraId="098DBC3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0,72</w:t>
            </w:r>
          </w:p>
        </w:tc>
        <w:tc>
          <w:tcPr>
            <w:tcW w:w="398" w:type="pct"/>
            <w:tcBorders>
              <w:top w:val="nil"/>
              <w:left w:val="nil"/>
              <w:bottom w:val="single" w:sz="4" w:space="0" w:color="auto"/>
              <w:right w:val="single" w:sz="4" w:space="0" w:color="auto"/>
            </w:tcBorders>
            <w:noWrap/>
            <w:vAlign w:val="center"/>
            <w:hideMark/>
          </w:tcPr>
          <w:p w14:paraId="1D7B276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1,24</w:t>
            </w:r>
          </w:p>
        </w:tc>
        <w:tc>
          <w:tcPr>
            <w:tcW w:w="398" w:type="pct"/>
            <w:tcBorders>
              <w:top w:val="nil"/>
              <w:left w:val="nil"/>
              <w:bottom w:val="single" w:sz="4" w:space="0" w:color="auto"/>
              <w:right w:val="single" w:sz="4" w:space="0" w:color="auto"/>
            </w:tcBorders>
            <w:noWrap/>
            <w:vAlign w:val="center"/>
            <w:hideMark/>
          </w:tcPr>
          <w:p w14:paraId="18A2AF6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2,16</w:t>
            </w:r>
          </w:p>
        </w:tc>
        <w:tc>
          <w:tcPr>
            <w:tcW w:w="452" w:type="pct"/>
            <w:tcBorders>
              <w:top w:val="nil"/>
              <w:left w:val="nil"/>
              <w:bottom w:val="single" w:sz="4" w:space="0" w:color="auto"/>
              <w:right w:val="single" w:sz="4" w:space="0" w:color="auto"/>
            </w:tcBorders>
            <w:noWrap/>
            <w:vAlign w:val="center"/>
            <w:hideMark/>
          </w:tcPr>
          <w:p w14:paraId="34308D6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1,64</w:t>
            </w:r>
          </w:p>
        </w:tc>
        <w:tc>
          <w:tcPr>
            <w:tcW w:w="398" w:type="pct"/>
            <w:tcBorders>
              <w:top w:val="nil"/>
              <w:left w:val="nil"/>
              <w:bottom w:val="single" w:sz="4" w:space="0" w:color="auto"/>
              <w:right w:val="single" w:sz="4" w:space="0" w:color="auto"/>
            </w:tcBorders>
            <w:noWrap/>
            <w:vAlign w:val="center"/>
            <w:hideMark/>
          </w:tcPr>
          <w:p w14:paraId="45ACEFEC" w14:textId="46EDB87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67D0C3A" w14:textId="28CA5ED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64AB83A" w14:textId="76A4F4A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0B8A7AE4" w14:textId="314AC4B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4B4FFB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15D97D4"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E96730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SAI</w:t>
            </w:r>
          </w:p>
        </w:tc>
        <w:tc>
          <w:tcPr>
            <w:tcW w:w="452" w:type="pct"/>
            <w:tcBorders>
              <w:top w:val="nil"/>
              <w:left w:val="nil"/>
              <w:bottom w:val="single" w:sz="4" w:space="0" w:color="auto"/>
              <w:right w:val="single" w:sz="4" w:space="0" w:color="auto"/>
            </w:tcBorders>
            <w:noWrap/>
            <w:vAlign w:val="center"/>
            <w:hideMark/>
          </w:tcPr>
          <w:p w14:paraId="2CC8040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2,97</w:t>
            </w:r>
          </w:p>
        </w:tc>
        <w:tc>
          <w:tcPr>
            <w:tcW w:w="452" w:type="pct"/>
            <w:tcBorders>
              <w:top w:val="nil"/>
              <w:left w:val="nil"/>
              <w:bottom w:val="single" w:sz="4" w:space="0" w:color="auto"/>
              <w:right w:val="single" w:sz="4" w:space="0" w:color="auto"/>
            </w:tcBorders>
            <w:noWrap/>
            <w:vAlign w:val="center"/>
            <w:hideMark/>
          </w:tcPr>
          <w:p w14:paraId="104E44C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2,60</w:t>
            </w:r>
          </w:p>
        </w:tc>
        <w:tc>
          <w:tcPr>
            <w:tcW w:w="452" w:type="pct"/>
            <w:tcBorders>
              <w:top w:val="nil"/>
              <w:left w:val="nil"/>
              <w:bottom w:val="single" w:sz="4" w:space="0" w:color="auto"/>
              <w:right w:val="single" w:sz="4" w:space="0" w:color="auto"/>
            </w:tcBorders>
            <w:noWrap/>
            <w:vAlign w:val="center"/>
            <w:hideMark/>
          </w:tcPr>
          <w:p w14:paraId="25B1326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2,78</w:t>
            </w:r>
          </w:p>
        </w:tc>
        <w:tc>
          <w:tcPr>
            <w:tcW w:w="398" w:type="pct"/>
            <w:tcBorders>
              <w:top w:val="nil"/>
              <w:left w:val="nil"/>
              <w:bottom w:val="single" w:sz="4" w:space="0" w:color="auto"/>
              <w:right w:val="single" w:sz="4" w:space="0" w:color="auto"/>
            </w:tcBorders>
            <w:noWrap/>
            <w:vAlign w:val="center"/>
            <w:hideMark/>
          </w:tcPr>
          <w:p w14:paraId="19E858E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2,11</w:t>
            </w:r>
          </w:p>
        </w:tc>
        <w:tc>
          <w:tcPr>
            <w:tcW w:w="398" w:type="pct"/>
            <w:tcBorders>
              <w:top w:val="nil"/>
              <w:left w:val="nil"/>
              <w:bottom w:val="single" w:sz="4" w:space="0" w:color="auto"/>
              <w:right w:val="single" w:sz="4" w:space="0" w:color="auto"/>
            </w:tcBorders>
            <w:noWrap/>
            <w:vAlign w:val="center"/>
            <w:hideMark/>
          </w:tcPr>
          <w:p w14:paraId="01A7D04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1,36</w:t>
            </w:r>
          </w:p>
        </w:tc>
        <w:tc>
          <w:tcPr>
            <w:tcW w:w="452" w:type="pct"/>
            <w:tcBorders>
              <w:top w:val="nil"/>
              <w:left w:val="nil"/>
              <w:bottom w:val="single" w:sz="4" w:space="0" w:color="auto"/>
              <w:right w:val="single" w:sz="4" w:space="0" w:color="auto"/>
            </w:tcBorders>
            <w:noWrap/>
            <w:vAlign w:val="center"/>
            <w:hideMark/>
          </w:tcPr>
          <w:p w14:paraId="1DED909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1,71</w:t>
            </w:r>
          </w:p>
        </w:tc>
        <w:tc>
          <w:tcPr>
            <w:tcW w:w="398" w:type="pct"/>
            <w:tcBorders>
              <w:top w:val="nil"/>
              <w:left w:val="nil"/>
              <w:bottom w:val="single" w:sz="4" w:space="0" w:color="auto"/>
              <w:right w:val="single" w:sz="4" w:space="0" w:color="auto"/>
            </w:tcBorders>
            <w:noWrap/>
            <w:vAlign w:val="center"/>
            <w:hideMark/>
          </w:tcPr>
          <w:p w14:paraId="3DD0495F" w14:textId="1C69B21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A9B8B0D" w14:textId="1DE10D3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C326975" w14:textId="5DC5DFE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5049188" w14:textId="0B2BC61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2F80226"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65F0A3F"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718FBA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SKJ</w:t>
            </w:r>
            <w:proofErr w:type="spellEnd"/>
          </w:p>
        </w:tc>
        <w:tc>
          <w:tcPr>
            <w:tcW w:w="452" w:type="pct"/>
            <w:tcBorders>
              <w:top w:val="nil"/>
              <w:left w:val="nil"/>
              <w:bottom w:val="single" w:sz="4" w:space="0" w:color="auto"/>
              <w:right w:val="single" w:sz="4" w:space="0" w:color="auto"/>
            </w:tcBorders>
            <w:noWrap/>
            <w:vAlign w:val="center"/>
            <w:hideMark/>
          </w:tcPr>
          <w:p w14:paraId="347A738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16,10</w:t>
            </w:r>
          </w:p>
        </w:tc>
        <w:tc>
          <w:tcPr>
            <w:tcW w:w="452" w:type="pct"/>
            <w:tcBorders>
              <w:top w:val="nil"/>
              <w:left w:val="nil"/>
              <w:bottom w:val="single" w:sz="4" w:space="0" w:color="auto"/>
              <w:right w:val="single" w:sz="4" w:space="0" w:color="auto"/>
            </w:tcBorders>
            <w:noWrap/>
            <w:vAlign w:val="center"/>
            <w:hideMark/>
          </w:tcPr>
          <w:p w14:paraId="58AE0D2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26,62</w:t>
            </w:r>
          </w:p>
        </w:tc>
        <w:tc>
          <w:tcPr>
            <w:tcW w:w="452" w:type="pct"/>
            <w:tcBorders>
              <w:top w:val="nil"/>
              <w:left w:val="nil"/>
              <w:bottom w:val="single" w:sz="4" w:space="0" w:color="auto"/>
              <w:right w:val="single" w:sz="4" w:space="0" w:color="auto"/>
            </w:tcBorders>
            <w:noWrap/>
            <w:vAlign w:val="center"/>
            <w:hideMark/>
          </w:tcPr>
          <w:p w14:paraId="283B839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21,25</w:t>
            </w:r>
          </w:p>
        </w:tc>
        <w:tc>
          <w:tcPr>
            <w:tcW w:w="398" w:type="pct"/>
            <w:tcBorders>
              <w:top w:val="nil"/>
              <w:left w:val="nil"/>
              <w:bottom w:val="single" w:sz="4" w:space="0" w:color="auto"/>
              <w:right w:val="single" w:sz="4" w:space="0" w:color="auto"/>
            </w:tcBorders>
            <w:noWrap/>
            <w:vAlign w:val="center"/>
            <w:hideMark/>
          </w:tcPr>
          <w:p w14:paraId="0E33D2F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10,58</w:t>
            </w:r>
          </w:p>
        </w:tc>
        <w:tc>
          <w:tcPr>
            <w:tcW w:w="398" w:type="pct"/>
            <w:tcBorders>
              <w:top w:val="nil"/>
              <w:left w:val="nil"/>
              <w:bottom w:val="single" w:sz="4" w:space="0" w:color="auto"/>
              <w:right w:val="single" w:sz="4" w:space="0" w:color="auto"/>
            </w:tcBorders>
            <w:noWrap/>
            <w:vAlign w:val="center"/>
            <w:hideMark/>
          </w:tcPr>
          <w:p w14:paraId="7531B79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10,39</w:t>
            </w:r>
          </w:p>
        </w:tc>
        <w:tc>
          <w:tcPr>
            <w:tcW w:w="452" w:type="pct"/>
            <w:tcBorders>
              <w:top w:val="nil"/>
              <w:left w:val="nil"/>
              <w:bottom w:val="single" w:sz="4" w:space="0" w:color="auto"/>
              <w:right w:val="single" w:sz="4" w:space="0" w:color="auto"/>
            </w:tcBorders>
            <w:noWrap/>
            <w:vAlign w:val="center"/>
            <w:hideMark/>
          </w:tcPr>
          <w:p w14:paraId="0F5CA52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4,24</w:t>
            </w:r>
          </w:p>
        </w:tc>
        <w:tc>
          <w:tcPr>
            <w:tcW w:w="398" w:type="pct"/>
            <w:tcBorders>
              <w:top w:val="nil"/>
              <w:left w:val="nil"/>
              <w:bottom w:val="single" w:sz="4" w:space="0" w:color="auto"/>
              <w:right w:val="single" w:sz="4" w:space="0" w:color="auto"/>
            </w:tcBorders>
            <w:noWrap/>
            <w:vAlign w:val="center"/>
            <w:hideMark/>
          </w:tcPr>
          <w:p w14:paraId="70386A5C" w14:textId="295A142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F55372B" w14:textId="7FC4DD4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324E41" w14:textId="3E6B0D2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BF0E11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118,37</w:t>
            </w:r>
          </w:p>
        </w:tc>
      </w:tr>
      <w:tr w:rsidR="00086131" w:rsidRPr="00460297" w14:paraId="37F5458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F776111"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1D3AD4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SPF</w:t>
            </w:r>
            <w:proofErr w:type="spellEnd"/>
          </w:p>
        </w:tc>
        <w:tc>
          <w:tcPr>
            <w:tcW w:w="452" w:type="pct"/>
            <w:tcBorders>
              <w:top w:val="nil"/>
              <w:left w:val="nil"/>
              <w:bottom w:val="single" w:sz="4" w:space="0" w:color="auto"/>
              <w:right w:val="single" w:sz="4" w:space="0" w:color="auto"/>
            </w:tcBorders>
            <w:noWrap/>
            <w:vAlign w:val="center"/>
            <w:hideMark/>
          </w:tcPr>
          <w:p w14:paraId="30AB706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0,37</w:t>
            </w:r>
          </w:p>
        </w:tc>
        <w:tc>
          <w:tcPr>
            <w:tcW w:w="452" w:type="pct"/>
            <w:tcBorders>
              <w:top w:val="nil"/>
              <w:left w:val="nil"/>
              <w:bottom w:val="single" w:sz="4" w:space="0" w:color="auto"/>
              <w:right w:val="single" w:sz="4" w:space="0" w:color="auto"/>
            </w:tcBorders>
            <w:noWrap/>
            <w:vAlign w:val="center"/>
            <w:hideMark/>
          </w:tcPr>
          <w:p w14:paraId="3C042A0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0,54</w:t>
            </w:r>
          </w:p>
        </w:tc>
        <w:tc>
          <w:tcPr>
            <w:tcW w:w="452" w:type="pct"/>
            <w:tcBorders>
              <w:top w:val="nil"/>
              <w:left w:val="nil"/>
              <w:bottom w:val="single" w:sz="4" w:space="0" w:color="auto"/>
              <w:right w:val="single" w:sz="4" w:space="0" w:color="auto"/>
            </w:tcBorders>
            <w:noWrap/>
            <w:vAlign w:val="center"/>
            <w:hideMark/>
          </w:tcPr>
          <w:p w14:paraId="06CD8D7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0,69</w:t>
            </w:r>
          </w:p>
        </w:tc>
        <w:tc>
          <w:tcPr>
            <w:tcW w:w="398" w:type="pct"/>
            <w:tcBorders>
              <w:top w:val="nil"/>
              <w:left w:val="nil"/>
              <w:bottom w:val="single" w:sz="4" w:space="0" w:color="auto"/>
              <w:right w:val="single" w:sz="4" w:space="0" w:color="auto"/>
            </w:tcBorders>
            <w:noWrap/>
            <w:vAlign w:val="center"/>
            <w:hideMark/>
          </w:tcPr>
          <w:p w14:paraId="16B8BAD1" w14:textId="2BE512F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7E39A5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0,18</w:t>
            </w:r>
          </w:p>
        </w:tc>
        <w:tc>
          <w:tcPr>
            <w:tcW w:w="452" w:type="pct"/>
            <w:tcBorders>
              <w:top w:val="nil"/>
              <w:left w:val="nil"/>
              <w:bottom w:val="single" w:sz="4" w:space="0" w:color="auto"/>
              <w:right w:val="single" w:sz="4" w:space="0" w:color="auto"/>
            </w:tcBorders>
            <w:noWrap/>
            <w:vAlign w:val="center"/>
            <w:hideMark/>
          </w:tcPr>
          <w:p w14:paraId="01A4370D" w14:textId="0E169B7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3E0997C" w14:textId="14566A5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A6CE086" w14:textId="5239493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EE35AE" w14:textId="7ABBA29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268E30DD" w14:textId="0B5A721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0C8488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779D0F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753097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SSM</w:t>
            </w:r>
            <w:proofErr w:type="spellEnd"/>
          </w:p>
        </w:tc>
        <w:tc>
          <w:tcPr>
            <w:tcW w:w="452" w:type="pct"/>
            <w:tcBorders>
              <w:top w:val="nil"/>
              <w:left w:val="nil"/>
              <w:bottom w:val="single" w:sz="4" w:space="0" w:color="auto"/>
              <w:right w:val="single" w:sz="4" w:space="0" w:color="auto"/>
            </w:tcBorders>
            <w:noWrap/>
            <w:vAlign w:val="center"/>
            <w:hideMark/>
          </w:tcPr>
          <w:p w14:paraId="47A01E9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0,10</w:t>
            </w:r>
          </w:p>
        </w:tc>
        <w:tc>
          <w:tcPr>
            <w:tcW w:w="452" w:type="pct"/>
            <w:tcBorders>
              <w:top w:val="nil"/>
              <w:left w:val="nil"/>
              <w:bottom w:val="single" w:sz="4" w:space="0" w:color="auto"/>
              <w:right w:val="single" w:sz="4" w:space="0" w:color="auto"/>
            </w:tcBorders>
            <w:noWrap/>
            <w:vAlign w:val="center"/>
            <w:hideMark/>
          </w:tcPr>
          <w:p w14:paraId="64C2250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0,31</w:t>
            </w:r>
          </w:p>
        </w:tc>
        <w:tc>
          <w:tcPr>
            <w:tcW w:w="452" w:type="pct"/>
            <w:tcBorders>
              <w:top w:val="nil"/>
              <w:left w:val="nil"/>
              <w:bottom w:val="single" w:sz="4" w:space="0" w:color="auto"/>
              <w:right w:val="single" w:sz="4" w:space="0" w:color="auto"/>
            </w:tcBorders>
            <w:noWrap/>
            <w:vAlign w:val="center"/>
            <w:hideMark/>
          </w:tcPr>
          <w:p w14:paraId="0714454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0,11</w:t>
            </w:r>
          </w:p>
        </w:tc>
        <w:tc>
          <w:tcPr>
            <w:tcW w:w="398" w:type="pct"/>
            <w:tcBorders>
              <w:top w:val="nil"/>
              <w:left w:val="nil"/>
              <w:bottom w:val="single" w:sz="4" w:space="0" w:color="auto"/>
              <w:right w:val="single" w:sz="4" w:space="0" w:color="auto"/>
            </w:tcBorders>
            <w:noWrap/>
            <w:vAlign w:val="center"/>
            <w:hideMark/>
          </w:tcPr>
          <w:p w14:paraId="2FB2A1A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0,15</w:t>
            </w:r>
          </w:p>
        </w:tc>
        <w:tc>
          <w:tcPr>
            <w:tcW w:w="398" w:type="pct"/>
            <w:tcBorders>
              <w:top w:val="nil"/>
              <w:left w:val="nil"/>
              <w:bottom w:val="single" w:sz="4" w:space="0" w:color="auto"/>
              <w:right w:val="single" w:sz="4" w:space="0" w:color="auto"/>
            </w:tcBorders>
            <w:noWrap/>
            <w:vAlign w:val="center"/>
            <w:hideMark/>
          </w:tcPr>
          <w:p w14:paraId="72F0CDA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452" w:type="pct"/>
            <w:tcBorders>
              <w:top w:val="nil"/>
              <w:left w:val="nil"/>
              <w:bottom w:val="single" w:sz="4" w:space="0" w:color="auto"/>
              <w:right w:val="single" w:sz="4" w:space="0" w:color="auto"/>
            </w:tcBorders>
            <w:noWrap/>
            <w:vAlign w:val="center"/>
            <w:hideMark/>
          </w:tcPr>
          <w:p w14:paraId="1B0F344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0,24</w:t>
            </w:r>
          </w:p>
        </w:tc>
        <w:tc>
          <w:tcPr>
            <w:tcW w:w="398" w:type="pct"/>
            <w:tcBorders>
              <w:top w:val="nil"/>
              <w:left w:val="nil"/>
              <w:bottom w:val="single" w:sz="4" w:space="0" w:color="auto"/>
              <w:right w:val="single" w:sz="4" w:space="0" w:color="auto"/>
            </w:tcBorders>
            <w:noWrap/>
            <w:vAlign w:val="center"/>
            <w:hideMark/>
          </w:tcPr>
          <w:p w14:paraId="31562858" w14:textId="27D7F5B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1567E8D" w14:textId="22FB002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E41C51B" w14:textId="1242476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C338D80" w14:textId="13BA868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87A709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E936BD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89DCAB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STT</w:t>
            </w:r>
            <w:proofErr w:type="spellEnd"/>
          </w:p>
        </w:tc>
        <w:tc>
          <w:tcPr>
            <w:tcW w:w="452" w:type="pct"/>
            <w:tcBorders>
              <w:top w:val="nil"/>
              <w:left w:val="nil"/>
              <w:bottom w:val="single" w:sz="4" w:space="0" w:color="auto"/>
              <w:right w:val="single" w:sz="4" w:space="0" w:color="auto"/>
            </w:tcBorders>
            <w:noWrap/>
            <w:vAlign w:val="center"/>
            <w:hideMark/>
          </w:tcPr>
          <w:p w14:paraId="18758DC5" w14:textId="75C7946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0CC6B25" w14:textId="0495F9F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D376D90" w14:textId="08A2F64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27328B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398" w:type="pct"/>
            <w:tcBorders>
              <w:top w:val="nil"/>
              <w:left w:val="nil"/>
              <w:bottom w:val="single" w:sz="4" w:space="0" w:color="auto"/>
              <w:right w:val="single" w:sz="4" w:space="0" w:color="auto"/>
            </w:tcBorders>
            <w:noWrap/>
            <w:vAlign w:val="center"/>
            <w:hideMark/>
          </w:tcPr>
          <w:p w14:paraId="16EDFAF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0,11</w:t>
            </w:r>
          </w:p>
        </w:tc>
        <w:tc>
          <w:tcPr>
            <w:tcW w:w="452" w:type="pct"/>
            <w:tcBorders>
              <w:top w:val="nil"/>
              <w:left w:val="nil"/>
              <w:bottom w:val="single" w:sz="4" w:space="0" w:color="auto"/>
              <w:right w:val="single" w:sz="4" w:space="0" w:color="auto"/>
            </w:tcBorders>
            <w:noWrap/>
            <w:vAlign w:val="center"/>
            <w:hideMark/>
          </w:tcPr>
          <w:p w14:paraId="42C2246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c>
          <w:tcPr>
            <w:tcW w:w="398" w:type="pct"/>
            <w:tcBorders>
              <w:top w:val="nil"/>
              <w:left w:val="nil"/>
              <w:bottom w:val="single" w:sz="4" w:space="0" w:color="auto"/>
              <w:right w:val="single" w:sz="4" w:space="0" w:color="auto"/>
            </w:tcBorders>
            <w:noWrap/>
            <w:vAlign w:val="center"/>
            <w:hideMark/>
          </w:tcPr>
          <w:p w14:paraId="2CFAB319" w14:textId="6ECE1C0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8B58459" w14:textId="7416923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6A321FF" w14:textId="20F3EEB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B5C2168" w14:textId="4919DF3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DE372F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C3E3A93"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A5A24E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SWO</w:t>
            </w:r>
          </w:p>
        </w:tc>
        <w:tc>
          <w:tcPr>
            <w:tcW w:w="452" w:type="pct"/>
            <w:tcBorders>
              <w:top w:val="nil"/>
              <w:left w:val="nil"/>
              <w:bottom w:val="single" w:sz="4" w:space="0" w:color="auto"/>
              <w:right w:val="single" w:sz="4" w:space="0" w:color="auto"/>
            </w:tcBorders>
            <w:noWrap/>
            <w:vAlign w:val="center"/>
            <w:hideMark/>
          </w:tcPr>
          <w:p w14:paraId="6F472D9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452" w:type="pct"/>
            <w:tcBorders>
              <w:top w:val="nil"/>
              <w:left w:val="nil"/>
              <w:bottom w:val="single" w:sz="4" w:space="0" w:color="auto"/>
              <w:right w:val="single" w:sz="4" w:space="0" w:color="auto"/>
            </w:tcBorders>
            <w:noWrap/>
            <w:vAlign w:val="center"/>
            <w:hideMark/>
          </w:tcPr>
          <w:p w14:paraId="18AD4BE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452" w:type="pct"/>
            <w:tcBorders>
              <w:top w:val="nil"/>
              <w:left w:val="nil"/>
              <w:bottom w:val="single" w:sz="4" w:space="0" w:color="auto"/>
              <w:right w:val="single" w:sz="4" w:space="0" w:color="auto"/>
            </w:tcBorders>
            <w:noWrap/>
            <w:vAlign w:val="center"/>
            <w:hideMark/>
          </w:tcPr>
          <w:p w14:paraId="4B44D5F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0,56</w:t>
            </w:r>
          </w:p>
        </w:tc>
        <w:tc>
          <w:tcPr>
            <w:tcW w:w="398" w:type="pct"/>
            <w:tcBorders>
              <w:top w:val="nil"/>
              <w:left w:val="nil"/>
              <w:bottom w:val="single" w:sz="4" w:space="0" w:color="auto"/>
              <w:right w:val="single" w:sz="4" w:space="0" w:color="auto"/>
            </w:tcBorders>
            <w:noWrap/>
            <w:vAlign w:val="center"/>
            <w:hideMark/>
          </w:tcPr>
          <w:p w14:paraId="2AD18621" w14:textId="0095EB3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135D3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0,35</w:t>
            </w:r>
          </w:p>
        </w:tc>
        <w:tc>
          <w:tcPr>
            <w:tcW w:w="452" w:type="pct"/>
            <w:tcBorders>
              <w:top w:val="nil"/>
              <w:left w:val="nil"/>
              <w:bottom w:val="single" w:sz="4" w:space="0" w:color="auto"/>
              <w:right w:val="single" w:sz="4" w:space="0" w:color="auto"/>
            </w:tcBorders>
            <w:noWrap/>
            <w:vAlign w:val="center"/>
            <w:hideMark/>
          </w:tcPr>
          <w:p w14:paraId="58EB7D1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0,12</w:t>
            </w:r>
          </w:p>
        </w:tc>
        <w:tc>
          <w:tcPr>
            <w:tcW w:w="398" w:type="pct"/>
            <w:tcBorders>
              <w:top w:val="nil"/>
              <w:left w:val="nil"/>
              <w:bottom w:val="single" w:sz="4" w:space="0" w:color="auto"/>
              <w:right w:val="single" w:sz="4" w:space="0" w:color="auto"/>
            </w:tcBorders>
            <w:noWrap/>
            <w:vAlign w:val="center"/>
            <w:hideMark/>
          </w:tcPr>
          <w:p w14:paraId="5D2AB618" w14:textId="126CB44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A988F49" w14:textId="6F4DF7B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9BDB1D1" w14:textId="1D24211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D5B9802" w14:textId="0E168B9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B5EE36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9BD8F2C"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82A5BF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TRI</w:t>
            </w:r>
          </w:p>
        </w:tc>
        <w:tc>
          <w:tcPr>
            <w:tcW w:w="452" w:type="pct"/>
            <w:tcBorders>
              <w:top w:val="nil"/>
              <w:left w:val="nil"/>
              <w:bottom w:val="single" w:sz="4" w:space="0" w:color="auto"/>
              <w:right w:val="single" w:sz="4" w:space="0" w:color="auto"/>
            </w:tcBorders>
            <w:noWrap/>
            <w:vAlign w:val="center"/>
            <w:hideMark/>
          </w:tcPr>
          <w:p w14:paraId="4C17939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2,95</w:t>
            </w:r>
          </w:p>
        </w:tc>
        <w:tc>
          <w:tcPr>
            <w:tcW w:w="452" w:type="pct"/>
            <w:tcBorders>
              <w:top w:val="nil"/>
              <w:left w:val="nil"/>
              <w:bottom w:val="single" w:sz="4" w:space="0" w:color="auto"/>
              <w:right w:val="single" w:sz="4" w:space="0" w:color="auto"/>
            </w:tcBorders>
            <w:noWrap/>
            <w:vAlign w:val="center"/>
            <w:hideMark/>
          </w:tcPr>
          <w:p w14:paraId="3F85AE7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2,02</w:t>
            </w:r>
          </w:p>
        </w:tc>
        <w:tc>
          <w:tcPr>
            <w:tcW w:w="452" w:type="pct"/>
            <w:tcBorders>
              <w:top w:val="nil"/>
              <w:left w:val="nil"/>
              <w:bottom w:val="single" w:sz="4" w:space="0" w:color="auto"/>
              <w:right w:val="single" w:sz="4" w:space="0" w:color="auto"/>
            </w:tcBorders>
            <w:noWrap/>
            <w:vAlign w:val="center"/>
            <w:hideMark/>
          </w:tcPr>
          <w:p w14:paraId="068213C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0,75</w:t>
            </w:r>
          </w:p>
        </w:tc>
        <w:tc>
          <w:tcPr>
            <w:tcW w:w="398" w:type="pct"/>
            <w:tcBorders>
              <w:top w:val="nil"/>
              <w:left w:val="nil"/>
              <w:bottom w:val="single" w:sz="4" w:space="0" w:color="auto"/>
              <w:right w:val="single" w:sz="4" w:space="0" w:color="auto"/>
            </w:tcBorders>
            <w:noWrap/>
            <w:vAlign w:val="center"/>
            <w:hideMark/>
          </w:tcPr>
          <w:p w14:paraId="473E3E6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0,52</w:t>
            </w:r>
          </w:p>
        </w:tc>
        <w:tc>
          <w:tcPr>
            <w:tcW w:w="398" w:type="pct"/>
            <w:tcBorders>
              <w:top w:val="nil"/>
              <w:left w:val="nil"/>
              <w:bottom w:val="single" w:sz="4" w:space="0" w:color="auto"/>
              <w:right w:val="single" w:sz="4" w:space="0" w:color="auto"/>
            </w:tcBorders>
            <w:noWrap/>
            <w:vAlign w:val="center"/>
            <w:hideMark/>
          </w:tcPr>
          <w:p w14:paraId="39ED696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1,38</w:t>
            </w:r>
          </w:p>
        </w:tc>
        <w:tc>
          <w:tcPr>
            <w:tcW w:w="452" w:type="pct"/>
            <w:tcBorders>
              <w:top w:val="nil"/>
              <w:left w:val="nil"/>
              <w:bottom w:val="single" w:sz="4" w:space="0" w:color="auto"/>
              <w:right w:val="single" w:sz="4" w:space="0" w:color="auto"/>
            </w:tcBorders>
            <w:noWrap/>
            <w:vAlign w:val="center"/>
            <w:hideMark/>
          </w:tcPr>
          <w:p w14:paraId="63F0BEA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1,20</w:t>
            </w:r>
          </w:p>
        </w:tc>
        <w:tc>
          <w:tcPr>
            <w:tcW w:w="398" w:type="pct"/>
            <w:tcBorders>
              <w:top w:val="nil"/>
              <w:left w:val="nil"/>
              <w:bottom w:val="single" w:sz="4" w:space="0" w:color="auto"/>
              <w:right w:val="single" w:sz="4" w:space="0" w:color="auto"/>
            </w:tcBorders>
            <w:noWrap/>
            <w:vAlign w:val="center"/>
            <w:hideMark/>
          </w:tcPr>
          <w:p w14:paraId="25CDDACA" w14:textId="11F5A24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54F48FA" w14:textId="175E6A4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AF979B" w14:textId="1C1F4D3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457E7A8" w14:textId="77E28F7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3DBD0A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24702A6"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93D432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TUN</w:t>
            </w:r>
          </w:p>
        </w:tc>
        <w:tc>
          <w:tcPr>
            <w:tcW w:w="452" w:type="pct"/>
            <w:tcBorders>
              <w:top w:val="nil"/>
              <w:left w:val="nil"/>
              <w:bottom w:val="single" w:sz="4" w:space="0" w:color="auto"/>
              <w:right w:val="single" w:sz="4" w:space="0" w:color="auto"/>
            </w:tcBorders>
            <w:noWrap/>
            <w:vAlign w:val="center"/>
            <w:hideMark/>
          </w:tcPr>
          <w:p w14:paraId="3E4595B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1,51</w:t>
            </w:r>
          </w:p>
        </w:tc>
        <w:tc>
          <w:tcPr>
            <w:tcW w:w="452" w:type="pct"/>
            <w:tcBorders>
              <w:top w:val="nil"/>
              <w:left w:val="nil"/>
              <w:bottom w:val="single" w:sz="4" w:space="0" w:color="auto"/>
              <w:right w:val="single" w:sz="4" w:space="0" w:color="auto"/>
            </w:tcBorders>
            <w:noWrap/>
            <w:vAlign w:val="center"/>
            <w:hideMark/>
          </w:tcPr>
          <w:p w14:paraId="0E8CA18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3,06</w:t>
            </w:r>
          </w:p>
        </w:tc>
        <w:tc>
          <w:tcPr>
            <w:tcW w:w="452" w:type="pct"/>
            <w:tcBorders>
              <w:top w:val="nil"/>
              <w:left w:val="nil"/>
              <w:bottom w:val="single" w:sz="4" w:space="0" w:color="auto"/>
              <w:right w:val="single" w:sz="4" w:space="0" w:color="auto"/>
            </w:tcBorders>
            <w:noWrap/>
            <w:vAlign w:val="center"/>
            <w:hideMark/>
          </w:tcPr>
          <w:p w14:paraId="441CDBE2" w14:textId="49A5FF6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22C36E8" w14:textId="0043D6F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54338E7" w14:textId="459B166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EEAA87E" w14:textId="69B64DB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B4EDAEB" w14:textId="11D17DB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B31277D" w14:textId="2CCFB8F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7C4B023" w14:textId="37F757A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FA624B9" w14:textId="26EBB5C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4A29F2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2DFA168"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83FE25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TUS</w:t>
            </w:r>
          </w:p>
        </w:tc>
        <w:tc>
          <w:tcPr>
            <w:tcW w:w="452" w:type="pct"/>
            <w:tcBorders>
              <w:top w:val="nil"/>
              <w:left w:val="nil"/>
              <w:bottom w:val="single" w:sz="4" w:space="0" w:color="auto"/>
              <w:right w:val="single" w:sz="4" w:space="0" w:color="auto"/>
            </w:tcBorders>
            <w:noWrap/>
            <w:vAlign w:val="center"/>
            <w:hideMark/>
          </w:tcPr>
          <w:p w14:paraId="65DB9326" w14:textId="3BA89D8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3A90DB2" w14:textId="4EAF496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77F26E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9,67</w:t>
            </w:r>
          </w:p>
        </w:tc>
        <w:tc>
          <w:tcPr>
            <w:tcW w:w="398" w:type="pct"/>
            <w:tcBorders>
              <w:top w:val="nil"/>
              <w:left w:val="nil"/>
              <w:bottom w:val="single" w:sz="4" w:space="0" w:color="auto"/>
              <w:right w:val="single" w:sz="4" w:space="0" w:color="auto"/>
            </w:tcBorders>
            <w:noWrap/>
            <w:vAlign w:val="center"/>
            <w:hideMark/>
          </w:tcPr>
          <w:p w14:paraId="640533F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3,89</w:t>
            </w:r>
          </w:p>
        </w:tc>
        <w:tc>
          <w:tcPr>
            <w:tcW w:w="398" w:type="pct"/>
            <w:tcBorders>
              <w:top w:val="nil"/>
              <w:left w:val="nil"/>
              <w:bottom w:val="single" w:sz="4" w:space="0" w:color="auto"/>
              <w:right w:val="single" w:sz="4" w:space="0" w:color="auto"/>
            </w:tcBorders>
            <w:noWrap/>
            <w:vAlign w:val="center"/>
            <w:hideMark/>
          </w:tcPr>
          <w:p w14:paraId="36A6FA2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8,06</w:t>
            </w:r>
          </w:p>
        </w:tc>
        <w:tc>
          <w:tcPr>
            <w:tcW w:w="452" w:type="pct"/>
            <w:tcBorders>
              <w:top w:val="nil"/>
              <w:left w:val="nil"/>
              <w:bottom w:val="single" w:sz="4" w:space="0" w:color="auto"/>
              <w:right w:val="single" w:sz="4" w:space="0" w:color="auto"/>
            </w:tcBorders>
            <w:noWrap/>
            <w:vAlign w:val="center"/>
            <w:hideMark/>
          </w:tcPr>
          <w:p w14:paraId="3ED83E5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1,41</w:t>
            </w:r>
          </w:p>
        </w:tc>
        <w:tc>
          <w:tcPr>
            <w:tcW w:w="398" w:type="pct"/>
            <w:tcBorders>
              <w:top w:val="nil"/>
              <w:left w:val="nil"/>
              <w:bottom w:val="single" w:sz="4" w:space="0" w:color="auto"/>
              <w:right w:val="single" w:sz="4" w:space="0" w:color="auto"/>
            </w:tcBorders>
            <w:noWrap/>
            <w:vAlign w:val="center"/>
            <w:hideMark/>
          </w:tcPr>
          <w:p w14:paraId="08DCF0C5" w14:textId="359F278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F0D6287" w14:textId="35BCCB6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F8987EB" w14:textId="26D3E1F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A302906" w14:textId="2990BFB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9087C0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DC14C93"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lastRenderedPageBreak/>
              <w:t> </w:t>
            </w:r>
          </w:p>
        </w:tc>
        <w:tc>
          <w:tcPr>
            <w:tcW w:w="406" w:type="pct"/>
            <w:tcBorders>
              <w:top w:val="nil"/>
              <w:left w:val="nil"/>
              <w:bottom w:val="single" w:sz="4" w:space="0" w:color="auto"/>
              <w:right w:val="single" w:sz="4" w:space="0" w:color="auto"/>
            </w:tcBorders>
            <w:noWrap/>
            <w:vAlign w:val="center"/>
            <w:hideMark/>
          </w:tcPr>
          <w:p w14:paraId="0BA38B5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USE</w:t>
            </w:r>
          </w:p>
        </w:tc>
        <w:tc>
          <w:tcPr>
            <w:tcW w:w="452" w:type="pct"/>
            <w:tcBorders>
              <w:top w:val="nil"/>
              <w:left w:val="nil"/>
              <w:bottom w:val="single" w:sz="4" w:space="0" w:color="auto"/>
              <w:right w:val="single" w:sz="4" w:space="0" w:color="auto"/>
            </w:tcBorders>
            <w:noWrap/>
            <w:vAlign w:val="center"/>
            <w:hideMark/>
          </w:tcPr>
          <w:p w14:paraId="1C24ECE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0,06</w:t>
            </w:r>
          </w:p>
        </w:tc>
        <w:tc>
          <w:tcPr>
            <w:tcW w:w="452" w:type="pct"/>
            <w:tcBorders>
              <w:top w:val="nil"/>
              <w:left w:val="nil"/>
              <w:bottom w:val="single" w:sz="4" w:space="0" w:color="auto"/>
              <w:right w:val="single" w:sz="4" w:space="0" w:color="auto"/>
            </w:tcBorders>
            <w:noWrap/>
            <w:vAlign w:val="center"/>
            <w:hideMark/>
          </w:tcPr>
          <w:p w14:paraId="4FA06BF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2,03</w:t>
            </w:r>
          </w:p>
        </w:tc>
        <w:tc>
          <w:tcPr>
            <w:tcW w:w="452" w:type="pct"/>
            <w:tcBorders>
              <w:top w:val="nil"/>
              <w:left w:val="nil"/>
              <w:bottom w:val="single" w:sz="4" w:space="0" w:color="auto"/>
              <w:right w:val="single" w:sz="4" w:space="0" w:color="auto"/>
            </w:tcBorders>
            <w:noWrap/>
            <w:vAlign w:val="center"/>
            <w:hideMark/>
          </w:tcPr>
          <w:p w14:paraId="585C03E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2,00</w:t>
            </w:r>
          </w:p>
        </w:tc>
        <w:tc>
          <w:tcPr>
            <w:tcW w:w="398" w:type="pct"/>
            <w:tcBorders>
              <w:top w:val="nil"/>
              <w:left w:val="nil"/>
              <w:bottom w:val="single" w:sz="4" w:space="0" w:color="auto"/>
              <w:right w:val="single" w:sz="4" w:space="0" w:color="auto"/>
            </w:tcBorders>
            <w:noWrap/>
            <w:vAlign w:val="center"/>
            <w:hideMark/>
          </w:tcPr>
          <w:p w14:paraId="5D0FA9A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1,22</w:t>
            </w:r>
          </w:p>
        </w:tc>
        <w:tc>
          <w:tcPr>
            <w:tcW w:w="398" w:type="pct"/>
            <w:tcBorders>
              <w:top w:val="nil"/>
              <w:left w:val="nil"/>
              <w:bottom w:val="single" w:sz="4" w:space="0" w:color="auto"/>
              <w:right w:val="single" w:sz="4" w:space="0" w:color="auto"/>
            </w:tcBorders>
            <w:noWrap/>
            <w:vAlign w:val="center"/>
            <w:hideMark/>
          </w:tcPr>
          <w:p w14:paraId="3CED91D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3,33</w:t>
            </w:r>
          </w:p>
        </w:tc>
        <w:tc>
          <w:tcPr>
            <w:tcW w:w="452" w:type="pct"/>
            <w:tcBorders>
              <w:top w:val="nil"/>
              <w:left w:val="nil"/>
              <w:bottom w:val="single" w:sz="4" w:space="0" w:color="auto"/>
              <w:right w:val="single" w:sz="4" w:space="0" w:color="auto"/>
            </w:tcBorders>
            <w:noWrap/>
            <w:vAlign w:val="center"/>
            <w:hideMark/>
          </w:tcPr>
          <w:p w14:paraId="00FFC05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1,12</w:t>
            </w:r>
          </w:p>
        </w:tc>
        <w:tc>
          <w:tcPr>
            <w:tcW w:w="398" w:type="pct"/>
            <w:tcBorders>
              <w:top w:val="nil"/>
              <w:left w:val="nil"/>
              <w:bottom w:val="single" w:sz="4" w:space="0" w:color="auto"/>
              <w:right w:val="single" w:sz="4" w:space="0" w:color="auto"/>
            </w:tcBorders>
            <w:noWrap/>
            <w:vAlign w:val="center"/>
            <w:hideMark/>
          </w:tcPr>
          <w:p w14:paraId="6E829308" w14:textId="3118649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24F9A69" w14:textId="0FD6DD4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2E380F0" w14:textId="40F3B50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CD66C60" w14:textId="607484E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09A71E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58A507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63DA2C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WAH</w:t>
            </w:r>
            <w:proofErr w:type="spellEnd"/>
          </w:p>
        </w:tc>
        <w:tc>
          <w:tcPr>
            <w:tcW w:w="452" w:type="pct"/>
            <w:tcBorders>
              <w:top w:val="nil"/>
              <w:left w:val="nil"/>
              <w:bottom w:val="single" w:sz="4" w:space="0" w:color="auto"/>
              <w:right w:val="single" w:sz="4" w:space="0" w:color="auto"/>
            </w:tcBorders>
            <w:noWrap/>
            <w:vAlign w:val="center"/>
            <w:hideMark/>
          </w:tcPr>
          <w:p w14:paraId="5599581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9,72</w:t>
            </w:r>
          </w:p>
        </w:tc>
        <w:tc>
          <w:tcPr>
            <w:tcW w:w="452" w:type="pct"/>
            <w:tcBorders>
              <w:top w:val="nil"/>
              <w:left w:val="nil"/>
              <w:bottom w:val="single" w:sz="4" w:space="0" w:color="auto"/>
              <w:right w:val="single" w:sz="4" w:space="0" w:color="auto"/>
            </w:tcBorders>
            <w:noWrap/>
            <w:vAlign w:val="center"/>
            <w:hideMark/>
          </w:tcPr>
          <w:p w14:paraId="76D5815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10,12</w:t>
            </w:r>
          </w:p>
        </w:tc>
        <w:tc>
          <w:tcPr>
            <w:tcW w:w="452" w:type="pct"/>
            <w:tcBorders>
              <w:top w:val="nil"/>
              <w:left w:val="nil"/>
              <w:bottom w:val="single" w:sz="4" w:space="0" w:color="auto"/>
              <w:right w:val="single" w:sz="4" w:space="0" w:color="auto"/>
            </w:tcBorders>
            <w:noWrap/>
            <w:vAlign w:val="center"/>
            <w:hideMark/>
          </w:tcPr>
          <w:p w14:paraId="77CF9A4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5,62</w:t>
            </w:r>
          </w:p>
        </w:tc>
        <w:tc>
          <w:tcPr>
            <w:tcW w:w="398" w:type="pct"/>
            <w:tcBorders>
              <w:top w:val="nil"/>
              <w:left w:val="nil"/>
              <w:bottom w:val="single" w:sz="4" w:space="0" w:color="auto"/>
              <w:right w:val="single" w:sz="4" w:space="0" w:color="auto"/>
            </w:tcBorders>
            <w:noWrap/>
            <w:vAlign w:val="center"/>
            <w:hideMark/>
          </w:tcPr>
          <w:p w14:paraId="725F890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2,80</w:t>
            </w:r>
          </w:p>
        </w:tc>
        <w:tc>
          <w:tcPr>
            <w:tcW w:w="398" w:type="pct"/>
            <w:tcBorders>
              <w:top w:val="nil"/>
              <w:left w:val="nil"/>
              <w:bottom w:val="single" w:sz="4" w:space="0" w:color="auto"/>
              <w:right w:val="single" w:sz="4" w:space="0" w:color="auto"/>
            </w:tcBorders>
            <w:noWrap/>
            <w:vAlign w:val="center"/>
            <w:hideMark/>
          </w:tcPr>
          <w:p w14:paraId="561A05D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10,25</w:t>
            </w:r>
          </w:p>
        </w:tc>
        <w:tc>
          <w:tcPr>
            <w:tcW w:w="452" w:type="pct"/>
            <w:tcBorders>
              <w:top w:val="nil"/>
              <w:left w:val="nil"/>
              <w:bottom w:val="single" w:sz="4" w:space="0" w:color="auto"/>
              <w:right w:val="single" w:sz="4" w:space="0" w:color="auto"/>
            </w:tcBorders>
            <w:noWrap/>
            <w:vAlign w:val="center"/>
            <w:hideMark/>
          </w:tcPr>
          <w:p w14:paraId="3F5F4A5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4,65</w:t>
            </w:r>
          </w:p>
        </w:tc>
        <w:tc>
          <w:tcPr>
            <w:tcW w:w="398" w:type="pct"/>
            <w:tcBorders>
              <w:top w:val="nil"/>
              <w:left w:val="nil"/>
              <w:bottom w:val="single" w:sz="4" w:space="0" w:color="auto"/>
              <w:right w:val="single" w:sz="4" w:space="0" w:color="auto"/>
            </w:tcBorders>
            <w:noWrap/>
            <w:vAlign w:val="center"/>
            <w:hideMark/>
          </w:tcPr>
          <w:p w14:paraId="45B3FD1E" w14:textId="711BE7C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5023800" w14:textId="56970D1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12B1225" w14:textId="7BDEF35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C63ED7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30,79</w:t>
            </w:r>
          </w:p>
        </w:tc>
      </w:tr>
      <w:tr w:rsidR="00086131" w:rsidRPr="00460297" w14:paraId="58EC84D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011A708"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041A32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YFT</w:t>
            </w:r>
          </w:p>
        </w:tc>
        <w:tc>
          <w:tcPr>
            <w:tcW w:w="452" w:type="pct"/>
            <w:tcBorders>
              <w:top w:val="nil"/>
              <w:left w:val="nil"/>
              <w:bottom w:val="single" w:sz="4" w:space="0" w:color="auto"/>
              <w:right w:val="single" w:sz="4" w:space="0" w:color="auto"/>
            </w:tcBorders>
            <w:noWrap/>
            <w:vAlign w:val="center"/>
            <w:hideMark/>
          </w:tcPr>
          <w:p w14:paraId="611C6F9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193,51</w:t>
            </w:r>
          </w:p>
        </w:tc>
        <w:tc>
          <w:tcPr>
            <w:tcW w:w="452" w:type="pct"/>
            <w:tcBorders>
              <w:top w:val="nil"/>
              <w:left w:val="nil"/>
              <w:bottom w:val="single" w:sz="4" w:space="0" w:color="auto"/>
              <w:right w:val="single" w:sz="4" w:space="0" w:color="auto"/>
            </w:tcBorders>
            <w:noWrap/>
            <w:vAlign w:val="center"/>
            <w:hideMark/>
          </w:tcPr>
          <w:p w14:paraId="1AF314E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178,53</w:t>
            </w:r>
          </w:p>
        </w:tc>
        <w:tc>
          <w:tcPr>
            <w:tcW w:w="452" w:type="pct"/>
            <w:tcBorders>
              <w:top w:val="nil"/>
              <w:left w:val="nil"/>
              <w:bottom w:val="single" w:sz="4" w:space="0" w:color="auto"/>
              <w:right w:val="single" w:sz="4" w:space="0" w:color="auto"/>
            </w:tcBorders>
            <w:noWrap/>
            <w:vAlign w:val="center"/>
            <w:hideMark/>
          </w:tcPr>
          <w:p w14:paraId="7A75E29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145,33</w:t>
            </w:r>
          </w:p>
        </w:tc>
        <w:tc>
          <w:tcPr>
            <w:tcW w:w="398" w:type="pct"/>
            <w:tcBorders>
              <w:top w:val="nil"/>
              <w:left w:val="nil"/>
              <w:bottom w:val="single" w:sz="4" w:space="0" w:color="auto"/>
              <w:right w:val="single" w:sz="4" w:space="0" w:color="auto"/>
            </w:tcBorders>
            <w:noWrap/>
            <w:vAlign w:val="center"/>
            <w:hideMark/>
          </w:tcPr>
          <w:p w14:paraId="1781D02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110,37</w:t>
            </w:r>
          </w:p>
        </w:tc>
        <w:tc>
          <w:tcPr>
            <w:tcW w:w="398" w:type="pct"/>
            <w:tcBorders>
              <w:top w:val="nil"/>
              <w:left w:val="nil"/>
              <w:bottom w:val="single" w:sz="4" w:space="0" w:color="auto"/>
              <w:right w:val="single" w:sz="4" w:space="0" w:color="auto"/>
            </w:tcBorders>
            <w:noWrap/>
            <w:vAlign w:val="center"/>
            <w:hideMark/>
          </w:tcPr>
          <w:p w14:paraId="6A1B758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179,03</w:t>
            </w:r>
          </w:p>
        </w:tc>
        <w:tc>
          <w:tcPr>
            <w:tcW w:w="452" w:type="pct"/>
            <w:tcBorders>
              <w:top w:val="nil"/>
              <w:left w:val="nil"/>
              <w:bottom w:val="single" w:sz="4" w:space="0" w:color="auto"/>
              <w:right w:val="single" w:sz="4" w:space="0" w:color="auto"/>
            </w:tcBorders>
            <w:noWrap/>
            <w:vAlign w:val="center"/>
            <w:hideMark/>
          </w:tcPr>
          <w:p w14:paraId="3A79BF6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307,02</w:t>
            </w:r>
          </w:p>
        </w:tc>
        <w:tc>
          <w:tcPr>
            <w:tcW w:w="398" w:type="pct"/>
            <w:tcBorders>
              <w:top w:val="nil"/>
              <w:left w:val="nil"/>
              <w:bottom w:val="single" w:sz="4" w:space="0" w:color="auto"/>
              <w:right w:val="single" w:sz="4" w:space="0" w:color="auto"/>
            </w:tcBorders>
            <w:noWrap/>
            <w:vAlign w:val="center"/>
            <w:hideMark/>
          </w:tcPr>
          <w:p w14:paraId="6BB16F38" w14:textId="332945D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104A125" w14:textId="516913A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9A6CE32" w14:textId="472409F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0F41587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112,10</w:t>
            </w:r>
          </w:p>
        </w:tc>
      </w:tr>
      <w:tr w:rsidR="00086131" w:rsidRPr="00460297" w14:paraId="35FEEFA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4B1B069"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2FC9605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YTL</w:t>
            </w:r>
            <w:proofErr w:type="spellEnd"/>
          </w:p>
        </w:tc>
        <w:tc>
          <w:tcPr>
            <w:tcW w:w="452" w:type="pct"/>
            <w:tcBorders>
              <w:top w:val="nil"/>
              <w:left w:val="nil"/>
              <w:bottom w:val="single" w:sz="4" w:space="0" w:color="auto"/>
              <w:right w:val="single" w:sz="4" w:space="0" w:color="auto"/>
            </w:tcBorders>
            <w:noWrap/>
            <w:vAlign w:val="center"/>
            <w:hideMark/>
          </w:tcPr>
          <w:p w14:paraId="5B82E72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17,79</w:t>
            </w:r>
          </w:p>
        </w:tc>
        <w:tc>
          <w:tcPr>
            <w:tcW w:w="452" w:type="pct"/>
            <w:tcBorders>
              <w:top w:val="nil"/>
              <w:left w:val="nil"/>
              <w:bottom w:val="single" w:sz="4" w:space="0" w:color="auto"/>
              <w:right w:val="single" w:sz="4" w:space="0" w:color="auto"/>
            </w:tcBorders>
            <w:noWrap/>
            <w:vAlign w:val="center"/>
            <w:hideMark/>
          </w:tcPr>
          <w:p w14:paraId="47EA269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5,12</w:t>
            </w:r>
          </w:p>
        </w:tc>
        <w:tc>
          <w:tcPr>
            <w:tcW w:w="452" w:type="pct"/>
            <w:tcBorders>
              <w:top w:val="nil"/>
              <w:left w:val="nil"/>
              <w:bottom w:val="single" w:sz="4" w:space="0" w:color="auto"/>
              <w:right w:val="single" w:sz="4" w:space="0" w:color="auto"/>
            </w:tcBorders>
            <w:noWrap/>
            <w:vAlign w:val="center"/>
            <w:hideMark/>
          </w:tcPr>
          <w:p w14:paraId="7CD873B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5,67</w:t>
            </w:r>
          </w:p>
        </w:tc>
        <w:tc>
          <w:tcPr>
            <w:tcW w:w="398" w:type="pct"/>
            <w:tcBorders>
              <w:top w:val="nil"/>
              <w:left w:val="nil"/>
              <w:bottom w:val="single" w:sz="4" w:space="0" w:color="auto"/>
              <w:right w:val="single" w:sz="4" w:space="0" w:color="auto"/>
            </w:tcBorders>
            <w:noWrap/>
            <w:vAlign w:val="center"/>
            <w:hideMark/>
          </w:tcPr>
          <w:p w14:paraId="16DCC23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23,28</w:t>
            </w:r>
          </w:p>
        </w:tc>
        <w:tc>
          <w:tcPr>
            <w:tcW w:w="398" w:type="pct"/>
            <w:tcBorders>
              <w:top w:val="nil"/>
              <w:left w:val="nil"/>
              <w:bottom w:val="single" w:sz="4" w:space="0" w:color="auto"/>
              <w:right w:val="single" w:sz="4" w:space="0" w:color="auto"/>
            </w:tcBorders>
            <w:noWrap/>
            <w:vAlign w:val="center"/>
            <w:hideMark/>
          </w:tcPr>
          <w:p w14:paraId="2E12DC5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26,26</w:t>
            </w:r>
          </w:p>
        </w:tc>
        <w:tc>
          <w:tcPr>
            <w:tcW w:w="452" w:type="pct"/>
            <w:tcBorders>
              <w:top w:val="nil"/>
              <w:left w:val="nil"/>
              <w:bottom w:val="single" w:sz="4" w:space="0" w:color="auto"/>
              <w:right w:val="single" w:sz="4" w:space="0" w:color="auto"/>
            </w:tcBorders>
            <w:noWrap/>
            <w:vAlign w:val="center"/>
            <w:hideMark/>
          </w:tcPr>
          <w:p w14:paraId="249BF03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17,26</w:t>
            </w:r>
          </w:p>
        </w:tc>
        <w:tc>
          <w:tcPr>
            <w:tcW w:w="398" w:type="pct"/>
            <w:tcBorders>
              <w:top w:val="nil"/>
              <w:left w:val="nil"/>
              <w:bottom w:val="single" w:sz="4" w:space="0" w:color="auto"/>
              <w:right w:val="single" w:sz="4" w:space="0" w:color="auto"/>
            </w:tcBorders>
            <w:noWrap/>
            <w:vAlign w:val="center"/>
            <w:hideMark/>
          </w:tcPr>
          <w:p w14:paraId="0D5A4193" w14:textId="4C9F453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A92599A" w14:textId="152E10F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B844170" w14:textId="234D94F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BCF2D05" w14:textId="7259B62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0485A6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03CEDE1" w14:textId="77777777" w:rsidR="0025576A" w:rsidRPr="00460297" w:rsidRDefault="0025576A" w:rsidP="002B0E38">
            <w:pPr>
              <w:spacing w:after="0" w:line="240" w:lineRule="auto"/>
              <w:rPr>
                <w:rFonts w:ascii="Cambria" w:eastAsia="Times New Roman" w:hAnsi="Cambria" w:cs="Times New Roman"/>
                <w:b/>
                <w:bCs/>
                <w:color w:val="000000"/>
                <w:sz w:val="18"/>
                <w:szCs w:val="18"/>
              </w:rPr>
            </w:pPr>
            <w:r w:rsidRPr="00460297">
              <w:rPr>
                <w:rFonts w:ascii="Cambria" w:hAnsi="Cambria"/>
                <w:b/>
                <w:color w:val="000000"/>
                <w:sz w:val="18"/>
              </w:rPr>
              <w:t>Gibraltar</w:t>
            </w:r>
          </w:p>
        </w:tc>
        <w:tc>
          <w:tcPr>
            <w:tcW w:w="406" w:type="pct"/>
            <w:tcBorders>
              <w:top w:val="nil"/>
              <w:left w:val="nil"/>
              <w:bottom w:val="single" w:sz="4" w:space="0" w:color="auto"/>
              <w:right w:val="single" w:sz="4" w:space="0" w:color="auto"/>
            </w:tcBorders>
            <w:noWrap/>
            <w:vAlign w:val="center"/>
            <w:hideMark/>
          </w:tcPr>
          <w:p w14:paraId="0C7E8F2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BFT</w:t>
            </w:r>
          </w:p>
        </w:tc>
        <w:tc>
          <w:tcPr>
            <w:tcW w:w="452" w:type="pct"/>
            <w:tcBorders>
              <w:top w:val="nil"/>
              <w:left w:val="nil"/>
              <w:bottom w:val="single" w:sz="4" w:space="0" w:color="auto"/>
              <w:right w:val="single" w:sz="4" w:space="0" w:color="auto"/>
            </w:tcBorders>
            <w:noWrap/>
            <w:vAlign w:val="center"/>
            <w:hideMark/>
          </w:tcPr>
          <w:p w14:paraId="6E46B0C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12,75</w:t>
            </w:r>
          </w:p>
        </w:tc>
        <w:tc>
          <w:tcPr>
            <w:tcW w:w="452" w:type="pct"/>
            <w:tcBorders>
              <w:top w:val="nil"/>
              <w:left w:val="nil"/>
              <w:bottom w:val="single" w:sz="4" w:space="0" w:color="auto"/>
              <w:right w:val="single" w:sz="4" w:space="0" w:color="auto"/>
            </w:tcBorders>
            <w:noWrap/>
            <w:vAlign w:val="center"/>
            <w:hideMark/>
          </w:tcPr>
          <w:p w14:paraId="28F85B1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13,89</w:t>
            </w:r>
          </w:p>
        </w:tc>
        <w:tc>
          <w:tcPr>
            <w:tcW w:w="452" w:type="pct"/>
            <w:tcBorders>
              <w:top w:val="nil"/>
              <w:left w:val="nil"/>
              <w:bottom w:val="single" w:sz="4" w:space="0" w:color="auto"/>
              <w:right w:val="single" w:sz="4" w:space="0" w:color="auto"/>
            </w:tcBorders>
            <w:noWrap/>
            <w:vAlign w:val="center"/>
            <w:hideMark/>
          </w:tcPr>
          <w:p w14:paraId="5ACB865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16,11</w:t>
            </w:r>
          </w:p>
        </w:tc>
        <w:tc>
          <w:tcPr>
            <w:tcW w:w="398" w:type="pct"/>
            <w:tcBorders>
              <w:top w:val="nil"/>
              <w:left w:val="nil"/>
              <w:bottom w:val="single" w:sz="4" w:space="0" w:color="auto"/>
              <w:right w:val="single" w:sz="4" w:space="0" w:color="auto"/>
            </w:tcBorders>
            <w:noWrap/>
            <w:vAlign w:val="center"/>
            <w:hideMark/>
          </w:tcPr>
          <w:p w14:paraId="4CEE145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14,60</w:t>
            </w:r>
          </w:p>
        </w:tc>
        <w:tc>
          <w:tcPr>
            <w:tcW w:w="398" w:type="pct"/>
            <w:tcBorders>
              <w:top w:val="nil"/>
              <w:left w:val="nil"/>
              <w:bottom w:val="single" w:sz="4" w:space="0" w:color="auto"/>
              <w:right w:val="single" w:sz="4" w:space="0" w:color="auto"/>
            </w:tcBorders>
            <w:noWrap/>
            <w:vAlign w:val="center"/>
            <w:hideMark/>
          </w:tcPr>
          <w:p w14:paraId="648F522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17,38</w:t>
            </w:r>
          </w:p>
        </w:tc>
        <w:tc>
          <w:tcPr>
            <w:tcW w:w="452" w:type="pct"/>
            <w:tcBorders>
              <w:top w:val="nil"/>
              <w:left w:val="nil"/>
              <w:bottom w:val="single" w:sz="4" w:space="0" w:color="auto"/>
              <w:right w:val="single" w:sz="4" w:space="0" w:color="auto"/>
            </w:tcBorders>
            <w:noWrap/>
            <w:vAlign w:val="center"/>
            <w:hideMark/>
          </w:tcPr>
          <w:p w14:paraId="694F885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20,02</w:t>
            </w:r>
          </w:p>
        </w:tc>
        <w:tc>
          <w:tcPr>
            <w:tcW w:w="398" w:type="pct"/>
            <w:tcBorders>
              <w:top w:val="nil"/>
              <w:left w:val="nil"/>
              <w:bottom w:val="single" w:sz="4" w:space="0" w:color="auto"/>
              <w:right w:val="single" w:sz="4" w:space="0" w:color="auto"/>
            </w:tcBorders>
            <w:noWrap/>
            <w:vAlign w:val="center"/>
            <w:hideMark/>
          </w:tcPr>
          <w:p w14:paraId="2B2F751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21,58</w:t>
            </w:r>
          </w:p>
        </w:tc>
        <w:tc>
          <w:tcPr>
            <w:tcW w:w="398" w:type="pct"/>
            <w:tcBorders>
              <w:top w:val="nil"/>
              <w:left w:val="nil"/>
              <w:bottom w:val="single" w:sz="4" w:space="0" w:color="auto"/>
              <w:right w:val="single" w:sz="4" w:space="0" w:color="auto"/>
            </w:tcBorders>
            <w:noWrap/>
            <w:vAlign w:val="center"/>
            <w:hideMark/>
          </w:tcPr>
          <w:p w14:paraId="56AAA46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24,90</w:t>
            </w:r>
          </w:p>
        </w:tc>
        <w:tc>
          <w:tcPr>
            <w:tcW w:w="398" w:type="pct"/>
            <w:tcBorders>
              <w:top w:val="nil"/>
              <w:left w:val="nil"/>
              <w:bottom w:val="single" w:sz="4" w:space="0" w:color="auto"/>
              <w:right w:val="single" w:sz="4" w:space="0" w:color="auto"/>
            </w:tcBorders>
            <w:noWrap/>
            <w:vAlign w:val="center"/>
            <w:hideMark/>
          </w:tcPr>
          <w:p w14:paraId="6B71E91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27,74</w:t>
            </w:r>
          </w:p>
        </w:tc>
        <w:tc>
          <w:tcPr>
            <w:tcW w:w="286" w:type="pct"/>
            <w:tcBorders>
              <w:top w:val="nil"/>
              <w:left w:val="nil"/>
              <w:bottom w:val="single" w:sz="4" w:space="0" w:color="auto"/>
              <w:right w:val="single" w:sz="4" w:space="0" w:color="auto"/>
            </w:tcBorders>
            <w:noWrap/>
            <w:vAlign w:val="center"/>
            <w:hideMark/>
          </w:tcPr>
          <w:p w14:paraId="0C082A3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24,52</w:t>
            </w:r>
          </w:p>
        </w:tc>
      </w:tr>
      <w:tr w:rsidR="00086131" w:rsidRPr="00460297" w14:paraId="5761FAFA"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2C19DED" w14:textId="77777777" w:rsidR="0025576A" w:rsidRPr="00460297" w:rsidRDefault="0025576A" w:rsidP="002B0E38">
            <w:pPr>
              <w:spacing w:after="0" w:line="240" w:lineRule="auto"/>
              <w:rPr>
                <w:rFonts w:ascii="Cambria" w:eastAsia="Times New Roman" w:hAnsi="Cambria" w:cs="Times New Roman"/>
                <w:b/>
                <w:bCs/>
                <w:color w:val="000000"/>
                <w:sz w:val="18"/>
                <w:szCs w:val="18"/>
              </w:rPr>
            </w:pPr>
            <w:r w:rsidRPr="00460297">
              <w:rPr>
                <w:rFonts w:ascii="Cambria" w:hAnsi="Cambria"/>
                <w:b/>
                <w:color w:val="000000"/>
                <w:sz w:val="18"/>
              </w:rPr>
              <w:t>Jamaica</w:t>
            </w:r>
          </w:p>
        </w:tc>
        <w:tc>
          <w:tcPr>
            <w:tcW w:w="406" w:type="pct"/>
            <w:tcBorders>
              <w:top w:val="nil"/>
              <w:left w:val="nil"/>
              <w:bottom w:val="single" w:sz="4" w:space="0" w:color="auto"/>
              <w:right w:val="single" w:sz="4" w:space="0" w:color="auto"/>
            </w:tcBorders>
            <w:noWrap/>
            <w:vAlign w:val="center"/>
            <w:hideMark/>
          </w:tcPr>
          <w:p w14:paraId="38D46BE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AMB</w:t>
            </w:r>
          </w:p>
        </w:tc>
        <w:tc>
          <w:tcPr>
            <w:tcW w:w="452" w:type="pct"/>
            <w:tcBorders>
              <w:top w:val="nil"/>
              <w:left w:val="nil"/>
              <w:bottom w:val="single" w:sz="4" w:space="0" w:color="auto"/>
              <w:right w:val="single" w:sz="4" w:space="0" w:color="auto"/>
            </w:tcBorders>
            <w:noWrap/>
            <w:vAlign w:val="center"/>
            <w:hideMark/>
          </w:tcPr>
          <w:p w14:paraId="483B8E53" w14:textId="76ACF25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FCFDC19" w14:textId="63DAED0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43B6BA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398" w:type="pct"/>
            <w:tcBorders>
              <w:top w:val="nil"/>
              <w:left w:val="nil"/>
              <w:bottom w:val="single" w:sz="4" w:space="0" w:color="auto"/>
              <w:right w:val="single" w:sz="4" w:space="0" w:color="auto"/>
            </w:tcBorders>
            <w:noWrap/>
            <w:vAlign w:val="center"/>
            <w:hideMark/>
          </w:tcPr>
          <w:p w14:paraId="069E6EF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0,05</w:t>
            </w:r>
          </w:p>
        </w:tc>
        <w:tc>
          <w:tcPr>
            <w:tcW w:w="398" w:type="pct"/>
            <w:tcBorders>
              <w:top w:val="nil"/>
              <w:left w:val="nil"/>
              <w:bottom w:val="single" w:sz="4" w:space="0" w:color="auto"/>
              <w:right w:val="single" w:sz="4" w:space="0" w:color="auto"/>
            </w:tcBorders>
            <w:noWrap/>
            <w:vAlign w:val="center"/>
            <w:hideMark/>
          </w:tcPr>
          <w:p w14:paraId="0714C105" w14:textId="60C3AFC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23D9FE1" w14:textId="4E3C6D9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12B4404" w14:textId="7F4622E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3DD4006" w14:textId="40B7112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9EDCF3D" w14:textId="4A1AC9F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133445AF" w14:textId="00C38BD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BE8D52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4E62FB2"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DC0A89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BIL</w:t>
            </w:r>
            <w:proofErr w:type="spellEnd"/>
          </w:p>
        </w:tc>
        <w:tc>
          <w:tcPr>
            <w:tcW w:w="452" w:type="pct"/>
            <w:tcBorders>
              <w:top w:val="nil"/>
              <w:left w:val="nil"/>
              <w:bottom w:val="single" w:sz="4" w:space="0" w:color="auto"/>
              <w:right w:val="single" w:sz="4" w:space="0" w:color="auto"/>
            </w:tcBorders>
            <w:noWrap/>
            <w:vAlign w:val="center"/>
            <w:hideMark/>
          </w:tcPr>
          <w:p w14:paraId="130F818B" w14:textId="68D8489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4E97442" w14:textId="4C64A28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B1DDBC0" w14:textId="4BBB7DF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3840B1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0,59</w:t>
            </w:r>
          </w:p>
        </w:tc>
        <w:tc>
          <w:tcPr>
            <w:tcW w:w="398" w:type="pct"/>
            <w:tcBorders>
              <w:top w:val="nil"/>
              <w:left w:val="nil"/>
              <w:bottom w:val="single" w:sz="4" w:space="0" w:color="auto"/>
              <w:right w:val="single" w:sz="4" w:space="0" w:color="auto"/>
            </w:tcBorders>
            <w:noWrap/>
            <w:vAlign w:val="center"/>
            <w:hideMark/>
          </w:tcPr>
          <w:p w14:paraId="5BA9A5D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1,03</w:t>
            </w:r>
          </w:p>
        </w:tc>
        <w:tc>
          <w:tcPr>
            <w:tcW w:w="452" w:type="pct"/>
            <w:tcBorders>
              <w:top w:val="nil"/>
              <w:left w:val="nil"/>
              <w:bottom w:val="single" w:sz="4" w:space="0" w:color="auto"/>
              <w:right w:val="single" w:sz="4" w:space="0" w:color="auto"/>
            </w:tcBorders>
            <w:noWrap/>
            <w:vAlign w:val="center"/>
            <w:hideMark/>
          </w:tcPr>
          <w:p w14:paraId="164B8C43" w14:textId="72DC48A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B509C70" w14:textId="07DC9D1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E8E5413" w14:textId="3583549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53C1939" w14:textId="0A5131E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6DA05BA6" w14:textId="67F30C0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659CA1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E454D7E"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3BADA4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BLF</w:t>
            </w:r>
            <w:proofErr w:type="spellEnd"/>
          </w:p>
        </w:tc>
        <w:tc>
          <w:tcPr>
            <w:tcW w:w="452" w:type="pct"/>
            <w:tcBorders>
              <w:top w:val="nil"/>
              <w:left w:val="nil"/>
              <w:bottom w:val="single" w:sz="4" w:space="0" w:color="auto"/>
              <w:right w:val="single" w:sz="4" w:space="0" w:color="auto"/>
            </w:tcBorders>
            <w:noWrap/>
            <w:vAlign w:val="center"/>
            <w:hideMark/>
          </w:tcPr>
          <w:p w14:paraId="62559BCE" w14:textId="722073F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94713F8" w14:textId="620D3F9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6D5B450" w14:textId="314C751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F7322C6" w14:textId="5D35D8C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F09EB3C" w14:textId="75C99B0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A92267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0,71</w:t>
            </w:r>
          </w:p>
        </w:tc>
        <w:tc>
          <w:tcPr>
            <w:tcW w:w="398" w:type="pct"/>
            <w:tcBorders>
              <w:top w:val="nil"/>
              <w:left w:val="nil"/>
              <w:bottom w:val="single" w:sz="4" w:space="0" w:color="auto"/>
              <w:right w:val="single" w:sz="4" w:space="0" w:color="auto"/>
            </w:tcBorders>
            <w:noWrap/>
            <w:vAlign w:val="center"/>
            <w:hideMark/>
          </w:tcPr>
          <w:p w14:paraId="23D9F8D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c>
          <w:tcPr>
            <w:tcW w:w="398" w:type="pct"/>
            <w:tcBorders>
              <w:top w:val="nil"/>
              <w:left w:val="nil"/>
              <w:bottom w:val="single" w:sz="4" w:space="0" w:color="auto"/>
              <w:right w:val="single" w:sz="4" w:space="0" w:color="auto"/>
            </w:tcBorders>
            <w:noWrap/>
            <w:vAlign w:val="center"/>
            <w:hideMark/>
          </w:tcPr>
          <w:p w14:paraId="7C2B717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398" w:type="pct"/>
            <w:tcBorders>
              <w:top w:val="nil"/>
              <w:left w:val="nil"/>
              <w:bottom w:val="single" w:sz="4" w:space="0" w:color="auto"/>
              <w:right w:val="single" w:sz="4" w:space="0" w:color="auto"/>
            </w:tcBorders>
            <w:noWrap/>
            <w:vAlign w:val="center"/>
            <w:hideMark/>
          </w:tcPr>
          <w:p w14:paraId="29ACF8F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c>
          <w:tcPr>
            <w:tcW w:w="286" w:type="pct"/>
            <w:tcBorders>
              <w:top w:val="nil"/>
              <w:left w:val="nil"/>
              <w:bottom w:val="single" w:sz="4" w:space="0" w:color="auto"/>
              <w:right w:val="single" w:sz="4" w:space="0" w:color="auto"/>
            </w:tcBorders>
            <w:noWrap/>
            <w:vAlign w:val="center"/>
            <w:hideMark/>
          </w:tcPr>
          <w:p w14:paraId="6BD8C71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1,86</w:t>
            </w:r>
          </w:p>
        </w:tc>
      </w:tr>
      <w:tr w:rsidR="00086131" w:rsidRPr="00460297" w14:paraId="1713619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DABACF3"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E16CE3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BUM</w:t>
            </w:r>
          </w:p>
        </w:tc>
        <w:tc>
          <w:tcPr>
            <w:tcW w:w="452" w:type="pct"/>
            <w:tcBorders>
              <w:top w:val="nil"/>
              <w:left w:val="nil"/>
              <w:bottom w:val="single" w:sz="4" w:space="0" w:color="auto"/>
              <w:right w:val="single" w:sz="4" w:space="0" w:color="auto"/>
            </w:tcBorders>
            <w:noWrap/>
            <w:vAlign w:val="center"/>
            <w:hideMark/>
          </w:tcPr>
          <w:p w14:paraId="7BF17854" w14:textId="524CAAB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9A22DD1" w14:textId="623D11A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DC49C2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398" w:type="pct"/>
            <w:tcBorders>
              <w:top w:val="nil"/>
              <w:left w:val="nil"/>
              <w:bottom w:val="single" w:sz="4" w:space="0" w:color="auto"/>
              <w:right w:val="single" w:sz="4" w:space="0" w:color="auto"/>
            </w:tcBorders>
            <w:noWrap/>
            <w:vAlign w:val="center"/>
            <w:hideMark/>
          </w:tcPr>
          <w:p w14:paraId="5AA6FC99" w14:textId="5BDB2D3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3356C85" w14:textId="0261EF3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3911C95" w14:textId="022219B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1025A0B" w14:textId="714094E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24530A3" w14:textId="559D97E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367B27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0,13</w:t>
            </w:r>
          </w:p>
        </w:tc>
        <w:tc>
          <w:tcPr>
            <w:tcW w:w="286" w:type="pct"/>
            <w:tcBorders>
              <w:top w:val="nil"/>
              <w:left w:val="nil"/>
              <w:bottom w:val="single" w:sz="4" w:space="0" w:color="auto"/>
              <w:right w:val="single" w:sz="4" w:space="0" w:color="auto"/>
            </w:tcBorders>
            <w:noWrap/>
            <w:vAlign w:val="center"/>
            <w:hideMark/>
          </w:tcPr>
          <w:p w14:paraId="6C370DA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1,19</w:t>
            </w:r>
          </w:p>
        </w:tc>
      </w:tr>
      <w:tr w:rsidR="00086131" w:rsidRPr="00460297" w14:paraId="41A44DF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D948273"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255D5B6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CER</w:t>
            </w:r>
          </w:p>
        </w:tc>
        <w:tc>
          <w:tcPr>
            <w:tcW w:w="452" w:type="pct"/>
            <w:tcBorders>
              <w:top w:val="nil"/>
              <w:left w:val="nil"/>
              <w:bottom w:val="single" w:sz="4" w:space="0" w:color="auto"/>
              <w:right w:val="single" w:sz="4" w:space="0" w:color="auto"/>
            </w:tcBorders>
            <w:noWrap/>
            <w:vAlign w:val="center"/>
            <w:hideMark/>
          </w:tcPr>
          <w:p w14:paraId="09877DC5" w14:textId="19D9C62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DF0A6C4" w14:textId="529366F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43A698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398" w:type="pct"/>
            <w:tcBorders>
              <w:top w:val="nil"/>
              <w:left w:val="nil"/>
              <w:bottom w:val="single" w:sz="4" w:space="0" w:color="auto"/>
              <w:right w:val="single" w:sz="4" w:space="0" w:color="auto"/>
            </w:tcBorders>
            <w:noWrap/>
            <w:vAlign w:val="center"/>
            <w:hideMark/>
          </w:tcPr>
          <w:p w14:paraId="4FEEF59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398" w:type="pct"/>
            <w:tcBorders>
              <w:top w:val="nil"/>
              <w:left w:val="nil"/>
              <w:bottom w:val="single" w:sz="4" w:space="0" w:color="auto"/>
              <w:right w:val="single" w:sz="4" w:space="0" w:color="auto"/>
            </w:tcBorders>
            <w:noWrap/>
            <w:vAlign w:val="center"/>
            <w:hideMark/>
          </w:tcPr>
          <w:p w14:paraId="1D51BA97" w14:textId="7BE2C0D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37006EC" w14:textId="450BE1A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BC6844B" w14:textId="73DC815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9CE150C" w14:textId="6D5A868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20A6B77" w14:textId="44E7AB3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04C9829C" w14:textId="069FD2B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08B949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75119BC"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D5522E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CVJ</w:t>
            </w:r>
            <w:proofErr w:type="spellEnd"/>
          </w:p>
        </w:tc>
        <w:tc>
          <w:tcPr>
            <w:tcW w:w="452" w:type="pct"/>
            <w:tcBorders>
              <w:top w:val="nil"/>
              <w:left w:val="nil"/>
              <w:bottom w:val="single" w:sz="4" w:space="0" w:color="auto"/>
              <w:right w:val="single" w:sz="4" w:space="0" w:color="auto"/>
            </w:tcBorders>
            <w:noWrap/>
            <w:vAlign w:val="center"/>
            <w:hideMark/>
          </w:tcPr>
          <w:p w14:paraId="2629D1F0" w14:textId="3C6394B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D67B6FC" w14:textId="534E03D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EE3B05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0,89</w:t>
            </w:r>
          </w:p>
        </w:tc>
        <w:tc>
          <w:tcPr>
            <w:tcW w:w="398" w:type="pct"/>
            <w:tcBorders>
              <w:top w:val="nil"/>
              <w:left w:val="nil"/>
              <w:bottom w:val="single" w:sz="4" w:space="0" w:color="auto"/>
              <w:right w:val="single" w:sz="4" w:space="0" w:color="auto"/>
            </w:tcBorders>
            <w:noWrap/>
            <w:vAlign w:val="center"/>
            <w:hideMark/>
          </w:tcPr>
          <w:p w14:paraId="7FF209A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3,37</w:t>
            </w:r>
          </w:p>
        </w:tc>
        <w:tc>
          <w:tcPr>
            <w:tcW w:w="398" w:type="pct"/>
            <w:tcBorders>
              <w:top w:val="nil"/>
              <w:left w:val="nil"/>
              <w:bottom w:val="single" w:sz="4" w:space="0" w:color="auto"/>
              <w:right w:val="single" w:sz="4" w:space="0" w:color="auto"/>
            </w:tcBorders>
            <w:noWrap/>
            <w:vAlign w:val="center"/>
            <w:hideMark/>
          </w:tcPr>
          <w:p w14:paraId="0368F6C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6,27</w:t>
            </w:r>
          </w:p>
        </w:tc>
        <w:tc>
          <w:tcPr>
            <w:tcW w:w="452" w:type="pct"/>
            <w:tcBorders>
              <w:top w:val="nil"/>
              <w:left w:val="nil"/>
              <w:bottom w:val="single" w:sz="4" w:space="0" w:color="auto"/>
              <w:right w:val="single" w:sz="4" w:space="0" w:color="auto"/>
            </w:tcBorders>
            <w:noWrap/>
            <w:vAlign w:val="center"/>
            <w:hideMark/>
          </w:tcPr>
          <w:p w14:paraId="6CCF0EAC" w14:textId="72F5CEC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E72BE0A" w14:textId="5B0B992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2F172A7" w14:textId="66FFC27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3C85586" w14:textId="7CD5144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2785BC0A" w14:textId="1577734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331E48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5D121B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307BC7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DOL</w:t>
            </w:r>
            <w:proofErr w:type="spellEnd"/>
          </w:p>
        </w:tc>
        <w:tc>
          <w:tcPr>
            <w:tcW w:w="452" w:type="pct"/>
            <w:tcBorders>
              <w:top w:val="nil"/>
              <w:left w:val="nil"/>
              <w:bottom w:val="single" w:sz="4" w:space="0" w:color="auto"/>
              <w:right w:val="single" w:sz="4" w:space="0" w:color="auto"/>
            </w:tcBorders>
            <w:noWrap/>
            <w:vAlign w:val="center"/>
            <w:hideMark/>
          </w:tcPr>
          <w:p w14:paraId="2AD68158" w14:textId="228D7CE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22CCB77" w14:textId="28FC654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B863414" w14:textId="75C7498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6889E50" w14:textId="795DE63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2E32A1" w14:textId="2254A75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159114C" w14:textId="24A5723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0F95D09" w14:textId="7A1BF3E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9730699" w14:textId="1D6A020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CD0FDB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0,05</w:t>
            </w:r>
          </w:p>
        </w:tc>
        <w:tc>
          <w:tcPr>
            <w:tcW w:w="286" w:type="pct"/>
            <w:tcBorders>
              <w:top w:val="nil"/>
              <w:left w:val="nil"/>
              <w:bottom w:val="single" w:sz="4" w:space="0" w:color="auto"/>
              <w:right w:val="single" w:sz="4" w:space="0" w:color="auto"/>
            </w:tcBorders>
            <w:noWrap/>
            <w:vAlign w:val="center"/>
            <w:hideMark/>
          </w:tcPr>
          <w:p w14:paraId="48A3138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0,28</w:t>
            </w:r>
          </w:p>
        </w:tc>
      </w:tr>
      <w:tr w:rsidR="00086131" w:rsidRPr="00460297" w14:paraId="030DD2E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C192D38"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CE881D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FLY</w:t>
            </w:r>
            <w:proofErr w:type="spellEnd"/>
          </w:p>
        </w:tc>
        <w:tc>
          <w:tcPr>
            <w:tcW w:w="452" w:type="pct"/>
            <w:tcBorders>
              <w:top w:val="nil"/>
              <w:left w:val="nil"/>
              <w:bottom w:val="single" w:sz="4" w:space="0" w:color="auto"/>
              <w:right w:val="single" w:sz="4" w:space="0" w:color="auto"/>
            </w:tcBorders>
            <w:noWrap/>
            <w:vAlign w:val="center"/>
            <w:hideMark/>
          </w:tcPr>
          <w:p w14:paraId="4EC97C9A" w14:textId="06DB7C5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2BE10F0" w14:textId="2D3CD96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09C9DBA" w14:textId="126C7A0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5BE0E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398" w:type="pct"/>
            <w:tcBorders>
              <w:top w:val="nil"/>
              <w:left w:val="nil"/>
              <w:bottom w:val="single" w:sz="4" w:space="0" w:color="auto"/>
              <w:right w:val="single" w:sz="4" w:space="0" w:color="auto"/>
            </w:tcBorders>
            <w:noWrap/>
            <w:vAlign w:val="center"/>
            <w:hideMark/>
          </w:tcPr>
          <w:p w14:paraId="36CFF355" w14:textId="6691B72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2B6CF8E" w14:textId="7F2B585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A4565F6" w14:textId="3CE9A66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3654D01" w14:textId="6AA277B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04819E0" w14:textId="75D88D2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9155941" w14:textId="0FAD4A2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EE6A67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460BBEA"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E15CB3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GBA</w:t>
            </w:r>
            <w:proofErr w:type="spellEnd"/>
          </w:p>
        </w:tc>
        <w:tc>
          <w:tcPr>
            <w:tcW w:w="452" w:type="pct"/>
            <w:tcBorders>
              <w:top w:val="nil"/>
              <w:left w:val="nil"/>
              <w:bottom w:val="single" w:sz="4" w:space="0" w:color="auto"/>
              <w:right w:val="single" w:sz="4" w:space="0" w:color="auto"/>
            </w:tcBorders>
            <w:noWrap/>
            <w:vAlign w:val="center"/>
            <w:hideMark/>
          </w:tcPr>
          <w:p w14:paraId="3522BBBA" w14:textId="06015F7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0889CE0" w14:textId="7DB7B6F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3F6E9BB" w14:textId="0BF2E2B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2719928" w14:textId="7FEF8CB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B0D4E6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1,42</w:t>
            </w:r>
          </w:p>
        </w:tc>
        <w:tc>
          <w:tcPr>
            <w:tcW w:w="452" w:type="pct"/>
            <w:tcBorders>
              <w:top w:val="nil"/>
              <w:left w:val="nil"/>
              <w:bottom w:val="single" w:sz="4" w:space="0" w:color="auto"/>
              <w:right w:val="single" w:sz="4" w:space="0" w:color="auto"/>
            </w:tcBorders>
            <w:noWrap/>
            <w:vAlign w:val="center"/>
            <w:hideMark/>
          </w:tcPr>
          <w:p w14:paraId="38867C99" w14:textId="23F668A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A66BA9F" w14:textId="3F1A9C2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21232B6" w14:textId="7AE6305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F305EDD" w14:textId="6BD8F96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DB409BF" w14:textId="7DE3E99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44E1E9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18D51B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5859B1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KGM</w:t>
            </w:r>
            <w:proofErr w:type="spellEnd"/>
          </w:p>
        </w:tc>
        <w:tc>
          <w:tcPr>
            <w:tcW w:w="452" w:type="pct"/>
            <w:tcBorders>
              <w:top w:val="nil"/>
              <w:left w:val="nil"/>
              <w:bottom w:val="single" w:sz="4" w:space="0" w:color="auto"/>
              <w:right w:val="single" w:sz="4" w:space="0" w:color="auto"/>
            </w:tcBorders>
            <w:noWrap/>
            <w:vAlign w:val="center"/>
            <w:hideMark/>
          </w:tcPr>
          <w:p w14:paraId="419AF275" w14:textId="2B85EAC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0544213" w14:textId="4B8BA2F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B77CF5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0,20</w:t>
            </w:r>
          </w:p>
        </w:tc>
        <w:tc>
          <w:tcPr>
            <w:tcW w:w="398" w:type="pct"/>
            <w:tcBorders>
              <w:top w:val="nil"/>
              <w:left w:val="nil"/>
              <w:bottom w:val="single" w:sz="4" w:space="0" w:color="auto"/>
              <w:right w:val="single" w:sz="4" w:space="0" w:color="auto"/>
            </w:tcBorders>
            <w:noWrap/>
            <w:vAlign w:val="center"/>
            <w:hideMark/>
          </w:tcPr>
          <w:p w14:paraId="6E5ACB0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1,39</w:t>
            </w:r>
          </w:p>
        </w:tc>
        <w:tc>
          <w:tcPr>
            <w:tcW w:w="398" w:type="pct"/>
            <w:tcBorders>
              <w:top w:val="nil"/>
              <w:left w:val="nil"/>
              <w:bottom w:val="single" w:sz="4" w:space="0" w:color="auto"/>
              <w:right w:val="single" w:sz="4" w:space="0" w:color="auto"/>
            </w:tcBorders>
            <w:noWrap/>
            <w:vAlign w:val="center"/>
            <w:hideMark/>
          </w:tcPr>
          <w:p w14:paraId="2C2B6D7D" w14:textId="46F6AD3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91412D4" w14:textId="005F597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230E42" w14:textId="64F7FF3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5E6B92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c>
          <w:tcPr>
            <w:tcW w:w="398" w:type="pct"/>
            <w:tcBorders>
              <w:top w:val="nil"/>
              <w:left w:val="nil"/>
              <w:bottom w:val="single" w:sz="4" w:space="0" w:color="auto"/>
              <w:right w:val="single" w:sz="4" w:space="0" w:color="auto"/>
            </w:tcBorders>
            <w:noWrap/>
            <w:vAlign w:val="center"/>
            <w:hideMark/>
          </w:tcPr>
          <w:p w14:paraId="7F5978A2" w14:textId="1906209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2675E7E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0,34</w:t>
            </w:r>
          </w:p>
        </w:tc>
      </w:tr>
      <w:tr w:rsidR="00086131" w:rsidRPr="00460297" w14:paraId="12B2B40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3F7B3D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20BAE8B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RUB</w:t>
            </w:r>
          </w:p>
        </w:tc>
        <w:tc>
          <w:tcPr>
            <w:tcW w:w="452" w:type="pct"/>
            <w:tcBorders>
              <w:top w:val="nil"/>
              <w:left w:val="nil"/>
              <w:bottom w:val="single" w:sz="4" w:space="0" w:color="auto"/>
              <w:right w:val="single" w:sz="4" w:space="0" w:color="auto"/>
            </w:tcBorders>
            <w:noWrap/>
            <w:vAlign w:val="center"/>
            <w:hideMark/>
          </w:tcPr>
          <w:p w14:paraId="3D7DA0DF" w14:textId="1B1E348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7916B4C" w14:textId="70D0E9F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0CE05BF" w14:textId="19AB9B6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ABF40A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0,45</w:t>
            </w:r>
          </w:p>
        </w:tc>
        <w:tc>
          <w:tcPr>
            <w:tcW w:w="398" w:type="pct"/>
            <w:tcBorders>
              <w:top w:val="nil"/>
              <w:left w:val="nil"/>
              <w:bottom w:val="single" w:sz="4" w:space="0" w:color="auto"/>
              <w:right w:val="single" w:sz="4" w:space="0" w:color="auto"/>
            </w:tcBorders>
            <w:noWrap/>
            <w:vAlign w:val="center"/>
            <w:hideMark/>
          </w:tcPr>
          <w:p w14:paraId="561F754B" w14:textId="67761BD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FE3B469" w14:textId="39168A8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8CE4C8" w14:textId="30CE2AB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1318ED2" w14:textId="7048E8F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540D0AD" w14:textId="381D768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12925424" w14:textId="5D5951E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A334E21"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CB07CC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9AFC62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SKJ</w:t>
            </w:r>
            <w:proofErr w:type="spellEnd"/>
          </w:p>
        </w:tc>
        <w:tc>
          <w:tcPr>
            <w:tcW w:w="452" w:type="pct"/>
            <w:tcBorders>
              <w:top w:val="nil"/>
              <w:left w:val="nil"/>
              <w:bottom w:val="single" w:sz="4" w:space="0" w:color="auto"/>
              <w:right w:val="single" w:sz="4" w:space="0" w:color="auto"/>
            </w:tcBorders>
            <w:noWrap/>
            <w:vAlign w:val="center"/>
            <w:hideMark/>
          </w:tcPr>
          <w:p w14:paraId="775149FC" w14:textId="46A775C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49052DE" w14:textId="215E97A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FC7CE1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0,67</w:t>
            </w:r>
          </w:p>
        </w:tc>
        <w:tc>
          <w:tcPr>
            <w:tcW w:w="398" w:type="pct"/>
            <w:tcBorders>
              <w:top w:val="nil"/>
              <w:left w:val="nil"/>
              <w:bottom w:val="single" w:sz="4" w:space="0" w:color="auto"/>
              <w:right w:val="single" w:sz="4" w:space="0" w:color="auto"/>
            </w:tcBorders>
            <w:noWrap/>
            <w:vAlign w:val="center"/>
            <w:hideMark/>
          </w:tcPr>
          <w:p w14:paraId="1F3B029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4,70</w:t>
            </w:r>
          </w:p>
        </w:tc>
        <w:tc>
          <w:tcPr>
            <w:tcW w:w="398" w:type="pct"/>
            <w:tcBorders>
              <w:top w:val="nil"/>
              <w:left w:val="nil"/>
              <w:bottom w:val="single" w:sz="4" w:space="0" w:color="auto"/>
              <w:right w:val="single" w:sz="4" w:space="0" w:color="auto"/>
            </w:tcBorders>
            <w:noWrap/>
            <w:vAlign w:val="center"/>
            <w:hideMark/>
          </w:tcPr>
          <w:p w14:paraId="35DFC68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4,35</w:t>
            </w:r>
          </w:p>
        </w:tc>
        <w:tc>
          <w:tcPr>
            <w:tcW w:w="452" w:type="pct"/>
            <w:tcBorders>
              <w:top w:val="nil"/>
              <w:left w:val="nil"/>
              <w:bottom w:val="single" w:sz="4" w:space="0" w:color="auto"/>
              <w:right w:val="single" w:sz="4" w:space="0" w:color="auto"/>
            </w:tcBorders>
            <w:noWrap/>
            <w:vAlign w:val="center"/>
            <w:hideMark/>
          </w:tcPr>
          <w:p w14:paraId="64CF26A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2,30</w:t>
            </w:r>
          </w:p>
        </w:tc>
        <w:tc>
          <w:tcPr>
            <w:tcW w:w="398" w:type="pct"/>
            <w:tcBorders>
              <w:top w:val="nil"/>
              <w:left w:val="nil"/>
              <w:bottom w:val="single" w:sz="4" w:space="0" w:color="auto"/>
              <w:right w:val="single" w:sz="4" w:space="0" w:color="auto"/>
            </w:tcBorders>
            <w:noWrap/>
            <w:vAlign w:val="center"/>
            <w:hideMark/>
          </w:tcPr>
          <w:p w14:paraId="7A0B45D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398" w:type="pct"/>
            <w:tcBorders>
              <w:top w:val="nil"/>
              <w:left w:val="nil"/>
              <w:bottom w:val="single" w:sz="4" w:space="0" w:color="auto"/>
              <w:right w:val="single" w:sz="4" w:space="0" w:color="auto"/>
            </w:tcBorders>
            <w:noWrap/>
            <w:vAlign w:val="center"/>
            <w:hideMark/>
          </w:tcPr>
          <w:p w14:paraId="1D83FDA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398" w:type="pct"/>
            <w:tcBorders>
              <w:top w:val="nil"/>
              <w:left w:val="nil"/>
              <w:bottom w:val="single" w:sz="4" w:space="0" w:color="auto"/>
              <w:right w:val="single" w:sz="4" w:space="0" w:color="auto"/>
            </w:tcBorders>
            <w:noWrap/>
            <w:vAlign w:val="center"/>
            <w:hideMark/>
          </w:tcPr>
          <w:p w14:paraId="6BA7163B" w14:textId="44EDCB1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040CCD7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1,40</w:t>
            </w:r>
          </w:p>
        </w:tc>
      </w:tr>
      <w:tr w:rsidR="00086131" w:rsidRPr="00460297" w14:paraId="703B3AC7"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D494A84"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FBC6D9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SSM</w:t>
            </w:r>
            <w:proofErr w:type="spellEnd"/>
          </w:p>
        </w:tc>
        <w:tc>
          <w:tcPr>
            <w:tcW w:w="452" w:type="pct"/>
            <w:tcBorders>
              <w:top w:val="nil"/>
              <w:left w:val="nil"/>
              <w:bottom w:val="single" w:sz="4" w:space="0" w:color="auto"/>
              <w:right w:val="single" w:sz="4" w:space="0" w:color="auto"/>
            </w:tcBorders>
            <w:noWrap/>
            <w:vAlign w:val="center"/>
            <w:hideMark/>
          </w:tcPr>
          <w:p w14:paraId="1AC5FAB3" w14:textId="7196471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82F76A0" w14:textId="2D322D9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FE6AA8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398" w:type="pct"/>
            <w:tcBorders>
              <w:top w:val="nil"/>
              <w:left w:val="nil"/>
              <w:bottom w:val="single" w:sz="4" w:space="0" w:color="auto"/>
              <w:right w:val="single" w:sz="4" w:space="0" w:color="auto"/>
            </w:tcBorders>
            <w:noWrap/>
            <w:vAlign w:val="center"/>
            <w:hideMark/>
          </w:tcPr>
          <w:p w14:paraId="1F298F3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0,10</w:t>
            </w:r>
          </w:p>
        </w:tc>
        <w:tc>
          <w:tcPr>
            <w:tcW w:w="398" w:type="pct"/>
            <w:tcBorders>
              <w:top w:val="nil"/>
              <w:left w:val="nil"/>
              <w:bottom w:val="single" w:sz="4" w:space="0" w:color="auto"/>
              <w:right w:val="single" w:sz="4" w:space="0" w:color="auto"/>
            </w:tcBorders>
            <w:noWrap/>
            <w:vAlign w:val="center"/>
            <w:hideMark/>
          </w:tcPr>
          <w:p w14:paraId="1867AFA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4,35</w:t>
            </w:r>
          </w:p>
        </w:tc>
        <w:tc>
          <w:tcPr>
            <w:tcW w:w="452" w:type="pct"/>
            <w:tcBorders>
              <w:top w:val="nil"/>
              <w:left w:val="nil"/>
              <w:bottom w:val="single" w:sz="4" w:space="0" w:color="auto"/>
              <w:right w:val="single" w:sz="4" w:space="0" w:color="auto"/>
            </w:tcBorders>
            <w:noWrap/>
            <w:vAlign w:val="center"/>
            <w:hideMark/>
          </w:tcPr>
          <w:p w14:paraId="5CC9A959" w14:textId="790C245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F72B0D2" w14:textId="61DA1A2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F63AF0" w14:textId="072B402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A3FCA13" w14:textId="214847F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C382047" w14:textId="6CFECDD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F324FB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B4ACF38"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FFC529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TRG</w:t>
            </w:r>
            <w:proofErr w:type="spellEnd"/>
          </w:p>
        </w:tc>
        <w:tc>
          <w:tcPr>
            <w:tcW w:w="452" w:type="pct"/>
            <w:tcBorders>
              <w:top w:val="nil"/>
              <w:left w:val="nil"/>
              <w:bottom w:val="single" w:sz="4" w:space="0" w:color="auto"/>
              <w:right w:val="single" w:sz="4" w:space="0" w:color="auto"/>
            </w:tcBorders>
            <w:noWrap/>
            <w:vAlign w:val="center"/>
            <w:hideMark/>
          </w:tcPr>
          <w:p w14:paraId="3DFA1E83" w14:textId="062B808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F715A89" w14:textId="4DEEA99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AAB168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0,30</w:t>
            </w:r>
          </w:p>
        </w:tc>
        <w:tc>
          <w:tcPr>
            <w:tcW w:w="398" w:type="pct"/>
            <w:tcBorders>
              <w:top w:val="nil"/>
              <w:left w:val="nil"/>
              <w:bottom w:val="single" w:sz="4" w:space="0" w:color="auto"/>
              <w:right w:val="single" w:sz="4" w:space="0" w:color="auto"/>
            </w:tcBorders>
            <w:noWrap/>
            <w:vAlign w:val="center"/>
            <w:hideMark/>
          </w:tcPr>
          <w:p w14:paraId="108C344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0,19</w:t>
            </w:r>
          </w:p>
        </w:tc>
        <w:tc>
          <w:tcPr>
            <w:tcW w:w="398" w:type="pct"/>
            <w:tcBorders>
              <w:top w:val="nil"/>
              <w:left w:val="nil"/>
              <w:bottom w:val="single" w:sz="4" w:space="0" w:color="auto"/>
              <w:right w:val="single" w:sz="4" w:space="0" w:color="auto"/>
            </w:tcBorders>
            <w:noWrap/>
            <w:vAlign w:val="center"/>
            <w:hideMark/>
          </w:tcPr>
          <w:p w14:paraId="6DBF402B" w14:textId="57EBD01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D0D956D" w14:textId="0C9A762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D2A4E56" w14:textId="1CB32BF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B0C2DFC" w14:textId="20AAFB0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D4CD005" w14:textId="5A6DE46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6D547DA" w14:textId="44E05CF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4A18F4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829BB76"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409616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TUN</w:t>
            </w:r>
          </w:p>
        </w:tc>
        <w:tc>
          <w:tcPr>
            <w:tcW w:w="452" w:type="pct"/>
            <w:tcBorders>
              <w:top w:val="nil"/>
              <w:left w:val="nil"/>
              <w:bottom w:val="single" w:sz="4" w:space="0" w:color="auto"/>
              <w:right w:val="single" w:sz="4" w:space="0" w:color="auto"/>
            </w:tcBorders>
            <w:noWrap/>
            <w:vAlign w:val="center"/>
            <w:hideMark/>
          </w:tcPr>
          <w:p w14:paraId="66E992F6" w14:textId="6E5A90B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9B7E792" w14:textId="236ED6C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F3B9DB7" w14:textId="6E31AA5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D1E2881" w14:textId="025FB71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904D175" w14:textId="2D00139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8E41AE5" w14:textId="76FD96E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1E88F2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0,04</w:t>
            </w:r>
          </w:p>
        </w:tc>
        <w:tc>
          <w:tcPr>
            <w:tcW w:w="398" w:type="pct"/>
            <w:tcBorders>
              <w:top w:val="nil"/>
              <w:left w:val="nil"/>
              <w:bottom w:val="single" w:sz="4" w:space="0" w:color="auto"/>
              <w:right w:val="single" w:sz="4" w:space="0" w:color="auto"/>
            </w:tcBorders>
            <w:noWrap/>
            <w:vAlign w:val="center"/>
            <w:hideMark/>
          </w:tcPr>
          <w:p w14:paraId="51C9458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0,05</w:t>
            </w:r>
          </w:p>
        </w:tc>
        <w:tc>
          <w:tcPr>
            <w:tcW w:w="398" w:type="pct"/>
            <w:tcBorders>
              <w:top w:val="nil"/>
              <w:left w:val="nil"/>
              <w:bottom w:val="single" w:sz="4" w:space="0" w:color="auto"/>
              <w:right w:val="single" w:sz="4" w:space="0" w:color="auto"/>
            </w:tcBorders>
            <w:noWrap/>
            <w:vAlign w:val="center"/>
            <w:hideMark/>
          </w:tcPr>
          <w:p w14:paraId="317C3A6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0,61</w:t>
            </w:r>
          </w:p>
        </w:tc>
        <w:tc>
          <w:tcPr>
            <w:tcW w:w="286" w:type="pct"/>
            <w:tcBorders>
              <w:top w:val="nil"/>
              <w:left w:val="nil"/>
              <w:bottom w:val="single" w:sz="4" w:space="0" w:color="auto"/>
              <w:right w:val="single" w:sz="4" w:space="0" w:color="auto"/>
            </w:tcBorders>
            <w:noWrap/>
            <w:vAlign w:val="center"/>
            <w:hideMark/>
          </w:tcPr>
          <w:p w14:paraId="05D8AE4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r>
      <w:tr w:rsidR="00086131" w:rsidRPr="00460297" w14:paraId="7B90E71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501D828"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2CE2FB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TUS</w:t>
            </w:r>
          </w:p>
        </w:tc>
        <w:tc>
          <w:tcPr>
            <w:tcW w:w="452" w:type="pct"/>
            <w:tcBorders>
              <w:top w:val="nil"/>
              <w:left w:val="nil"/>
              <w:bottom w:val="single" w:sz="4" w:space="0" w:color="auto"/>
              <w:right w:val="single" w:sz="4" w:space="0" w:color="auto"/>
            </w:tcBorders>
            <w:noWrap/>
            <w:vAlign w:val="center"/>
            <w:hideMark/>
          </w:tcPr>
          <w:p w14:paraId="4B08D692" w14:textId="7993DC9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D1C7223" w14:textId="388336B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7536D0D" w14:textId="1CD6256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68B5861" w14:textId="5E65B8F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ACA2DB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0,44</w:t>
            </w:r>
          </w:p>
        </w:tc>
        <w:tc>
          <w:tcPr>
            <w:tcW w:w="452" w:type="pct"/>
            <w:tcBorders>
              <w:top w:val="nil"/>
              <w:left w:val="nil"/>
              <w:bottom w:val="single" w:sz="4" w:space="0" w:color="auto"/>
              <w:right w:val="single" w:sz="4" w:space="0" w:color="auto"/>
            </w:tcBorders>
            <w:noWrap/>
            <w:vAlign w:val="center"/>
            <w:hideMark/>
          </w:tcPr>
          <w:p w14:paraId="3949CE2E" w14:textId="7F7669D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F7793CD" w14:textId="7CC77C8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96DF831" w14:textId="0C021B7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AD725AC" w14:textId="47E39F6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0ACD2854" w14:textId="02664A9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FDFCEA7"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0FF6A7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1A4987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WAH</w:t>
            </w:r>
            <w:proofErr w:type="spellEnd"/>
          </w:p>
        </w:tc>
        <w:tc>
          <w:tcPr>
            <w:tcW w:w="452" w:type="pct"/>
            <w:tcBorders>
              <w:top w:val="nil"/>
              <w:left w:val="nil"/>
              <w:bottom w:val="single" w:sz="4" w:space="0" w:color="auto"/>
              <w:right w:val="single" w:sz="4" w:space="0" w:color="auto"/>
            </w:tcBorders>
            <w:noWrap/>
            <w:vAlign w:val="center"/>
            <w:hideMark/>
          </w:tcPr>
          <w:p w14:paraId="027A1EBF" w14:textId="29477FF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1FA3A97" w14:textId="3704A75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7A664F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0,06</w:t>
            </w:r>
          </w:p>
        </w:tc>
        <w:tc>
          <w:tcPr>
            <w:tcW w:w="398" w:type="pct"/>
            <w:tcBorders>
              <w:top w:val="nil"/>
              <w:left w:val="nil"/>
              <w:bottom w:val="single" w:sz="4" w:space="0" w:color="auto"/>
              <w:right w:val="single" w:sz="4" w:space="0" w:color="auto"/>
            </w:tcBorders>
            <w:noWrap/>
            <w:vAlign w:val="center"/>
            <w:hideMark/>
          </w:tcPr>
          <w:p w14:paraId="657CF5E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0,12</w:t>
            </w:r>
          </w:p>
        </w:tc>
        <w:tc>
          <w:tcPr>
            <w:tcW w:w="398" w:type="pct"/>
            <w:tcBorders>
              <w:top w:val="nil"/>
              <w:left w:val="nil"/>
              <w:bottom w:val="single" w:sz="4" w:space="0" w:color="auto"/>
              <w:right w:val="single" w:sz="4" w:space="0" w:color="auto"/>
            </w:tcBorders>
            <w:noWrap/>
            <w:vAlign w:val="center"/>
            <w:hideMark/>
          </w:tcPr>
          <w:p w14:paraId="05F1ACE2" w14:textId="489443B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381FC0C" w14:textId="7AF79E0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CAF16B3" w14:textId="0876296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406AFA9" w14:textId="381EB9A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F8DD00B" w14:textId="0DC5B4E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E731455" w14:textId="74B8FAD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826FBE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807CB5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E1086F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YFT</w:t>
            </w:r>
          </w:p>
        </w:tc>
        <w:tc>
          <w:tcPr>
            <w:tcW w:w="452" w:type="pct"/>
            <w:tcBorders>
              <w:top w:val="nil"/>
              <w:left w:val="nil"/>
              <w:bottom w:val="single" w:sz="4" w:space="0" w:color="auto"/>
              <w:right w:val="single" w:sz="4" w:space="0" w:color="auto"/>
            </w:tcBorders>
            <w:noWrap/>
            <w:vAlign w:val="center"/>
            <w:hideMark/>
          </w:tcPr>
          <w:p w14:paraId="6B15D08C" w14:textId="777B376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EEE7482" w14:textId="4D08966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CF87D8F" w14:textId="5D7F95C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3F5CB1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0,08</w:t>
            </w:r>
          </w:p>
        </w:tc>
        <w:tc>
          <w:tcPr>
            <w:tcW w:w="398" w:type="pct"/>
            <w:tcBorders>
              <w:top w:val="nil"/>
              <w:left w:val="nil"/>
              <w:bottom w:val="single" w:sz="4" w:space="0" w:color="auto"/>
              <w:right w:val="single" w:sz="4" w:space="0" w:color="auto"/>
            </w:tcBorders>
            <w:noWrap/>
            <w:vAlign w:val="center"/>
            <w:hideMark/>
          </w:tcPr>
          <w:p w14:paraId="477CF9A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452" w:type="pct"/>
            <w:tcBorders>
              <w:top w:val="nil"/>
              <w:left w:val="nil"/>
              <w:bottom w:val="single" w:sz="4" w:space="0" w:color="auto"/>
              <w:right w:val="single" w:sz="4" w:space="0" w:color="auto"/>
            </w:tcBorders>
            <w:noWrap/>
            <w:vAlign w:val="center"/>
            <w:hideMark/>
          </w:tcPr>
          <w:p w14:paraId="2082AD1A" w14:textId="02A11C3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03776B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398" w:type="pct"/>
            <w:tcBorders>
              <w:top w:val="nil"/>
              <w:left w:val="nil"/>
              <w:bottom w:val="single" w:sz="4" w:space="0" w:color="auto"/>
              <w:right w:val="single" w:sz="4" w:space="0" w:color="auto"/>
            </w:tcBorders>
            <w:noWrap/>
            <w:vAlign w:val="center"/>
            <w:hideMark/>
          </w:tcPr>
          <w:p w14:paraId="7AD2342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398" w:type="pct"/>
            <w:tcBorders>
              <w:top w:val="nil"/>
              <w:left w:val="nil"/>
              <w:bottom w:val="single" w:sz="4" w:space="0" w:color="auto"/>
              <w:right w:val="single" w:sz="4" w:space="0" w:color="auto"/>
            </w:tcBorders>
            <w:noWrap/>
            <w:vAlign w:val="center"/>
            <w:hideMark/>
          </w:tcPr>
          <w:p w14:paraId="6D26B42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286" w:type="pct"/>
            <w:tcBorders>
              <w:top w:val="nil"/>
              <w:left w:val="nil"/>
              <w:bottom w:val="single" w:sz="4" w:space="0" w:color="auto"/>
              <w:right w:val="single" w:sz="4" w:space="0" w:color="auto"/>
            </w:tcBorders>
            <w:noWrap/>
            <w:vAlign w:val="center"/>
            <w:hideMark/>
          </w:tcPr>
          <w:p w14:paraId="00DAE24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r>
      <w:tr w:rsidR="00086131" w:rsidRPr="00460297" w14:paraId="49E3900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A9BC044"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42BB7B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YTL</w:t>
            </w:r>
            <w:proofErr w:type="spellEnd"/>
          </w:p>
        </w:tc>
        <w:tc>
          <w:tcPr>
            <w:tcW w:w="452" w:type="pct"/>
            <w:tcBorders>
              <w:top w:val="nil"/>
              <w:left w:val="nil"/>
              <w:bottom w:val="single" w:sz="4" w:space="0" w:color="auto"/>
              <w:right w:val="single" w:sz="4" w:space="0" w:color="auto"/>
            </w:tcBorders>
            <w:noWrap/>
            <w:vAlign w:val="center"/>
            <w:hideMark/>
          </w:tcPr>
          <w:p w14:paraId="1C3488A2" w14:textId="79C4B45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66A6075" w14:textId="0A481EB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A03256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c>
          <w:tcPr>
            <w:tcW w:w="398" w:type="pct"/>
            <w:tcBorders>
              <w:top w:val="nil"/>
              <w:left w:val="nil"/>
              <w:bottom w:val="single" w:sz="4" w:space="0" w:color="auto"/>
              <w:right w:val="single" w:sz="4" w:space="0" w:color="auto"/>
            </w:tcBorders>
            <w:noWrap/>
            <w:vAlign w:val="center"/>
            <w:hideMark/>
          </w:tcPr>
          <w:p w14:paraId="45BF6D8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0,21</w:t>
            </w:r>
          </w:p>
        </w:tc>
        <w:tc>
          <w:tcPr>
            <w:tcW w:w="398" w:type="pct"/>
            <w:tcBorders>
              <w:top w:val="nil"/>
              <w:left w:val="nil"/>
              <w:bottom w:val="single" w:sz="4" w:space="0" w:color="auto"/>
              <w:right w:val="single" w:sz="4" w:space="0" w:color="auto"/>
            </w:tcBorders>
            <w:noWrap/>
            <w:vAlign w:val="center"/>
            <w:hideMark/>
          </w:tcPr>
          <w:p w14:paraId="5BDAF22C" w14:textId="0BCF359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989590C" w14:textId="2748876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52A241C" w14:textId="24802DB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CB81EA9" w14:textId="6466025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7D2718" w14:textId="3874CD6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2517433" w14:textId="73F89D5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043A6C1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A188181"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18"/>
              </w:rPr>
              <w:t>San Cristóbal y Nieves</w:t>
            </w:r>
          </w:p>
        </w:tc>
        <w:tc>
          <w:tcPr>
            <w:tcW w:w="406" w:type="pct"/>
            <w:tcBorders>
              <w:top w:val="nil"/>
              <w:left w:val="nil"/>
              <w:bottom w:val="single" w:sz="4" w:space="0" w:color="auto"/>
              <w:right w:val="single" w:sz="4" w:space="0" w:color="auto"/>
            </w:tcBorders>
            <w:noWrap/>
            <w:vAlign w:val="center"/>
            <w:hideMark/>
          </w:tcPr>
          <w:p w14:paraId="592D177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ALB</w:t>
            </w:r>
          </w:p>
        </w:tc>
        <w:tc>
          <w:tcPr>
            <w:tcW w:w="452" w:type="pct"/>
            <w:tcBorders>
              <w:top w:val="nil"/>
              <w:left w:val="nil"/>
              <w:bottom w:val="single" w:sz="4" w:space="0" w:color="auto"/>
              <w:right w:val="single" w:sz="4" w:space="0" w:color="auto"/>
            </w:tcBorders>
            <w:noWrap/>
            <w:vAlign w:val="center"/>
            <w:hideMark/>
          </w:tcPr>
          <w:p w14:paraId="31EA15C2" w14:textId="23B80F6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C51920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452" w:type="pct"/>
            <w:tcBorders>
              <w:top w:val="nil"/>
              <w:left w:val="nil"/>
              <w:bottom w:val="single" w:sz="4" w:space="0" w:color="auto"/>
              <w:right w:val="single" w:sz="4" w:space="0" w:color="auto"/>
            </w:tcBorders>
            <w:noWrap/>
            <w:vAlign w:val="center"/>
            <w:hideMark/>
          </w:tcPr>
          <w:p w14:paraId="605C45F3" w14:textId="6733E0A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EF45DA8" w14:textId="4C3F02C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FB9E2D5" w14:textId="285B1D8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93FAEF6" w14:textId="4A89BB6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B280C4D" w14:textId="20E86BE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A6CC641" w14:textId="0F80BAA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9FE951D" w14:textId="5884D5C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6AB49C8" w14:textId="7B09457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0222E4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051F13E"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2A0C28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BET</w:t>
            </w:r>
            <w:proofErr w:type="spellEnd"/>
          </w:p>
        </w:tc>
        <w:tc>
          <w:tcPr>
            <w:tcW w:w="452" w:type="pct"/>
            <w:tcBorders>
              <w:top w:val="nil"/>
              <w:left w:val="nil"/>
              <w:bottom w:val="single" w:sz="4" w:space="0" w:color="auto"/>
              <w:right w:val="single" w:sz="4" w:space="0" w:color="auto"/>
            </w:tcBorders>
            <w:noWrap/>
            <w:vAlign w:val="center"/>
            <w:hideMark/>
          </w:tcPr>
          <w:p w14:paraId="1C5350D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0,05</w:t>
            </w:r>
          </w:p>
        </w:tc>
        <w:tc>
          <w:tcPr>
            <w:tcW w:w="452" w:type="pct"/>
            <w:tcBorders>
              <w:top w:val="nil"/>
              <w:left w:val="nil"/>
              <w:bottom w:val="single" w:sz="4" w:space="0" w:color="auto"/>
              <w:right w:val="single" w:sz="4" w:space="0" w:color="auto"/>
            </w:tcBorders>
            <w:noWrap/>
            <w:vAlign w:val="center"/>
            <w:hideMark/>
          </w:tcPr>
          <w:p w14:paraId="435130E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3,59</w:t>
            </w:r>
          </w:p>
        </w:tc>
        <w:tc>
          <w:tcPr>
            <w:tcW w:w="452" w:type="pct"/>
            <w:tcBorders>
              <w:top w:val="nil"/>
              <w:left w:val="nil"/>
              <w:bottom w:val="single" w:sz="4" w:space="0" w:color="auto"/>
              <w:right w:val="single" w:sz="4" w:space="0" w:color="auto"/>
            </w:tcBorders>
            <w:noWrap/>
            <w:vAlign w:val="center"/>
            <w:hideMark/>
          </w:tcPr>
          <w:p w14:paraId="1CCEF8B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0,57</w:t>
            </w:r>
          </w:p>
        </w:tc>
        <w:tc>
          <w:tcPr>
            <w:tcW w:w="398" w:type="pct"/>
            <w:tcBorders>
              <w:top w:val="nil"/>
              <w:left w:val="nil"/>
              <w:bottom w:val="single" w:sz="4" w:space="0" w:color="auto"/>
              <w:right w:val="single" w:sz="4" w:space="0" w:color="auto"/>
            </w:tcBorders>
            <w:noWrap/>
            <w:vAlign w:val="center"/>
            <w:hideMark/>
          </w:tcPr>
          <w:p w14:paraId="4B289804" w14:textId="2DBA1BA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F5C9DE1" w14:textId="57C4A00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F21A511" w14:textId="2D3C00C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8C65F68" w14:textId="71F618F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D46F7A4" w14:textId="0928E40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69726C5" w14:textId="00C06C7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FB72563" w14:textId="710D99C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20EBAA0"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A56B93C"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C0CD8F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BLF</w:t>
            </w:r>
            <w:proofErr w:type="spellEnd"/>
          </w:p>
        </w:tc>
        <w:tc>
          <w:tcPr>
            <w:tcW w:w="452" w:type="pct"/>
            <w:tcBorders>
              <w:top w:val="nil"/>
              <w:left w:val="nil"/>
              <w:bottom w:val="single" w:sz="4" w:space="0" w:color="auto"/>
              <w:right w:val="single" w:sz="4" w:space="0" w:color="auto"/>
            </w:tcBorders>
            <w:noWrap/>
            <w:vAlign w:val="center"/>
            <w:hideMark/>
          </w:tcPr>
          <w:p w14:paraId="53EB341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0,38</w:t>
            </w:r>
          </w:p>
        </w:tc>
        <w:tc>
          <w:tcPr>
            <w:tcW w:w="452" w:type="pct"/>
            <w:tcBorders>
              <w:top w:val="nil"/>
              <w:left w:val="nil"/>
              <w:bottom w:val="single" w:sz="4" w:space="0" w:color="auto"/>
              <w:right w:val="single" w:sz="4" w:space="0" w:color="auto"/>
            </w:tcBorders>
            <w:noWrap/>
            <w:vAlign w:val="center"/>
            <w:hideMark/>
          </w:tcPr>
          <w:p w14:paraId="013B674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0,25</w:t>
            </w:r>
          </w:p>
        </w:tc>
        <w:tc>
          <w:tcPr>
            <w:tcW w:w="452" w:type="pct"/>
            <w:tcBorders>
              <w:top w:val="nil"/>
              <w:left w:val="nil"/>
              <w:bottom w:val="single" w:sz="4" w:space="0" w:color="auto"/>
              <w:right w:val="single" w:sz="4" w:space="0" w:color="auto"/>
            </w:tcBorders>
            <w:noWrap/>
            <w:vAlign w:val="center"/>
            <w:hideMark/>
          </w:tcPr>
          <w:p w14:paraId="5EF6A6E0" w14:textId="31D10F8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76CB82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0,18</w:t>
            </w:r>
          </w:p>
        </w:tc>
        <w:tc>
          <w:tcPr>
            <w:tcW w:w="398" w:type="pct"/>
            <w:tcBorders>
              <w:top w:val="nil"/>
              <w:left w:val="nil"/>
              <w:bottom w:val="single" w:sz="4" w:space="0" w:color="auto"/>
              <w:right w:val="single" w:sz="4" w:space="0" w:color="auto"/>
            </w:tcBorders>
            <w:noWrap/>
            <w:vAlign w:val="center"/>
            <w:hideMark/>
          </w:tcPr>
          <w:p w14:paraId="60E211ED" w14:textId="3C4DA84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BD695C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0,28</w:t>
            </w:r>
          </w:p>
        </w:tc>
        <w:tc>
          <w:tcPr>
            <w:tcW w:w="398" w:type="pct"/>
            <w:tcBorders>
              <w:top w:val="nil"/>
              <w:left w:val="nil"/>
              <w:bottom w:val="single" w:sz="4" w:space="0" w:color="auto"/>
              <w:right w:val="single" w:sz="4" w:space="0" w:color="auto"/>
            </w:tcBorders>
            <w:noWrap/>
            <w:vAlign w:val="center"/>
            <w:hideMark/>
          </w:tcPr>
          <w:p w14:paraId="523DB81B" w14:textId="0A3C82E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4CCCD76" w14:textId="4E76C81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FF2DFB0" w14:textId="3DE6CA9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037C4925" w14:textId="59F79B9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7C93950"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A1A7015"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34A94F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BON</w:t>
            </w:r>
          </w:p>
        </w:tc>
        <w:tc>
          <w:tcPr>
            <w:tcW w:w="452" w:type="pct"/>
            <w:tcBorders>
              <w:top w:val="nil"/>
              <w:left w:val="nil"/>
              <w:bottom w:val="single" w:sz="4" w:space="0" w:color="auto"/>
              <w:right w:val="single" w:sz="4" w:space="0" w:color="auto"/>
            </w:tcBorders>
            <w:noWrap/>
            <w:vAlign w:val="center"/>
            <w:hideMark/>
          </w:tcPr>
          <w:p w14:paraId="5F40CE0C" w14:textId="0B19A0D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42D7CCD" w14:textId="713B300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019982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4,08</w:t>
            </w:r>
          </w:p>
        </w:tc>
        <w:tc>
          <w:tcPr>
            <w:tcW w:w="398" w:type="pct"/>
            <w:tcBorders>
              <w:top w:val="nil"/>
              <w:left w:val="nil"/>
              <w:bottom w:val="single" w:sz="4" w:space="0" w:color="auto"/>
              <w:right w:val="single" w:sz="4" w:space="0" w:color="auto"/>
            </w:tcBorders>
            <w:noWrap/>
            <w:vAlign w:val="center"/>
            <w:hideMark/>
          </w:tcPr>
          <w:p w14:paraId="20EF7F5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2,39</w:t>
            </w:r>
          </w:p>
        </w:tc>
        <w:tc>
          <w:tcPr>
            <w:tcW w:w="398" w:type="pct"/>
            <w:tcBorders>
              <w:top w:val="nil"/>
              <w:left w:val="nil"/>
              <w:bottom w:val="single" w:sz="4" w:space="0" w:color="auto"/>
              <w:right w:val="single" w:sz="4" w:space="0" w:color="auto"/>
            </w:tcBorders>
            <w:noWrap/>
            <w:vAlign w:val="center"/>
            <w:hideMark/>
          </w:tcPr>
          <w:p w14:paraId="1EF4FEA7" w14:textId="06AEDFB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7DA228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1,46</w:t>
            </w:r>
          </w:p>
        </w:tc>
        <w:tc>
          <w:tcPr>
            <w:tcW w:w="398" w:type="pct"/>
            <w:tcBorders>
              <w:top w:val="nil"/>
              <w:left w:val="nil"/>
              <w:bottom w:val="single" w:sz="4" w:space="0" w:color="auto"/>
              <w:right w:val="single" w:sz="4" w:space="0" w:color="auto"/>
            </w:tcBorders>
            <w:noWrap/>
            <w:vAlign w:val="center"/>
            <w:hideMark/>
          </w:tcPr>
          <w:p w14:paraId="466BC1C1" w14:textId="7DC9B23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EF4D6BE" w14:textId="3DC6EB6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1DEF166" w14:textId="1341BF5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60DF7646" w14:textId="5C5615D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D63C8F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DA8B9C1"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CEB1F8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BUM</w:t>
            </w:r>
          </w:p>
        </w:tc>
        <w:tc>
          <w:tcPr>
            <w:tcW w:w="452" w:type="pct"/>
            <w:tcBorders>
              <w:top w:val="nil"/>
              <w:left w:val="nil"/>
              <w:bottom w:val="single" w:sz="4" w:space="0" w:color="auto"/>
              <w:right w:val="single" w:sz="4" w:space="0" w:color="auto"/>
            </w:tcBorders>
            <w:noWrap/>
            <w:vAlign w:val="center"/>
            <w:hideMark/>
          </w:tcPr>
          <w:p w14:paraId="7324F54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1,99</w:t>
            </w:r>
          </w:p>
        </w:tc>
        <w:tc>
          <w:tcPr>
            <w:tcW w:w="452" w:type="pct"/>
            <w:tcBorders>
              <w:top w:val="nil"/>
              <w:left w:val="nil"/>
              <w:bottom w:val="single" w:sz="4" w:space="0" w:color="auto"/>
              <w:right w:val="single" w:sz="4" w:space="0" w:color="auto"/>
            </w:tcBorders>
            <w:noWrap/>
            <w:vAlign w:val="center"/>
            <w:hideMark/>
          </w:tcPr>
          <w:p w14:paraId="6BE274F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1,69</w:t>
            </w:r>
          </w:p>
        </w:tc>
        <w:tc>
          <w:tcPr>
            <w:tcW w:w="452" w:type="pct"/>
            <w:tcBorders>
              <w:top w:val="nil"/>
              <w:left w:val="nil"/>
              <w:bottom w:val="single" w:sz="4" w:space="0" w:color="auto"/>
              <w:right w:val="single" w:sz="4" w:space="0" w:color="auto"/>
            </w:tcBorders>
            <w:noWrap/>
            <w:vAlign w:val="center"/>
            <w:hideMark/>
          </w:tcPr>
          <w:p w14:paraId="69AE0F5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8,46</w:t>
            </w:r>
          </w:p>
        </w:tc>
        <w:tc>
          <w:tcPr>
            <w:tcW w:w="398" w:type="pct"/>
            <w:tcBorders>
              <w:top w:val="nil"/>
              <w:left w:val="nil"/>
              <w:bottom w:val="single" w:sz="4" w:space="0" w:color="auto"/>
              <w:right w:val="single" w:sz="4" w:space="0" w:color="auto"/>
            </w:tcBorders>
            <w:noWrap/>
            <w:vAlign w:val="center"/>
            <w:hideMark/>
          </w:tcPr>
          <w:p w14:paraId="558FF7F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12,42</w:t>
            </w:r>
          </w:p>
        </w:tc>
        <w:tc>
          <w:tcPr>
            <w:tcW w:w="398" w:type="pct"/>
            <w:tcBorders>
              <w:top w:val="nil"/>
              <w:left w:val="nil"/>
              <w:bottom w:val="single" w:sz="4" w:space="0" w:color="auto"/>
              <w:right w:val="single" w:sz="4" w:space="0" w:color="auto"/>
            </w:tcBorders>
            <w:noWrap/>
            <w:vAlign w:val="center"/>
            <w:hideMark/>
          </w:tcPr>
          <w:p w14:paraId="0F298E43" w14:textId="6D8FC90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84362A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2,18</w:t>
            </w:r>
          </w:p>
        </w:tc>
        <w:tc>
          <w:tcPr>
            <w:tcW w:w="398" w:type="pct"/>
            <w:tcBorders>
              <w:top w:val="nil"/>
              <w:left w:val="nil"/>
              <w:bottom w:val="single" w:sz="4" w:space="0" w:color="auto"/>
              <w:right w:val="single" w:sz="4" w:space="0" w:color="auto"/>
            </w:tcBorders>
            <w:noWrap/>
            <w:vAlign w:val="center"/>
            <w:hideMark/>
          </w:tcPr>
          <w:p w14:paraId="5C2C70FD" w14:textId="401F935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FF78F53" w14:textId="1664583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7422ED4" w14:textId="2299B14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10B6663" w14:textId="7D33464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DF765C4"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821A63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DF34B5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DOL</w:t>
            </w:r>
            <w:proofErr w:type="spellEnd"/>
          </w:p>
        </w:tc>
        <w:tc>
          <w:tcPr>
            <w:tcW w:w="452" w:type="pct"/>
            <w:tcBorders>
              <w:top w:val="nil"/>
              <w:left w:val="nil"/>
              <w:bottom w:val="single" w:sz="4" w:space="0" w:color="auto"/>
              <w:right w:val="single" w:sz="4" w:space="0" w:color="auto"/>
            </w:tcBorders>
            <w:noWrap/>
            <w:vAlign w:val="center"/>
            <w:hideMark/>
          </w:tcPr>
          <w:p w14:paraId="799D8ED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26,57</w:t>
            </w:r>
          </w:p>
        </w:tc>
        <w:tc>
          <w:tcPr>
            <w:tcW w:w="452" w:type="pct"/>
            <w:tcBorders>
              <w:top w:val="nil"/>
              <w:left w:val="nil"/>
              <w:bottom w:val="single" w:sz="4" w:space="0" w:color="auto"/>
              <w:right w:val="single" w:sz="4" w:space="0" w:color="auto"/>
            </w:tcBorders>
            <w:noWrap/>
            <w:vAlign w:val="center"/>
            <w:hideMark/>
          </w:tcPr>
          <w:p w14:paraId="2C7D7FE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63,27</w:t>
            </w:r>
          </w:p>
        </w:tc>
        <w:tc>
          <w:tcPr>
            <w:tcW w:w="452" w:type="pct"/>
            <w:tcBorders>
              <w:top w:val="nil"/>
              <w:left w:val="nil"/>
              <w:bottom w:val="single" w:sz="4" w:space="0" w:color="auto"/>
              <w:right w:val="single" w:sz="4" w:space="0" w:color="auto"/>
            </w:tcBorders>
            <w:noWrap/>
            <w:vAlign w:val="center"/>
            <w:hideMark/>
          </w:tcPr>
          <w:p w14:paraId="65A1C5B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64,31</w:t>
            </w:r>
          </w:p>
        </w:tc>
        <w:tc>
          <w:tcPr>
            <w:tcW w:w="398" w:type="pct"/>
            <w:tcBorders>
              <w:top w:val="nil"/>
              <w:left w:val="nil"/>
              <w:bottom w:val="single" w:sz="4" w:space="0" w:color="auto"/>
              <w:right w:val="single" w:sz="4" w:space="0" w:color="auto"/>
            </w:tcBorders>
            <w:noWrap/>
            <w:vAlign w:val="center"/>
            <w:hideMark/>
          </w:tcPr>
          <w:p w14:paraId="0A2B122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67,58</w:t>
            </w:r>
          </w:p>
        </w:tc>
        <w:tc>
          <w:tcPr>
            <w:tcW w:w="398" w:type="pct"/>
            <w:tcBorders>
              <w:top w:val="nil"/>
              <w:left w:val="nil"/>
              <w:bottom w:val="single" w:sz="4" w:space="0" w:color="auto"/>
              <w:right w:val="single" w:sz="4" w:space="0" w:color="auto"/>
            </w:tcBorders>
            <w:noWrap/>
            <w:vAlign w:val="center"/>
            <w:hideMark/>
          </w:tcPr>
          <w:p w14:paraId="3163B0F1" w14:textId="331B652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887DA6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21,94</w:t>
            </w:r>
          </w:p>
        </w:tc>
        <w:tc>
          <w:tcPr>
            <w:tcW w:w="398" w:type="pct"/>
            <w:tcBorders>
              <w:top w:val="nil"/>
              <w:left w:val="nil"/>
              <w:bottom w:val="single" w:sz="4" w:space="0" w:color="auto"/>
              <w:right w:val="single" w:sz="4" w:space="0" w:color="auto"/>
            </w:tcBorders>
            <w:noWrap/>
            <w:vAlign w:val="center"/>
            <w:hideMark/>
          </w:tcPr>
          <w:p w14:paraId="6ED36F5F" w14:textId="3D03BFA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0647F4E" w14:textId="53DCAF5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A74AD79" w14:textId="543F09C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192FE881" w14:textId="1167C09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FA3FB3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7080649"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lastRenderedPageBreak/>
              <w:t> </w:t>
            </w:r>
          </w:p>
        </w:tc>
        <w:tc>
          <w:tcPr>
            <w:tcW w:w="406" w:type="pct"/>
            <w:tcBorders>
              <w:top w:val="nil"/>
              <w:left w:val="nil"/>
              <w:bottom w:val="single" w:sz="4" w:space="0" w:color="auto"/>
              <w:right w:val="single" w:sz="4" w:space="0" w:color="auto"/>
            </w:tcBorders>
            <w:noWrap/>
            <w:vAlign w:val="center"/>
            <w:hideMark/>
          </w:tcPr>
          <w:p w14:paraId="09E628E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KGM</w:t>
            </w:r>
            <w:proofErr w:type="spellEnd"/>
          </w:p>
        </w:tc>
        <w:tc>
          <w:tcPr>
            <w:tcW w:w="452" w:type="pct"/>
            <w:tcBorders>
              <w:top w:val="nil"/>
              <w:left w:val="nil"/>
              <w:bottom w:val="single" w:sz="4" w:space="0" w:color="auto"/>
              <w:right w:val="single" w:sz="4" w:space="0" w:color="auto"/>
            </w:tcBorders>
            <w:noWrap/>
            <w:vAlign w:val="center"/>
            <w:hideMark/>
          </w:tcPr>
          <w:p w14:paraId="5DBC5F5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0,14</w:t>
            </w:r>
          </w:p>
        </w:tc>
        <w:tc>
          <w:tcPr>
            <w:tcW w:w="452" w:type="pct"/>
            <w:tcBorders>
              <w:top w:val="nil"/>
              <w:left w:val="nil"/>
              <w:bottom w:val="single" w:sz="4" w:space="0" w:color="auto"/>
              <w:right w:val="single" w:sz="4" w:space="0" w:color="auto"/>
            </w:tcBorders>
            <w:noWrap/>
            <w:vAlign w:val="center"/>
            <w:hideMark/>
          </w:tcPr>
          <w:p w14:paraId="1EA3622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c>
          <w:tcPr>
            <w:tcW w:w="452" w:type="pct"/>
            <w:tcBorders>
              <w:top w:val="nil"/>
              <w:left w:val="nil"/>
              <w:bottom w:val="single" w:sz="4" w:space="0" w:color="auto"/>
              <w:right w:val="single" w:sz="4" w:space="0" w:color="auto"/>
            </w:tcBorders>
            <w:noWrap/>
            <w:vAlign w:val="center"/>
            <w:hideMark/>
          </w:tcPr>
          <w:p w14:paraId="7CF862A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0,44</w:t>
            </w:r>
          </w:p>
        </w:tc>
        <w:tc>
          <w:tcPr>
            <w:tcW w:w="398" w:type="pct"/>
            <w:tcBorders>
              <w:top w:val="nil"/>
              <w:left w:val="nil"/>
              <w:bottom w:val="single" w:sz="4" w:space="0" w:color="auto"/>
              <w:right w:val="single" w:sz="4" w:space="0" w:color="auto"/>
            </w:tcBorders>
            <w:noWrap/>
            <w:vAlign w:val="center"/>
            <w:hideMark/>
          </w:tcPr>
          <w:p w14:paraId="5FEE8D1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0,46</w:t>
            </w:r>
          </w:p>
        </w:tc>
        <w:tc>
          <w:tcPr>
            <w:tcW w:w="398" w:type="pct"/>
            <w:tcBorders>
              <w:top w:val="nil"/>
              <w:left w:val="nil"/>
              <w:bottom w:val="single" w:sz="4" w:space="0" w:color="auto"/>
              <w:right w:val="single" w:sz="4" w:space="0" w:color="auto"/>
            </w:tcBorders>
            <w:noWrap/>
            <w:vAlign w:val="center"/>
            <w:hideMark/>
          </w:tcPr>
          <w:p w14:paraId="5DA8A4EB" w14:textId="5454F0E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9CBB03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1,23</w:t>
            </w:r>
          </w:p>
        </w:tc>
        <w:tc>
          <w:tcPr>
            <w:tcW w:w="398" w:type="pct"/>
            <w:tcBorders>
              <w:top w:val="nil"/>
              <w:left w:val="nil"/>
              <w:bottom w:val="single" w:sz="4" w:space="0" w:color="auto"/>
              <w:right w:val="single" w:sz="4" w:space="0" w:color="auto"/>
            </w:tcBorders>
            <w:noWrap/>
            <w:vAlign w:val="center"/>
            <w:hideMark/>
          </w:tcPr>
          <w:p w14:paraId="06346748" w14:textId="59AB55D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36AF034" w14:textId="1D0802B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88DB376" w14:textId="575D5E3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F2A9507" w14:textId="33F3D96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45438C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0EA6139"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AA0B08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SAI</w:t>
            </w:r>
          </w:p>
        </w:tc>
        <w:tc>
          <w:tcPr>
            <w:tcW w:w="452" w:type="pct"/>
            <w:tcBorders>
              <w:top w:val="nil"/>
              <w:left w:val="nil"/>
              <w:bottom w:val="single" w:sz="4" w:space="0" w:color="auto"/>
              <w:right w:val="single" w:sz="4" w:space="0" w:color="auto"/>
            </w:tcBorders>
            <w:noWrap/>
            <w:vAlign w:val="center"/>
            <w:hideMark/>
          </w:tcPr>
          <w:p w14:paraId="01A12FA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c>
          <w:tcPr>
            <w:tcW w:w="452" w:type="pct"/>
            <w:tcBorders>
              <w:top w:val="nil"/>
              <w:left w:val="nil"/>
              <w:bottom w:val="single" w:sz="4" w:space="0" w:color="auto"/>
              <w:right w:val="single" w:sz="4" w:space="0" w:color="auto"/>
            </w:tcBorders>
            <w:noWrap/>
            <w:vAlign w:val="center"/>
            <w:hideMark/>
          </w:tcPr>
          <w:p w14:paraId="1FAE7A1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0,37</w:t>
            </w:r>
          </w:p>
        </w:tc>
        <w:tc>
          <w:tcPr>
            <w:tcW w:w="452" w:type="pct"/>
            <w:tcBorders>
              <w:top w:val="nil"/>
              <w:left w:val="nil"/>
              <w:bottom w:val="single" w:sz="4" w:space="0" w:color="auto"/>
              <w:right w:val="single" w:sz="4" w:space="0" w:color="auto"/>
            </w:tcBorders>
            <w:noWrap/>
            <w:vAlign w:val="center"/>
            <w:hideMark/>
          </w:tcPr>
          <w:p w14:paraId="038E2BA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0,10</w:t>
            </w:r>
          </w:p>
        </w:tc>
        <w:tc>
          <w:tcPr>
            <w:tcW w:w="398" w:type="pct"/>
            <w:tcBorders>
              <w:top w:val="nil"/>
              <w:left w:val="nil"/>
              <w:bottom w:val="single" w:sz="4" w:space="0" w:color="auto"/>
              <w:right w:val="single" w:sz="4" w:space="0" w:color="auto"/>
            </w:tcBorders>
            <w:noWrap/>
            <w:vAlign w:val="center"/>
            <w:hideMark/>
          </w:tcPr>
          <w:p w14:paraId="002CA71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0,57</w:t>
            </w:r>
          </w:p>
        </w:tc>
        <w:tc>
          <w:tcPr>
            <w:tcW w:w="398" w:type="pct"/>
            <w:tcBorders>
              <w:top w:val="nil"/>
              <w:left w:val="nil"/>
              <w:bottom w:val="single" w:sz="4" w:space="0" w:color="auto"/>
              <w:right w:val="single" w:sz="4" w:space="0" w:color="auto"/>
            </w:tcBorders>
            <w:noWrap/>
            <w:vAlign w:val="center"/>
            <w:hideMark/>
          </w:tcPr>
          <w:p w14:paraId="4C127575" w14:textId="2CE8A04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B30DAC3" w14:textId="7358DB4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C4565CD" w14:textId="32E0B0F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5F1FCC" w14:textId="70F2F2B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553A309" w14:textId="335531C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64A26683" w14:textId="6663E2E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C55666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B60AE1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704246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SKJ</w:t>
            </w:r>
            <w:proofErr w:type="spellEnd"/>
          </w:p>
        </w:tc>
        <w:tc>
          <w:tcPr>
            <w:tcW w:w="452" w:type="pct"/>
            <w:tcBorders>
              <w:top w:val="nil"/>
              <w:left w:val="nil"/>
              <w:bottom w:val="single" w:sz="4" w:space="0" w:color="auto"/>
              <w:right w:val="single" w:sz="4" w:space="0" w:color="auto"/>
            </w:tcBorders>
            <w:noWrap/>
            <w:vAlign w:val="center"/>
            <w:hideMark/>
          </w:tcPr>
          <w:p w14:paraId="54F5D1D8" w14:textId="2105A86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580356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1,45</w:t>
            </w:r>
          </w:p>
        </w:tc>
        <w:tc>
          <w:tcPr>
            <w:tcW w:w="452" w:type="pct"/>
            <w:tcBorders>
              <w:top w:val="nil"/>
              <w:left w:val="nil"/>
              <w:bottom w:val="single" w:sz="4" w:space="0" w:color="auto"/>
              <w:right w:val="single" w:sz="4" w:space="0" w:color="auto"/>
            </w:tcBorders>
            <w:noWrap/>
            <w:vAlign w:val="center"/>
            <w:hideMark/>
          </w:tcPr>
          <w:p w14:paraId="528E1D9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0,08</w:t>
            </w:r>
          </w:p>
        </w:tc>
        <w:tc>
          <w:tcPr>
            <w:tcW w:w="398" w:type="pct"/>
            <w:tcBorders>
              <w:top w:val="nil"/>
              <w:left w:val="nil"/>
              <w:bottom w:val="single" w:sz="4" w:space="0" w:color="auto"/>
              <w:right w:val="single" w:sz="4" w:space="0" w:color="auto"/>
            </w:tcBorders>
            <w:noWrap/>
            <w:vAlign w:val="center"/>
            <w:hideMark/>
          </w:tcPr>
          <w:p w14:paraId="3111197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0,34</w:t>
            </w:r>
          </w:p>
        </w:tc>
        <w:tc>
          <w:tcPr>
            <w:tcW w:w="398" w:type="pct"/>
            <w:tcBorders>
              <w:top w:val="nil"/>
              <w:left w:val="nil"/>
              <w:bottom w:val="single" w:sz="4" w:space="0" w:color="auto"/>
              <w:right w:val="single" w:sz="4" w:space="0" w:color="auto"/>
            </w:tcBorders>
            <w:noWrap/>
            <w:vAlign w:val="center"/>
            <w:hideMark/>
          </w:tcPr>
          <w:p w14:paraId="780AE99B" w14:textId="711AD02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5B0D76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0,04</w:t>
            </w:r>
          </w:p>
        </w:tc>
        <w:tc>
          <w:tcPr>
            <w:tcW w:w="398" w:type="pct"/>
            <w:tcBorders>
              <w:top w:val="nil"/>
              <w:left w:val="nil"/>
              <w:bottom w:val="single" w:sz="4" w:space="0" w:color="auto"/>
              <w:right w:val="single" w:sz="4" w:space="0" w:color="auto"/>
            </w:tcBorders>
            <w:noWrap/>
            <w:vAlign w:val="center"/>
            <w:hideMark/>
          </w:tcPr>
          <w:p w14:paraId="7C45044D" w14:textId="2CB1879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EC2F568" w14:textId="31AAC67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84D854E" w14:textId="7F8D195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0FFB1D0" w14:textId="631356A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4599931"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34688B6"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3F77B4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SSM</w:t>
            </w:r>
            <w:proofErr w:type="spellEnd"/>
          </w:p>
        </w:tc>
        <w:tc>
          <w:tcPr>
            <w:tcW w:w="452" w:type="pct"/>
            <w:tcBorders>
              <w:top w:val="nil"/>
              <w:left w:val="nil"/>
              <w:bottom w:val="single" w:sz="4" w:space="0" w:color="auto"/>
              <w:right w:val="single" w:sz="4" w:space="0" w:color="auto"/>
            </w:tcBorders>
            <w:noWrap/>
            <w:vAlign w:val="center"/>
            <w:hideMark/>
          </w:tcPr>
          <w:p w14:paraId="1841C989" w14:textId="77F062B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EDD45B7" w14:textId="5C06FD3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9C8591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0,19</w:t>
            </w:r>
          </w:p>
        </w:tc>
        <w:tc>
          <w:tcPr>
            <w:tcW w:w="398" w:type="pct"/>
            <w:tcBorders>
              <w:top w:val="nil"/>
              <w:left w:val="nil"/>
              <w:bottom w:val="single" w:sz="4" w:space="0" w:color="auto"/>
              <w:right w:val="single" w:sz="4" w:space="0" w:color="auto"/>
            </w:tcBorders>
            <w:noWrap/>
            <w:vAlign w:val="center"/>
            <w:hideMark/>
          </w:tcPr>
          <w:p w14:paraId="160FB35C" w14:textId="132CE37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36093C8" w14:textId="3C1E7CA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B1244C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0,42</w:t>
            </w:r>
          </w:p>
        </w:tc>
        <w:tc>
          <w:tcPr>
            <w:tcW w:w="398" w:type="pct"/>
            <w:tcBorders>
              <w:top w:val="nil"/>
              <w:left w:val="nil"/>
              <w:bottom w:val="single" w:sz="4" w:space="0" w:color="auto"/>
              <w:right w:val="single" w:sz="4" w:space="0" w:color="auto"/>
            </w:tcBorders>
            <w:noWrap/>
            <w:vAlign w:val="center"/>
            <w:hideMark/>
          </w:tcPr>
          <w:p w14:paraId="66E69B6E" w14:textId="78A1169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7E5A9D2" w14:textId="56ED803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0B0B57C" w14:textId="705CAF7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162F0182" w14:textId="2EC57C1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04441C26"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C56BE4A"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6CED1A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SWO</w:t>
            </w:r>
          </w:p>
        </w:tc>
        <w:tc>
          <w:tcPr>
            <w:tcW w:w="452" w:type="pct"/>
            <w:tcBorders>
              <w:top w:val="nil"/>
              <w:left w:val="nil"/>
              <w:bottom w:val="single" w:sz="4" w:space="0" w:color="auto"/>
              <w:right w:val="single" w:sz="4" w:space="0" w:color="auto"/>
            </w:tcBorders>
            <w:noWrap/>
            <w:vAlign w:val="center"/>
            <w:hideMark/>
          </w:tcPr>
          <w:p w14:paraId="074E78D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0,14</w:t>
            </w:r>
          </w:p>
        </w:tc>
        <w:tc>
          <w:tcPr>
            <w:tcW w:w="452" w:type="pct"/>
            <w:tcBorders>
              <w:top w:val="nil"/>
              <w:left w:val="nil"/>
              <w:bottom w:val="single" w:sz="4" w:space="0" w:color="auto"/>
              <w:right w:val="single" w:sz="4" w:space="0" w:color="auto"/>
            </w:tcBorders>
            <w:noWrap/>
            <w:vAlign w:val="center"/>
            <w:hideMark/>
          </w:tcPr>
          <w:p w14:paraId="687E4E28" w14:textId="6936805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089390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0,28</w:t>
            </w:r>
          </w:p>
        </w:tc>
        <w:tc>
          <w:tcPr>
            <w:tcW w:w="398" w:type="pct"/>
            <w:tcBorders>
              <w:top w:val="nil"/>
              <w:left w:val="nil"/>
              <w:bottom w:val="single" w:sz="4" w:space="0" w:color="auto"/>
              <w:right w:val="single" w:sz="4" w:space="0" w:color="auto"/>
            </w:tcBorders>
            <w:noWrap/>
            <w:vAlign w:val="center"/>
            <w:hideMark/>
          </w:tcPr>
          <w:p w14:paraId="3B5CF1D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1,97</w:t>
            </w:r>
          </w:p>
        </w:tc>
        <w:tc>
          <w:tcPr>
            <w:tcW w:w="398" w:type="pct"/>
            <w:tcBorders>
              <w:top w:val="nil"/>
              <w:left w:val="nil"/>
              <w:bottom w:val="single" w:sz="4" w:space="0" w:color="auto"/>
              <w:right w:val="single" w:sz="4" w:space="0" w:color="auto"/>
            </w:tcBorders>
            <w:noWrap/>
            <w:vAlign w:val="center"/>
            <w:hideMark/>
          </w:tcPr>
          <w:p w14:paraId="77B5D4EF" w14:textId="6AE7028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5B6D84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1,17</w:t>
            </w:r>
          </w:p>
        </w:tc>
        <w:tc>
          <w:tcPr>
            <w:tcW w:w="398" w:type="pct"/>
            <w:tcBorders>
              <w:top w:val="nil"/>
              <w:left w:val="nil"/>
              <w:bottom w:val="single" w:sz="4" w:space="0" w:color="auto"/>
              <w:right w:val="single" w:sz="4" w:space="0" w:color="auto"/>
            </w:tcBorders>
            <w:noWrap/>
            <w:vAlign w:val="center"/>
            <w:hideMark/>
          </w:tcPr>
          <w:p w14:paraId="2292D9CE" w14:textId="3B586B8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6BA8368" w14:textId="4A21F15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C50293C" w14:textId="13343B2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A4AD7C2" w14:textId="55CED30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79964D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3F89C25"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38B161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WAH</w:t>
            </w:r>
            <w:proofErr w:type="spellEnd"/>
          </w:p>
        </w:tc>
        <w:tc>
          <w:tcPr>
            <w:tcW w:w="452" w:type="pct"/>
            <w:tcBorders>
              <w:top w:val="nil"/>
              <w:left w:val="nil"/>
              <w:bottom w:val="single" w:sz="4" w:space="0" w:color="auto"/>
              <w:right w:val="single" w:sz="4" w:space="0" w:color="auto"/>
            </w:tcBorders>
            <w:noWrap/>
            <w:vAlign w:val="center"/>
            <w:hideMark/>
          </w:tcPr>
          <w:p w14:paraId="79DAC08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6,28</w:t>
            </w:r>
          </w:p>
        </w:tc>
        <w:tc>
          <w:tcPr>
            <w:tcW w:w="452" w:type="pct"/>
            <w:tcBorders>
              <w:top w:val="nil"/>
              <w:left w:val="nil"/>
              <w:bottom w:val="single" w:sz="4" w:space="0" w:color="auto"/>
              <w:right w:val="single" w:sz="4" w:space="0" w:color="auto"/>
            </w:tcBorders>
            <w:noWrap/>
            <w:vAlign w:val="center"/>
            <w:hideMark/>
          </w:tcPr>
          <w:p w14:paraId="5819BF6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8,80</w:t>
            </w:r>
          </w:p>
        </w:tc>
        <w:tc>
          <w:tcPr>
            <w:tcW w:w="452" w:type="pct"/>
            <w:tcBorders>
              <w:top w:val="nil"/>
              <w:left w:val="nil"/>
              <w:bottom w:val="single" w:sz="4" w:space="0" w:color="auto"/>
              <w:right w:val="single" w:sz="4" w:space="0" w:color="auto"/>
            </w:tcBorders>
            <w:noWrap/>
            <w:vAlign w:val="center"/>
            <w:hideMark/>
          </w:tcPr>
          <w:p w14:paraId="6ED0DF0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14,15</w:t>
            </w:r>
          </w:p>
        </w:tc>
        <w:tc>
          <w:tcPr>
            <w:tcW w:w="398" w:type="pct"/>
            <w:tcBorders>
              <w:top w:val="nil"/>
              <w:left w:val="nil"/>
              <w:bottom w:val="single" w:sz="4" w:space="0" w:color="auto"/>
              <w:right w:val="single" w:sz="4" w:space="0" w:color="auto"/>
            </w:tcBorders>
            <w:noWrap/>
            <w:vAlign w:val="center"/>
            <w:hideMark/>
          </w:tcPr>
          <w:p w14:paraId="5E0A19F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13,03</w:t>
            </w:r>
          </w:p>
        </w:tc>
        <w:tc>
          <w:tcPr>
            <w:tcW w:w="398" w:type="pct"/>
            <w:tcBorders>
              <w:top w:val="nil"/>
              <w:left w:val="nil"/>
              <w:bottom w:val="single" w:sz="4" w:space="0" w:color="auto"/>
              <w:right w:val="single" w:sz="4" w:space="0" w:color="auto"/>
            </w:tcBorders>
            <w:noWrap/>
            <w:vAlign w:val="center"/>
            <w:hideMark/>
          </w:tcPr>
          <w:p w14:paraId="4492F890" w14:textId="7A82E81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556925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9,30</w:t>
            </w:r>
          </w:p>
        </w:tc>
        <w:tc>
          <w:tcPr>
            <w:tcW w:w="398" w:type="pct"/>
            <w:tcBorders>
              <w:top w:val="nil"/>
              <w:left w:val="nil"/>
              <w:bottom w:val="single" w:sz="4" w:space="0" w:color="auto"/>
              <w:right w:val="single" w:sz="4" w:space="0" w:color="auto"/>
            </w:tcBorders>
            <w:noWrap/>
            <w:vAlign w:val="center"/>
            <w:hideMark/>
          </w:tcPr>
          <w:p w14:paraId="7539E2C2" w14:textId="0B0FBDA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8BD18AC" w14:textId="75EBD27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968636A" w14:textId="72F6D3E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54BAA6AF" w14:textId="022D5F7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3A803A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2BF2B3A"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2AEA521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YFT</w:t>
            </w:r>
          </w:p>
        </w:tc>
        <w:tc>
          <w:tcPr>
            <w:tcW w:w="452" w:type="pct"/>
            <w:tcBorders>
              <w:top w:val="nil"/>
              <w:left w:val="nil"/>
              <w:bottom w:val="single" w:sz="4" w:space="0" w:color="auto"/>
              <w:right w:val="single" w:sz="4" w:space="0" w:color="auto"/>
            </w:tcBorders>
            <w:noWrap/>
            <w:vAlign w:val="center"/>
            <w:hideMark/>
          </w:tcPr>
          <w:p w14:paraId="7A5B5C1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0,73</w:t>
            </w:r>
          </w:p>
        </w:tc>
        <w:tc>
          <w:tcPr>
            <w:tcW w:w="452" w:type="pct"/>
            <w:tcBorders>
              <w:top w:val="nil"/>
              <w:left w:val="nil"/>
              <w:bottom w:val="single" w:sz="4" w:space="0" w:color="auto"/>
              <w:right w:val="single" w:sz="4" w:space="0" w:color="auto"/>
            </w:tcBorders>
            <w:noWrap/>
            <w:vAlign w:val="center"/>
            <w:hideMark/>
          </w:tcPr>
          <w:p w14:paraId="1DE80F1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4,55</w:t>
            </w:r>
          </w:p>
        </w:tc>
        <w:tc>
          <w:tcPr>
            <w:tcW w:w="452" w:type="pct"/>
            <w:tcBorders>
              <w:top w:val="nil"/>
              <w:left w:val="nil"/>
              <w:bottom w:val="single" w:sz="4" w:space="0" w:color="auto"/>
              <w:right w:val="single" w:sz="4" w:space="0" w:color="auto"/>
            </w:tcBorders>
            <w:noWrap/>
            <w:vAlign w:val="center"/>
            <w:hideMark/>
          </w:tcPr>
          <w:p w14:paraId="6A976BD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29,45</w:t>
            </w:r>
          </w:p>
        </w:tc>
        <w:tc>
          <w:tcPr>
            <w:tcW w:w="398" w:type="pct"/>
            <w:tcBorders>
              <w:top w:val="nil"/>
              <w:left w:val="nil"/>
              <w:bottom w:val="single" w:sz="4" w:space="0" w:color="auto"/>
              <w:right w:val="single" w:sz="4" w:space="0" w:color="auto"/>
            </w:tcBorders>
            <w:noWrap/>
            <w:vAlign w:val="center"/>
            <w:hideMark/>
          </w:tcPr>
          <w:p w14:paraId="4E1242A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12,90</w:t>
            </w:r>
          </w:p>
        </w:tc>
        <w:tc>
          <w:tcPr>
            <w:tcW w:w="398" w:type="pct"/>
            <w:tcBorders>
              <w:top w:val="nil"/>
              <w:left w:val="nil"/>
              <w:bottom w:val="single" w:sz="4" w:space="0" w:color="auto"/>
              <w:right w:val="single" w:sz="4" w:space="0" w:color="auto"/>
            </w:tcBorders>
            <w:noWrap/>
            <w:vAlign w:val="center"/>
            <w:hideMark/>
          </w:tcPr>
          <w:p w14:paraId="2D939EB7" w14:textId="21B3A0B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33CA61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5,94</w:t>
            </w:r>
          </w:p>
        </w:tc>
        <w:tc>
          <w:tcPr>
            <w:tcW w:w="398" w:type="pct"/>
            <w:tcBorders>
              <w:top w:val="nil"/>
              <w:left w:val="nil"/>
              <w:bottom w:val="single" w:sz="4" w:space="0" w:color="auto"/>
              <w:right w:val="single" w:sz="4" w:space="0" w:color="auto"/>
            </w:tcBorders>
            <w:noWrap/>
            <w:vAlign w:val="center"/>
            <w:hideMark/>
          </w:tcPr>
          <w:p w14:paraId="18BD0233" w14:textId="0329291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60A0E55" w14:textId="5D1ACA1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AD4A85F" w14:textId="67C8F4E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B4C2803" w14:textId="236768F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FC05E5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FA22F82"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18"/>
              </w:rPr>
              <w:t>Santa Lucía</w:t>
            </w:r>
          </w:p>
        </w:tc>
        <w:tc>
          <w:tcPr>
            <w:tcW w:w="406" w:type="pct"/>
            <w:tcBorders>
              <w:top w:val="nil"/>
              <w:left w:val="nil"/>
              <w:bottom w:val="single" w:sz="4" w:space="0" w:color="auto"/>
              <w:right w:val="single" w:sz="4" w:space="0" w:color="auto"/>
            </w:tcBorders>
            <w:noWrap/>
            <w:vAlign w:val="center"/>
            <w:hideMark/>
          </w:tcPr>
          <w:p w14:paraId="1C056D6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ALB</w:t>
            </w:r>
          </w:p>
        </w:tc>
        <w:tc>
          <w:tcPr>
            <w:tcW w:w="452" w:type="pct"/>
            <w:tcBorders>
              <w:top w:val="nil"/>
              <w:left w:val="nil"/>
              <w:bottom w:val="single" w:sz="4" w:space="0" w:color="auto"/>
              <w:right w:val="single" w:sz="4" w:space="0" w:color="auto"/>
            </w:tcBorders>
            <w:noWrap/>
            <w:vAlign w:val="center"/>
            <w:hideMark/>
          </w:tcPr>
          <w:p w14:paraId="17423CA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0,19</w:t>
            </w:r>
          </w:p>
        </w:tc>
        <w:tc>
          <w:tcPr>
            <w:tcW w:w="452" w:type="pct"/>
            <w:tcBorders>
              <w:top w:val="nil"/>
              <w:left w:val="nil"/>
              <w:bottom w:val="single" w:sz="4" w:space="0" w:color="auto"/>
              <w:right w:val="single" w:sz="4" w:space="0" w:color="auto"/>
            </w:tcBorders>
            <w:noWrap/>
            <w:vAlign w:val="center"/>
            <w:hideMark/>
          </w:tcPr>
          <w:p w14:paraId="631E2D7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1,99</w:t>
            </w:r>
          </w:p>
        </w:tc>
        <w:tc>
          <w:tcPr>
            <w:tcW w:w="452" w:type="pct"/>
            <w:tcBorders>
              <w:top w:val="nil"/>
              <w:left w:val="nil"/>
              <w:bottom w:val="single" w:sz="4" w:space="0" w:color="auto"/>
              <w:right w:val="single" w:sz="4" w:space="0" w:color="auto"/>
            </w:tcBorders>
            <w:noWrap/>
            <w:vAlign w:val="center"/>
            <w:hideMark/>
          </w:tcPr>
          <w:p w14:paraId="17C2CA5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1,36</w:t>
            </w:r>
          </w:p>
        </w:tc>
        <w:tc>
          <w:tcPr>
            <w:tcW w:w="398" w:type="pct"/>
            <w:tcBorders>
              <w:top w:val="nil"/>
              <w:left w:val="nil"/>
              <w:bottom w:val="single" w:sz="4" w:space="0" w:color="auto"/>
              <w:right w:val="single" w:sz="4" w:space="0" w:color="auto"/>
            </w:tcBorders>
            <w:noWrap/>
            <w:vAlign w:val="center"/>
            <w:hideMark/>
          </w:tcPr>
          <w:p w14:paraId="26D8D6C7" w14:textId="513327B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7B4571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0,66</w:t>
            </w:r>
          </w:p>
        </w:tc>
        <w:tc>
          <w:tcPr>
            <w:tcW w:w="452" w:type="pct"/>
            <w:tcBorders>
              <w:top w:val="nil"/>
              <w:left w:val="nil"/>
              <w:bottom w:val="single" w:sz="4" w:space="0" w:color="auto"/>
              <w:right w:val="single" w:sz="4" w:space="0" w:color="auto"/>
            </w:tcBorders>
            <w:noWrap/>
            <w:vAlign w:val="center"/>
            <w:hideMark/>
          </w:tcPr>
          <w:p w14:paraId="0C7E4CE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0,30</w:t>
            </w:r>
          </w:p>
        </w:tc>
        <w:tc>
          <w:tcPr>
            <w:tcW w:w="398" w:type="pct"/>
            <w:tcBorders>
              <w:top w:val="nil"/>
              <w:left w:val="nil"/>
              <w:bottom w:val="single" w:sz="4" w:space="0" w:color="auto"/>
              <w:right w:val="single" w:sz="4" w:space="0" w:color="auto"/>
            </w:tcBorders>
            <w:noWrap/>
            <w:vAlign w:val="center"/>
            <w:hideMark/>
          </w:tcPr>
          <w:p w14:paraId="6457EB5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0,32</w:t>
            </w:r>
          </w:p>
        </w:tc>
        <w:tc>
          <w:tcPr>
            <w:tcW w:w="398" w:type="pct"/>
            <w:tcBorders>
              <w:top w:val="nil"/>
              <w:left w:val="nil"/>
              <w:bottom w:val="single" w:sz="4" w:space="0" w:color="auto"/>
              <w:right w:val="single" w:sz="4" w:space="0" w:color="auto"/>
            </w:tcBorders>
            <w:noWrap/>
            <w:vAlign w:val="center"/>
            <w:hideMark/>
          </w:tcPr>
          <w:p w14:paraId="1BEC4AC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0,26</w:t>
            </w:r>
          </w:p>
        </w:tc>
        <w:tc>
          <w:tcPr>
            <w:tcW w:w="398" w:type="pct"/>
            <w:tcBorders>
              <w:top w:val="nil"/>
              <w:left w:val="nil"/>
              <w:bottom w:val="single" w:sz="4" w:space="0" w:color="auto"/>
              <w:right w:val="single" w:sz="4" w:space="0" w:color="auto"/>
            </w:tcBorders>
            <w:noWrap/>
            <w:vAlign w:val="center"/>
            <w:hideMark/>
          </w:tcPr>
          <w:p w14:paraId="52FCF2B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2,39</w:t>
            </w:r>
          </w:p>
        </w:tc>
        <w:tc>
          <w:tcPr>
            <w:tcW w:w="286" w:type="pct"/>
            <w:tcBorders>
              <w:top w:val="nil"/>
              <w:left w:val="nil"/>
              <w:bottom w:val="single" w:sz="4" w:space="0" w:color="auto"/>
              <w:right w:val="single" w:sz="4" w:space="0" w:color="auto"/>
            </w:tcBorders>
            <w:noWrap/>
            <w:vAlign w:val="center"/>
            <w:hideMark/>
          </w:tcPr>
          <w:p w14:paraId="4CF8CC3F" w14:textId="3287A31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682275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1EFCDB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7B4334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BET</w:t>
            </w:r>
            <w:proofErr w:type="spellEnd"/>
          </w:p>
        </w:tc>
        <w:tc>
          <w:tcPr>
            <w:tcW w:w="452" w:type="pct"/>
            <w:tcBorders>
              <w:top w:val="nil"/>
              <w:left w:val="nil"/>
              <w:bottom w:val="single" w:sz="4" w:space="0" w:color="auto"/>
              <w:right w:val="single" w:sz="4" w:space="0" w:color="auto"/>
            </w:tcBorders>
            <w:noWrap/>
            <w:vAlign w:val="center"/>
            <w:hideMark/>
          </w:tcPr>
          <w:p w14:paraId="1721364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6,04</w:t>
            </w:r>
          </w:p>
        </w:tc>
        <w:tc>
          <w:tcPr>
            <w:tcW w:w="452" w:type="pct"/>
            <w:tcBorders>
              <w:top w:val="nil"/>
              <w:left w:val="nil"/>
              <w:bottom w:val="single" w:sz="4" w:space="0" w:color="auto"/>
              <w:right w:val="single" w:sz="4" w:space="0" w:color="auto"/>
            </w:tcBorders>
            <w:noWrap/>
            <w:vAlign w:val="center"/>
            <w:hideMark/>
          </w:tcPr>
          <w:p w14:paraId="702B9D0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9,51</w:t>
            </w:r>
          </w:p>
        </w:tc>
        <w:tc>
          <w:tcPr>
            <w:tcW w:w="452" w:type="pct"/>
            <w:tcBorders>
              <w:top w:val="nil"/>
              <w:left w:val="nil"/>
              <w:bottom w:val="single" w:sz="4" w:space="0" w:color="auto"/>
              <w:right w:val="single" w:sz="4" w:space="0" w:color="auto"/>
            </w:tcBorders>
            <w:noWrap/>
            <w:vAlign w:val="center"/>
            <w:hideMark/>
          </w:tcPr>
          <w:p w14:paraId="5433021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24,50</w:t>
            </w:r>
          </w:p>
        </w:tc>
        <w:tc>
          <w:tcPr>
            <w:tcW w:w="398" w:type="pct"/>
            <w:tcBorders>
              <w:top w:val="nil"/>
              <w:left w:val="nil"/>
              <w:bottom w:val="single" w:sz="4" w:space="0" w:color="auto"/>
              <w:right w:val="single" w:sz="4" w:space="0" w:color="auto"/>
            </w:tcBorders>
            <w:noWrap/>
            <w:vAlign w:val="center"/>
            <w:hideMark/>
          </w:tcPr>
          <w:p w14:paraId="43E3CDD9" w14:textId="1887D29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55CDF1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12,89</w:t>
            </w:r>
          </w:p>
        </w:tc>
        <w:tc>
          <w:tcPr>
            <w:tcW w:w="452" w:type="pct"/>
            <w:tcBorders>
              <w:top w:val="nil"/>
              <w:left w:val="nil"/>
              <w:bottom w:val="single" w:sz="4" w:space="0" w:color="auto"/>
              <w:right w:val="single" w:sz="4" w:space="0" w:color="auto"/>
            </w:tcBorders>
            <w:noWrap/>
            <w:vAlign w:val="center"/>
            <w:hideMark/>
          </w:tcPr>
          <w:p w14:paraId="26E7465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8,56</w:t>
            </w:r>
          </w:p>
        </w:tc>
        <w:tc>
          <w:tcPr>
            <w:tcW w:w="398" w:type="pct"/>
            <w:tcBorders>
              <w:top w:val="nil"/>
              <w:left w:val="nil"/>
              <w:bottom w:val="single" w:sz="4" w:space="0" w:color="auto"/>
              <w:right w:val="single" w:sz="4" w:space="0" w:color="auto"/>
            </w:tcBorders>
            <w:noWrap/>
            <w:vAlign w:val="center"/>
            <w:hideMark/>
          </w:tcPr>
          <w:p w14:paraId="1182D21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3,17</w:t>
            </w:r>
          </w:p>
        </w:tc>
        <w:tc>
          <w:tcPr>
            <w:tcW w:w="398" w:type="pct"/>
            <w:tcBorders>
              <w:top w:val="nil"/>
              <w:left w:val="nil"/>
              <w:bottom w:val="single" w:sz="4" w:space="0" w:color="auto"/>
              <w:right w:val="single" w:sz="4" w:space="0" w:color="auto"/>
            </w:tcBorders>
            <w:noWrap/>
            <w:vAlign w:val="center"/>
            <w:hideMark/>
          </w:tcPr>
          <w:p w14:paraId="62C2D60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2,80</w:t>
            </w:r>
          </w:p>
        </w:tc>
        <w:tc>
          <w:tcPr>
            <w:tcW w:w="398" w:type="pct"/>
            <w:tcBorders>
              <w:top w:val="nil"/>
              <w:left w:val="nil"/>
              <w:bottom w:val="single" w:sz="4" w:space="0" w:color="auto"/>
              <w:right w:val="single" w:sz="4" w:space="0" w:color="auto"/>
            </w:tcBorders>
            <w:noWrap/>
            <w:vAlign w:val="center"/>
            <w:hideMark/>
          </w:tcPr>
          <w:p w14:paraId="6799DFA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2,17</w:t>
            </w:r>
          </w:p>
        </w:tc>
        <w:tc>
          <w:tcPr>
            <w:tcW w:w="286" w:type="pct"/>
            <w:tcBorders>
              <w:top w:val="nil"/>
              <w:left w:val="nil"/>
              <w:bottom w:val="single" w:sz="4" w:space="0" w:color="auto"/>
              <w:right w:val="single" w:sz="4" w:space="0" w:color="auto"/>
            </w:tcBorders>
            <w:noWrap/>
            <w:vAlign w:val="center"/>
            <w:hideMark/>
          </w:tcPr>
          <w:p w14:paraId="1525CEFB" w14:textId="2DA6B7A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1A1E77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A2BD1E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E20659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BLF</w:t>
            </w:r>
            <w:proofErr w:type="spellEnd"/>
          </w:p>
        </w:tc>
        <w:tc>
          <w:tcPr>
            <w:tcW w:w="452" w:type="pct"/>
            <w:tcBorders>
              <w:top w:val="nil"/>
              <w:left w:val="nil"/>
              <w:bottom w:val="single" w:sz="4" w:space="0" w:color="auto"/>
              <w:right w:val="single" w:sz="4" w:space="0" w:color="auto"/>
            </w:tcBorders>
            <w:noWrap/>
            <w:vAlign w:val="center"/>
            <w:hideMark/>
          </w:tcPr>
          <w:p w14:paraId="6BE5D6B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79,95</w:t>
            </w:r>
          </w:p>
        </w:tc>
        <w:tc>
          <w:tcPr>
            <w:tcW w:w="452" w:type="pct"/>
            <w:tcBorders>
              <w:top w:val="nil"/>
              <w:left w:val="nil"/>
              <w:bottom w:val="single" w:sz="4" w:space="0" w:color="auto"/>
              <w:right w:val="single" w:sz="4" w:space="0" w:color="auto"/>
            </w:tcBorders>
            <w:noWrap/>
            <w:vAlign w:val="center"/>
            <w:hideMark/>
          </w:tcPr>
          <w:p w14:paraId="6B6B701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155,81</w:t>
            </w:r>
          </w:p>
        </w:tc>
        <w:tc>
          <w:tcPr>
            <w:tcW w:w="452" w:type="pct"/>
            <w:tcBorders>
              <w:top w:val="nil"/>
              <w:left w:val="nil"/>
              <w:bottom w:val="single" w:sz="4" w:space="0" w:color="auto"/>
              <w:right w:val="single" w:sz="4" w:space="0" w:color="auto"/>
            </w:tcBorders>
            <w:noWrap/>
            <w:vAlign w:val="center"/>
            <w:hideMark/>
          </w:tcPr>
          <w:p w14:paraId="13B7159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119,35</w:t>
            </w:r>
          </w:p>
        </w:tc>
        <w:tc>
          <w:tcPr>
            <w:tcW w:w="398" w:type="pct"/>
            <w:tcBorders>
              <w:top w:val="nil"/>
              <w:left w:val="nil"/>
              <w:bottom w:val="single" w:sz="4" w:space="0" w:color="auto"/>
              <w:right w:val="single" w:sz="4" w:space="0" w:color="auto"/>
            </w:tcBorders>
            <w:noWrap/>
            <w:vAlign w:val="center"/>
            <w:hideMark/>
          </w:tcPr>
          <w:p w14:paraId="71C329F9" w14:textId="6FE088D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72E2E8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127,48</w:t>
            </w:r>
          </w:p>
        </w:tc>
        <w:tc>
          <w:tcPr>
            <w:tcW w:w="452" w:type="pct"/>
            <w:tcBorders>
              <w:top w:val="nil"/>
              <w:left w:val="nil"/>
              <w:bottom w:val="single" w:sz="4" w:space="0" w:color="auto"/>
              <w:right w:val="single" w:sz="4" w:space="0" w:color="auto"/>
            </w:tcBorders>
            <w:noWrap/>
            <w:vAlign w:val="center"/>
            <w:hideMark/>
          </w:tcPr>
          <w:p w14:paraId="71BC525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84,37</w:t>
            </w:r>
          </w:p>
        </w:tc>
        <w:tc>
          <w:tcPr>
            <w:tcW w:w="398" w:type="pct"/>
            <w:tcBorders>
              <w:top w:val="nil"/>
              <w:left w:val="nil"/>
              <w:bottom w:val="single" w:sz="4" w:space="0" w:color="auto"/>
              <w:right w:val="single" w:sz="4" w:space="0" w:color="auto"/>
            </w:tcBorders>
            <w:noWrap/>
            <w:vAlign w:val="center"/>
            <w:hideMark/>
          </w:tcPr>
          <w:p w14:paraId="60B027F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73,57</w:t>
            </w:r>
          </w:p>
        </w:tc>
        <w:tc>
          <w:tcPr>
            <w:tcW w:w="398" w:type="pct"/>
            <w:tcBorders>
              <w:top w:val="nil"/>
              <w:left w:val="nil"/>
              <w:bottom w:val="single" w:sz="4" w:space="0" w:color="auto"/>
              <w:right w:val="single" w:sz="4" w:space="0" w:color="auto"/>
            </w:tcBorders>
            <w:noWrap/>
            <w:vAlign w:val="center"/>
            <w:hideMark/>
          </w:tcPr>
          <w:p w14:paraId="60F98CC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75,29</w:t>
            </w:r>
          </w:p>
        </w:tc>
        <w:tc>
          <w:tcPr>
            <w:tcW w:w="398" w:type="pct"/>
            <w:tcBorders>
              <w:top w:val="nil"/>
              <w:left w:val="nil"/>
              <w:bottom w:val="single" w:sz="4" w:space="0" w:color="auto"/>
              <w:right w:val="single" w:sz="4" w:space="0" w:color="auto"/>
            </w:tcBorders>
            <w:noWrap/>
            <w:vAlign w:val="center"/>
            <w:hideMark/>
          </w:tcPr>
          <w:p w14:paraId="609AF05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60,45</w:t>
            </w:r>
          </w:p>
        </w:tc>
        <w:tc>
          <w:tcPr>
            <w:tcW w:w="286" w:type="pct"/>
            <w:tcBorders>
              <w:top w:val="nil"/>
              <w:left w:val="nil"/>
              <w:bottom w:val="single" w:sz="4" w:space="0" w:color="auto"/>
              <w:right w:val="single" w:sz="4" w:space="0" w:color="auto"/>
            </w:tcBorders>
            <w:noWrap/>
            <w:vAlign w:val="center"/>
            <w:hideMark/>
          </w:tcPr>
          <w:p w14:paraId="3303BE22" w14:textId="13EE6DA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C892387"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B3A3E50"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4755AB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BLR</w:t>
            </w:r>
            <w:proofErr w:type="spellEnd"/>
          </w:p>
        </w:tc>
        <w:tc>
          <w:tcPr>
            <w:tcW w:w="452" w:type="pct"/>
            <w:tcBorders>
              <w:top w:val="nil"/>
              <w:left w:val="nil"/>
              <w:bottom w:val="single" w:sz="4" w:space="0" w:color="auto"/>
              <w:right w:val="single" w:sz="4" w:space="0" w:color="auto"/>
            </w:tcBorders>
            <w:noWrap/>
            <w:vAlign w:val="center"/>
            <w:hideMark/>
          </w:tcPr>
          <w:p w14:paraId="55267F57" w14:textId="3CF19FD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0F00A7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0,06</w:t>
            </w:r>
          </w:p>
        </w:tc>
        <w:tc>
          <w:tcPr>
            <w:tcW w:w="452" w:type="pct"/>
            <w:tcBorders>
              <w:top w:val="nil"/>
              <w:left w:val="nil"/>
              <w:bottom w:val="single" w:sz="4" w:space="0" w:color="auto"/>
              <w:right w:val="single" w:sz="4" w:space="0" w:color="auto"/>
            </w:tcBorders>
            <w:noWrap/>
            <w:vAlign w:val="center"/>
            <w:hideMark/>
          </w:tcPr>
          <w:p w14:paraId="53CF4E1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398" w:type="pct"/>
            <w:tcBorders>
              <w:top w:val="nil"/>
              <w:left w:val="nil"/>
              <w:bottom w:val="single" w:sz="4" w:space="0" w:color="auto"/>
              <w:right w:val="single" w:sz="4" w:space="0" w:color="auto"/>
            </w:tcBorders>
            <w:noWrap/>
            <w:vAlign w:val="center"/>
            <w:hideMark/>
          </w:tcPr>
          <w:p w14:paraId="52F41C7A" w14:textId="1C8EFFB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9F556C6" w14:textId="34F3B5F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40EDDB1" w14:textId="049892F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95BC191" w14:textId="6C4A8CC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01DB197" w14:textId="0306BA7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E32C67E" w14:textId="342BD52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CF5CB67" w14:textId="109DDB7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052F112A"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424EEA6"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7E432D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BLT</w:t>
            </w:r>
            <w:proofErr w:type="spellEnd"/>
          </w:p>
        </w:tc>
        <w:tc>
          <w:tcPr>
            <w:tcW w:w="452" w:type="pct"/>
            <w:tcBorders>
              <w:top w:val="nil"/>
              <w:left w:val="nil"/>
              <w:bottom w:val="single" w:sz="4" w:space="0" w:color="auto"/>
              <w:right w:val="single" w:sz="4" w:space="0" w:color="auto"/>
            </w:tcBorders>
            <w:noWrap/>
            <w:vAlign w:val="center"/>
            <w:hideMark/>
          </w:tcPr>
          <w:p w14:paraId="587F4875" w14:textId="12F8627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60B8EF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452" w:type="pct"/>
            <w:tcBorders>
              <w:top w:val="nil"/>
              <w:left w:val="nil"/>
              <w:bottom w:val="single" w:sz="4" w:space="0" w:color="auto"/>
              <w:right w:val="single" w:sz="4" w:space="0" w:color="auto"/>
            </w:tcBorders>
            <w:noWrap/>
            <w:vAlign w:val="center"/>
            <w:hideMark/>
          </w:tcPr>
          <w:p w14:paraId="24795BA0" w14:textId="5DE5E54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EBCC930" w14:textId="5799357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B7F1BE5" w14:textId="2BA53FA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65DD16C" w14:textId="7D876AD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837DCAB" w14:textId="4F1B9CE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219946B" w14:textId="715EB35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A5F8FEE" w14:textId="5913DD2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F218D1B" w14:textId="6A17665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4A7165CA"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9B22F41"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3CBB6E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BON</w:t>
            </w:r>
          </w:p>
        </w:tc>
        <w:tc>
          <w:tcPr>
            <w:tcW w:w="452" w:type="pct"/>
            <w:tcBorders>
              <w:top w:val="nil"/>
              <w:left w:val="nil"/>
              <w:bottom w:val="single" w:sz="4" w:space="0" w:color="auto"/>
              <w:right w:val="single" w:sz="4" w:space="0" w:color="auto"/>
            </w:tcBorders>
            <w:noWrap/>
            <w:vAlign w:val="center"/>
            <w:hideMark/>
          </w:tcPr>
          <w:p w14:paraId="7934206B" w14:textId="1EBE4DF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FCC8FAC" w14:textId="05C2745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5B09B6A" w14:textId="0FF7205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3471ADC" w14:textId="16A0ED3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9DE2C3B" w14:textId="36BA477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B53CA1E" w14:textId="2354F90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87DD65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c>
          <w:tcPr>
            <w:tcW w:w="398" w:type="pct"/>
            <w:tcBorders>
              <w:top w:val="nil"/>
              <w:left w:val="nil"/>
              <w:bottom w:val="single" w:sz="4" w:space="0" w:color="auto"/>
              <w:right w:val="single" w:sz="4" w:space="0" w:color="auto"/>
            </w:tcBorders>
            <w:noWrap/>
            <w:vAlign w:val="center"/>
            <w:hideMark/>
          </w:tcPr>
          <w:p w14:paraId="4E9386BD" w14:textId="0DE13B2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CA4EC0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286" w:type="pct"/>
            <w:tcBorders>
              <w:top w:val="nil"/>
              <w:left w:val="nil"/>
              <w:bottom w:val="single" w:sz="4" w:space="0" w:color="auto"/>
              <w:right w:val="single" w:sz="4" w:space="0" w:color="auto"/>
            </w:tcBorders>
            <w:noWrap/>
            <w:vAlign w:val="center"/>
            <w:hideMark/>
          </w:tcPr>
          <w:p w14:paraId="2DFFD3E9" w14:textId="14A661C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21BA8F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B5ACF8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5D90D8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BUM</w:t>
            </w:r>
          </w:p>
        </w:tc>
        <w:tc>
          <w:tcPr>
            <w:tcW w:w="452" w:type="pct"/>
            <w:tcBorders>
              <w:top w:val="nil"/>
              <w:left w:val="nil"/>
              <w:bottom w:val="single" w:sz="4" w:space="0" w:color="auto"/>
              <w:right w:val="single" w:sz="4" w:space="0" w:color="auto"/>
            </w:tcBorders>
            <w:noWrap/>
            <w:vAlign w:val="center"/>
            <w:hideMark/>
          </w:tcPr>
          <w:p w14:paraId="52E965B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53,24</w:t>
            </w:r>
          </w:p>
        </w:tc>
        <w:tc>
          <w:tcPr>
            <w:tcW w:w="452" w:type="pct"/>
            <w:tcBorders>
              <w:top w:val="nil"/>
              <w:left w:val="nil"/>
              <w:bottom w:val="single" w:sz="4" w:space="0" w:color="auto"/>
              <w:right w:val="single" w:sz="4" w:space="0" w:color="auto"/>
            </w:tcBorders>
            <w:noWrap/>
            <w:vAlign w:val="center"/>
            <w:hideMark/>
          </w:tcPr>
          <w:p w14:paraId="5EEEE2C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91,45</w:t>
            </w:r>
          </w:p>
        </w:tc>
        <w:tc>
          <w:tcPr>
            <w:tcW w:w="452" w:type="pct"/>
            <w:tcBorders>
              <w:top w:val="nil"/>
              <w:left w:val="nil"/>
              <w:bottom w:val="single" w:sz="4" w:space="0" w:color="auto"/>
              <w:right w:val="single" w:sz="4" w:space="0" w:color="auto"/>
            </w:tcBorders>
            <w:noWrap/>
            <w:vAlign w:val="center"/>
            <w:hideMark/>
          </w:tcPr>
          <w:p w14:paraId="0D7E13C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133,90</w:t>
            </w:r>
          </w:p>
        </w:tc>
        <w:tc>
          <w:tcPr>
            <w:tcW w:w="398" w:type="pct"/>
            <w:tcBorders>
              <w:top w:val="nil"/>
              <w:left w:val="nil"/>
              <w:bottom w:val="single" w:sz="4" w:space="0" w:color="auto"/>
              <w:right w:val="single" w:sz="4" w:space="0" w:color="auto"/>
            </w:tcBorders>
            <w:noWrap/>
            <w:vAlign w:val="center"/>
            <w:hideMark/>
          </w:tcPr>
          <w:p w14:paraId="38CA8BD2" w14:textId="4E02657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D62C3C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81,87</w:t>
            </w:r>
          </w:p>
        </w:tc>
        <w:tc>
          <w:tcPr>
            <w:tcW w:w="452" w:type="pct"/>
            <w:tcBorders>
              <w:top w:val="nil"/>
              <w:left w:val="nil"/>
              <w:bottom w:val="single" w:sz="4" w:space="0" w:color="auto"/>
              <w:right w:val="single" w:sz="4" w:space="0" w:color="auto"/>
            </w:tcBorders>
            <w:noWrap/>
            <w:vAlign w:val="center"/>
            <w:hideMark/>
          </w:tcPr>
          <w:p w14:paraId="60FE07A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78,04</w:t>
            </w:r>
          </w:p>
        </w:tc>
        <w:tc>
          <w:tcPr>
            <w:tcW w:w="398" w:type="pct"/>
            <w:tcBorders>
              <w:top w:val="nil"/>
              <w:left w:val="nil"/>
              <w:bottom w:val="single" w:sz="4" w:space="0" w:color="auto"/>
              <w:right w:val="single" w:sz="4" w:space="0" w:color="auto"/>
            </w:tcBorders>
            <w:noWrap/>
            <w:vAlign w:val="center"/>
            <w:hideMark/>
          </w:tcPr>
          <w:p w14:paraId="0C797C4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60,69</w:t>
            </w:r>
          </w:p>
        </w:tc>
        <w:tc>
          <w:tcPr>
            <w:tcW w:w="398" w:type="pct"/>
            <w:tcBorders>
              <w:top w:val="nil"/>
              <w:left w:val="nil"/>
              <w:bottom w:val="single" w:sz="4" w:space="0" w:color="auto"/>
              <w:right w:val="single" w:sz="4" w:space="0" w:color="auto"/>
            </w:tcBorders>
            <w:noWrap/>
            <w:vAlign w:val="center"/>
            <w:hideMark/>
          </w:tcPr>
          <w:p w14:paraId="2BA0552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84,99</w:t>
            </w:r>
          </w:p>
        </w:tc>
        <w:tc>
          <w:tcPr>
            <w:tcW w:w="398" w:type="pct"/>
            <w:tcBorders>
              <w:top w:val="nil"/>
              <w:left w:val="nil"/>
              <w:bottom w:val="single" w:sz="4" w:space="0" w:color="auto"/>
              <w:right w:val="single" w:sz="4" w:space="0" w:color="auto"/>
            </w:tcBorders>
            <w:noWrap/>
            <w:vAlign w:val="center"/>
            <w:hideMark/>
          </w:tcPr>
          <w:p w14:paraId="40EF91F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0,04</w:t>
            </w:r>
          </w:p>
        </w:tc>
        <w:tc>
          <w:tcPr>
            <w:tcW w:w="286" w:type="pct"/>
            <w:tcBorders>
              <w:top w:val="nil"/>
              <w:left w:val="nil"/>
              <w:bottom w:val="single" w:sz="4" w:space="0" w:color="auto"/>
              <w:right w:val="single" w:sz="4" w:space="0" w:color="auto"/>
            </w:tcBorders>
            <w:noWrap/>
            <w:vAlign w:val="center"/>
            <w:hideMark/>
          </w:tcPr>
          <w:p w14:paraId="41BF4736" w14:textId="4CFA587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AB808F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A2E47C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C855A2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CER</w:t>
            </w:r>
          </w:p>
        </w:tc>
        <w:tc>
          <w:tcPr>
            <w:tcW w:w="452" w:type="pct"/>
            <w:tcBorders>
              <w:top w:val="nil"/>
              <w:left w:val="nil"/>
              <w:bottom w:val="single" w:sz="4" w:space="0" w:color="auto"/>
              <w:right w:val="single" w:sz="4" w:space="0" w:color="auto"/>
            </w:tcBorders>
            <w:noWrap/>
            <w:vAlign w:val="center"/>
            <w:hideMark/>
          </w:tcPr>
          <w:p w14:paraId="62E0DD2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0,75</w:t>
            </w:r>
          </w:p>
        </w:tc>
        <w:tc>
          <w:tcPr>
            <w:tcW w:w="452" w:type="pct"/>
            <w:tcBorders>
              <w:top w:val="nil"/>
              <w:left w:val="nil"/>
              <w:bottom w:val="single" w:sz="4" w:space="0" w:color="auto"/>
              <w:right w:val="single" w:sz="4" w:space="0" w:color="auto"/>
            </w:tcBorders>
            <w:noWrap/>
            <w:vAlign w:val="center"/>
            <w:hideMark/>
          </w:tcPr>
          <w:p w14:paraId="6791814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0,12</w:t>
            </w:r>
          </w:p>
        </w:tc>
        <w:tc>
          <w:tcPr>
            <w:tcW w:w="452" w:type="pct"/>
            <w:tcBorders>
              <w:top w:val="nil"/>
              <w:left w:val="nil"/>
              <w:bottom w:val="single" w:sz="4" w:space="0" w:color="auto"/>
              <w:right w:val="single" w:sz="4" w:space="0" w:color="auto"/>
            </w:tcBorders>
            <w:noWrap/>
            <w:vAlign w:val="center"/>
            <w:hideMark/>
          </w:tcPr>
          <w:p w14:paraId="541965A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0,15</w:t>
            </w:r>
          </w:p>
        </w:tc>
        <w:tc>
          <w:tcPr>
            <w:tcW w:w="398" w:type="pct"/>
            <w:tcBorders>
              <w:top w:val="nil"/>
              <w:left w:val="nil"/>
              <w:bottom w:val="single" w:sz="4" w:space="0" w:color="auto"/>
              <w:right w:val="single" w:sz="4" w:space="0" w:color="auto"/>
            </w:tcBorders>
            <w:noWrap/>
            <w:vAlign w:val="center"/>
            <w:hideMark/>
          </w:tcPr>
          <w:p w14:paraId="6D5D5783" w14:textId="3B20EB2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0F31DF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0,69</w:t>
            </w:r>
          </w:p>
        </w:tc>
        <w:tc>
          <w:tcPr>
            <w:tcW w:w="452" w:type="pct"/>
            <w:tcBorders>
              <w:top w:val="nil"/>
              <w:left w:val="nil"/>
              <w:bottom w:val="single" w:sz="4" w:space="0" w:color="auto"/>
              <w:right w:val="single" w:sz="4" w:space="0" w:color="auto"/>
            </w:tcBorders>
            <w:noWrap/>
            <w:vAlign w:val="center"/>
            <w:hideMark/>
          </w:tcPr>
          <w:p w14:paraId="79D29E9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c>
          <w:tcPr>
            <w:tcW w:w="398" w:type="pct"/>
            <w:tcBorders>
              <w:top w:val="nil"/>
              <w:left w:val="nil"/>
              <w:bottom w:val="single" w:sz="4" w:space="0" w:color="auto"/>
              <w:right w:val="single" w:sz="4" w:space="0" w:color="auto"/>
            </w:tcBorders>
            <w:noWrap/>
            <w:vAlign w:val="center"/>
            <w:hideMark/>
          </w:tcPr>
          <w:p w14:paraId="201A263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0,11</w:t>
            </w:r>
          </w:p>
        </w:tc>
        <w:tc>
          <w:tcPr>
            <w:tcW w:w="398" w:type="pct"/>
            <w:tcBorders>
              <w:top w:val="nil"/>
              <w:left w:val="nil"/>
              <w:bottom w:val="single" w:sz="4" w:space="0" w:color="auto"/>
              <w:right w:val="single" w:sz="4" w:space="0" w:color="auto"/>
            </w:tcBorders>
            <w:noWrap/>
            <w:vAlign w:val="center"/>
            <w:hideMark/>
          </w:tcPr>
          <w:p w14:paraId="2638406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0,12</w:t>
            </w:r>
          </w:p>
        </w:tc>
        <w:tc>
          <w:tcPr>
            <w:tcW w:w="398" w:type="pct"/>
            <w:tcBorders>
              <w:top w:val="nil"/>
              <w:left w:val="nil"/>
              <w:bottom w:val="single" w:sz="4" w:space="0" w:color="auto"/>
              <w:right w:val="single" w:sz="4" w:space="0" w:color="auto"/>
            </w:tcBorders>
            <w:noWrap/>
            <w:vAlign w:val="center"/>
            <w:hideMark/>
          </w:tcPr>
          <w:p w14:paraId="570A988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0,11</w:t>
            </w:r>
          </w:p>
        </w:tc>
        <w:tc>
          <w:tcPr>
            <w:tcW w:w="286" w:type="pct"/>
            <w:tcBorders>
              <w:top w:val="nil"/>
              <w:left w:val="nil"/>
              <w:bottom w:val="single" w:sz="4" w:space="0" w:color="auto"/>
              <w:right w:val="single" w:sz="4" w:space="0" w:color="auto"/>
            </w:tcBorders>
            <w:noWrap/>
            <w:vAlign w:val="center"/>
            <w:hideMark/>
          </w:tcPr>
          <w:p w14:paraId="4C89BA2C" w14:textId="78EB19A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24C000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13DDE66"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D89DF0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DOL</w:t>
            </w:r>
            <w:proofErr w:type="spellEnd"/>
          </w:p>
        </w:tc>
        <w:tc>
          <w:tcPr>
            <w:tcW w:w="452" w:type="pct"/>
            <w:tcBorders>
              <w:top w:val="nil"/>
              <w:left w:val="nil"/>
              <w:bottom w:val="single" w:sz="4" w:space="0" w:color="auto"/>
              <w:right w:val="single" w:sz="4" w:space="0" w:color="auto"/>
            </w:tcBorders>
            <w:noWrap/>
            <w:vAlign w:val="center"/>
            <w:hideMark/>
          </w:tcPr>
          <w:p w14:paraId="4D3CC4B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505,44</w:t>
            </w:r>
          </w:p>
        </w:tc>
        <w:tc>
          <w:tcPr>
            <w:tcW w:w="452" w:type="pct"/>
            <w:tcBorders>
              <w:top w:val="nil"/>
              <w:left w:val="nil"/>
              <w:bottom w:val="single" w:sz="4" w:space="0" w:color="auto"/>
              <w:right w:val="single" w:sz="4" w:space="0" w:color="auto"/>
            </w:tcBorders>
            <w:noWrap/>
            <w:vAlign w:val="center"/>
            <w:hideMark/>
          </w:tcPr>
          <w:p w14:paraId="2F535F6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435,34</w:t>
            </w:r>
          </w:p>
        </w:tc>
        <w:tc>
          <w:tcPr>
            <w:tcW w:w="452" w:type="pct"/>
            <w:tcBorders>
              <w:top w:val="nil"/>
              <w:left w:val="nil"/>
              <w:bottom w:val="single" w:sz="4" w:space="0" w:color="auto"/>
              <w:right w:val="single" w:sz="4" w:space="0" w:color="auto"/>
            </w:tcBorders>
            <w:noWrap/>
            <w:vAlign w:val="center"/>
            <w:hideMark/>
          </w:tcPr>
          <w:p w14:paraId="2C807BE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403,09</w:t>
            </w:r>
          </w:p>
        </w:tc>
        <w:tc>
          <w:tcPr>
            <w:tcW w:w="398" w:type="pct"/>
            <w:tcBorders>
              <w:top w:val="nil"/>
              <w:left w:val="nil"/>
              <w:bottom w:val="single" w:sz="4" w:space="0" w:color="auto"/>
              <w:right w:val="single" w:sz="4" w:space="0" w:color="auto"/>
            </w:tcBorders>
            <w:noWrap/>
            <w:vAlign w:val="center"/>
            <w:hideMark/>
          </w:tcPr>
          <w:p w14:paraId="581DA282" w14:textId="6E44029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3F0366A" w14:textId="4225576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164242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302,39</w:t>
            </w:r>
          </w:p>
        </w:tc>
        <w:tc>
          <w:tcPr>
            <w:tcW w:w="398" w:type="pct"/>
            <w:tcBorders>
              <w:top w:val="nil"/>
              <w:left w:val="nil"/>
              <w:bottom w:val="single" w:sz="4" w:space="0" w:color="auto"/>
              <w:right w:val="single" w:sz="4" w:space="0" w:color="auto"/>
            </w:tcBorders>
            <w:noWrap/>
            <w:vAlign w:val="center"/>
            <w:hideMark/>
          </w:tcPr>
          <w:p w14:paraId="69CC978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276,27</w:t>
            </w:r>
          </w:p>
        </w:tc>
        <w:tc>
          <w:tcPr>
            <w:tcW w:w="398" w:type="pct"/>
            <w:tcBorders>
              <w:top w:val="nil"/>
              <w:left w:val="nil"/>
              <w:bottom w:val="single" w:sz="4" w:space="0" w:color="auto"/>
              <w:right w:val="single" w:sz="4" w:space="0" w:color="auto"/>
            </w:tcBorders>
            <w:noWrap/>
            <w:vAlign w:val="center"/>
            <w:hideMark/>
          </w:tcPr>
          <w:p w14:paraId="68DD22C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288,34</w:t>
            </w:r>
          </w:p>
        </w:tc>
        <w:tc>
          <w:tcPr>
            <w:tcW w:w="398" w:type="pct"/>
            <w:tcBorders>
              <w:top w:val="nil"/>
              <w:left w:val="nil"/>
              <w:bottom w:val="single" w:sz="4" w:space="0" w:color="auto"/>
              <w:right w:val="single" w:sz="4" w:space="0" w:color="auto"/>
            </w:tcBorders>
            <w:noWrap/>
            <w:vAlign w:val="center"/>
            <w:hideMark/>
          </w:tcPr>
          <w:p w14:paraId="068D04B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236,18</w:t>
            </w:r>
          </w:p>
        </w:tc>
        <w:tc>
          <w:tcPr>
            <w:tcW w:w="286" w:type="pct"/>
            <w:tcBorders>
              <w:top w:val="nil"/>
              <w:left w:val="nil"/>
              <w:bottom w:val="single" w:sz="4" w:space="0" w:color="auto"/>
              <w:right w:val="single" w:sz="4" w:space="0" w:color="auto"/>
            </w:tcBorders>
            <w:noWrap/>
            <w:vAlign w:val="center"/>
            <w:hideMark/>
          </w:tcPr>
          <w:p w14:paraId="6AFBA092" w14:textId="2D976CA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D1179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8AA7B5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F4A8E2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FAL</w:t>
            </w:r>
            <w:proofErr w:type="spellEnd"/>
          </w:p>
        </w:tc>
        <w:tc>
          <w:tcPr>
            <w:tcW w:w="452" w:type="pct"/>
            <w:tcBorders>
              <w:top w:val="nil"/>
              <w:left w:val="nil"/>
              <w:bottom w:val="single" w:sz="4" w:space="0" w:color="auto"/>
              <w:right w:val="single" w:sz="4" w:space="0" w:color="auto"/>
            </w:tcBorders>
            <w:noWrap/>
            <w:vAlign w:val="center"/>
            <w:hideMark/>
          </w:tcPr>
          <w:p w14:paraId="7A3D1874" w14:textId="252F1E4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4E01E9E" w14:textId="1BA94FB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5034C44" w14:textId="496371E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A91C7BD" w14:textId="07165A2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5A85B06" w14:textId="7F8D67D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6B8EC52" w14:textId="6ED50BC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F4EB1EB" w14:textId="7E32A4F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90C840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0,08</w:t>
            </w:r>
          </w:p>
        </w:tc>
        <w:tc>
          <w:tcPr>
            <w:tcW w:w="398" w:type="pct"/>
            <w:tcBorders>
              <w:top w:val="nil"/>
              <w:left w:val="nil"/>
              <w:bottom w:val="single" w:sz="4" w:space="0" w:color="auto"/>
              <w:right w:val="single" w:sz="4" w:space="0" w:color="auto"/>
            </w:tcBorders>
            <w:noWrap/>
            <w:vAlign w:val="center"/>
            <w:hideMark/>
          </w:tcPr>
          <w:p w14:paraId="4032ADFB" w14:textId="77EE99E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7349460E" w14:textId="1793F3F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7E60D40"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25DCC35"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36FB09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GNC</w:t>
            </w:r>
          </w:p>
        </w:tc>
        <w:tc>
          <w:tcPr>
            <w:tcW w:w="452" w:type="pct"/>
            <w:tcBorders>
              <w:top w:val="nil"/>
              <w:left w:val="nil"/>
              <w:bottom w:val="single" w:sz="4" w:space="0" w:color="auto"/>
              <w:right w:val="single" w:sz="4" w:space="0" w:color="auto"/>
            </w:tcBorders>
            <w:noWrap/>
            <w:vAlign w:val="center"/>
            <w:hideMark/>
          </w:tcPr>
          <w:p w14:paraId="4ED7936A" w14:textId="2203F12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F3F173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0,50</w:t>
            </w:r>
          </w:p>
        </w:tc>
        <w:tc>
          <w:tcPr>
            <w:tcW w:w="452" w:type="pct"/>
            <w:tcBorders>
              <w:top w:val="nil"/>
              <w:left w:val="nil"/>
              <w:bottom w:val="single" w:sz="4" w:space="0" w:color="auto"/>
              <w:right w:val="single" w:sz="4" w:space="0" w:color="auto"/>
            </w:tcBorders>
            <w:noWrap/>
            <w:vAlign w:val="center"/>
            <w:hideMark/>
          </w:tcPr>
          <w:p w14:paraId="726A33F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1,08</w:t>
            </w:r>
          </w:p>
        </w:tc>
        <w:tc>
          <w:tcPr>
            <w:tcW w:w="398" w:type="pct"/>
            <w:tcBorders>
              <w:top w:val="nil"/>
              <w:left w:val="nil"/>
              <w:bottom w:val="single" w:sz="4" w:space="0" w:color="auto"/>
              <w:right w:val="single" w:sz="4" w:space="0" w:color="auto"/>
            </w:tcBorders>
            <w:noWrap/>
            <w:vAlign w:val="center"/>
            <w:hideMark/>
          </w:tcPr>
          <w:p w14:paraId="6F580076" w14:textId="0C4625A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E16B391" w14:textId="7A1F470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67F38F86" w14:textId="1CF44C0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5D5FD52" w14:textId="63149D6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D63ED01" w14:textId="28E7467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D8844BB" w14:textId="4B8833F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6FC1C66C" w14:textId="433DEBD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0A9EDEC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F973F5E"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7866E15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KGM</w:t>
            </w:r>
            <w:proofErr w:type="spellEnd"/>
          </w:p>
        </w:tc>
        <w:tc>
          <w:tcPr>
            <w:tcW w:w="452" w:type="pct"/>
            <w:tcBorders>
              <w:top w:val="nil"/>
              <w:left w:val="nil"/>
              <w:bottom w:val="single" w:sz="4" w:space="0" w:color="auto"/>
              <w:right w:val="single" w:sz="4" w:space="0" w:color="auto"/>
            </w:tcBorders>
            <w:noWrap/>
            <w:vAlign w:val="center"/>
            <w:hideMark/>
          </w:tcPr>
          <w:p w14:paraId="1DE0ECC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0,16</w:t>
            </w:r>
          </w:p>
        </w:tc>
        <w:tc>
          <w:tcPr>
            <w:tcW w:w="452" w:type="pct"/>
            <w:tcBorders>
              <w:top w:val="nil"/>
              <w:left w:val="nil"/>
              <w:bottom w:val="single" w:sz="4" w:space="0" w:color="auto"/>
              <w:right w:val="single" w:sz="4" w:space="0" w:color="auto"/>
            </w:tcBorders>
            <w:noWrap/>
            <w:vAlign w:val="center"/>
            <w:hideMark/>
          </w:tcPr>
          <w:p w14:paraId="58E769A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0,33</w:t>
            </w:r>
          </w:p>
        </w:tc>
        <w:tc>
          <w:tcPr>
            <w:tcW w:w="452" w:type="pct"/>
            <w:tcBorders>
              <w:top w:val="nil"/>
              <w:left w:val="nil"/>
              <w:bottom w:val="single" w:sz="4" w:space="0" w:color="auto"/>
              <w:right w:val="single" w:sz="4" w:space="0" w:color="auto"/>
            </w:tcBorders>
            <w:noWrap/>
            <w:vAlign w:val="center"/>
            <w:hideMark/>
          </w:tcPr>
          <w:p w14:paraId="40CDE93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0,08</w:t>
            </w:r>
          </w:p>
        </w:tc>
        <w:tc>
          <w:tcPr>
            <w:tcW w:w="398" w:type="pct"/>
            <w:tcBorders>
              <w:top w:val="nil"/>
              <w:left w:val="nil"/>
              <w:bottom w:val="single" w:sz="4" w:space="0" w:color="auto"/>
              <w:right w:val="single" w:sz="4" w:space="0" w:color="auto"/>
            </w:tcBorders>
            <w:noWrap/>
            <w:vAlign w:val="center"/>
            <w:hideMark/>
          </w:tcPr>
          <w:p w14:paraId="3678B4E1" w14:textId="398E370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FBFE3A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0,17</w:t>
            </w:r>
          </w:p>
        </w:tc>
        <w:tc>
          <w:tcPr>
            <w:tcW w:w="452" w:type="pct"/>
            <w:tcBorders>
              <w:top w:val="nil"/>
              <w:left w:val="nil"/>
              <w:bottom w:val="single" w:sz="4" w:space="0" w:color="auto"/>
              <w:right w:val="single" w:sz="4" w:space="0" w:color="auto"/>
            </w:tcBorders>
            <w:noWrap/>
            <w:vAlign w:val="center"/>
            <w:hideMark/>
          </w:tcPr>
          <w:p w14:paraId="0F8DFF5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0,11</w:t>
            </w:r>
          </w:p>
        </w:tc>
        <w:tc>
          <w:tcPr>
            <w:tcW w:w="398" w:type="pct"/>
            <w:tcBorders>
              <w:top w:val="nil"/>
              <w:left w:val="nil"/>
              <w:bottom w:val="single" w:sz="4" w:space="0" w:color="auto"/>
              <w:right w:val="single" w:sz="4" w:space="0" w:color="auto"/>
            </w:tcBorders>
            <w:noWrap/>
            <w:vAlign w:val="center"/>
            <w:hideMark/>
          </w:tcPr>
          <w:p w14:paraId="5589C63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0,06</w:t>
            </w:r>
          </w:p>
        </w:tc>
        <w:tc>
          <w:tcPr>
            <w:tcW w:w="398" w:type="pct"/>
            <w:tcBorders>
              <w:top w:val="nil"/>
              <w:left w:val="nil"/>
              <w:bottom w:val="single" w:sz="4" w:space="0" w:color="auto"/>
              <w:right w:val="single" w:sz="4" w:space="0" w:color="auto"/>
            </w:tcBorders>
            <w:noWrap/>
            <w:vAlign w:val="center"/>
            <w:hideMark/>
          </w:tcPr>
          <w:p w14:paraId="2185C70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1,09</w:t>
            </w:r>
          </w:p>
        </w:tc>
        <w:tc>
          <w:tcPr>
            <w:tcW w:w="398" w:type="pct"/>
            <w:tcBorders>
              <w:top w:val="nil"/>
              <w:left w:val="nil"/>
              <w:bottom w:val="single" w:sz="4" w:space="0" w:color="auto"/>
              <w:right w:val="single" w:sz="4" w:space="0" w:color="auto"/>
            </w:tcBorders>
            <w:noWrap/>
            <w:vAlign w:val="center"/>
            <w:hideMark/>
          </w:tcPr>
          <w:p w14:paraId="2431475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1,22</w:t>
            </w:r>
          </w:p>
        </w:tc>
        <w:tc>
          <w:tcPr>
            <w:tcW w:w="286" w:type="pct"/>
            <w:tcBorders>
              <w:top w:val="nil"/>
              <w:left w:val="nil"/>
              <w:bottom w:val="single" w:sz="4" w:space="0" w:color="auto"/>
              <w:right w:val="single" w:sz="4" w:space="0" w:color="auto"/>
            </w:tcBorders>
            <w:noWrap/>
            <w:vAlign w:val="center"/>
            <w:hideMark/>
          </w:tcPr>
          <w:p w14:paraId="118A8862" w14:textId="1FE2EFA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0D17D25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BD58DEE"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AB28CD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LTA</w:t>
            </w:r>
            <w:proofErr w:type="spellEnd"/>
          </w:p>
        </w:tc>
        <w:tc>
          <w:tcPr>
            <w:tcW w:w="452" w:type="pct"/>
            <w:tcBorders>
              <w:top w:val="nil"/>
              <w:left w:val="nil"/>
              <w:bottom w:val="single" w:sz="4" w:space="0" w:color="auto"/>
              <w:right w:val="single" w:sz="4" w:space="0" w:color="auto"/>
            </w:tcBorders>
            <w:noWrap/>
            <w:vAlign w:val="center"/>
            <w:hideMark/>
          </w:tcPr>
          <w:p w14:paraId="4ED1385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2,34</w:t>
            </w:r>
          </w:p>
        </w:tc>
        <w:tc>
          <w:tcPr>
            <w:tcW w:w="452" w:type="pct"/>
            <w:tcBorders>
              <w:top w:val="nil"/>
              <w:left w:val="nil"/>
              <w:bottom w:val="single" w:sz="4" w:space="0" w:color="auto"/>
              <w:right w:val="single" w:sz="4" w:space="0" w:color="auto"/>
            </w:tcBorders>
            <w:noWrap/>
            <w:vAlign w:val="center"/>
            <w:hideMark/>
          </w:tcPr>
          <w:p w14:paraId="4B6A681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0,15</w:t>
            </w:r>
          </w:p>
        </w:tc>
        <w:tc>
          <w:tcPr>
            <w:tcW w:w="452" w:type="pct"/>
            <w:tcBorders>
              <w:top w:val="nil"/>
              <w:left w:val="nil"/>
              <w:bottom w:val="single" w:sz="4" w:space="0" w:color="auto"/>
              <w:right w:val="single" w:sz="4" w:space="0" w:color="auto"/>
            </w:tcBorders>
            <w:noWrap/>
            <w:vAlign w:val="center"/>
            <w:hideMark/>
          </w:tcPr>
          <w:p w14:paraId="4C2762E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1,06</w:t>
            </w:r>
          </w:p>
        </w:tc>
        <w:tc>
          <w:tcPr>
            <w:tcW w:w="398" w:type="pct"/>
            <w:tcBorders>
              <w:top w:val="nil"/>
              <w:left w:val="nil"/>
              <w:bottom w:val="single" w:sz="4" w:space="0" w:color="auto"/>
              <w:right w:val="single" w:sz="4" w:space="0" w:color="auto"/>
            </w:tcBorders>
            <w:noWrap/>
            <w:vAlign w:val="center"/>
            <w:hideMark/>
          </w:tcPr>
          <w:p w14:paraId="1E0A85D3" w14:textId="60108BC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4BCA8D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1,43</w:t>
            </w:r>
          </w:p>
        </w:tc>
        <w:tc>
          <w:tcPr>
            <w:tcW w:w="452" w:type="pct"/>
            <w:tcBorders>
              <w:top w:val="nil"/>
              <w:left w:val="nil"/>
              <w:bottom w:val="single" w:sz="4" w:space="0" w:color="auto"/>
              <w:right w:val="single" w:sz="4" w:space="0" w:color="auto"/>
            </w:tcBorders>
            <w:noWrap/>
            <w:vAlign w:val="center"/>
            <w:hideMark/>
          </w:tcPr>
          <w:p w14:paraId="24A570D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0,14</w:t>
            </w:r>
          </w:p>
        </w:tc>
        <w:tc>
          <w:tcPr>
            <w:tcW w:w="398" w:type="pct"/>
            <w:tcBorders>
              <w:top w:val="nil"/>
              <w:left w:val="nil"/>
              <w:bottom w:val="single" w:sz="4" w:space="0" w:color="auto"/>
              <w:right w:val="single" w:sz="4" w:space="0" w:color="auto"/>
            </w:tcBorders>
            <w:noWrap/>
            <w:vAlign w:val="center"/>
            <w:hideMark/>
          </w:tcPr>
          <w:p w14:paraId="79E66E7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0,23</w:t>
            </w:r>
          </w:p>
        </w:tc>
        <w:tc>
          <w:tcPr>
            <w:tcW w:w="398" w:type="pct"/>
            <w:tcBorders>
              <w:top w:val="nil"/>
              <w:left w:val="nil"/>
              <w:bottom w:val="single" w:sz="4" w:space="0" w:color="auto"/>
              <w:right w:val="single" w:sz="4" w:space="0" w:color="auto"/>
            </w:tcBorders>
            <w:noWrap/>
            <w:vAlign w:val="center"/>
            <w:hideMark/>
          </w:tcPr>
          <w:p w14:paraId="182902A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398" w:type="pct"/>
            <w:tcBorders>
              <w:top w:val="nil"/>
              <w:left w:val="nil"/>
              <w:bottom w:val="single" w:sz="4" w:space="0" w:color="auto"/>
              <w:right w:val="single" w:sz="4" w:space="0" w:color="auto"/>
            </w:tcBorders>
            <w:noWrap/>
            <w:vAlign w:val="center"/>
            <w:hideMark/>
          </w:tcPr>
          <w:p w14:paraId="7857B3A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0,37</w:t>
            </w:r>
          </w:p>
        </w:tc>
        <w:tc>
          <w:tcPr>
            <w:tcW w:w="286" w:type="pct"/>
            <w:tcBorders>
              <w:top w:val="nil"/>
              <w:left w:val="nil"/>
              <w:bottom w:val="single" w:sz="4" w:space="0" w:color="auto"/>
              <w:right w:val="single" w:sz="4" w:space="0" w:color="auto"/>
            </w:tcBorders>
            <w:noWrap/>
            <w:vAlign w:val="center"/>
            <w:hideMark/>
          </w:tcPr>
          <w:p w14:paraId="57951372" w14:textId="75CFD87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33E909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5EDD402"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FEB409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NGB</w:t>
            </w:r>
            <w:proofErr w:type="spellEnd"/>
          </w:p>
        </w:tc>
        <w:tc>
          <w:tcPr>
            <w:tcW w:w="452" w:type="pct"/>
            <w:tcBorders>
              <w:top w:val="nil"/>
              <w:left w:val="nil"/>
              <w:bottom w:val="single" w:sz="4" w:space="0" w:color="auto"/>
              <w:right w:val="single" w:sz="4" w:space="0" w:color="auto"/>
            </w:tcBorders>
            <w:noWrap/>
            <w:vAlign w:val="center"/>
            <w:hideMark/>
          </w:tcPr>
          <w:p w14:paraId="2F19E854" w14:textId="41AF3DE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FF2A19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0,07</w:t>
            </w:r>
          </w:p>
        </w:tc>
        <w:tc>
          <w:tcPr>
            <w:tcW w:w="452" w:type="pct"/>
            <w:tcBorders>
              <w:top w:val="nil"/>
              <w:left w:val="nil"/>
              <w:bottom w:val="single" w:sz="4" w:space="0" w:color="auto"/>
              <w:right w:val="single" w:sz="4" w:space="0" w:color="auto"/>
            </w:tcBorders>
            <w:noWrap/>
            <w:vAlign w:val="center"/>
            <w:hideMark/>
          </w:tcPr>
          <w:p w14:paraId="6A2D740B" w14:textId="7AE641B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CC9BC8F" w14:textId="6E75282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253AFBD" w14:textId="1F9181F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F89ADD1" w14:textId="2C346E1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FDE01B1" w14:textId="72708ED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2F3CA2E" w14:textId="6324E58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DA00940" w14:textId="1986965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6F8F9B1D" w14:textId="5B42F5E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2860F78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23D9772"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FE7B8D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OCS</w:t>
            </w:r>
            <w:proofErr w:type="spellEnd"/>
          </w:p>
        </w:tc>
        <w:tc>
          <w:tcPr>
            <w:tcW w:w="452" w:type="pct"/>
            <w:tcBorders>
              <w:top w:val="nil"/>
              <w:left w:val="nil"/>
              <w:bottom w:val="single" w:sz="4" w:space="0" w:color="auto"/>
              <w:right w:val="single" w:sz="4" w:space="0" w:color="auto"/>
            </w:tcBorders>
            <w:noWrap/>
            <w:vAlign w:val="center"/>
            <w:hideMark/>
          </w:tcPr>
          <w:p w14:paraId="07AC0F4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0,30</w:t>
            </w:r>
          </w:p>
        </w:tc>
        <w:tc>
          <w:tcPr>
            <w:tcW w:w="452" w:type="pct"/>
            <w:tcBorders>
              <w:top w:val="nil"/>
              <w:left w:val="nil"/>
              <w:bottom w:val="single" w:sz="4" w:space="0" w:color="auto"/>
              <w:right w:val="single" w:sz="4" w:space="0" w:color="auto"/>
            </w:tcBorders>
            <w:noWrap/>
            <w:vAlign w:val="center"/>
            <w:hideMark/>
          </w:tcPr>
          <w:p w14:paraId="6ED36046" w14:textId="32DF83E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E2147D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0,44</w:t>
            </w:r>
          </w:p>
        </w:tc>
        <w:tc>
          <w:tcPr>
            <w:tcW w:w="398" w:type="pct"/>
            <w:tcBorders>
              <w:top w:val="nil"/>
              <w:left w:val="nil"/>
              <w:bottom w:val="single" w:sz="4" w:space="0" w:color="auto"/>
              <w:right w:val="single" w:sz="4" w:space="0" w:color="auto"/>
            </w:tcBorders>
            <w:noWrap/>
            <w:vAlign w:val="center"/>
            <w:hideMark/>
          </w:tcPr>
          <w:p w14:paraId="1DCD6729" w14:textId="43D3A2C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BFB4CE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c>
          <w:tcPr>
            <w:tcW w:w="452" w:type="pct"/>
            <w:tcBorders>
              <w:top w:val="nil"/>
              <w:left w:val="nil"/>
              <w:bottom w:val="single" w:sz="4" w:space="0" w:color="auto"/>
              <w:right w:val="single" w:sz="4" w:space="0" w:color="auto"/>
            </w:tcBorders>
            <w:noWrap/>
            <w:vAlign w:val="center"/>
            <w:hideMark/>
          </w:tcPr>
          <w:p w14:paraId="22C174C3" w14:textId="2918D48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2A91DA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0,10</w:t>
            </w:r>
          </w:p>
        </w:tc>
        <w:tc>
          <w:tcPr>
            <w:tcW w:w="398" w:type="pct"/>
            <w:tcBorders>
              <w:top w:val="nil"/>
              <w:left w:val="nil"/>
              <w:bottom w:val="single" w:sz="4" w:space="0" w:color="auto"/>
              <w:right w:val="single" w:sz="4" w:space="0" w:color="auto"/>
            </w:tcBorders>
            <w:noWrap/>
            <w:vAlign w:val="center"/>
            <w:hideMark/>
          </w:tcPr>
          <w:p w14:paraId="5CE36E14" w14:textId="389D50C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C02CA03" w14:textId="062FA13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320C9947" w14:textId="6C481E5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E64F5A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B04115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61A0BA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RSK</w:t>
            </w:r>
            <w:proofErr w:type="spellEnd"/>
          </w:p>
        </w:tc>
        <w:tc>
          <w:tcPr>
            <w:tcW w:w="452" w:type="pct"/>
            <w:tcBorders>
              <w:top w:val="nil"/>
              <w:left w:val="nil"/>
              <w:bottom w:val="single" w:sz="4" w:space="0" w:color="auto"/>
              <w:right w:val="single" w:sz="4" w:space="0" w:color="auto"/>
            </w:tcBorders>
            <w:noWrap/>
            <w:vAlign w:val="center"/>
            <w:hideMark/>
          </w:tcPr>
          <w:p w14:paraId="403DBF5D" w14:textId="25C17A6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BE32762" w14:textId="0A827AB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46A90D9" w14:textId="4AA9C30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743C227" w14:textId="6DAAA3A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D7C2C9B" w14:textId="4655108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FC8195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0,17</w:t>
            </w:r>
          </w:p>
        </w:tc>
        <w:tc>
          <w:tcPr>
            <w:tcW w:w="398" w:type="pct"/>
            <w:tcBorders>
              <w:top w:val="nil"/>
              <w:left w:val="nil"/>
              <w:bottom w:val="single" w:sz="4" w:space="0" w:color="auto"/>
              <w:right w:val="single" w:sz="4" w:space="0" w:color="auto"/>
            </w:tcBorders>
            <w:noWrap/>
            <w:vAlign w:val="center"/>
            <w:hideMark/>
          </w:tcPr>
          <w:p w14:paraId="1A81E39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0,33</w:t>
            </w:r>
          </w:p>
        </w:tc>
        <w:tc>
          <w:tcPr>
            <w:tcW w:w="398" w:type="pct"/>
            <w:tcBorders>
              <w:top w:val="nil"/>
              <w:left w:val="nil"/>
              <w:bottom w:val="single" w:sz="4" w:space="0" w:color="auto"/>
              <w:right w:val="single" w:sz="4" w:space="0" w:color="auto"/>
            </w:tcBorders>
            <w:noWrap/>
            <w:vAlign w:val="center"/>
            <w:hideMark/>
          </w:tcPr>
          <w:p w14:paraId="0404294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0,12</w:t>
            </w:r>
          </w:p>
        </w:tc>
        <w:tc>
          <w:tcPr>
            <w:tcW w:w="398" w:type="pct"/>
            <w:tcBorders>
              <w:top w:val="nil"/>
              <w:left w:val="nil"/>
              <w:bottom w:val="single" w:sz="4" w:space="0" w:color="auto"/>
              <w:right w:val="single" w:sz="4" w:space="0" w:color="auto"/>
            </w:tcBorders>
            <w:noWrap/>
            <w:vAlign w:val="center"/>
            <w:hideMark/>
          </w:tcPr>
          <w:p w14:paraId="2EAFC549" w14:textId="4868541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2830421C" w14:textId="656E43D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9C2A81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231CEF4"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2BDD501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SAI</w:t>
            </w:r>
          </w:p>
        </w:tc>
        <w:tc>
          <w:tcPr>
            <w:tcW w:w="452" w:type="pct"/>
            <w:tcBorders>
              <w:top w:val="nil"/>
              <w:left w:val="nil"/>
              <w:bottom w:val="single" w:sz="4" w:space="0" w:color="auto"/>
              <w:right w:val="single" w:sz="4" w:space="0" w:color="auto"/>
            </w:tcBorders>
            <w:noWrap/>
            <w:vAlign w:val="center"/>
            <w:hideMark/>
          </w:tcPr>
          <w:p w14:paraId="6455657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1,22</w:t>
            </w:r>
          </w:p>
        </w:tc>
        <w:tc>
          <w:tcPr>
            <w:tcW w:w="452" w:type="pct"/>
            <w:tcBorders>
              <w:top w:val="nil"/>
              <w:left w:val="nil"/>
              <w:bottom w:val="single" w:sz="4" w:space="0" w:color="auto"/>
              <w:right w:val="single" w:sz="4" w:space="0" w:color="auto"/>
            </w:tcBorders>
            <w:noWrap/>
            <w:vAlign w:val="center"/>
            <w:hideMark/>
          </w:tcPr>
          <w:p w14:paraId="3B2205B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1,46</w:t>
            </w:r>
          </w:p>
        </w:tc>
        <w:tc>
          <w:tcPr>
            <w:tcW w:w="452" w:type="pct"/>
            <w:tcBorders>
              <w:top w:val="nil"/>
              <w:left w:val="nil"/>
              <w:bottom w:val="single" w:sz="4" w:space="0" w:color="auto"/>
              <w:right w:val="single" w:sz="4" w:space="0" w:color="auto"/>
            </w:tcBorders>
            <w:noWrap/>
            <w:vAlign w:val="center"/>
            <w:hideMark/>
          </w:tcPr>
          <w:p w14:paraId="2341C02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4,48</w:t>
            </w:r>
          </w:p>
        </w:tc>
        <w:tc>
          <w:tcPr>
            <w:tcW w:w="398" w:type="pct"/>
            <w:tcBorders>
              <w:top w:val="nil"/>
              <w:left w:val="nil"/>
              <w:bottom w:val="single" w:sz="4" w:space="0" w:color="auto"/>
              <w:right w:val="single" w:sz="4" w:space="0" w:color="auto"/>
            </w:tcBorders>
            <w:noWrap/>
            <w:vAlign w:val="center"/>
            <w:hideMark/>
          </w:tcPr>
          <w:p w14:paraId="2C766CDE" w14:textId="522DF21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63B576A" w14:textId="47AC30E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D95646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398" w:type="pct"/>
            <w:tcBorders>
              <w:top w:val="nil"/>
              <w:left w:val="nil"/>
              <w:bottom w:val="single" w:sz="4" w:space="0" w:color="auto"/>
              <w:right w:val="single" w:sz="4" w:space="0" w:color="auto"/>
            </w:tcBorders>
            <w:noWrap/>
            <w:vAlign w:val="center"/>
            <w:hideMark/>
          </w:tcPr>
          <w:p w14:paraId="2738EC81" w14:textId="33DD90C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DD5CFB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0,68</w:t>
            </w:r>
          </w:p>
        </w:tc>
        <w:tc>
          <w:tcPr>
            <w:tcW w:w="398" w:type="pct"/>
            <w:tcBorders>
              <w:top w:val="nil"/>
              <w:left w:val="nil"/>
              <w:bottom w:val="single" w:sz="4" w:space="0" w:color="auto"/>
              <w:right w:val="single" w:sz="4" w:space="0" w:color="auto"/>
            </w:tcBorders>
            <w:noWrap/>
            <w:vAlign w:val="center"/>
            <w:hideMark/>
          </w:tcPr>
          <w:p w14:paraId="1E8EFB9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286" w:type="pct"/>
            <w:tcBorders>
              <w:top w:val="nil"/>
              <w:left w:val="nil"/>
              <w:bottom w:val="single" w:sz="4" w:space="0" w:color="auto"/>
              <w:right w:val="single" w:sz="4" w:space="0" w:color="auto"/>
            </w:tcBorders>
            <w:noWrap/>
            <w:vAlign w:val="center"/>
            <w:hideMark/>
          </w:tcPr>
          <w:p w14:paraId="6E57CF90" w14:textId="5608AB6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F8C977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BB87ACF"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F4C575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SHK</w:t>
            </w:r>
            <w:proofErr w:type="spellEnd"/>
          </w:p>
        </w:tc>
        <w:tc>
          <w:tcPr>
            <w:tcW w:w="452" w:type="pct"/>
            <w:tcBorders>
              <w:top w:val="nil"/>
              <w:left w:val="nil"/>
              <w:bottom w:val="single" w:sz="4" w:space="0" w:color="auto"/>
              <w:right w:val="single" w:sz="4" w:space="0" w:color="auto"/>
            </w:tcBorders>
            <w:noWrap/>
            <w:vAlign w:val="center"/>
            <w:hideMark/>
          </w:tcPr>
          <w:p w14:paraId="5EBEFC5E" w14:textId="25A3E78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FE48DA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0,40</w:t>
            </w:r>
          </w:p>
        </w:tc>
        <w:tc>
          <w:tcPr>
            <w:tcW w:w="452" w:type="pct"/>
            <w:tcBorders>
              <w:top w:val="nil"/>
              <w:left w:val="nil"/>
              <w:bottom w:val="single" w:sz="4" w:space="0" w:color="auto"/>
              <w:right w:val="single" w:sz="4" w:space="0" w:color="auto"/>
            </w:tcBorders>
            <w:noWrap/>
            <w:vAlign w:val="center"/>
            <w:hideMark/>
          </w:tcPr>
          <w:p w14:paraId="5E1BCC0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1,10</w:t>
            </w:r>
          </w:p>
        </w:tc>
        <w:tc>
          <w:tcPr>
            <w:tcW w:w="398" w:type="pct"/>
            <w:tcBorders>
              <w:top w:val="nil"/>
              <w:left w:val="nil"/>
              <w:bottom w:val="single" w:sz="4" w:space="0" w:color="auto"/>
              <w:right w:val="single" w:sz="4" w:space="0" w:color="auto"/>
            </w:tcBorders>
            <w:noWrap/>
            <w:vAlign w:val="center"/>
            <w:hideMark/>
          </w:tcPr>
          <w:p w14:paraId="6B704DB6" w14:textId="1BF61BD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E623F6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1,95</w:t>
            </w:r>
          </w:p>
        </w:tc>
        <w:tc>
          <w:tcPr>
            <w:tcW w:w="452" w:type="pct"/>
            <w:tcBorders>
              <w:top w:val="nil"/>
              <w:left w:val="nil"/>
              <w:bottom w:val="single" w:sz="4" w:space="0" w:color="auto"/>
              <w:right w:val="single" w:sz="4" w:space="0" w:color="auto"/>
            </w:tcBorders>
            <w:noWrap/>
            <w:vAlign w:val="center"/>
            <w:hideMark/>
          </w:tcPr>
          <w:p w14:paraId="2A26DE5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2,17</w:t>
            </w:r>
          </w:p>
        </w:tc>
        <w:tc>
          <w:tcPr>
            <w:tcW w:w="398" w:type="pct"/>
            <w:tcBorders>
              <w:top w:val="nil"/>
              <w:left w:val="nil"/>
              <w:bottom w:val="single" w:sz="4" w:space="0" w:color="auto"/>
              <w:right w:val="single" w:sz="4" w:space="0" w:color="auto"/>
            </w:tcBorders>
            <w:noWrap/>
            <w:vAlign w:val="center"/>
            <w:hideMark/>
          </w:tcPr>
          <w:p w14:paraId="302C382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5,21</w:t>
            </w:r>
          </w:p>
        </w:tc>
        <w:tc>
          <w:tcPr>
            <w:tcW w:w="398" w:type="pct"/>
            <w:tcBorders>
              <w:top w:val="nil"/>
              <w:left w:val="nil"/>
              <w:bottom w:val="single" w:sz="4" w:space="0" w:color="auto"/>
              <w:right w:val="single" w:sz="4" w:space="0" w:color="auto"/>
            </w:tcBorders>
            <w:noWrap/>
            <w:vAlign w:val="center"/>
            <w:hideMark/>
          </w:tcPr>
          <w:p w14:paraId="2B72D86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5,56</w:t>
            </w:r>
          </w:p>
        </w:tc>
        <w:tc>
          <w:tcPr>
            <w:tcW w:w="398" w:type="pct"/>
            <w:tcBorders>
              <w:top w:val="nil"/>
              <w:left w:val="nil"/>
              <w:bottom w:val="single" w:sz="4" w:space="0" w:color="auto"/>
              <w:right w:val="single" w:sz="4" w:space="0" w:color="auto"/>
            </w:tcBorders>
            <w:noWrap/>
            <w:vAlign w:val="center"/>
            <w:hideMark/>
          </w:tcPr>
          <w:p w14:paraId="6FE4D60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2,26</w:t>
            </w:r>
          </w:p>
        </w:tc>
        <w:tc>
          <w:tcPr>
            <w:tcW w:w="286" w:type="pct"/>
            <w:tcBorders>
              <w:top w:val="nil"/>
              <w:left w:val="nil"/>
              <w:bottom w:val="single" w:sz="4" w:space="0" w:color="auto"/>
              <w:right w:val="single" w:sz="4" w:space="0" w:color="auto"/>
            </w:tcBorders>
            <w:noWrap/>
            <w:vAlign w:val="center"/>
            <w:hideMark/>
          </w:tcPr>
          <w:p w14:paraId="38F30ED3" w14:textId="4B96828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04BFC1E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F9C39E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76716B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SKJ</w:t>
            </w:r>
            <w:proofErr w:type="spellEnd"/>
          </w:p>
        </w:tc>
        <w:tc>
          <w:tcPr>
            <w:tcW w:w="452" w:type="pct"/>
            <w:tcBorders>
              <w:top w:val="nil"/>
              <w:left w:val="nil"/>
              <w:bottom w:val="single" w:sz="4" w:space="0" w:color="auto"/>
              <w:right w:val="single" w:sz="4" w:space="0" w:color="auto"/>
            </w:tcBorders>
            <w:noWrap/>
            <w:vAlign w:val="center"/>
            <w:hideMark/>
          </w:tcPr>
          <w:p w14:paraId="68DE0C6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87,18</w:t>
            </w:r>
          </w:p>
        </w:tc>
        <w:tc>
          <w:tcPr>
            <w:tcW w:w="452" w:type="pct"/>
            <w:tcBorders>
              <w:top w:val="nil"/>
              <w:left w:val="nil"/>
              <w:bottom w:val="single" w:sz="4" w:space="0" w:color="auto"/>
              <w:right w:val="single" w:sz="4" w:space="0" w:color="auto"/>
            </w:tcBorders>
            <w:noWrap/>
            <w:vAlign w:val="center"/>
            <w:hideMark/>
          </w:tcPr>
          <w:p w14:paraId="298E49D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137,96</w:t>
            </w:r>
          </w:p>
        </w:tc>
        <w:tc>
          <w:tcPr>
            <w:tcW w:w="452" w:type="pct"/>
            <w:tcBorders>
              <w:top w:val="nil"/>
              <w:left w:val="nil"/>
              <w:bottom w:val="single" w:sz="4" w:space="0" w:color="auto"/>
              <w:right w:val="single" w:sz="4" w:space="0" w:color="auto"/>
            </w:tcBorders>
            <w:noWrap/>
            <w:vAlign w:val="center"/>
            <w:hideMark/>
          </w:tcPr>
          <w:p w14:paraId="52B3C46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141,75</w:t>
            </w:r>
          </w:p>
        </w:tc>
        <w:tc>
          <w:tcPr>
            <w:tcW w:w="398" w:type="pct"/>
            <w:tcBorders>
              <w:top w:val="nil"/>
              <w:left w:val="nil"/>
              <w:bottom w:val="single" w:sz="4" w:space="0" w:color="auto"/>
              <w:right w:val="single" w:sz="4" w:space="0" w:color="auto"/>
            </w:tcBorders>
            <w:noWrap/>
            <w:vAlign w:val="center"/>
            <w:hideMark/>
          </w:tcPr>
          <w:p w14:paraId="55836516" w14:textId="681A9889"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CC9CE8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77,66</w:t>
            </w:r>
          </w:p>
        </w:tc>
        <w:tc>
          <w:tcPr>
            <w:tcW w:w="452" w:type="pct"/>
            <w:tcBorders>
              <w:top w:val="nil"/>
              <w:left w:val="nil"/>
              <w:bottom w:val="single" w:sz="4" w:space="0" w:color="auto"/>
              <w:right w:val="single" w:sz="4" w:space="0" w:color="auto"/>
            </w:tcBorders>
            <w:noWrap/>
            <w:vAlign w:val="center"/>
            <w:hideMark/>
          </w:tcPr>
          <w:p w14:paraId="5504696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44,47</w:t>
            </w:r>
          </w:p>
        </w:tc>
        <w:tc>
          <w:tcPr>
            <w:tcW w:w="398" w:type="pct"/>
            <w:tcBorders>
              <w:top w:val="nil"/>
              <w:left w:val="nil"/>
              <w:bottom w:val="single" w:sz="4" w:space="0" w:color="auto"/>
              <w:right w:val="single" w:sz="4" w:space="0" w:color="auto"/>
            </w:tcBorders>
            <w:noWrap/>
            <w:vAlign w:val="center"/>
            <w:hideMark/>
          </w:tcPr>
          <w:p w14:paraId="254C914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83,30</w:t>
            </w:r>
          </w:p>
        </w:tc>
        <w:tc>
          <w:tcPr>
            <w:tcW w:w="398" w:type="pct"/>
            <w:tcBorders>
              <w:top w:val="nil"/>
              <w:left w:val="nil"/>
              <w:bottom w:val="single" w:sz="4" w:space="0" w:color="auto"/>
              <w:right w:val="single" w:sz="4" w:space="0" w:color="auto"/>
            </w:tcBorders>
            <w:noWrap/>
            <w:vAlign w:val="center"/>
            <w:hideMark/>
          </w:tcPr>
          <w:p w14:paraId="056D0F4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73,42</w:t>
            </w:r>
          </w:p>
        </w:tc>
        <w:tc>
          <w:tcPr>
            <w:tcW w:w="398" w:type="pct"/>
            <w:tcBorders>
              <w:top w:val="nil"/>
              <w:left w:val="nil"/>
              <w:bottom w:val="single" w:sz="4" w:space="0" w:color="auto"/>
              <w:right w:val="single" w:sz="4" w:space="0" w:color="auto"/>
            </w:tcBorders>
            <w:noWrap/>
            <w:vAlign w:val="center"/>
            <w:hideMark/>
          </w:tcPr>
          <w:p w14:paraId="43EF03A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93,83</w:t>
            </w:r>
          </w:p>
        </w:tc>
        <w:tc>
          <w:tcPr>
            <w:tcW w:w="286" w:type="pct"/>
            <w:tcBorders>
              <w:top w:val="nil"/>
              <w:left w:val="nil"/>
              <w:bottom w:val="single" w:sz="4" w:space="0" w:color="auto"/>
              <w:right w:val="single" w:sz="4" w:space="0" w:color="auto"/>
            </w:tcBorders>
            <w:noWrap/>
            <w:vAlign w:val="center"/>
            <w:hideMark/>
          </w:tcPr>
          <w:p w14:paraId="436B4195" w14:textId="5F5AA6A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44C05B2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B7E8D6A"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103F4D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SMA</w:t>
            </w:r>
            <w:proofErr w:type="spellEnd"/>
          </w:p>
        </w:tc>
        <w:tc>
          <w:tcPr>
            <w:tcW w:w="452" w:type="pct"/>
            <w:tcBorders>
              <w:top w:val="nil"/>
              <w:left w:val="nil"/>
              <w:bottom w:val="single" w:sz="4" w:space="0" w:color="auto"/>
              <w:right w:val="single" w:sz="4" w:space="0" w:color="auto"/>
            </w:tcBorders>
            <w:noWrap/>
            <w:vAlign w:val="center"/>
            <w:hideMark/>
          </w:tcPr>
          <w:p w14:paraId="1FD409E9" w14:textId="33B7F0D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48CFF85" w14:textId="329F4D5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0335CEB" w14:textId="24669EE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D8087C6" w14:textId="0FEBDD4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6E5A00E" w14:textId="6694342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23A0CD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0,13</w:t>
            </w:r>
          </w:p>
        </w:tc>
        <w:tc>
          <w:tcPr>
            <w:tcW w:w="398" w:type="pct"/>
            <w:tcBorders>
              <w:top w:val="nil"/>
              <w:left w:val="nil"/>
              <w:bottom w:val="single" w:sz="4" w:space="0" w:color="auto"/>
              <w:right w:val="single" w:sz="4" w:space="0" w:color="auto"/>
            </w:tcBorders>
            <w:noWrap/>
            <w:vAlign w:val="center"/>
            <w:hideMark/>
          </w:tcPr>
          <w:p w14:paraId="180C0A3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1,42</w:t>
            </w:r>
          </w:p>
        </w:tc>
        <w:tc>
          <w:tcPr>
            <w:tcW w:w="398" w:type="pct"/>
            <w:tcBorders>
              <w:top w:val="nil"/>
              <w:left w:val="nil"/>
              <w:bottom w:val="single" w:sz="4" w:space="0" w:color="auto"/>
              <w:right w:val="single" w:sz="4" w:space="0" w:color="auto"/>
            </w:tcBorders>
            <w:noWrap/>
            <w:vAlign w:val="center"/>
            <w:hideMark/>
          </w:tcPr>
          <w:p w14:paraId="20F1E0D0" w14:textId="5EA1635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A4A61CD" w14:textId="706D73D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1296F84D" w14:textId="3201305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7A5F2FF1"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275649F"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CA1FAD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SPF</w:t>
            </w:r>
            <w:proofErr w:type="spellEnd"/>
          </w:p>
        </w:tc>
        <w:tc>
          <w:tcPr>
            <w:tcW w:w="452" w:type="pct"/>
            <w:tcBorders>
              <w:top w:val="nil"/>
              <w:left w:val="nil"/>
              <w:bottom w:val="single" w:sz="4" w:space="0" w:color="auto"/>
              <w:right w:val="single" w:sz="4" w:space="0" w:color="auto"/>
            </w:tcBorders>
            <w:noWrap/>
            <w:vAlign w:val="center"/>
            <w:hideMark/>
          </w:tcPr>
          <w:p w14:paraId="3D218E42" w14:textId="72A8F0A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4B5B46A1" w14:textId="5624BEC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7B1615D" w14:textId="5AB709F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AF0DC37" w14:textId="3B07363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53D02FF" w14:textId="1EB850EC"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50A8C262" w14:textId="20053F4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53609F5" w14:textId="0458926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528EC7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398" w:type="pct"/>
            <w:tcBorders>
              <w:top w:val="nil"/>
              <w:left w:val="nil"/>
              <w:bottom w:val="single" w:sz="4" w:space="0" w:color="auto"/>
              <w:right w:val="single" w:sz="4" w:space="0" w:color="auto"/>
            </w:tcBorders>
            <w:noWrap/>
            <w:vAlign w:val="center"/>
            <w:hideMark/>
          </w:tcPr>
          <w:p w14:paraId="7E04AA2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286" w:type="pct"/>
            <w:tcBorders>
              <w:top w:val="nil"/>
              <w:left w:val="nil"/>
              <w:bottom w:val="single" w:sz="4" w:space="0" w:color="auto"/>
              <w:right w:val="single" w:sz="4" w:space="0" w:color="auto"/>
            </w:tcBorders>
            <w:noWrap/>
            <w:vAlign w:val="center"/>
            <w:hideMark/>
          </w:tcPr>
          <w:p w14:paraId="1400B652" w14:textId="54F65C6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43E987E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0BF2DAF"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3148533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SPK</w:t>
            </w:r>
            <w:proofErr w:type="spellEnd"/>
          </w:p>
        </w:tc>
        <w:tc>
          <w:tcPr>
            <w:tcW w:w="452" w:type="pct"/>
            <w:tcBorders>
              <w:top w:val="nil"/>
              <w:left w:val="nil"/>
              <w:bottom w:val="single" w:sz="4" w:space="0" w:color="auto"/>
              <w:right w:val="single" w:sz="4" w:space="0" w:color="auto"/>
            </w:tcBorders>
            <w:noWrap/>
            <w:vAlign w:val="center"/>
            <w:hideMark/>
          </w:tcPr>
          <w:p w14:paraId="3EAE1BA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1,04</w:t>
            </w:r>
          </w:p>
        </w:tc>
        <w:tc>
          <w:tcPr>
            <w:tcW w:w="452" w:type="pct"/>
            <w:tcBorders>
              <w:top w:val="nil"/>
              <w:left w:val="nil"/>
              <w:bottom w:val="single" w:sz="4" w:space="0" w:color="auto"/>
              <w:right w:val="single" w:sz="4" w:space="0" w:color="auto"/>
            </w:tcBorders>
            <w:noWrap/>
            <w:vAlign w:val="center"/>
            <w:hideMark/>
          </w:tcPr>
          <w:p w14:paraId="3866F2D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0,25</w:t>
            </w:r>
          </w:p>
        </w:tc>
        <w:tc>
          <w:tcPr>
            <w:tcW w:w="452" w:type="pct"/>
            <w:tcBorders>
              <w:top w:val="nil"/>
              <w:left w:val="nil"/>
              <w:bottom w:val="single" w:sz="4" w:space="0" w:color="auto"/>
              <w:right w:val="single" w:sz="4" w:space="0" w:color="auto"/>
            </w:tcBorders>
            <w:noWrap/>
            <w:vAlign w:val="center"/>
            <w:hideMark/>
          </w:tcPr>
          <w:p w14:paraId="607EE58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1,27</w:t>
            </w:r>
          </w:p>
        </w:tc>
        <w:tc>
          <w:tcPr>
            <w:tcW w:w="398" w:type="pct"/>
            <w:tcBorders>
              <w:top w:val="nil"/>
              <w:left w:val="nil"/>
              <w:bottom w:val="single" w:sz="4" w:space="0" w:color="auto"/>
              <w:right w:val="single" w:sz="4" w:space="0" w:color="auto"/>
            </w:tcBorders>
            <w:noWrap/>
            <w:vAlign w:val="center"/>
            <w:hideMark/>
          </w:tcPr>
          <w:p w14:paraId="7F38CB40" w14:textId="0A44B2F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0DA5A93" w14:textId="089280C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3D18AD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0,68</w:t>
            </w:r>
          </w:p>
        </w:tc>
        <w:tc>
          <w:tcPr>
            <w:tcW w:w="398" w:type="pct"/>
            <w:tcBorders>
              <w:top w:val="nil"/>
              <w:left w:val="nil"/>
              <w:bottom w:val="single" w:sz="4" w:space="0" w:color="auto"/>
              <w:right w:val="single" w:sz="4" w:space="0" w:color="auto"/>
            </w:tcBorders>
            <w:noWrap/>
            <w:vAlign w:val="center"/>
            <w:hideMark/>
          </w:tcPr>
          <w:p w14:paraId="68C891A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1,65</w:t>
            </w:r>
          </w:p>
        </w:tc>
        <w:tc>
          <w:tcPr>
            <w:tcW w:w="398" w:type="pct"/>
            <w:tcBorders>
              <w:top w:val="nil"/>
              <w:left w:val="nil"/>
              <w:bottom w:val="single" w:sz="4" w:space="0" w:color="auto"/>
              <w:right w:val="single" w:sz="4" w:space="0" w:color="auto"/>
            </w:tcBorders>
            <w:noWrap/>
            <w:vAlign w:val="center"/>
            <w:hideMark/>
          </w:tcPr>
          <w:p w14:paraId="71899AC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1,30</w:t>
            </w:r>
          </w:p>
        </w:tc>
        <w:tc>
          <w:tcPr>
            <w:tcW w:w="398" w:type="pct"/>
            <w:tcBorders>
              <w:top w:val="nil"/>
              <w:left w:val="nil"/>
              <w:bottom w:val="single" w:sz="4" w:space="0" w:color="auto"/>
              <w:right w:val="single" w:sz="4" w:space="0" w:color="auto"/>
            </w:tcBorders>
            <w:noWrap/>
            <w:vAlign w:val="center"/>
            <w:hideMark/>
          </w:tcPr>
          <w:p w14:paraId="4704751A" w14:textId="7762297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110D3CFE" w14:textId="0BDE247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0E30211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10EB800"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CB5BC1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SPN</w:t>
            </w:r>
            <w:proofErr w:type="spellEnd"/>
          </w:p>
        </w:tc>
        <w:tc>
          <w:tcPr>
            <w:tcW w:w="452" w:type="pct"/>
            <w:tcBorders>
              <w:top w:val="nil"/>
              <w:left w:val="nil"/>
              <w:bottom w:val="single" w:sz="4" w:space="0" w:color="auto"/>
              <w:right w:val="single" w:sz="4" w:space="0" w:color="auto"/>
            </w:tcBorders>
            <w:noWrap/>
            <w:vAlign w:val="center"/>
            <w:hideMark/>
          </w:tcPr>
          <w:p w14:paraId="42FE250F" w14:textId="64296F2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AE094B4" w14:textId="2499EC0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04B59895" w14:textId="4001BA77"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5AB41C7" w14:textId="1D5B37DB"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6074B3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0,25</w:t>
            </w:r>
          </w:p>
        </w:tc>
        <w:tc>
          <w:tcPr>
            <w:tcW w:w="452" w:type="pct"/>
            <w:tcBorders>
              <w:top w:val="nil"/>
              <w:left w:val="nil"/>
              <w:bottom w:val="single" w:sz="4" w:space="0" w:color="auto"/>
              <w:right w:val="single" w:sz="4" w:space="0" w:color="auto"/>
            </w:tcBorders>
            <w:noWrap/>
            <w:vAlign w:val="center"/>
            <w:hideMark/>
          </w:tcPr>
          <w:p w14:paraId="70DDEB66" w14:textId="4F7A911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C9CA783" w14:textId="2C1E0D7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0D2FF04" w14:textId="17F7080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98E1FA8" w14:textId="7AFB320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0C615CC1" w14:textId="11BA452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36AB2A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7726C69"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2BB5D80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SSM</w:t>
            </w:r>
            <w:proofErr w:type="spellEnd"/>
          </w:p>
        </w:tc>
        <w:tc>
          <w:tcPr>
            <w:tcW w:w="452" w:type="pct"/>
            <w:tcBorders>
              <w:top w:val="nil"/>
              <w:left w:val="nil"/>
              <w:bottom w:val="single" w:sz="4" w:space="0" w:color="auto"/>
              <w:right w:val="single" w:sz="4" w:space="0" w:color="auto"/>
            </w:tcBorders>
            <w:noWrap/>
            <w:vAlign w:val="center"/>
            <w:hideMark/>
          </w:tcPr>
          <w:p w14:paraId="7A2E57B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c>
          <w:tcPr>
            <w:tcW w:w="452" w:type="pct"/>
            <w:tcBorders>
              <w:top w:val="nil"/>
              <w:left w:val="nil"/>
              <w:bottom w:val="single" w:sz="4" w:space="0" w:color="auto"/>
              <w:right w:val="single" w:sz="4" w:space="0" w:color="auto"/>
            </w:tcBorders>
            <w:noWrap/>
            <w:vAlign w:val="center"/>
            <w:hideMark/>
          </w:tcPr>
          <w:p w14:paraId="5EE8F8E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0,02</w:t>
            </w:r>
          </w:p>
        </w:tc>
        <w:tc>
          <w:tcPr>
            <w:tcW w:w="452" w:type="pct"/>
            <w:tcBorders>
              <w:top w:val="nil"/>
              <w:left w:val="nil"/>
              <w:bottom w:val="single" w:sz="4" w:space="0" w:color="auto"/>
              <w:right w:val="single" w:sz="4" w:space="0" w:color="auto"/>
            </w:tcBorders>
            <w:noWrap/>
            <w:vAlign w:val="center"/>
            <w:hideMark/>
          </w:tcPr>
          <w:p w14:paraId="2AA0961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0,08</w:t>
            </w:r>
          </w:p>
        </w:tc>
        <w:tc>
          <w:tcPr>
            <w:tcW w:w="398" w:type="pct"/>
            <w:tcBorders>
              <w:top w:val="nil"/>
              <w:left w:val="nil"/>
              <w:bottom w:val="single" w:sz="4" w:space="0" w:color="auto"/>
              <w:right w:val="single" w:sz="4" w:space="0" w:color="auto"/>
            </w:tcBorders>
            <w:noWrap/>
            <w:vAlign w:val="center"/>
            <w:hideMark/>
          </w:tcPr>
          <w:p w14:paraId="6DAB060F" w14:textId="31FCB01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5146A8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0,14</w:t>
            </w:r>
          </w:p>
        </w:tc>
        <w:tc>
          <w:tcPr>
            <w:tcW w:w="452" w:type="pct"/>
            <w:tcBorders>
              <w:top w:val="nil"/>
              <w:left w:val="nil"/>
              <w:bottom w:val="single" w:sz="4" w:space="0" w:color="auto"/>
              <w:right w:val="single" w:sz="4" w:space="0" w:color="auto"/>
            </w:tcBorders>
            <w:noWrap/>
            <w:vAlign w:val="center"/>
            <w:hideMark/>
          </w:tcPr>
          <w:p w14:paraId="0B46B6D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0,01</w:t>
            </w:r>
          </w:p>
        </w:tc>
        <w:tc>
          <w:tcPr>
            <w:tcW w:w="398" w:type="pct"/>
            <w:tcBorders>
              <w:top w:val="nil"/>
              <w:left w:val="nil"/>
              <w:bottom w:val="single" w:sz="4" w:space="0" w:color="auto"/>
              <w:right w:val="single" w:sz="4" w:space="0" w:color="auto"/>
            </w:tcBorders>
            <w:noWrap/>
            <w:vAlign w:val="center"/>
            <w:hideMark/>
          </w:tcPr>
          <w:p w14:paraId="32E1707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0,29</w:t>
            </w:r>
          </w:p>
        </w:tc>
        <w:tc>
          <w:tcPr>
            <w:tcW w:w="398" w:type="pct"/>
            <w:tcBorders>
              <w:top w:val="nil"/>
              <w:left w:val="nil"/>
              <w:bottom w:val="single" w:sz="4" w:space="0" w:color="auto"/>
              <w:right w:val="single" w:sz="4" w:space="0" w:color="auto"/>
            </w:tcBorders>
            <w:noWrap/>
            <w:vAlign w:val="center"/>
            <w:hideMark/>
          </w:tcPr>
          <w:p w14:paraId="0DA4193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0,26</w:t>
            </w:r>
          </w:p>
        </w:tc>
        <w:tc>
          <w:tcPr>
            <w:tcW w:w="398" w:type="pct"/>
            <w:tcBorders>
              <w:top w:val="nil"/>
              <w:left w:val="nil"/>
              <w:bottom w:val="single" w:sz="4" w:space="0" w:color="auto"/>
              <w:right w:val="single" w:sz="4" w:space="0" w:color="auto"/>
            </w:tcBorders>
            <w:noWrap/>
            <w:vAlign w:val="center"/>
            <w:hideMark/>
          </w:tcPr>
          <w:p w14:paraId="6B68FFB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0,09</w:t>
            </w:r>
          </w:p>
        </w:tc>
        <w:tc>
          <w:tcPr>
            <w:tcW w:w="286" w:type="pct"/>
            <w:tcBorders>
              <w:top w:val="nil"/>
              <w:left w:val="nil"/>
              <w:bottom w:val="single" w:sz="4" w:space="0" w:color="auto"/>
              <w:right w:val="single" w:sz="4" w:space="0" w:color="auto"/>
            </w:tcBorders>
            <w:noWrap/>
            <w:vAlign w:val="center"/>
            <w:hideMark/>
          </w:tcPr>
          <w:p w14:paraId="3627F9E9" w14:textId="45FBDC3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0D2DA1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F78F65C"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lastRenderedPageBreak/>
              <w:t> </w:t>
            </w:r>
          </w:p>
        </w:tc>
        <w:tc>
          <w:tcPr>
            <w:tcW w:w="406" w:type="pct"/>
            <w:tcBorders>
              <w:top w:val="nil"/>
              <w:left w:val="nil"/>
              <w:bottom w:val="single" w:sz="4" w:space="0" w:color="auto"/>
              <w:right w:val="single" w:sz="4" w:space="0" w:color="auto"/>
            </w:tcBorders>
            <w:noWrap/>
            <w:vAlign w:val="center"/>
            <w:hideMark/>
          </w:tcPr>
          <w:p w14:paraId="3E9005C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SWO</w:t>
            </w:r>
          </w:p>
        </w:tc>
        <w:tc>
          <w:tcPr>
            <w:tcW w:w="452" w:type="pct"/>
            <w:tcBorders>
              <w:top w:val="nil"/>
              <w:left w:val="nil"/>
              <w:bottom w:val="single" w:sz="4" w:space="0" w:color="auto"/>
              <w:right w:val="single" w:sz="4" w:space="0" w:color="auto"/>
            </w:tcBorders>
            <w:noWrap/>
            <w:vAlign w:val="center"/>
            <w:hideMark/>
          </w:tcPr>
          <w:p w14:paraId="3639B14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0,05</w:t>
            </w:r>
          </w:p>
        </w:tc>
        <w:tc>
          <w:tcPr>
            <w:tcW w:w="452" w:type="pct"/>
            <w:tcBorders>
              <w:top w:val="nil"/>
              <w:left w:val="nil"/>
              <w:bottom w:val="single" w:sz="4" w:space="0" w:color="auto"/>
              <w:right w:val="single" w:sz="4" w:space="0" w:color="auto"/>
            </w:tcBorders>
            <w:noWrap/>
            <w:vAlign w:val="center"/>
            <w:hideMark/>
          </w:tcPr>
          <w:p w14:paraId="5E51D2E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0,05</w:t>
            </w:r>
          </w:p>
        </w:tc>
        <w:tc>
          <w:tcPr>
            <w:tcW w:w="452" w:type="pct"/>
            <w:tcBorders>
              <w:top w:val="nil"/>
              <w:left w:val="nil"/>
              <w:bottom w:val="single" w:sz="4" w:space="0" w:color="auto"/>
              <w:right w:val="single" w:sz="4" w:space="0" w:color="auto"/>
            </w:tcBorders>
            <w:noWrap/>
            <w:vAlign w:val="center"/>
            <w:hideMark/>
          </w:tcPr>
          <w:p w14:paraId="0415661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0,53</w:t>
            </w:r>
          </w:p>
        </w:tc>
        <w:tc>
          <w:tcPr>
            <w:tcW w:w="398" w:type="pct"/>
            <w:tcBorders>
              <w:top w:val="nil"/>
              <w:left w:val="nil"/>
              <w:bottom w:val="single" w:sz="4" w:space="0" w:color="auto"/>
              <w:right w:val="single" w:sz="4" w:space="0" w:color="auto"/>
            </w:tcBorders>
            <w:noWrap/>
            <w:vAlign w:val="center"/>
            <w:hideMark/>
          </w:tcPr>
          <w:p w14:paraId="43F9C589" w14:textId="6A3BE18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01C026B" w14:textId="1646DC3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D95A10F" w14:textId="377A24D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60507C49" w14:textId="63E3E1D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0ABCF36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0,03</w:t>
            </w:r>
          </w:p>
        </w:tc>
        <w:tc>
          <w:tcPr>
            <w:tcW w:w="398" w:type="pct"/>
            <w:tcBorders>
              <w:top w:val="nil"/>
              <w:left w:val="nil"/>
              <w:bottom w:val="single" w:sz="4" w:space="0" w:color="auto"/>
              <w:right w:val="single" w:sz="4" w:space="0" w:color="auto"/>
            </w:tcBorders>
            <w:noWrap/>
            <w:vAlign w:val="center"/>
            <w:hideMark/>
          </w:tcPr>
          <w:p w14:paraId="0DD3A6E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286" w:type="pct"/>
            <w:tcBorders>
              <w:top w:val="nil"/>
              <w:left w:val="nil"/>
              <w:bottom w:val="single" w:sz="4" w:space="0" w:color="auto"/>
              <w:right w:val="single" w:sz="4" w:space="0" w:color="auto"/>
            </w:tcBorders>
            <w:noWrap/>
            <w:vAlign w:val="center"/>
            <w:hideMark/>
          </w:tcPr>
          <w:p w14:paraId="0BB744B0" w14:textId="385B9C2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10FD26C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404BEFB"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451F5FE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THR</w:t>
            </w:r>
            <w:proofErr w:type="spellEnd"/>
          </w:p>
        </w:tc>
        <w:tc>
          <w:tcPr>
            <w:tcW w:w="452" w:type="pct"/>
            <w:tcBorders>
              <w:top w:val="nil"/>
              <w:left w:val="nil"/>
              <w:bottom w:val="single" w:sz="4" w:space="0" w:color="auto"/>
              <w:right w:val="single" w:sz="4" w:space="0" w:color="auto"/>
            </w:tcBorders>
            <w:noWrap/>
            <w:vAlign w:val="center"/>
            <w:hideMark/>
          </w:tcPr>
          <w:p w14:paraId="5FADF328" w14:textId="2D82034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2F563D1E" w14:textId="6FC4410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1A737DD8" w14:textId="56FEECD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BAF880E" w14:textId="0CD13C3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80370F3" w14:textId="5200D03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71121C0" w14:textId="0440C8F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74885D0" w14:textId="44697BCD"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44245D8" w14:textId="1DBF2E6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1D7E3BA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0,32</w:t>
            </w:r>
          </w:p>
        </w:tc>
        <w:tc>
          <w:tcPr>
            <w:tcW w:w="286" w:type="pct"/>
            <w:tcBorders>
              <w:top w:val="nil"/>
              <w:left w:val="nil"/>
              <w:bottom w:val="single" w:sz="4" w:space="0" w:color="auto"/>
              <w:right w:val="single" w:sz="4" w:space="0" w:color="auto"/>
            </w:tcBorders>
            <w:noWrap/>
            <w:vAlign w:val="center"/>
            <w:hideMark/>
          </w:tcPr>
          <w:p w14:paraId="0EC404E9" w14:textId="4A650C5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F3CFC0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AC65D3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6F3D40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TIG</w:t>
            </w:r>
            <w:proofErr w:type="spellEnd"/>
          </w:p>
        </w:tc>
        <w:tc>
          <w:tcPr>
            <w:tcW w:w="452" w:type="pct"/>
            <w:tcBorders>
              <w:top w:val="nil"/>
              <w:left w:val="nil"/>
              <w:bottom w:val="single" w:sz="4" w:space="0" w:color="auto"/>
              <w:right w:val="single" w:sz="4" w:space="0" w:color="auto"/>
            </w:tcBorders>
            <w:noWrap/>
            <w:vAlign w:val="center"/>
            <w:hideMark/>
          </w:tcPr>
          <w:p w14:paraId="531A462B" w14:textId="2196A83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3202C4D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0,43</w:t>
            </w:r>
          </w:p>
        </w:tc>
        <w:tc>
          <w:tcPr>
            <w:tcW w:w="452" w:type="pct"/>
            <w:tcBorders>
              <w:top w:val="nil"/>
              <w:left w:val="nil"/>
              <w:bottom w:val="single" w:sz="4" w:space="0" w:color="auto"/>
              <w:right w:val="single" w:sz="4" w:space="0" w:color="auto"/>
            </w:tcBorders>
            <w:noWrap/>
            <w:vAlign w:val="center"/>
            <w:hideMark/>
          </w:tcPr>
          <w:p w14:paraId="2F46A1E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1,19</w:t>
            </w:r>
          </w:p>
        </w:tc>
        <w:tc>
          <w:tcPr>
            <w:tcW w:w="398" w:type="pct"/>
            <w:tcBorders>
              <w:top w:val="nil"/>
              <w:left w:val="nil"/>
              <w:bottom w:val="single" w:sz="4" w:space="0" w:color="auto"/>
              <w:right w:val="single" w:sz="4" w:space="0" w:color="auto"/>
            </w:tcBorders>
            <w:noWrap/>
            <w:vAlign w:val="center"/>
            <w:hideMark/>
          </w:tcPr>
          <w:p w14:paraId="43BD27E7" w14:textId="2BC10F11"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4AB0A9BA" w14:textId="286BD00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452" w:type="pct"/>
            <w:tcBorders>
              <w:top w:val="nil"/>
              <w:left w:val="nil"/>
              <w:bottom w:val="single" w:sz="4" w:space="0" w:color="auto"/>
              <w:right w:val="single" w:sz="4" w:space="0" w:color="auto"/>
            </w:tcBorders>
            <w:noWrap/>
            <w:vAlign w:val="center"/>
            <w:hideMark/>
          </w:tcPr>
          <w:p w14:paraId="766C121E" w14:textId="4B184FA5"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B000907" w14:textId="7EB4422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B671C66" w14:textId="645A005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7DB93A23" w14:textId="6BCC22A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286" w:type="pct"/>
            <w:tcBorders>
              <w:top w:val="nil"/>
              <w:left w:val="nil"/>
              <w:bottom w:val="single" w:sz="4" w:space="0" w:color="auto"/>
              <w:right w:val="single" w:sz="4" w:space="0" w:color="auto"/>
            </w:tcBorders>
            <w:noWrap/>
            <w:vAlign w:val="center"/>
            <w:hideMark/>
          </w:tcPr>
          <w:p w14:paraId="45F83CB0" w14:textId="115B70F0"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AD66FA6"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19DC5C7"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5CB93B5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TUN</w:t>
            </w:r>
          </w:p>
        </w:tc>
        <w:tc>
          <w:tcPr>
            <w:tcW w:w="452" w:type="pct"/>
            <w:tcBorders>
              <w:top w:val="nil"/>
              <w:left w:val="nil"/>
              <w:bottom w:val="single" w:sz="4" w:space="0" w:color="auto"/>
              <w:right w:val="single" w:sz="4" w:space="0" w:color="auto"/>
            </w:tcBorders>
            <w:noWrap/>
            <w:vAlign w:val="center"/>
            <w:hideMark/>
          </w:tcPr>
          <w:p w14:paraId="4926162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22,66</w:t>
            </w:r>
          </w:p>
        </w:tc>
        <w:tc>
          <w:tcPr>
            <w:tcW w:w="452" w:type="pct"/>
            <w:tcBorders>
              <w:top w:val="nil"/>
              <w:left w:val="nil"/>
              <w:bottom w:val="single" w:sz="4" w:space="0" w:color="auto"/>
              <w:right w:val="single" w:sz="4" w:space="0" w:color="auto"/>
            </w:tcBorders>
            <w:noWrap/>
            <w:vAlign w:val="center"/>
            <w:hideMark/>
          </w:tcPr>
          <w:p w14:paraId="552BB93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15,18</w:t>
            </w:r>
          </w:p>
        </w:tc>
        <w:tc>
          <w:tcPr>
            <w:tcW w:w="452" w:type="pct"/>
            <w:tcBorders>
              <w:top w:val="nil"/>
              <w:left w:val="nil"/>
              <w:bottom w:val="single" w:sz="4" w:space="0" w:color="auto"/>
              <w:right w:val="single" w:sz="4" w:space="0" w:color="auto"/>
            </w:tcBorders>
            <w:noWrap/>
            <w:vAlign w:val="center"/>
            <w:hideMark/>
          </w:tcPr>
          <w:p w14:paraId="096C786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17,28</w:t>
            </w:r>
          </w:p>
        </w:tc>
        <w:tc>
          <w:tcPr>
            <w:tcW w:w="398" w:type="pct"/>
            <w:tcBorders>
              <w:top w:val="nil"/>
              <w:left w:val="nil"/>
              <w:bottom w:val="single" w:sz="4" w:space="0" w:color="auto"/>
              <w:right w:val="single" w:sz="4" w:space="0" w:color="auto"/>
            </w:tcBorders>
            <w:noWrap/>
            <w:vAlign w:val="center"/>
            <w:hideMark/>
          </w:tcPr>
          <w:p w14:paraId="2153B49A" w14:textId="7C08673F"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3443FB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15,60</w:t>
            </w:r>
          </w:p>
        </w:tc>
        <w:tc>
          <w:tcPr>
            <w:tcW w:w="452" w:type="pct"/>
            <w:tcBorders>
              <w:top w:val="nil"/>
              <w:left w:val="nil"/>
              <w:bottom w:val="single" w:sz="4" w:space="0" w:color="auto"/>
              <w:right w:val="single" w:sz="4" w:space="0" w:color="auto"/>
            </w:tcBorders>
            <w:noWrap/>
            <w:vAlign w:val="center"/>
            <w:hideMark/>
          </w:tcPr>
          <w:p w14:paraId="0C4D9CD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7,58</w:t>
            </w:r>
          </w:p>
        </w:tc>
        <w:tc>
          <w:tcPr>
            <w:tcW w:w="398" w:type="pct"/>
            <w:tcBorders>
              <w:top w:val="nil"/>
              <w:left w:val="nil"/>
              <w:bottom w:val="single" w:sz="4" w:space="0" w:color="auto"/>
              <w:right w:val="single" w:sz="4" w:space="0" w:color="auto"/>
            </w:tcBorders>
            <w:noWrap/>
            <w:vAlign w:val="center"/>
            <w:hideMark/>
          </w:tcPr>
          <w:p w14:paraId="1887790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4,54</w:t>
            </w:r>
          </w:p>
        </w:tc>
        <w:tc>
          <w:tcPr>
            <w:tcW w:w="398" w:type="pct"/>
            <w:tcBorders>
              <w:top w:val="nil"/>
              <w:left w:val="nil"/>
              <w:bottom w:val="single" w:sz="4" w:space="0" w:color="auto"/>
              <w:right w:val="single" w:sz="4" w:space="0" w:color="auto"/>
            </w:tcBorders>
            <w:noWrap/>
            <w:vAlign w:val="center"/>
            <w:hideMark/>
          </w:tcPr>
          <w:p w14:paraId="203B5BA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1,79</w:t>
            </w:r>
          </w:p>
        </w:tc>
        <w:tc>
          <w:tcPr>
            <w:tcW w:w="398" w:type="pct"/>
            <w:tcBorders>
              <w:top w:val="nil"/>
              <w:left w:val="nil"/>
              <w:bottom w:val="single" w:sz="4" w:space="0" w:color="auto"/>
              <w:right w:val="single" w:sz="4" w:space="0" w:color="auto"/>
            </w:tcBorders>
            <w:noWrap/>
            <w:vAlign w:val="center"/>
            <w:hideMark/>
          </w:tcPr>
          <w:p w14:paraId="203832D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0,79</w:t>
            </w:r>
          </w:p>
        </w:tc>
        <w:tc>
          <w:tcPr>
            <w:tcW w:w="286" w:type="pct"/>
            <w:tcBorders>
              <w:top w:val="nil"/>
              <w:left w:val="nil"/>
              <w:bottom w:val="single" w:sz="4" w:space="0" w:color="auto"/>
              <w:right w:val="single" w:sz="4" w:space="0" w:color="auto"/>
            </w:tcBorders>
            <w:noWrap/>
            <w:vAlign w:val="center"/>
            <w:hideMark/>
          </w:tcPr>
          <w:p w14:paraId="27044BA3" w14:textId="696DE7B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EC484C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F861F6D"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177076A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WAH</w:t>
            </w:r>
            <w:proofErr w:type="spellEnd"/>
          </w:p>
        </w:tc>
        <w:tc>
          <w:tcPr>
            <w:tcW w:w="452" w:type="pct"/>
            <w:tcBorders>
              <w:top w:val="nil"/>
              <w:left w:val="nil"/>
              <w:bottom w:val="single" w:sz="4" w:space="0" w:color="auto"/>
              <w:right w:val="single" w:sz="4" w:space="0" w:color="auto"/>
            </w:tcBorders>
            <w:noWrap/>
            <w:vAlign w:val="center"/>
            <w:hideMark/>
          </w:tcPr>
          <w:p w14:paraId="5083FD1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86,96</w:t>
            </w:r>
          </w:p>
        </w:tc>
        <w:tc>
          <w:tcPr>
            <w:tcW w:w="452" w:type="pct"/>
            <w:tcBorders>
              <w:top w:val="nil"/>
              <w:left w:val="nil"/>
              <w:bottom w:val="single" w:sz="4" w:space="0" w:color="auto"/>
              <w:right w:val="single" w:sz="4" w:space="0" w:color="auto"/>
            </w:tcBorders>
            <w:noWrap/>
            <w:vAlign w:val="center"/>
            <w:hideMark/>
          </w:tcPr>
          <w:p w14:paraId="729240B0"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146,59</w:t>
            </w:r>
          </w:p>
        </w:tc>
        <w:tc>
          <w:tcPr>
            <w:tcW w:w="452" w:type="pct"/>
            <w:tcBorders>
              <w:top w:val="nil"/>
              <w:left w:val="nil"/>
              <w:bottom w:val="single" w:sz="4" w:space="0" w:color="auto"/>
              <w:right w:val="single" w:sz="4" w:space="0" w:color="auto"/>
            </w:tcBorders>
            <w:noWrap/>
            <w:vAlign w:val="center"/>
            <w:hideMark/>
          </w:tcPr>
          <w:p w14:paraId="6FC8832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109,78</w:t>
            </w:r>
          </w:p>
        </w:tc>
        <w:tc>
          <w:tcPr>
            <w:tcW w:w="398" w:type="pct"/>
            <w:tcBorders>
              <w:top w:val="nil"/>
              <w:left w:val="nil"/>
              <w:bottom w:val="single" w:sz="4" w:space="0" w:color="auto"/>
              <w:right w:val="single" w:sz="4" w:space="0" w:color="auto"/>
            </w:tcBorders>
            <w:noWrap/>
            <w:vAlign w:val="center"/>
            <w:hideMark/>
          </w:tcPr>
          <w:p w14:paraId="7A5BE8CC" w14:textId="385EBC22"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32FEC98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126,64</w:t>
            </w:r>
          </w:p>
        </w:tc>
        <w:tc>
          <w:tcPr>
            <w:tcW w:w="452" w:type="pct"/>
            <w:tcBorders>
              <w:top w:val="nil"/>
              <w:left w:val="nil"/>
              <w:bottom w:val="single" w:sz="4" w:space="0" w:color="auto"/>
              <w:right w:val="single" w:sz="4" w:space="0" w:color="auto"/>
            </w:tcBorders>
            <w:noWrap/>
            <w:vAlign w:val="center"/>
            <w:hideMark/>
          </w:tcPr>
          <w:p w14:paraId="73861DC7"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69,94</w:t>
            </w:r>
          </w:p>
        </w:tc>
        <w:tc>
          <w:tcPr>
            <w:tcW w:w="398" w:type="pct"/>
            <w:tcBorders>
              <w:top w:val="nil"/>
              <w:left w:val="nil"/>
              <w:bottom w:val="single" w:sz="4" w:space="0" w:color="auto"/>
              <w:right w:val="single" w:sz="4" w:space="0" w:color="auto"/>
            </w:tcBorders>
            <w:noWrap/>
            <w:vAlign w:val="center"/>
            <w:hideMark/>
          </w:tcPr>
          <w:p w14:paraId="7B313E0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76,96</w:t>
            </w:r>
          </w:p>
        </w:tc>
        <w:tc>
          <w:tcPr>
            <w:tcW w:w="398" w:type="pct"/>
            <w:tcBorders>
              <w:top w:val="nil"/>
              <w:left w:val="nil"/>
              <w:bottom w:val="single" w:sz="4" w:space="0" w:color="auto"/>
              <w:right w:val="single" w:sz="4" w:space="0" w:color="auto"/>
            </w:tcBorders>
            <w:noWrap/>
            <w:vAlign w:val="center"/>
            <w:hideMark/>
          </w:tcPr>
          <w:p w14:paraId="2B263BC9"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70,81</w:t>
            </w:r>
          </w:p>
        </w:tc>
        <w:tc>
          <w:tcPr>
            <w:tcW w:w="398" w:type="pct"/>
            <w:tcBorders>
              <w:top w:val="nil"/>
              <w:left w:val="nil"/>
              <w:bottom w:val="single" w:sz="4" w:space="0" w:color="auto"/>
              <w:right w:val="single" w:sz="4" w:space="0" w:color="auto"/>
            </w:tcBorders>
            <w:noWrap/>
            <w:vAlign w:val="center"/>
            <w:hideMark/>
          </w:tcPr>
          <w:p w14:paraId="74D0575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58,14</w:t>
            </w:r>
          </w:p>
        </w:tc>
        <w:tc>
          <w:tcPr>
            <w:tcW w:w="286" w:type="pct"/>
            <w:tcBorders>
              <w:top w:val="nil"/>
              <w:left w:val="nil"/>
              <w:bottom w:val="single" w:sz="4" w:space="0" w:color="auto"/>
              <w:right w:val="single" w:sz="4" w:space="0" w:color="auto"/>
            </w:tcBorders>
            <w:noWrap/>
            <w:vAlign w:val="center"/>
            <w:hideMark/>
          </w:tcPr>
          <w:p w14:paraId="77B4D10B" w14:textId="256432BA"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50F7BFA0"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427F61C"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0C193BDC"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proofErr w:type="spellStart"/>
            <w:r w:rsidRPr="00460297">
              <w:rPr>
                <w:rFonts w:ascii="Cambria" w:hAnsi="Cambria"/>
                <w:color w:val="000000"/>
                <w:sz w:val="18"/>
              </w:rPr>
              <w:t>WHM</w:t>
            </w:r>
            <w:proofErr w:type="spellEnd"/>
          </w:p>
        </w:tc>
        <w:tc>
          <w:tcPr>
            <w:tcW w:w="452" w:type="pct"/>
            <w:tcBorders>
              <w:top w:val="nil"/>
              <w:left w:val="nil"/>
              <w:bottom w:val="single" w:sz="4" w:space="0" w:color="auto"/>
              <w:right w:val="single" w:sz="4" w:space="0" w:color="auto"/>
            </w:tcBorders>
            <w:noWrap/>
            <w:vAlign w:val="center"/>
            <w:hideMark/>
          </w:tcPr>
          <w:p w14:paraId="3F1A166D"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0,52</w:t>
            </w:r>
          </w:p>
        </w:tc>
        <w:tc>
          <w:tcPr>
            <w:tcW w:w="452" w:type="pct"/>
            <w:tcBorders>
              <w:top w:val="nil"/>
              <w:left w:val="nil"/>
              <w:bottom w:val="single" w:sz="4" w:space="0" w:color="auto"/>
              <w:right w:val="single" w:sz="4" w:space="0" w:color="auto"/>
            </w:tcBorders>
            <w:noWrap/>
            <w:vAlign w:val="center"/>
            <w:hideMark/>
          </w:tcPr>
          <w:p w14:paraId="66DB3394"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0,47</w:t>
            </w:r>
          </w:p>
        </w:tc>
        <w:tc>
          <w:tcPr>
            <w:tcW w:w="452" w:type="pct"/>
            <w:tcBorders>
              <w:top w:val="nil"/>
              <w:left w:val="nil"/>
              <w:bottom w:val="single" w:sz="4" w:space="0" w:color="auto"/>
              <w:right w:val="single" w:sz="4" w:space="0" w:color="auto"/>
            </w:tcBorders>
            <w:noWrap/>
            <w:vAlign w:val="center"/>
            <w:hideMark/>
          </w:tcPr>
          <w:p w14:paraId="0256A8C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0,97</w:t>
            </w:r>
          </w:p>
        </w:tc>
        <w:tc>
          <w:tcPr>
            <w:tcW w:w="398" w:type="pct"/>
            <w:tcBorders>
              <w:top w:val="nil"/>
              <w:left w:val="nil"/>
              <w:bottom w:val="single" w:sz="4" w:space="0" w:color="auto"/>
              <w:right w:val="single" w:sz="4" w:space="0" w:color="auto"/>
            </w:tcBorders>
            <w:noWrap/>
            <w:vAlign w:val="center"/>
            <w:hideMark/>
          </w:tcPr>
          <w:p w14:paraId="5194D4D8" w14:textId="0FFAE343"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5B64F6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0,15</w:t>
            </w:r>
          </w:p>
        </w:tc>
        <w:tc>
          <w:tcPr>
            <w:tcW w:w="452" w:type="pct"/>
            <w:tcBorders>
              <w:top w:val="nil"/>
              <w:left w:val="nil"/>
              <w:bottom w:val="single" w:sz="4" w:space="0" w:color="auto"/>
              <w:right w:val="single" w:sz="4" w:space="0" w:color="auto"/>
            </w:tcBorders>
            <w:noWrap/>
            <w:vAlign w:val="center"/>
            <w:hideMark/>
          </w:tcPr>
          <w:p w14:paraId="4E118A65"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0,55</w:t>
            </w:r>
          </w:p>
        </w:tc>
        <w:tc>
          <w:tcPr>
            <w:tcW w:w="398" w:type="pct"/>
            <w:tcBorders>
              <w:top w:val="nil"/>
              <w:left w:val="nil"/>
              <w:bottom w:val="single" w:sz="4" w:space="0" w:color="auto"/>
              <w:right w:val="single" w:sz="4" w:space="0" w:color="auto"/>
            </w:tcBorders>
            <w:noWrap/>
            <w:vAlign w:val="center"/>
            <w:hideMark/>
          </w:tcPr>
          <w:p w14:paraId="11F72C52" w14:textId="26ED4514"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526C0148"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0,14</w:t>
            </w:r>
          </w:p>
        </w:tc>
        <w:tc>
          <w:tcPr>
            <w:tcW w:w="398" w:type="pct"/>
            <w:tcBorders>
              <w:top w:val="nil"/>
              <w:left w:val="nil"/>
              <w:bottom w:val="single" w:sz="4" w:space="0" w:color="auto"/>
              <w:right w:val="single" w:sz="4" w:space="0" w:color="auto"/>
            </w:tcBorders>
            <w:noWrap/>
            <w:vAlign w:val="center"/>
            <w:hideMark/>
          </w:tcPr>
          <w:p w14:paraId="147A098A"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0,00</w:t>
            </w:r>
          </w:p>
        </w:tc>
        <w:tc>
          <w:tcPr>
            <w:tcW w:w="286" w:type="pct"/>
            <w:tcBorders>
              <w:top w:val="nil"/>
              <w:left w:val="nil"/>
              <w:bottom w:val="single" w:sz="4" w:space="0" w:color="auto"/>
              <w:right w:val="single" w:sz="4" w:space="0" w:color="auto"/>
            </w:tcBorders>
            <w:noWrap/>
            <w:vAlign w:val="center"/>
            <w:hideMark/>
          </w:tcPr>
          <w:p w14:paraId="28CCB991" w14:textId="777FCB88"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086131" w:rsidRPr="00460297" w14:paraId="6568EB5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B7F2FB2" w14:textId="77777777" w:rsidR="0025576A" w:rsidRPr="00460297" w:rsidRDefault="0025576A" w:rsidP="002B0E38">
            <w:pPr>
              <w:spacing w:after="0" w:line="240" w:lineRule="auto"/>
              <w:rPr>
                <w:rFonts w:ascii="Cambria" w:eastAsia="Times New Roman" w:hAnsi="Cambria" w:cs="Times New Roman"/>
                <w:b/>
                <w:bCs/>
                <w:color w:val="000000"/>
                <w:sz w:val="20"/>
                <w:szCs w:val="20"/>
              </w:rPr>
            </w:pPr>
            <w:r w:rsidRPr="00460297">
              <w:rPr>
                <w:rFonts w:ascii="Cambria" w:hAnsi="Cambria"/>
                <w:b/>
                <w:color w:val="000000"/>
                <w:sz w:val="20"/>
              </w:rPr>
              <w:t> </w:t>
            </w:r>
          </w:p>
        </w:tc>
        <w:tc>
          <w:tcPr>
            <w:tcW w:w="406" w:type="pct"/>
            <w:tcBorders>
              <w:top w:val="nil"/>
              <w:left w:val="nil"/>
              <w:bottom w:val="single" w:sz="4" w:space="0" w:color="auto"/>
              <w:right w:val="single" w:sz="4" w:space="0" w:color="auto"/>
            </w:tcBorders>
            <w:noWrap/>
            <w:vAlign w:val="center"/>
            <w:hideMark/>
          </w:tcPr>
          <w:p w14:paraId="69559FF2"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YFT</w:t>
            </w:r>
          </w:p>
        </w:tc>
        <w:tc>
          <w:tcPr>
            <w:tcW w:w="452" w:type="pct"/>
            <w:tcBorders>
              <w:top w:val="nil"/>
              <w:left w:val="nil"/>
              <w:bottom w:val="single" w:sz="4" w:space="0" w:color="auto"/>
              <w:right w:val="single" w:sz="4" w:space="0" w:color="auto"/>
            </w:tcBorders>
            <w:noWrap/>
            <w:vAlign w:val="center"/>
            <w:hideMark/>
          </w:tcPr>
          <w:p w14:paraId="14E5F06B"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174,64</w:t>
            </w:r>
          </w:p>
        </w:tc>
        <w:tc>
          <w:tcPr>
            <w:tcW w:w="452" w:type="pct"/>
            <w:tcBorders>
              <w:top w:val="nil"/>
              <w:left w:val="nil"/>
              <w:bottom w:val="single" w:sz="4" w:space="0" w:color="auto"/>
              <w:right w:val="single" w:sz="4" w:space="0" w:color="auto"/>
            </w:tcBorders>
            <w:noWrap/>
            <w:vAlign w:val="center"/>
            <w:hideMark/>
          </w:tcPr>
          <w:p w14:paraId="5444E2C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190,88</w:t>
            </w:r>
          </w:p>
        </w:tc>
        <w:tc>
          <w:tcPr>
            <w:tcW w:w="452" w:type="pct"/>
            <w:tcBorders>
              <w:top w:val="nil"/>
              <w:left w:val="nil"/>
              <w:bottom w:val="single" w:sz="4" w:space="0" w:color="auto"/>
              <w:right w:val="single" w:sz="4" w:space="0" w:color="auto"/>
            </w:tcBorders>
            <w:noWrap/>
            <w:vAlign w:val="center"/>
            <w:hideMark/>
          </w:tcPr>
          <w:p w14:paraId="71BBF48E"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232,19</w:t>
            </w:r>
          </w:p>
        </w:tc>
        <w:tc>
          <w:tcPr>
            <w:tcW w:w="398" w:type="pct"/>
            <w:tcBorders>
              <w:top w:val="nil"/>
              <w:left w:val="nil"/>
              <w:bottom w:val="single" w:sz="4" w:space="0" w:color="auto"/>
              <w:right w:val="single" w:sz="4" w:space="0" w:color="auto"/>
            </w:tcBorders>
            <w:noWrap/>
            <w:vAlign w:val="center"/>
            <w:hideMark/>
          </w:tcPr>
          <w:p w14:paraId="52A1E1BF" w14:textId="7CB0143E"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c>
          <w:tcPr>
            <w:tcW w:w="398" w:type="pct"/>
            <w:tcBorders>
              <w:top w:val="nil"/>
              <w:left w:val="nil"/>
              <w:bottom w:val="single" w:sz="4" w:space="0" w:color="auto"/>
              <w:right w:val="single" w:sz="4" w:space="0" w:color="auto"/>
            </w:tcBorders>
            <w:noWrap/>
            <w:vAlign w:val="center"/>
            <w:hideMark/>
          </w:tcPr>
          <w:p w14:paraId="275E4776"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171,85</w:t>
            </w:r>
          </w:p>
        </w:tc>
        <w:tc>
          <w:tcPr>
            <w:tcW w:w="452" w:type="pct"/>
            <w:tcBorders>
              <w:top w:val="nil"/>
              <w:left w:val="nil"/>
              <w:bottom w:val="single" w:sz="4" w:space="0" w:color="auto"/>
              <w:right w:val="single" w:sz="4" w:space="0" w:color="auto"/>
            </w:tcBorders>
            <w:noWrap/>
            <w:vAlign w:val="center"/>
            <w:hideMark/>
          </w:tcPr>
          <w:p w14:paraId="66E842F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189,54</w:t>
            </w:r>
          </w:p>
        </w:tc>
        <w:tc>
          <w:tcPr>
            <w:tcW w:w="398" w:type="pct"/>
            <w:tcBorders>
              <w:top w:val="nil"/>
              <w:left w:val="nil"/>
              <w:bottom w:val="single" w:sz="4" w:space="0" w:color="auto"/>
              <w:right w:val="single" w:sz="4" w:space="0" w:color="auto"/>
            </w:tcBorders>
            <w:noWrap/>
            <w:vAlign w:val="center"/>
            <w:hideMark/>
          </w:tcPr>
          <w:p w14:paraId="775F1543"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156,28</w:t>
            </w:r>
          </w:p>
        </w:tc>
        <w:tc>
          <w:tcPr>
            <w:tcW w:w="398" w:type="pct"/>
            <w:tcBorders>
              <w:top w:val="nil"/>
              <w:left w:val="nil"/>
              <w:bottom w:val="single" w:sz="4" w:space="0" w:color="auto"/>
              <w:right w:val="single" w:sz="4" w:space="0" w:color="auto"/>
            </w:tcBorders>
            <w:noWrap/>
            <w:vAlign w:val="center"/>
            <w:hideMark/>
          </w:tcPr>
          <w:p w14:paraId="15BFA95F"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173,80</w:t>
            </w:r>
          </w:p>
        </w:tc>
        <w:tc>
          <w:tcPr>
            <w:tcW w:w="398" w:type="pct"/>
            <w:tcBorders>
              <w:top w:val="nil"/>
              <w:left w:val="nil"/>
              <w:bottom w:val="single" w:sz="4" w:space="0" w:color="auto"/>
              <w:right w:val="single" w:sz="4" w:space="0" w:color="auto"/>
            </w:tcBorders>
            <w:noWrap/>
            <w:vAlign w:val="center"/>
            <w:hideMark/>
          </w:tcPr>
          <w:p w14:paraId="74D16911" w14:textId="77777777" w:rsidR="0025576A" w:rsidRPr="00460297" w:rsidRDefault="0025576A" w:rsidP="00086131">
            <w:pPr>
              <w:spacing w:after="0" w:line="240" w:lineRule="auto"/>
              <w:jc w:val="center"/>
              <w:rPr>
                <w:rFonts w:ascii="Cambria" w:eastAsia="Times New Roman" w:hAnsi="Cambria" w:cs="Times New Roman"/>
                <w:color w:val="000000"/>
                <w:sz w:val="18"/>
                <w:szCs w:val="18"/>
              </w:rPr>
            </w:pPr>
            <w:r w:rsidRPr="00460297">
              <w:rPr>
                <w:rFonts w:ascii="Cambria" w:hAnsi="Cambria"/>
                <w:color w:val="000000"/>
                <w:sz w:val="18"/>
              </w:rPr>
              <w:t>156,11</w:t>
            </w:r>
          </w:p>
        </w:tc>
        <w:tc>
          <w:tcPr>
            <w:tcW w:w="286" w:type="pct"/>
            <w:tcBorders>
              <w:top w:val="nil"/>
              <w:left w:val="nil"/>
              <w:bottom w:val="single" w:sz="4" w:space="0" w:color="auto"/>
              <w:right w:val="single" w:sz="4" w:space="0" w:color="auto"/>
            </w:tcBorders>
            <w:noWrap/>
            <w:vAlign w:val="center"/>
            <w:hideMark/>
          </w:tcPr>
          <w:p w14:paraId="20B89CED" w14:textId="0A0587D6" w:rsidR="0025576A" w:rsidRPr="00460297" w:rsidRDefault="0025576A" w:rsidP="00086131">
            <w:pPr>
              <w:spacing w:after="0" w:line="240" w:lineRule="auto"/>
              <w:jc w:val="center"/>
              <w:rPr>
                <w:rFonts w:ascii="Cambria" w:eastAsia="Times New Roman" w:hAnsi="Cambria" w:cs="Times New Roman"/>
                <w:color w:val="000000"/>
                <w:sz w:val="18"/>
                <w:szCs w:val="18"/>
                <w:lang w:eastAsia="en-GB"/>
              </w:rPr>
            </w:pPr>
          </w:p>
        </w:tc>
      </w:tr>
      <w:tr w:rsidR="002B0E38" w:rsidRPr="00460297" w14:paraId="6A508B91" w14:textId="77777777" w:rsidTr="00086131">
        <w:trPr>
          <w:trHeight w:val="255"/>
        </w:trPr>
        <w:tc>
          <w:tcPr>
            <w:tcW w:w="915" w:type="pct"/>
            <w:gridSpan w:val="2"/>
            <w:tcBorders>
              <w:top w:val="single" w:sz="4" w:space="0" w:color="auto"/>
              <w:left w:val="single" w:sz="4" w:space="0" w:color="auto"/>
              <w:bottom w:val="single" w:sz="4" w:space="0" w:color="auto"/>
              <w:right w:val="single" w:sz="4" w:space="0" w:color="000000"/>
            </w:tcBorders>
            <w:noWrap/>
            <w:vAlign w:val="center"/>
            <w:hideMark/>
          </w:tcPr>
          <w:p w14:paraId="051A42A1"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TOTAL</w:t>
            </w:r>
          </w:p>
        </w:tc>
        <w:tc>
          <w:tcPr>
            <w:tcW w:w="452" w:type="pct"/>
            <w:tcBorders>
              <w:top w:val="nil"/>
              <w:left w:val="nil"/>
              <w:bottom w:val="single" w:sz="4" w:space="0" w:color="auto"/>
              <w:right w:val="single" w:sz="4" w:space="0" w:color="auto"/>
            </w:tcBorders>
            <w:noWrap/>
            <w:vAlign w:val="center"/>
            <w:hideMark/>
          </w:tcPr>
          <w:p w14:paraId="5B7AC6EB"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1753,91</w:t>
            </w:r>
          </w:p>
        </w:tc>
        <w:tc>
          <w:tcPr>
            <w:tcW w:w="452" w:type="pct"/>
            <w:tcBorders>
              <w:top w:val="nil"/>
              <w:left w:val="nil"/>
              <w:bottom w:val="single" w:sz="4" w:space="0" w:color="auto"/>
              <w:right w:val="single" w:sz="4" w:space="0" w:color="auto"/>
            </w:tcBorders>
            <w:noWrap/>
            <w:vAlign w:val="center"/>
            <w:hideMark/>
          </w:tcPr>
          <w:p w14:paraId="102E1A90"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1847,40</w:t>
            </w:r>
          </w:p>
        </w:tc>
        <w:tc>
          <w:tcPr>
            <w:tcW w:w="452" w:type="pct"/>
            <w:tcBorders>
              <w:top w:val="nil"/>
              <w:left w:val="nil"/>
              <w:bottom w:val="single" w:sz="4" w:space="0" w:color="auto"/>
              <w:right w:val="single" w:sz="4" w:space="0" w:color="auto"/>
            </w:tcBorders>
            <w:noWrap/>
            <w:vAlign w:val="center"/>
            <w:hideMark/>
          </w:tcPr>
          <w:p w14:paraId="53BDBD16"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1919,23</w:t>
            </w:r>
          </w:p>
        </w:tc>
        <w:tc>
          <w:tcPr>
            <w:tcW w:w="398" w:type="pct"/>
            <w:tcBorders>
              <w:top w:val="nil"/>
              <w:left w:val="nil"/>
              <w:bottom w:val="single" w:sz="4" w:space="0" w:color="auto"/>
              <w:right w:val="single" w:sz="4" w:space="0" w:color="auto"/>
            </w:tcBorders>
            <w:noWrap/>
            <w:vAlign w:val="center"/>
            <w:hideMark/>
          </w:tcPr>
          <w:p w14:paraId="310BC65E"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385,84</w:t>
            </w:r>
          </w:p>
        </w:tc>
        <w:tc>
          <w:tcPr>
            <w:tcW w:w="398" w:type="pct"/>
            <w:tcBorders>
              <w:top w:val="nil"/>
              <w:left w:val="nil"/>
              <w:bottom w:val="single" w:sz="4" w:space="0" w:color="auto"/>
              <w:right w:val="single" w:sz="4" w:space="0" w:color="auto"/>
            </w:tcBorders>
            <w:noWrap/>
            <w:vAlign w:val="center"/>
            <w:hideMark/>
          </w:tcPr>
          <w:p w14:paraId="2BC5C1AB"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998,76</w:t>
            </w:r>
          </w:p>
        </w:tc>
        <w:tc>
          <w:tcPr>
            <w:tcW w:w="452" w:type="pct"/>
            <w:tcBorders>
              <w:top w:val="nil"/>
              <w:left w:val="nil"/>
              <w:bottom w:val="single" w:sz="4" w:space="0" w:color="auto"/>
              <w:right w:val="single" w:sz="4" w:space="0" w:color="auto"/>
            </w:tcBorders>
            <w:noWrap/>
            <w:vAlign w:val="center"/>
            <w:hideMark/>
          </w:tcPr>
          <w:p w14:paraId="5CA37577"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1304,99</w:t>
            </w:r>
          </w:p>
        </w:tc>
        <w:tc>
          <w:tcPr>
            <w:tcW w:w="398" w:type="pct"/>
            <w:tcBorders>
              <w:top w:val="nil"/>
              <w:left w:val="nil"/>
              <w:bottom w:val="single" w:sz="4" w:space="0" w:color="auto"/>
              <w:right w:val="single" w:sz="4" w:space="0" w:color="auto"/>
            </w:tcBorders>
            <w:noWrap/>
            <w:vAlign w:val="center"/>
            <w:hideMark/>
          </w:tcPr>
          <w:p w14:paraId="05DE46DA"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766,19</w:t>
            </w:r>
          </w:p>
        </w:tc>
        <w:tc>
          <w:tcPr>
            <w:tcW w:w="398" w:type="pct"/>
            <w:tcBorders>
              <w:top w:val="nil"/>
              <w:left w:val="nil"/>
              <w:bottom w:val="single" w:sz="4" w:space="0" w:color="auto"/>
              <w:right w:val="single" w:sz="4" w:space="0" w:color="auto"/>
            </w:tcBorders>
            <w:noWrap/>
            <w:vAlign w:val="center"/>
            <w:hideMark/>
          </w:tcPr>
          <w:p w14:paraId="3B50CCE5"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805,99</w:t>
            </w:r>
          </w:p>
        </w:tc>
        <w:tc>
          <w:tcPr>
            <w:tcW w:w="398" w:type="pct"/>
            <w:tcBorders>
              <w:top w:val="nil"/>
              <w:left w:val="nil"/>
              <w:bottom w:val="single" w:sz="4" w:space="0" w:color="auto"/>
              <w:right w:val="single" w:sz="4" w:space="0" w:color="auto"/>
            </w:tcBorders>
            <w:noWrap/>
            <w:vAlign w:val="center"/>
            <w:hideMark/>
          </w:tcPr>
          <w:p w14:paraId="25D153C5"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643,18</w:t>
            </w:r>
          </w:p>
        </w:tc>
        <w:tc>
          <w:tcPr>
            <w:tcW w:w="286" w:type="pct"/>
            <w:tcBorders>
              <w:top w:val="nil"/>
              <w:left w:val="nil"/>
              <w:bottom w:val="single" w:sz="4" w:space="0" w:color="auto"/>
              <w:right w:val="single" w:sz="4" w:space="0" w:color="auto"/>
            </w:tcBorders>
            <w:noWrap/>
            <w:vAlign w:val="center"/>
            <w:hideMark/>
          </w:tcPr>
          <w:p w14:paraId="6A877997" w14:textId="77777777" w:rsidR="0025576A" w:rsidRPr="00460297" w:rsidRDefault="0025576A" w:rsidP="00086131">
            <w:pPr>
              <w:spacing w:after="0" w:line="240" w:lineRule="auto"/>
              <w:jc w:val="center"/>
              <w:rPr>
                <w:rFonts w:ascii="Cambria" w:eastAsia="Times New Roman" w:hAnsi="Cambria" w:cs="Times New Roman"/>
                <w:b/>
                <w:bCs/>
                <w:color w:val="000000"/>
                <w:sz w:val="16"/>
                <w:szCs w:val="16"/>
              </w:rPr>
            </w:pPr>
            <w:r w:rsidRPr="00460297">
              <w:rPr>
                <w:rFonts w:ascii="Cambria" w:hAnsi="Cambria"/>
                <w:b/>
                <w:color w:val="000000"/>
                <w:sz w:val="16"/>
              </w:rPr>
              <w:t>291,04</w:t>
            </w:r>
          </w:p>
        </w:tc>
      </w:tr>
    </w:tbl>
    <w:p w14:paraId="031EC68E" w14:textId="77777777" w:rsidR="00324E62" w:rsidRPr="00460297" w:rsidRDefault="00324E62" w:rsidP="002B0E38">
      <w:pPr>
        <w:spacing w:after="0" w:line="240" w:lineRule="auto"/>
        <w:jc w:val="both"/>
        <w:rPr>
          <w:rFonts w:ascii="Cambria" w:hAnsi="Cambria"/>
          <w:sz w:val="20"/>
          <w:szCs w:val="20"/>
        </w:rPr>
        <w:sectPr w:rsidR="00324E62" w:rsidRPr="00460297" w:rsidSect="00324E62">
          <w:pgSz w:w="16838" w:h="11906" w:orient="landscape" w:code="9"/>
          <w:pgMar w:top="1418" w:right="1418" w:bottom="1418" w:left="1418" w:header="851" w:footer="1134" w:gutter="0"/>
          <w:cols w:space="708"/>
          <w:docGrid w:linePitch="360"/>
        </w:sectPr>
      </w:pPr>
    </w:p>
    <w:p w14:paraId="0CDA10EF" w14:textId="270B3E10" w:rsidR="00310709" w:rsidRPr="00460297" w:rsidRDefault="00310709" w:rsidP="002B0E38">
      <w:pPr>
        <w:spacing w:after="0" w:line="240" w:lineRule="auto"/>
        <w:jc w:val="both"/>
        <w:rPr>
          <w:rFonts w:ascii="Cambria" w:eastAsia="Calibri" w:hAnsi="Cambria" w:cs="Times New Roman"/>
          <w:sz w:val="20"/>
          <w:szCs w:val="20"/>
        </w:rPr>
      </w:pPr>
      <w:r w:rsidRPr="00460297">
        <w:rPr>
          <w:rFonts w:ascii="Cambria" w:hAnsi="Cambria"/>
          <w:b/>
          <w:sz w:val="20"/>
        </w:rPr>
        <w:lastRenderedPageBreak/>
        <w:t>Tabla 2.</w:t>
      </w:r>
      <w:r w:rsidRPr="00460297">
        <w:rPr>
          <w:rFonts w:ascii="Cambria" w:hAnsi="Cambria"/>
          <w:sz w:val="20"/>
        </w:rPr>
        <w:t xml:space="preserve"> </w:t>
      </w:r>
      <w:bookmarkStart w:id="9" w:name="_Hlk179982473"/>
      <w:r w:rsidRPr="00460297">
        <w:rPr>
          <w:rFonts w:ascii="Cambria" w:hAnsi="Cambria"/>
          <w:sz w:val="20"/>
        </w:rPr>
        <w:t xml:space="preserve">Número de buques registrados (total, activos, inactivos, no operativos) por CPC de pabellón y número de </w:t>
      </w:r>
      <w:r w:rsidR="000720F5" w:rsidRPr="00460297">
        <w:rPr>
          <w:rFonts w:ascii="Cambria" w:hAnsi="Cambria"/>
          <w:sz w:val="20"/>
        </w:rPr>
        <w:t xml:space="preserve">buques autorizados </w:t>
      </w:r>
      <w:r w:rsidRPr="00460297">
        <w:rPr>
          <w:rFonts w:ascii="Cambria" w:hAnsi="Cambria"/>
          <w:sz w:val="20"/>
        </w:rPr>
        <w:t>por tipo de lista (fuente: Registros de buques de ICCAT en IOMS, a 29 de octubre de 2025).</w:t>
      </w:r>
    </w:p>
    <w:bookmarkEnd w:id="9"/>
    <w:p w14:paraId="065CACAC" w14:textId="0E045A72"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6C8D72F2" w14:textId="76000B1D" w:rsidR="009E1117" w:rsidRPr="00460297" w:rsidRDefault="008530C2" w:rsidP="002B0E38">
      <w:pPr>
        <w:tabs>
          <w:tab w:val="left" w:pos="1560"/>
        </w:tabs>
        <w:spacing w:after="0" w:line="240" w:lineRule="auto"/>
        <w:jc w:val="both"/>
        <w:rPr>
          <w:rFonts w:ascii="Cambria" w:eastAsia="Calibri" w:hAnsi="Cambria" w:cs="Times New Roman"/>
          <w:b/>
          <w:bCs/>
          <w:sz w:val="20"/>
          <w:szCs w:val="20"/>
        </w:rPr>
      </w:pPr>
      <w:r w:rsidRPr="00460297">
        <w:rPr>
          <w:rFonts w:ascii="Cambria" w:hAnsi="Cambria"/>
          <w:b/>
          <w:noProof/>
          <w:sz w:val="20"/>
        </w:rPr>
        <w:drawing>
          <wp:inline distT="0" distB="0" distL="0" distR="0" wp14:anchorId="7AB74155" wp14:editId="2FE40939">
            <wp:extent cx="5759450" cy="6890385"/>
            <wp:effectExtent l="0" t="0" r="0" b="5715"/>
            <wp:docPr id="15622770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77065" name="Picture 1" descr="A screenshot of a computer&#10;&#10;AI-generated content may be incorrect."/>
                    <pic:cNvPicPr/>
                  </pic:nvPicPr>
                  <pic:blipFill>
                    <a:blip r:embed="rId26"/>
                    <a:stretch>
                      <a:fillRect/>
                    </a:stretch>
                  </pic:blipFill>
                  <pic:spPr>
                    <a:xfrm>
                      <a:off x="0" y="0"/>
                      <a:ext cx="5759450" cy="6890385"/>
                    </a:xfrm>
                    <a:prstGeom prst="rect">
                      <a:avLst/>
                    </a:prstGeom>
                  </pic:spPr>
                </pic:pic>
              </a:graphicData>
            </a:graphic>
          </wp:inline>
        </w:drawing>
      </w:r>
    </w:p>
    <w:p w14:paraId="4FF9D1E9" w14:textId="77777777" w:rsidR="005635C5" w:rsidRPr="00460297" w:rsidRDefault="005635C5" w:rsidP="002B0E38">
      <w:pPr>
        <w:tabs>
          <w:tab w:val="left" w:pos="1560"/>
        </w:tabs>
        <w:spacing w:after="0" w:line="240" w:lineRule="auto"/>
        <w:jc w:val="both"/>
        <w:rPr>
          <w:rFonts w:ascii="Cambria" w:eastAsia="Calibri" w:hAnsi="Cambria" w:cs="Times New Roman"/>
          <w:b/>
          <w:bCs/>
          <w:sz w:val="20"/>
          <w:szCs w:val="20"/>
        </w:rPr>
      </w:pPr>
    </w:p>
    <w:p w14:paraId="7F03F559" w14:textId="77777777"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285D1FA4" w14:textId="77777777"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5ED46E73" w14:textId="3FDC43E8"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1F5BB8AA" w14:textId="77777777"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4F3EA157" w14:textId="77777777"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443E66C0" w14:textId="77777777"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654563AF" w14:textId="77777777"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289F4EEF" w14:textId="77777777" w:rsidR="009E1117" w:rsidRPr="00460297" w:rsidRDefault="009E1117" w:rsidP="002B0E38">
      <w:pPr>
        <w:tabs>
          <w:tab w:val="left" w:pos="1560"/>
        </w:tabs>
        <w:spacing w:after="0" w:line="240" w:lineRule="auto"/>
        <w:jc w:val="both"/>
        <w:rPr>
          <w:rFonts w:ascii="Cambria" w:eastAsia="Calibri" w:hAnsi="Cambria" w:cs="Times New Roman"/>
          <w:b/>
          <w:bCs/>
          <w:sz w:val="20"/>
          <w:szCs w:val="20"/>
        </w:rPr>
      </w:pPr>
    </w:p>
    <w:p w14:paraId="33262D5B" w14:textId="154AB11B" w:rsidR="00310709" w:rsidRPr="00460297" w:rsidRDefault="00310709" w:rsidP="002B0E38">
      <w:pPr>
        <w:tabs>
          <w:tab w:val="left" w:pos="1560"/>
        </w:tabs>
        <w:spacing w:after="0" w:line="240" w:lineRule="auto"/>
        <w:jc w:val="both"/>
        <w:rPr>
          <w:rFonts w:ascii="Cambria" w:eastAsia="Calibri" w:hAnsi="Cambria" w:cs="Times New Roman"/>
          <w:sz w:val="20"/>
          <w:szCs w:val="20"/>
        </w:rPr>
      </w:pPr>
      <w:r w:rsidRPr="00460297">
        <w:rPr>
          <w:rFonts w:ascii="Cambria" w:hAnsi="Cambria"/>
          <w:b/>
          <w:sz w:val="20"/>
        </w:rPr>
        <w:lastRenderedPageBreak/>
        <w:t>Tabla 3.</w:t>
      </w:r>
      <w:r w:rsidRPr="00460297">
        <w:rPr>
          <w:rFonts w:ascii="Cambria" w:hAnsi="Cambria"/>
          <w:sz w:val="20"/>
        </w:rPr>
        <w:t xml:space="preserve"> Número de buques inscritos en el </w:t>
      </w:r>
      <w:r w:rsidR="000720F5" w:rsidRPr="00460297">
        <w:rPr>
          <w:rFonts w:ascii="Cambria" w:hAnsi="Cambria"/>
          <w:sz w:val="20"/>
        </w:rPr>
        <w:t xml:space="preserve">Registro </w:t>
      </w:r>
      <w:r w:rsidRPr="00460297">
        <w:rPr>
          <w:rFonts w:ascii="Cambria" w:hAnsi="Cambria"/>
          <w:sz w:val="20"/>
        </w:rPr>
        <w:t>ICCAT de buques (por CPC de pabellón) y proporción (%) de información que falta en varias características importantes de los buques (fuente: Registros de buques de ICCAT en IOMS, a 29 de octubre de 2025).</w:t>
      </w:r>
    </w:p>
    <w:p w14:paraId="1A9F82AF" w14:textId="77777777" w:rsidR="005635C5" w:rsidRPr="00460297" w:rsidRDefault="005635C5" w:rsidP="002B0E38">
      <w:pPr>
        <w:tabs>
          <w:tab w:val="left" w:pos="1477"/>
        </w:tabs>
        <w:spacing w:after="0" w:line="240" w:lineRule="auto"/>
        <w:jc w:val="both"/>
        <w:rPr>
          <w:rFonts w:ascii="Cambria" w:eastAsia="Calibri" w:hAnsi="Cambria" w:cs="Times New Roman"/>
          <w:b/>
          <w:bCs/>
          <w:sz w:val="20"/>
          <w:szCs w:val="20"/>
        </w:rPr>
      </w:pPr>
    </w:p>
    <w:p w14:paraId="00622964" w14:textId="0BCDBA41" w:rsidR="005635C5" w:rsidRPr="00460297" w:rsidRDefault="008530C2" w:rsidP="002B0E38">
      <w:pPr>
        <w:tabs>
          <w:tab w:val="left" w:pos="1477"/>
        </w:tabs>
        <w:spacing w:after="0" w:line="240" w:lineRule="auto"/>
        <w:jc w:val="both"/>
        <w:rPr>
          <w:rFonts w:ascii="Cambria" w:eastAsia="Calibri" w:hAnsi="Cambria" w:cs="Times New Roman"/>
          <w:b/>
          <w:bCs/>
          <w:sz w:val="20"/>
          <w:szCs w:val="20"/>
        </w:rPr>
      </w:pPr>
      <w:r w:rsidRPr="00460297">
        <w:rPr>
          <w:rFonts w:ascii="Cambria" w:hAnsi="Cambria"/>
          <w:b/>
          <w:noProof/>
          <w:sz w:val="20"/>
        </w:rPr>
        <w:drawing>
          <wp:inline distT="0" distB="0" distL="0" distR="0" wp14:anchorId="6E6F0EC6" wp14:editId="07D7A786">
            <wp:extent cx="5759450" cy="7995920"/>
            <wp:effectExtent l="0" t="0" r="0" b="5080"/>
            <wp:docPr id="10014937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3760" name="Picture 1" descr="A screenshot of a computer&#10;&#10;AI-generated content may be incorrect."/>
                    <pic:cNvPicPr/>
                  </pic:nvPicPr>
                  <pic:blipFill>
                    <a:blip r:embed="rId27"/>
                    <a:stretch>
                      <a:fillRect/>
                    </a:stretch>
                  </pic:blipFill>
                  <pic:spPr>
                    <a:xfrm>
                      <a:off x="0" y="0"/>
                      <a:ext cx="5759450" cy="7995920"/>
                    </a:xfrm>
                    <a:prstGeom prst="rect">
                      <a:avLst/>
                    </a:prstGeom>
                  </pic:spPr>
                </pic:pic>
              </a:graphicData>
            </a:graphic>
          </wp:inline>
        </w:drawing>
      </w:r>
    </w:p>
    <w:p w14:paraId="010D60BA" w14:textId="77777777" w:rsidR="004F5C0B" w:rsidRPr="00460297" w:rsidRDefault="004F5C0B" w:rsidP="002B0E38">
      <w:pPr>
        <w:tabs>
          <w:tab w:val="left" w:pos="1477"/>
        </w:tabs>
        <w:spacing w:after="0" w:line="240" w:lineRule="auto"/>
        <w:jc w:val="both"/>
        <w:rPr>
          <w:rFonts w:ascii="Cambria" w:eastAsia="Calibri" w:hAnsi="Cambria" w:cs="Times New Roman"/>
          <w:b/>
          <w:bCs/>
          <w:sz w:val="20"/>
          <w:szCs w:val="20"/>
        </w:rPr>
      </w:pPr>
    </w:p>
    <w:p w14:paraId="0B1F1723" w14:textId="6DAE4798" w:rsidR="00625270" w:rsidRPr="00460297" w:rsidRDefault="00310709" w:rsidP="002B0E38">
      <w:pPr>
        <w:spacing w:after="0" w:line="240" w:lineRule="auto"/>
        <w:jc w:val="both"/>
        <w:rPr>
          <w:rFonts w:ascii="Cambria" w:eastAsia="Calibri" w:hAnsi="Cambria" w:cs="Times New Roman"/>
          <w:sz w:val="20"/>
          <w:szCs w:val="20"/>
        </w:rPr>
      </w:pPr>
      <w:r w:rsidRPr="00460297">
        <w:rPr>
          <w:rFonts w:ascii="Cambria" w:hAnsi="Cambria"/>
          <w:b/>
          <w:sz w:val="20"/>
        </w:rPr>
        <w:lastRenderedPageBreak/>
        <w:t>Tabla 4.</w:t>
      </w:r>
      <w:r w:rsidRPr="00460297">
        <w:rPr>
          <w:rFonts w:ascii="Cambria" w:hAnsi="Cambria"/>
          <w:sz w:val="20"/>
        </w:rPr>
        <w:t xml:space="preserve"> Número de buques registrados, activos en la lista positiva  (P20m) con tipo de número de registro internacional (</w:t>
      </w:r>
      <w:proofErr w:type="spellStart"/>
      <w:r w:rsidRPr="00460297">
        <w:rPr>
          <w:rFonts w:ascii="Cambria" w:hAnsi="Cambria"/>
          <w:sz w:val="20"/>
        </w:rPr>
        <w:t>IntRegNo</w:t>
      </w:r>
      <w:proofErr w:type="spellEnd"/>
      <w:r w:rsidRPr="00460297">
        <w:rPr>
          <w:rFonts w:ascii="Cambria" w:hAnsi="Cambria"/>
          <w:sz w:val="20"/>
        </w:rPr>
        <w:t xml:space="preserve">), activos en la lista de los buques de transporte (todos con número OMI) por CPC de pabellón (fuente: Registros de buques de ICCAT en IOMS, a 29 de octubre de 2025). </w:t>
      </w:r>
    </w:p>
    <w:p w14:paraId="693669D3" w14:textId="4EE1FFA3" w:rsidR="00625270" w:rsidRPr="002B0E38" w:rsidRDefault="00625270" w:rsidP="002B0E38">
      <w:pPr>
        <w:spacing w:after="0" w:line="240" w:lineRule="auto"/>
        <w:jc w:val="both"/>
        <w:rPr>
          <w:rFonts w:ascii="Cambria" w:eastAsia="Calibri" w:hAnsi="Cambria" w:cs="Times New Roman"/>
          <w:sz w:val="20"/>
          <w:szCs w:val="20"/>
        </w:rPr>
      </w:pPr>
      <w:r w:rsidRPr="00460297">
        <w:rPr>
          <w:rFonts w:ascii="Cambria" w:hAnsi="Cambria"/>
          <w:noProof/>
          <w:sz w:val="20"/>
        </w:rPr>
        <w:drawing>
          <wp:inline distT="0" distB="0" distL="0" distR="0" wp14:anchorId="4F18EA0E" wp14:editId="286BBD07">
            <wp:extent cx="5688622" cy="8302752"/>
            <wp:effectExtent l="0" t="0" r="7620" b="3175"/>
            <wp:docPr id="14005744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74465" name="Picture 1" descr="A screenshot of a computer&#10;&#10;AI-generated content may be incorrect."/>
                    <pic:cNvPicPr/>
                  </pic:nvPicPr>
                  <pic:blipFill>
                    <a:blip r:embed="rId28"/>
                    <a:stretch>
                      <a:fillRect/>
                    </a:stretch>
                  </pic:blipFill>
                  <pic:spPr>
                    <a:xfrm>
                      <a:off x="0" y="0"/>
                      <a:ext cx="5711377" cy="8335964"/>
                    </a:xfrm>
                    <a:prstGeom prst="rect">
                      <a:avLst/>
                    </a:prstGeom>
                  </pic:spPr>
                </pic:pic>
              </a:graphicData>
            </a:graphic>
          </wp:inline>
        </w:drawing>
      </w:r>
    </w:p>
    <w:sectPr w:rsidR="00625270" w:rsidRPr="002B0E38" w:rsidSect="002B0E3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D94B" w14:textId="77777777" w:rsidR="00914361" w:rsidRDefault="00914361" w:rsidP="00271C5E">
      <w:pPr>
        <w:spacing w:after="0" w:line="240" w:lineRule="auto"/>
      </w:pPr>
      <w:r>
        <w:separator/>
      </w:r>
    </w:p>
  </w:endnote>
  <w:endnote w:type="continuationSeparator" w:id="0">
    <w:p w14:paraId="748D5F68" w14:textId="77777777" w:rsidR="00914361" w:rsidRDefault="00914361" w:rsidP="0027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A7A2" w14:textId="2D0B9A1B" w:rsidR="00964027" w:rsidRPr="009B5926" w:rsidRDefault="00460297" w:rsidP="009B5926">
    <w:pPr>
      <w:pStyle w:val="Footer"/>
      <w:jc w:val="center"/>
    </w:pPr>
    <w:sdt>
      <w:sdtPr>
        <w:rPr>
          <w:rFonts w:ascii="Cambria" w:eastAsia="Calibri" w:hAnsi="Cambria" w:cs="Calibri"/>
          <w:sz w:val="20"/>
          <w:szCs w:val="20"/>
        </w:rPr>
        <w:id w:val="810910487"/>
        <w:docPartObj>
          <w:docPartGallery w:val="Page Numbers (Top of Page)"/>
          <w:docPartUnique/>
        </w:docPartObj>
      </w:sdtPr>
      <w:sdtEndPr/>
      <w:sdtContent>
        <w:r w:rsidR="009B5926" w:rsidRPr="00817AE2">
          <w:rPr>
            <w:rFonts w:ascii="Cambria" w:eastAsia="Calibri" w:hAnsi="Cambria" w:cs="Calibri"/>
            <w:sz w:val="20"/>
          </w:rPr>
          <w:fldChar w:fldCharType="begin"/>
        </w:r>
        <w:r w:rsidR="009B5926" w:rsidRPr="00817AE2">
          <w:rPr>
            <w:rFonts w:ascii="Cambria" w:eastAsia="Calibri" w:hAnsi="Cambria" w:cs="Calibri"/>
            <w:sz w:val="20"/>
          </w:rPr>
          <w:instrText xml:space="preserve"> PAGE </w:instrText>
        </w:r>
        <w:r w:rsidR="009B5926" w:rsidRPr="00817AE2">
          <w:rPr>
            <w:rFonts w:ascii="Cambria" w:eastAsia="Calibri" w:hAnsi="Cambria" w:cs="Calibri"/>
            <w:sz w:val="20"/>
          </w:rPr>
          <w:fldChar w:fldCharType="separate"/>
        </w:r>
        <w:r w:rsidR="009B5926">
          <w:rPr>
            <w:rFonts w:ascii="Cambria" w:eastAsia="Calibri" w:hAnsi="Cambria" w:cs="Calibri"/>
            <w:sz w:val="20"/>
          </w:rPr>
          <w:t>1</w:t>
        </w:r>
        <w:r w:rsidR="009B5926" w:rsidRPr="00817AE2">
          <w:rPr>
            <w:rFonts w:ascii="Cambria" w:eastAsia="Calibri" w:hAnsi="Cambria" w:cs="Calibri"/>
            <w:sz w:val="20"/>
          </w:rPr>
          <w:fldChar w:fldCharType="end"/>
        </w:r>
        <w:r w:rsidR="00670D7A">
          <w:rPr>
            <w:rFonts w:ascii="Cambria" w:hAnsi="Cambria"/>
            <w:sz w:val="20"/>
          </w:rPr>
          <w:t xml:space="preserve"> / </w:t>
        </w:r>
        <w:r w:rsidR="009B5926" w:rsidRPr="00817AE2">
          <w:rPr>
            <w:rFonts w:ascii="Cambria" w:eastAsia="Calibri" w:hAnsi="Cambria" w:cs="Calibri"/>
            <w:sz w:val="20"/>
          </w:rPr>
          <w:fldChar w:fldCharType="begin"/>
        </w:r>
        <w:r w:rsidR="009B5926" w:rsidRPr="00817AE2">
          <w:rPr>
            <w:rFonts w:ascii="Cambria" w:eastAsia="Calibri" w:hAnsi="Cambria" w:cs="Calibri"/>
            <w:sz w:val="20"/>
          </w:rPr>
          <w:instrText xml:space="preserve"> NUMPAGES  </w:instrText>
        </w:r>
        <w:r w:rsidR="009B5926" w:rsidRPr="00817AE2">
          <w:rPr>
            <w:rFonts w:ascii="Cambria" w:eastAsia="Calibri" w:hAnsi="Cambria" w:cs="Calibri"/>
            <w:sz w:val="20"/>
          </w:rPr>
          <w:fldChar w:fldCharType="separate"/>
        </w:r>
        <w:r w:rsidR="009B5926">
          <w:rPr>
            <w:rFonts w:ascii="Cambria" w:eastAsia="Calibri" w:hAnsi="Cambria" w:cs="Calibri"/>
            <w:sz w:val="20"/>
          </w:rPr>
          <w:t>1</w:t>
        </w:r>
        <w:r w:rsidR="009B5926" w:rsidRPr="00817A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229F" w14:textId="77777777" w:rsidR="00914361" w:rsidRDefault="00914361" w:rsidP="00271C5E">
      <w:pPr>
        <w:spacing w:after="0" w:line="240" w:lineRule="auto"/>
      </w:pPr>
      <w:r>
        <w:separator/>
      </w:r>
    </w:p>
  </w:footnote>
  <w:footnote w:type="continuationSeparator" w:id="0">
    <w:p w14:paraId="68E495EB" w14:textId="77777777" w:rsidR="00914361" w:rsidRDefault="00914361" w:rsidP="0027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0074" w14:textId="671A5981" w:rsidR="00584B2D" w:rsidRDefault="00584B2D" w:rsidP="00B94A77">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sz w:val="20"/>
      </w:rPr>
      <w:t>PWG_401/2025</w:t>
    </w:r>
  </w:p>
  <w:p w14:paraId="6E43D1E2" w14:textId="02C5F7EA" w:rsidR="00584B2D" w:rsidRPr="00584B2D" w:rsidRDefault="00584B2D" w:rsidP="00B94A77">
    <w:pPr>
      <w:tabs>
        <w:tab w:val="center" w:pos="4680"/>
        <w:tab w:val="left" w:pos="6520"/>
        <w:tab w:val="right" w:pos="9360"/>
        <w:tab w:val="right" w:pos="14240"/>
      </w:tabs>
      <w:spacing w:after="0" w:line="240" w:lineRule="auto"/>
      <w:jc w:val="right"/>
      <w:rPr>
        <w:rFonts w:ascii="Cambria" w:eastAsia="Times New Roman" w:hAnsi="Cambria" w:cs="Times New Roman"/>
        <w:b/>
        <w:bCs/>
        <w:sz w:val="16"/>
        <w:szCs w:val="16"/>
      </w:rPr>
    </w:pPr>
    <w:r w:rsidRPr="00584B2D">
      <w:rPr>
        <w:rFonts w:ascii="Cambria" w:eastAsia="Times New Roman" w:hAnsi="Cambria" w:cs="Times New Roman"/>
        <w:b/>
        <w:sz w:val="16"/>
      </w:rPr>
      <w:fldChar w:fldCharType="begin"/>
    </w:r>
    <w:r w:rsidRPr="00584B2D">
      <w:rPr>
        <w:rFonts w:ascii="Cambria" w:eastAsia="Times New Roman" w:hAnsi="Cambria" w:cs="Times New Roman"/>
        <w:b/>
        <w:sz w:val="16"/>
      </w:rPr>
      <w:instrText xml:space="preserve"> TIME \@ "dd/MM/yyyy H:mm" </w:instrText>
    </w:r>
    <w:r w:rsidRPr="00584B2D">
      <w:rPr>
        <w:rFonts w:ascii="Cambria" w:eastAsia="Times New Roman" w:hAnsi="Cambria" w:cs="Times New Roman"/>
        <w:b/>
        <w:sz w:val="16"/>
      </w:rPr>
      <w:fldChar w:fldCharType="separate"/>
    </w:r>
    <w:r w:rsidR="00460297">
      <w:rPr>
        <w:rFonts w:ascii="Cambria" w:eastAsia="Times New Roman" w:hAnsi="Cambria" w:cs="Times New Roman"/>
        <w:b/>
        <w:noProof/>
        <w:sz w:val="16"/>
      </w:rPr>
      <w:t>16/11/2025 17:28</w:t>
    </w:r>
    <w:r w:rsidRPr="00584B2D">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E60"/>
    <w:multiLevelType w:val="hybridMultilevel"/>
    <w:tmpl w:val="B27018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0968AD"/>
    <w:multiLevelType w:val="hybridMultilevel"/>
    <w:tmpl w:val="1F4C2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AA375B"/>
    <w:multiLevelType w:val="hybridMultilevel"/>
    <w:tmpl w:val="9ACE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F421F"/>
    <w:multiLevelType w:val="hybridMultilevel"/>
    <w:tmpl w:val="BFFA57EC"/>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F60805"/>
    <w:multiLevelType w:val="hybridMultilevel"/>
    <w:tmpl w:val="5D46DE2E"/>
    <w:lvl w:ilvl="0" w:tplc="151AE082">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F96CD1"/>
    <w:multiLevelType w:val="hybridMultilevel"/>
    <w:tmpl w:val="0512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90A77"/>
    <w:multiLevelType w:val="hybridMultilevel"/>
    <w:tmpl w:val="EA1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54EF4"/>
    <w:multiLevelType w:val="hybridMultilevel"/>
    <w:tmpl w:val="6CE64630"/>
    <w:lvl w:ilvl="0" w:tplc="BCB049C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127F1"/>
    <w:multiLevelType w:val="hybridMultilevel"/>
    <w:tmpl w:val="F3EEB8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392B68"/>
    <w:multiLevelType w:val="hybridMultilevel"/>
    <w:tmpl w:val="DB2CC1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6E2B70"/>
    <w:multiLevelType w:val="hybridMultilevel"/>
    <w:tmpl w:val="51D84A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80443B"/>
    <w:multiLevelType w:val="hybridMultilevel"/>
    <w:tmpl w:val="A66C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B40FA"/>
    <w:multiLevelType w:val="hybridMultilevel"/>
    <w:tmpl w:val="EAF67B6A"/>
    <w:lvl w:ilvl="0" w:tplc="0C5CA2BE">
      <w:start w:val="1"/>
      <w:numFmt w:val="decimal"/>
      <w:lvlText w:val="%1."/>
      <w:lvlJc w:val="left"/>
      <w:pPr>
        <w:ind w:left="471" w:hanging="360"/>
      </w:pPr>
      <w:rPr>
        <w:rFonts w:ascii="Cambria" w:eastAsia="Cambria" w:hAnsi="Cambria" w:cs="Cambria" w:hint="default"/>
        <w:b/>
        <w:bCs/>
        <w:i/>
        <w:w w:val="100"/>
        <w:sz w:val="22"/>
        <w:szCs w:val="22"/>
        <w:lang w:val="en-GB" w:eastAsia="en-GB" w:bidi="en-GB"/>
      </w:rPr>
    </w:lvl>
    <w:lvl w:ilvl="1" w:tplc="C2CEF020">
      <w:numFmt w:val="bullet"/>
      <w:lvlText w:val="•"/>
      <w:lvlJc w:val="left"/>
      <w:pPr>
        <w:ind w:left="1424" w:hanging="360"/>
      </w:pPr>
      <w:rPr>
        <w:rFonts w:hint="default"/>
        <w:lang w:val="en-GB" w:eastAsia="en-GB" w:bidi="en-GB"/>
      </w:rPr>
    </w:lvl>
    <w:lvl w:ilvl="2" w:tplc="B08A3462">
      <w:numFmt w:val="bullet"/>
      <w:lvlText w:val="•"/>
      <w:lvlJc w:val="left"/>
      <w:pPr>
        <w:ind w:left="2369" w:hanging="360"/>
      </w:pPr>
      <w:rPr>
        <w:rFonts w:hint="default"/>
        <w:lang w:val="en-GB" w:eastAsia="en-GB" w:bidi="en-GB"/>
      </w:rPr>
    </w:lvl>
    <w:lvl w:ilvl="3" w:tplc="1DA6BE18">
      <w:numFmt w:val="bullet"/>
      <w:lvlText w:val="•"/>
      <w:lvlJc w:val="left"/>
      <w:pPr>
        <w:ind w:left="3313" w:hanging="360"/>
      </w:pPr>
      <w:rPr>
        <w:rFonts w:hint="default"/>
        <w:lang w:val="en-GB" w:eastAsia="en-GB" w:bidi="en-GB"/>
      </w:rPr>
    </w:lvl>
    <w:lvl w:ilvl="4" w:tplc="3302592E">
      <w:numFmt w:val="bullet"/>
      <w:lvlText w:val="•"/>
      <w:lvlJc w:val="left"/>
      <w:pPr>
        <w:ind w:left="4258" w:hanging="360"/>
      </w:pPr>
      <w:rPr>
        <w:rFonts w:hint="default"/>
        <w:lang w:val="en-GB" w:eastAsia="en-GB" w:bidi="en-GB"/>
      </w:rPr>
    </w:lvl>
    <w:lvl w:ilvl="5" w:tplc="C472BAEE">
      <w:numFmt w:val="bullet"/>
      <w:lvlText w:val="•"/>
      <w:lvlJc w:val="left"/>
      <w:pPr>
        <w:ind w:left="5203" w:hanging="360"/>
      </w:pPr>
      <w:rPr>
        <w:rFonts w:hint="default"/>
        <w:lang w:val="en-GB" w:eastAsia="en-GB" w:bidi="en-GB"/>
      </w:rPr>
    </w:lvl>
    <w:lvl w:ilvl="6" w:tplc="CE285FA2">
      <w:numFmt w:val="bullet"/>
      <w:lvlText w:val="•"/>
      <w:lvlJc w:val="left"/>
      <w:pPr>
        <w:ind w:left="6147" w:hanging="360"/>
      </w:pPr>
      <w:rPr>
        <w:rFonts w:hint="default"/>
        <w:lang w:val="en-GB" w:eastAsia="en-GB" w:bidi="en-GB"/>
      </w:rPr>
    </w:lvl>
    <w:lvl w:ilvl="7" w:tplc="26D29BCC">
      <w:numFmt w:val="bullet"/>
      <w:lvlText w:val="•"/>
      <w:lvlJc w:val="left"/>
      <w:pPr>
        <w:ind w:left="7092" w:hanging="360"/>
      </w:pPr>
      <w:rPr>
        <w:rFonts w:hint="default"/>
        <w:lang w:val="en-GB" w:eastAsia="en-GB" w:bidi="en-GB"/>
      </w:rPr>
    </w:lvl>
    <w:lvl w:ilvl="8" w:tplc="739E0CEC">
      <w:numFmt w:val="bullet"/>
      <w:lvlText w:val="•"/>
      <w:lvlJc w:val="left"/>
      <w:pPr>
        <w:ind w:left="8037" w:hanging="360"/>
      </w:pPr>
      <w:rPr>
        <w:rFonts w:hint="default"/>
        <w:lang w:val="en-GB" w:eastAsia="en-GB" w:bidi="en-GB"/>
      </w:rPr>
    </w:lvl>
  </w:abstractNum>
  <w:abstractNum w:abstractNumId="13" w15:restartNumberingAfterBreak="0">
    <w:nsid w:val="71C96CB2"/>
    <w:multiLevelType w:val="hybridMultilevel"/>
    <w:tmpl w:val="680CEED0"/>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9120A5"/>
    <w:multiLevelType w:val="hybridMultilevel"/>
    <w:tmpl w:val="F666349A"/>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4921877">
    <w:abstractNumId w:val="4"/>
  </w:num>
  <w:num w:numId="2" w16cid:durableId="817265616">
    <w:abstractNumId w:val="10"/>
  </w:num>
  <w:num w:numId="3" w16cid:durableId="25377591">
    <w:abstractNumId w:val="9"/>
  </w:num>
  <w:num w:numId="4" w16cid:durableId="753555527">
    <w:abstractNumId w:val="8"/>
  </w:num>
  <w:num w:numId="5" w16cid:durableId="160896944">
    <w:abstractNumId w:val="5"/>
  </w:num>
  <w:num w:numId="6" w16cid:durableId="295913532">
    <w:abstractNumId w:val="7"/>
  </w:num>
  <w:num w:numId="7" w16cid:durableId="1078019074">
    <w:abstractNumId w:val="12"/>
  </w:num>
  <w:num w:numId="8" w16cid:durableId="1632664858">
    <w:abstractNumId w:val="1"/>
  </w:num>
  <w:num w:numId="9" w16cid:durableId="826937969">
    <w:abstractNumId w:val="2"/>
  </w:num>
  <w:num w:numId="10" w16cid:durableId="1068959682">
    <w:abstractNumId w:val="11"/>
  </w:num>
  <w:num w:numId="11" w16cid:durableId="848984663">
    <w:abstractNumId w:val="6"/>
  </w:num>
  <w:num w:numId="12" w16cid:durableId="186794172">
    <w:abstractNumId w:val="6"/>
  </w:num>
  <w:num w:numId="13" w16cid:durableId="399836606">
    <w:abstractNumId w:val="14"/>
  </w:num>
  <w:num w:numId="14" w16cid:durableId="1316882490">
    <w:abstractNumId w:val="3"/>
  </w:num>
  <w:num w:numId="15" w16cid:durableId="774253292">
    <w:abstractNumId w:val="0"/>
  </w:num>
  <w:num w:numId="16" w16cid:durableId="868026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1F"/>
    <w:rsid w:val="00011664"/>
    <w:rsid w:val="00015A06"/>
    <w:rsid w:val="00016CBA"/>
    <w:rsid w:val="000218D3"/>
    <w:rsid w:val="00024B3B"/>
    <w:rsid w:val="00025B0C"/>
    <w:rsid w:val="00025F74"/>
    <w:rsid w:val="00036145"/>
    <w:rsid w:val="00044258"/>
    <w:rsid w:val="000457EA"/>
    <w:rsid w:val="00046CE1"/>
    <w:rsid w:val="00047738"/>
    <w:rsid w:val="00047B91"/>
    <w:rsid w:val="0006068D"/>
    <w:rsid w:val="000642D0"/>
    <w:rsid w:val="000720F5"/>
    <w:rsid w:val="000724F2"/>
    <w:rsid w:val="00073D81"/>
    <w:rsid w:val="0008036A"/>
    <w:rsid w:val="00081BE4"/>
    <w:rsid w:val="00086131"/>
    <w:rsid w:val="0008757D"/>
    <w:rsid w:val="00090C76"/>
    <w:rsid w:val="00097DD3"/>
    <w:rsid w:val="000A07F6"/>
    <w:rsid w:val="000B543C"/>
    <w:rsid w:val="000B75D9"/>
    <w:rsid w:val="000C4BE9"/>
    <w:rsid w:val="000C577C"/>
    <w:rsid w:val="000E35A8"/>
    <w:rsid w:val="000E35BA"/>
    <w:rsid w:val="000F770E"/>
    <w:rsid w:val="00100313"/>
    <w:rsid w:val="0010367B"/>
    <w:rsid w:val="00107D64"/>
    <w:rsid w:val="00113595"/>
    <w:rsid w:val="0011370D"/>
    <w:rsid w:val="00117453"/>
    <w:rsid w:val="00122554"/>
    <w:rsid w:val="00124CCB"/>
    <w:rsid w:val="0012617A"/>
    <w:rsid w:val="00130064"/>
    <w:rsid w:val="00130AE3"/>
    <w:rsid w:val="00132AFC"/>
    <w:rsid w:val="00146A32"/>
    <w:rsid w:val="00165B52"/>
    <w:rsid w:val="00180A27"/>
    <w:rsid w:val="001824F9"/>
    <w:rsid w:val="00187B5E"/>
    <w:rsid w:val="00192B8A"/>
    <w:rsid w:val="0019394C"/>
    <w:rsid w:val="00195ECC"/>
    <w:rsid w:val="001978B4"/>
    <w:rsid w:val="00197CB2"/>
    <w:rsid w:val="001A6AC7"/>
    <w:rsid w:val="001B3296"/>
    <w:rsid w:val="001C0391"/>
    <w:rsid w:val="001C10BA"/>
    <w:rsid w:val="001D31DA"/>
    <w:rsid w:val="001F2094"/>
    <w:rsid w:val="001F3894"/>
    <w:rsid w:val="001F5B4B"/>
    <w:rsid w:val="001F668E"/>
    <w:rsid w:val="001F6D07"/>
    <w:rsid w:val="0020129F"/>
    <w:rsid w:val="00207ED6"/>
    <w:rsid w:val="00211DC5"/>
    <w:rsid w:val="00216CE6"/>
    <w:rsid w:val="00217C11"/>
    <w:rsid w:val="00225CA0"/>
    <w:rsid w:val="00230AFC"/>
    <w:rsid w:val="002329FF"/>
    <w:rsid w:val="00233357"/>
    <w:rsid w:val="00233417"/>
    <w:rsid w:val="00236A47"/>
    <w:rsid w:val="002474C2"/>
    <w:rsid w:val="00251ED6"/>
    <w:rsid w:val="0025576A"/>
    <w:rsid w:val="00266A42"/>
    <w:rsid w:val="00266B5B"/>
    <w:rsid w:val="00270895"/>
    <w:rsid w:val="00271C5E"/>
    <w:rsid w:val="00271FA3"/>
    <w:rsid w:val="00277A22"/>
    <w:rsid w:val="002837A7"/>
    <w:rsid w:val="0028799F"/>
    <w:rsid w:val="00291466"/>
    <w:rsid w:val="002A5C1E"/>
    <w:rsid w:val="002B0E38"/>
    <w:rsid w:val="002C3971"/>
    <w:rsid w:val="002D46B9"/>
    <w:rsid w:val="002E2BC0"/>
    <w:rsid w:val="002E7076"/>
    <w:rsid w:val="002F0644"/>
    <w:rsid w:val="002F3579"/>
    <w:rsid w:val="002F57E6"/>
    <w:rsid w:val="003079EE"/>
    <w:rsid w:val="003105FD"/>
    <w:rsid w:val="00310709"/>
    <w:rsid w:val="00311820"/>
    <w:rsid w:val="00316DFD"/>
    <w:rsid w:val="00323800"/>
    <w:rsid w:val="00324E62"/>
    <w:rsid w:val="003256BA"/>
    <w:rsid w:val="00326196"/>
    <w:rsid w:val="00330694"/>
    <w:rsid w:val="00333C1C"/>
    <w:rsid w:val="00343935"/>
    <w:rsid w:val="003458F7"/>
    <w:rsid w:val="00346924"/>
    <w:rsid w:val="00350EDB"/>
    <w:rsid w:val="0035210A"/>
    <w:rsid w:val="003547CD"/>
    <w:rsid w:val="00372B9D"/>
    <w:rsid w:val="003759E2"/>
    <w:rsid w:val="003808EF"/>
    <w:rsid w:val="00386D1E"/>
    <w:rsid w:val="00387031"/>
    <w:rsid w:val="003A3FB9"/>
    <w:rsid w:val="003B0AD4"/>
    <w:rsid w:val="003C5EA4"/>
    <w:rsid w:val="003E0C61"/>
    <w:rsid w:val="003E1344"/>
    <w:rsid w:val="003E1F70"/>
    <w:rsid w:val="003F22FB"/>
    <w:rsid w:val="003F5A3C"/>
    <w:rsid w:val="00402903"/>
    <w:rsid w:val="00404BEB"/>
    <w:rsid w:val="004108A3"/>
    <w:rsid w:val="00412947"/>
    <w:rsid w:val="00415C59"/>
    <w:rsid w:val="004177CF"/>
    <w:rsid w:val="00420496"/>
    <w:rsid w:val="0042170F"/>
    <w:rsid w:val="0042289D"/>
    <w:rsid w:val="00425B3A"/>
    <w:rsid w:val="00427830"/>
    <w:rsid w:val="00433469"/>
    <w:rsid w:val="00434CF8"/>
    <w:rsid w:val="004356C6"/>
    <w:rsid w:val="00441EB3"/>
    <w:rsid w:val="00442A44"/>
    <w:rsid w:val="0044327D"/>
    <w:rsid w:val="00445EB3"/>
    <w:rsid w:val="00450998"/>
    <w:rsid w:val="00452A18"/>
    <w:rsid w:val="0045492A"/>
    <w:rsid w:val="00455D7E"/>
    <w:rsid w:val="00460297"/>
    <w:rsid w:val="00462689"/>
    <w:rsid w:val="004744EF"/>
    <w:rsid w:val="00477498"/>
    <w:rsid w:val="004810E1"/>
    <w:rsid w:val="004852AD"/>
    <w:rsid w:val="00492801"/>
    <w:rsid w:val="00493E11"/>
    <w:rsid w:val="004B0CE9"/>
    <w:rsid w:val="004C286D"/>
    <w:rsid w:val="004D2684"/>
    <w:rsid w:val="004D2A33"/>
    <w:rsid w:val="004E42E3"/>
    <w:rsid w:val="004E5457"/>
    <w:rsid w:val="004E6CA5"/>
    <w:rsid w:val="004E6D9A"/>
    <w:rsid w:val="004E7FB5"/>
    <w:rsid w:val="004F1E0A"/>
    <w:rsid w:val="004F2503"/>
    <w:rsid w:val="004F4050"/>
    <w:rsid w:val="004F5C0B"/>
    <w:rsid w:val="00510411"/>
    <w:rsid w:val="00510B1B"/>
    <w:rsid w:val="0051237D"/>
    <w:rsid w:val="00516D22"/>
    <w:rsid w:val="00531BDD"/>
    <w:rsid w:val="005635C5"/>
    <w:rsid w:val="0056509A"/>
    <w:rsid w:val="0056789D"/>
    <w:rsid w:val="00572D34"/>
    <w:rsid w:val="0057538A"/>
    <w:rsid w:val="005826C7"/>
    <w:rsid w:val="00584B2D"/>
    <w:rsid w:val="005866E9"/>
    <w:rsid w:val="00587FD3"/>
    <w:rsid w:val="00591FB2"/>
    <w:rsid w:val="005A37D3"/>
    <w:rsid w:val="005B0493"/>
    <w:rsid w:val="005B3F15"/>
    <w:rsid w:val="005C0E8D"/>
    <w:rsid w:val="005C53B1"/>
    <w:rsid w:val="005C70B1"/>
    <w:rsid w:val="005E2BD7"/>
    <w:rsid w:val="005E52DE"/>
    <w:rsid w:val="005E63BE"/>
    <w:rsid w:val="005F0521"/>
    <w:rsid w:val="005F3B6A"/>
    <w:rsid w:val="005F7539"/>
    <w:rsid w:val="005F7C8C"/>
    <w:rsid w:val="006129E2"/>
    <w:rsid w:val="00617464"/>
    <w:rsid w:val="00622373"/>
    <w:rsid w:val="00625270"/>
    <w:rsid w:val="00625334"/>
    <w:rsid w:val="006318E3"/>
    <w:rsid w:val="00643378"/>
    <w:rsid w:val="00644EC4"/>
    <w:rsid w:val="00654E0D"/>
    <w:rsid w:val="006566D2"/>
    <w:rsid w:val="00663278"/>
    <w:rsid w:val="00670AC6"/>
    <w:rsid w:val="00670D7A"/>
    <w:rsid w:val="00670DFC"/>
    <w:rsid w:val="006743A5"/>
    <w:rsid w:val="006756A3"/>
    <w:rsid w:val="006808AA"/>
    <w:rsid w:val="00680C1E"/>
    <w:rsid w:val="006847FC"/>
    <w:rsid w:val="006857A1"/>
    <w:rsid w:val="006924B3"/>
    <w:rsid w:val="006A1311"/>
    <w:rsid w:val="006A4FC2"/>
    <w:rsid w:val="006B5D5B"/>
    <w:rsid w:val="006C22CE"/>
    <w:rsid w:val="006C2B66"/>
    <w:rsid w:val="006C4B89"/>
    <w:rsid w:val="006C7705"/>
    <w:rsid w:val="006D01EF"/>
    <w:rsid w:val="006D38F9"/>
    <w:rsid w:val="006D5819"/>
    <w:rsid w:val="006D5EF1"/>
    <w:rsid w:val="006F31EA"/>
    <w:rsid w:val="006F3A60"/>
    <w:rsid w:val="00703BAB"/>
    <w:rsid w:val="00715662"/>
    <w:rsid w:val="00717BC4"/>
    <w:rsid w:val="00720365"/>
    <w:rsid w:val="00731E2C"/>
    <w:rsid w:val="007612AA"/>
    <w:rsid w:val="00762AAF"/>
    <w:rsid w:val="00770100"/>
    <w:rsid w:val="007832BA"/>
    <w:rsid w:val="0079447F"/>
    <w:rsid w:val="007A2F27"/>
    <w:rsid w:val="007A4843"/>
    <w:rsid w:val="007A4A2B"/>
    <w:rsid w:val="007C4191"/>
    <w:rsid w:val="007D1077"/>
    <w:rsid w:val="007D1E8C"/>
    <w:rsid w:val="007D2008"/>
    <w:rsid w:val="007D3B19"/>
    <w:rsid w:val="007D6A76"/>
    <w:rsid w:val="007E6493"/>
    <w:rsid w:val="007F3A51"/>
    <w:rsid w:val="007F4188"/>
    <w:rsid w:val="007F6F55"/>
    <w:rsid w:val="00800A83"/>
    <w:rsid w:val="00802AEB"/>
    <w:rsid w:val="008048F9"/>
    <w:rsid w:val="00807ECD"/>
    <w:rsid w:val="00812983"/>
    <w:rsid w:val="00815D2C"/>
    <w:rsid w:val="008231E0"/>
    <w:rsid w:val="0082532C"/>
    <w:rsid w:val="00826F78"/>
    <w:rsid w:val="008306E7"/>
    <w:rsid w:val="00836EF2"/>
    <w:rsid w:val="008530C2"/>
    <w:rsid w:val="00854783"/>
    <w:rsid w:val="00861186"/>
    <w:rsid w:val="00865822"/>
    <w:rsid w:val="008674AC"/>
    <w:rsid w:val="008A4F57"/>
    <w:rsid w:val="008A7765"/>
    <w:rsid w:val="008D05FF"/>
    <w:rsid w:val="008F2BA5"/>
    <w:rsid w:val="008F376B"/>
    <w:rsid w:val="009079E0"/>
    <w:rsid w:val="0091202F"/>
    <w:rsid w:val="00912F99"/>
    <w:rsid w:val="00914361"/>
    <w:rsid w:val="0092250A"/>
    <w:rsid w:val="009248B7"/>
    <w:rsid w:val="009265D2"/>
    <w:rsid w:val="00934EAF"/>
    <w:rsid w:val="00941AD1"/>
    <w:rsid w:val="00944112"/>
    <w:rsid w:val="00961EE3"/>
    <w:rsid w:val="00964027"/>
    <w:rsid w:val="00974456"/>
    <w:rsid w:val="009962E9"/>
    <w:rsid w:val="009A115A"/>
    <w:rsid w:val="009A2C39"/>
    <w:rsid w:val="009A6E8B"/>
    <w:rsid w:val="009B00F5"/>
    <w:rsid w:val="009B2075"/>
    <w:rsid w:val="009B5171"/>
    <w:rsid w:val="009B5926"/>
    <w:rsid w:val="009C088E"/>
    <w:rsid w:val="009D754A"/>
    <w:rsid w:val="009E1117"/>
    <w:rsid w:val="009E4B82"/>
    <w:rsid w:val="009F2385"/>
    <w:rsid w:val="009F3BC8"/>
    <w:rsid w:val="00A1056E"/>
    <w:rsid w:val="00A127DD"/>
    <w:rsid w:val="00A204B2"/>
    <w:rsid w:val="00A31B3C"/>
    <w:rsid w:val="00A323F0"/>
    <w:rsid w:val="00A32AEF"/>
    <w:rsid w:val="00A33AE1"/>
    <w:rsid w:val="00A355DC"/>
    <w:rsid w:val="00A411BB"/>
    <w:rsid w:val="00A454FF"/>
    <w:rsid w:val="00A54E61"/>
    <w:rsid w:val="00A71DB3"/>
    <w:rsid w:val="00A7613B"/>
    <w:rsid w:val="00A9277C"/>
    <w:rsid w:val="00A9590C"/>
    <w:rsid w:val="00A96D5A"/>
    <w:rsid w:val="00AA0898"/>
    <w:rsid w:val="00AB3202"/>
    <w:rsid w:val="00AB5A4C"/>
    <w:rsid w:val="00AB7212"/>
    <w:rsid w:val="00AB729E"/>
    <w:rsid w:val="00AC05D2"/>
    <w:rsid w:val="00AC0648"/>
    <w:rsid w:val="00AC3813"/>
    <w:rsid w:val="00AC6C98"/>
    <w:rsid w:val="00AE03F3"/>
    <w:rsid w:val="00AE367B"/>
    <w:rsid w:val="00AE7EF5"/>
    <w:rsid w:val="00AF1675"/>
    <w:rsid w:val="00AF5D8D"/>
    <w:rsid w:val="00B03E78"/>
    <w:rsid w:val="00B10D65"/>
    <w:rsid w:val="00B201FB"/>
    <w:rsid w:val="00B23460"/>
    <w:rsid w:val="00B235ED"/>
    <w:rsid w:val="00B50B71"/>
    <w:rsid w:val="00B51EAF"/>
    <w:rsid w:val="00B554EB"/>
    <w:rsid w:val="00B660E4"/>
    <w:rsid w:val="00B66104"/>
    <w:rsid w:val="00B729FB"/>
    <w:rsid w:val="00B75703"/>
    <w:rsid w:val="00B81658"/>
    <w:rsid w:val="00B90DBB"/>
    <w:rsid w:val="00B94A77"/>
    <w:rsid w:val="00BA597A"/>
    <w:rsid w:val="00BB0204"/>
    <w:rsid w:val="00BC2A65"/>
    <w:rsid w:val="00BD77FD"/>
    <w:rsid w:val="00BD7D3B"/>
    <w:rsid w:val="00BE21A9"/>
    <w:rsid w:val="00BE21DB"/>
    <w:rsid w:val="00C05A47"/>
    <w:rsid w:val="00C13F12"/>
    <w:rsid w:val="00C15493"/>
    <w:rsid w:val="00C203B9"/>
    <w:rsid w:val="00C21785"/>
    <w:rsid w:val="00C2181F"/>
    <w:rsid w:val="00C272A0"/>
    <w:rsid w:val="00C27524"/>
    <w:rsid w:val="00C31CA0"/>
    <w:rsid w:val="00C46933"/>
    <w:rsid w:val="00C52250"/>
    <w:rsid w:val="00C56C02"/>
    <w:rsid w:val="00C612EF"/>
    <w:rsid w:val="00C646DA"/>
    <w:rsid w:val="00C7070B"/>
    <w:rsid w:val="00C92484"/>
    <w:rsid w:val="00C955D5"/>
    <w:rsid w:val="00C95D44"/>
    <w:rsid w:val="00C96C74"/>
    <w:rsid w:val="00CA2DA4"/>
    <w:rsid w:val="00CC181E"/>
    <w:rsid w:val="00CC4923"/>
    <w:rsid w:val="00CE1281"/>
    <w:rsid w:val="00CE2CB2"/>
    <w:rsid w:val="00CF4BB2"/>
    <w:rsid w:val="00D06F64"/>
    <w:rsid w:val="00D11FF5"/>
    <w:rsid w:val="00D15C24"/>
    <w:rsid w:val="00D1702B"/>
    <w:rsid w:val="00D20E9E"/>
    <w:rsid w:val="00D23D6C"/>
    <w:rsid w:val="00D3562D"/>
    <w:rsid w:val="00D51C3A"/>
    <w:rsid w:val="00D5243E"/>
    <w:rsid w:val="00D538D0"/>
    <w:rsid w:val="00D572C2"/>
    <w:rsid w:val="00D60E23"/>
    <w:rsid w:val="00D63D26"/>
    <w:rsid w:val="00D64795"/>
    <w:rsid w:val="00D72005"/>
    <w:rsid w:val="00D74578"/>
    <w:rsid w:val="00D75FC9"/>
    <w:rsid w:val="00D82550"/>
    <w:rsid w:val="00D9386C"/>
    <w:rsid w:val="00D96ACC"/>
    <w:rsid w:val="00DA35A9"/>
    <w:rsid w:val="00DA3C26"/>
    <w:rsid w:val="00DA7200"/>
    <w:rsid w:val="00DB508E"/>
    <w:rsid w:val="00DB6D61"/>
    <w:rsid w:val="00DC2B8F"/>
    <w:rsid w:val="00DD695A"/>
    <w:rsid w:val="00DD7118"/>
    <w:rsid w:val="00DE2F52"/>
    <w:rsid w:val="00DE5794"/>
    <w:rsid w:val="00DF0757"/>
    <w:rsid w:val="00DF4184"/>
    <w:rsid w:val="00DF6F07"/>
    <w:rsid w:val="00E00678"/>
    <w:rsid w:val="00E01915"/>
    <w:rsid w:val="00E01AB0"/>
    <w:rsid w:val="00E04FF6"/>
    <w:rsid w:val="00E06352"/>
    <w:rsid w:val="00E06FC9"/>
    <w:rsid w:val="00E07CFD"/>
    <w:rsid w:val="00E1138F"/>
    <w:rsid w:val="00E1231B"/>
    <w:rsid w:val="00E153CE"/>
    <w:rsid w:val="00E164B6"/>
    <w:rsid w:val="00E268CD"/>
    <w:rsid w:val="00E27753"/>
    <w:rsid w:val="00E34F3E"/>
    <w:rsid w:val="00E36C26"/>
    <w:rsid w:val="00E36E15"/>
    <w:rsid w:val="00E379E7"/>
    <w:rsid w:val="00E418CD"/>
    <w:rsid w:val="00E46348"/>
    <w:rsid w:val="00E5531C"/>
    <w:rsid w:val="00E558EA"/>
    <w:rsid w:val="00E564E2"/>
    <w:rsid w:val="00E575E6"/>
    <w:rsid w:val="00E64700"/>
    <w:rsid w:val="00E6540D"/>
    <w:rsid w:val="00E75303"/>
    <w:rsid w:val="00E7784D"/>
    <w:rsid w:val="00E83EC7"/>
    <w:rsid w:val="00E8781E"/>
    <w:rsid w:val="00EB4219"/>
    <w:rsid w:val="00EB434D"/>
    <w:rsid w:val="00EB497B"/>
    <w:rsid w:val="00EB7566"/>
    <w:rsid w:val="00EC5A14"/>
    <w:rsid w:val="00EC6076"/>
    <w:rsid w:val="00ED12F0"/>
    <w:rsid w:val="00ED1596"/>
    <w:rsid w:val="00EE4029"/>
    <w:rsid w:val="00EE6B38"/>
    <w:rsid w:val="00EE6CE9"/>
    <w:rsid w:val="00EF1542"/>
    <w:rsid w:val="00F05B60"/>
    <w:rsid w:val="00F0671E"/>
    <w:rsid w:val="00F06A63"/>
    <w:rsid w:val="00F06F90"/>
    <w:rsid w:val="00F11DD6"/>
    <w:rsid w:val="00F138A4"/>
    <w:rsid w:val="00F23B43"/>
    <w:rsid w:val="00F23F1E"/>
    <w:rsid w:val="00F27064"/>
    <w:rsid w:val="00F2734A"/>
    <w:rsid w:val="00F323A7"/>
    <w:rsid w:val="00F34B1F"/>
    <w:rsid w:val="00F411EF"/>
    <w:rsid w:val="00F47B40"/>
    <w:rsid w:val="00F50AD7"/>
    <w:rsid w:val="00F554D4"/>
    <w:rsid w:val="00F67ECD"/>
    <w:rsid w:val="00F8366E"/>
    <w:rsid w:val="00F85647"/>
    <w:rsid w:val="00F90089"/>
    <w:rsid w:val="00FA6996"/>
    <w:rsid w:val="00FB1572"/>
    <w:rsid w:val="00FB18F9"/>
    <w:rsid w:val="00FB5571"/>
    <w:rsid w:val="00FC447E"/>
    <w:rsid w:val="00FC50C3"/>
    <w:rsid w:val="00FC7AA2"/>
    <w:rsid w:val="00FE76C0"/>
    <w:rsid w:val="00FF20AB"/>
    <w:rsid w:val="00FF65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655D5"/>
  <w15:chartTrackingRefBased/>
  <w15:docId w15:val="{1FCE398C-B0FD-40B0-A361-62F1256B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3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34B1F"/>
    <w:pPr>
      <w:ind w:left="720"/>
      <w:contextualSpacing/>
    </w:pPr>
  </w:style>
  <w:style w:type="character" w:styleId="Hyperlink">
    <w:name w:val="Hyperlink"/>
    <w:basedOn w:val="DefaultParagraphFont"/>
    <w:uiPriority w:val="99"/>
    <w:unhideWhenUsed/>
    <w:rsid w:val="001B3296"/>
    <w:rPr>
      <w:color w:val="0000FF"/>
      <w:u w:val="single"/>
    </w:rPr>
  </w:style>
  <w:style w:type="paragraph" w:customStyle="1" w:styleId="Default">
    <w:name w:val="Default"/>
    <w:rsid w:val="001B329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30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AE3"/>
    <w:rPr>
      <w:rFonts w:ascii="Segoe UI" w:hAnsi="Segoe UI" w:cs="Segoe UI"/>
      <w:sz w:val="18"/>
      <w:szCs w:val="18"/>
    </w:rPr>
  </w:style>
  <w:style w:type="character" w:styleId="UnresolvedMention">
    <w:name w:val="Unresolved Mention"/>
    <w:basedOn w:val="DefaultParagraphFont"/>
    <w:uiPriority w:val="99"/>
    <w:semiHidden/>
    <w:unhideWhenUsed/>
    <w:rsid w:val="00F50AD7"/>
    <w:rPr>
      <w:color w:val="605E5C"/>
      <w:shd w:val="clear" w:color="auto" w:fill="E1DFDD"/>
    </w:rPr>
  </w:style>
  <w:style w:type="paragraph" w:customStyle="1" w:styleId="wordsection1">
    <w:name w:val="wordsection1"/>
    <w:basedOn w:val="Normal"/>
    <w:uiPriority w:val="99"/>
    <w:rsid w:val="009B2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71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C5E"/>
  </w:style>
  <w:style w:type="paragraph" w:styleId="Footer">
    <w:name w:val="footer"/>
    <w:basedOn w:val="Normal"/>
    <w:link w:val="FooterChar"/>
    <w:uiPriority w:val="99"/>
    <w:unhideWhenUsed/>
    <w:rsid w:val="00271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C5E"/>
  </w:style>
  <w:style w:type="character" w:styleId="FollowedHyperlink">
    <w:name w:val="FollowedHyperlink"/>
    <w:basedOn w:val="DefaultParagraphFont"/>
    <w:uiPriority w:val="99"/>
    <w:semiHidden/>
    <w:unhideWhenUsed/>
    <w:rsid w:val="000218D3"/>
    <w:rPr>
      <w:color w:val="954F72" w:themeColor="followedHyperlink"/>
      <w:u w:val="single"/>
    </w:rPr>
  </w:style>
  <w:style w:type="paragraph" w:customStyle="1" w:styleId="msonormal0">
    <w:name w:val="msonormal"/>
    <w:basedOn w:val="Normal"/>
    <w:rsid w:val="00ED15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ED1596"/>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66">
    <w:name w:val="xl66"/>
    <w:basedOn w:val="Normal"/>
    <w:rsid w:val="00ED1596"/>
    <w:pPr>
      <w:pBdr>
        <w:top w:val="single" w:sz="4" w:space="0" w:color="auto"/>
        <w:lef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16"/>
      <w:szCs w:val="16"/>
      <w:lang w:eastAsia="fr-FR"/>
    </w:rPr>
  </w:style>
  <w:style w:type="paragraph" w:customStyle="1" w:styleId="xl67">
    <w:name w:val="xl67"/>
    <w:basedOn w:val="Normal"/>
    <w:rsid w:val="00ED1596"/>
    <w:pPr>
      <w:pBdr>
        <w:top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16"/>
      <w:szCs w:val="16"/>
      <w:lang w:eastAsia="fr-FR"/>
    </w:rPr>
  </w:style>
  <w:style w:type="paragraph" w:customStyle="1" w:styleId="xl68">
    <w:name w:val="xl68"/>
    <w:basedOn w:val="Normal"/>
    <w:rsid w:val="00ED159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69">
    <w:name w:val="xl69"/>
    <w:basedOn w:val="Normal"/>
    <w:rsid w:val="00ED1596"/>
    <w:pPr>
      <w:pBdr>
        <w:top w:val="single" w:sz="4" w:space="0" w:color="auto"/>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0">
    <w:name w:val="xl70"/>
    <w:basedOn w:val="Normal"/>
    <w:rsid w:val="00ED1596"/>
    <w:pPr>
      <w:pBdr>
        <w:top w:val="single" w:sz="4" w:space="0" w:color="auto"/>
        <w:left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1">
    <w:name w:val="xl71"/>
    <w:basedOn w:val="Normal"/>
    <w:rsid w:val="00ED1596"/>
    <w:pPr>
      <w:pBdr>
        <w:top w:val="single" w:sz="4" w:space="0" w:color="auto"/>
        <w:left w:val="single" w:sz="4" w:space="0" w:color="000000"/>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2">
    <w:name w:val="xl72"/>
    <w:basedOn w:val="Normal"/>
    <w:rsid w:val="00ED1596"/>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3">
    <w:name w:val="xl73"/>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4">
    <w:name w:val="xl74"/>
    <w:basedOn w:val="Normal"/>
    <w:rsid w:val="00ED159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75">
    <w:name w:val="xl75"/>
    <w:basedOn w:val="Normal"/>
    <w:rsid w:val="00ED1596"/>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76">
    <w:name w:val="xl76"/>
    <w:basedOn w:val="Normal"/>
    <w:rsid w:val="00ED1596"/>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77">
    <w:name w:val="xl77"/>
    <w:basedOn w:val="Normal"/>
    <w:rsid w:val="00ED1596"/>
    <w:pPr>
      <w:pBdr>
        <w:top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78">
    <w:name w:val="xl78"/>
    <w:basedOn w:val="Normal"/>
    <w:rsid w:val="00ED1596"/>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79">
    <w:name w:val="xl79"/>
    <w:basedOn w:val="Normal"/>
    <w:rsid w:val="00ED159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0">
    <w:name w:val="xl80"/>
    <w:basedOn w:val="Normal"/>
    <w:rsid w:val="00ED1596"/>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1">
    <w:name w:val="xl81"/>
    <w:basedOn w:val="Normal"/>
    <w:rsid w:val="00ED1596"/>
    <w:pP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2">
    <w:name w:val="xl82"/>
    <w:basedOn w:val="Normal"/>
    <w:rsid w:val="00ED1596"/>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3">
    <w:name w:val="xl83"/>
    <w:basedOn w:val="Normal"/>
    <w:rsid w:val="00ED1596"/>
    <w:pP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4">
    <w:name w:val="xl84"/>
    <w:basedOn w:val="Normal"/>
    <w:rsid w:val="00ED1596"/>
    <w:pPr>
      <w:pBdr>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5">
    <w:name w:val="xl85"/>
    <w:basedOn w:val="Normal"/>
    <w:rsid w:val="00ED1596"/>
    <w:pPr>
      <w:pBdr>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6">
    <w:name w:val="xl86"/>
    <w:basedOn w:val="Normal"/>
    <w:rsid w:val="00ED159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7">
    <w:name w:val="xl87"/>
    <w:basedOn w:val="Normal"/>
    <w:rsid w:val="00ED1596"/>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8">
    <w:name w:val="xl88"/>
    <w:basedOn w:val="Normal"/>
    <w:rsid w:val="00ED159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9">
    <w:name w:val="xl89"/>
    <w:basedOn w:val="Normal"/>
    <w:rsid w:val="00ED1596"/>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90">
    <w:name w:val="xl90"/>
    <w:basedOn w:val="Normal"/>
    <w:rsid w:val="00ED159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91">
    <w:name w:val="xl91"/>
    <w:basedOn w:val="Normal"/>
    <w:rsid w:val="00ED159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92">
    <w:name w:val="xl92"/>
    <w:basedOn w:val="Normal"/>
    <w:rsid w:val="00ED1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3">
    <w:name w:val="xl93"/>
    <w:basedOn w:val="Normal"/>
    <w:rsid w:val="00ED159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4">
    <w:name w:val="xl94"/>
    <w:basedOn w:val="Normal"/>
    <w:rsid w:val="00ED15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5">
    <w:name w:val="xl95"/>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6">
    <w:name w:val="xl96"/>
    <w:basedOn w:val="Normal"/>
    <w:rsid w:val="00ED159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7">
    <w:name w:val="xl97"/>
    <w:basedOn w:val="Normal"/>
    <w:rsid w:val="00ED1596"/>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8">
    <w:name w:val="xl98"/>
    <w:basedOn w:val="Normal"/>
    <w:rsid w:val="00ED159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9">
    <w:name w:val="xl99"/>
    <w:basedOn w:val="Normal"/>
    <w:rsid w:val="00ED159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100">
    <w:name w:val="xl100"/>
    <w:basedOn w:val="Normal"/>
    <w:rsid w:val="00ED159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101">
    <w:name w:val="xl101"/>
    <w:basedOn w:val="Normal"/>
    <w:rsid w:val="00ED1596"/>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102">
    <w:name w:val="xl102"/>
    <w:basedOn w:val="Normal"/>
    <w:rsid w:val="00ED159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103">
    <w:name w:val="xl103"/>
    <w:basedOn w:val="Normal"/>
    <w:rsid w:val="00ED1596"/>
    <w:pPr>
      <w:spacing w:before="100" w:beforeAutospacing="1" w:after="100" w:afterAutospacing="1" w:line="240" w:lineRule="auto"/>
      <w:textAlignment w:val="top"/>
    </w:pPr>
    <w:rPr>
      <w:rFonts w:ascii="Times New Roman" w:eastAsia="Times New Roman" w:hAnsi="Times New Roman" w:cs="Times New Roman"/>
      <w:b/>
      <w:bCs/>
      <w:sz w:val="18"/>
      <w:szCs w:val="18"/>
      <w:lang w:eastAsia="fr-FR"/>
    </w:rPr>
  </w:style>
  <w:style w:type="paragraph" w:customStyle="1" w:styleId="xl104">
    <w:name w:val="xl104"/>
    <w:basedOn w:val="Normal"/>
    <w:rsid w:val="00ED1596"/>
    <w:pPr>
      <w:pBdr>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105">
    <w:name w:val="xl105"/>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106">
    <w:name w:val="xl106"/>
    <w:basedOn w:val="Normal"/>
    <w:rsid w:val="00ED159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07">
    <w:name w:val="xl107"/>
    <w:basedOn w:val="Normal"/>
    <w:rsid w:val="00ED159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08">
    <w:name w:val="xl108"/>
    <w:basedOn w:val="Normal"/>
    <w:rsid w:val="00ED159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09">
    <w:name w:val="xl109"/>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10">
    <w:name w:val="xl110"/>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fr-FR"/>
    </w:rPr>
  </w:style>
  <w:style w:type="paragraph" w:styleId="Revision">
    <w:name w:val="Revision"/>
    <w:hidden/>
    <w:uiPriority w:val="99"/>
    <w:semiHidden/>
    <w:rsid w:val="007A4A2B"/>
    <w:pPr>
      <w:spacing w:after="0" w:line="240" w:lineRule="auto"/>
    </w:pPr>
  </w:style>
  <w:style w:type="character" w:styleId="CommentReference">
    <w:name w:val="annotation reference"/>
    <w:basedOn w:val="DefaultParagraphFont"/>
    <w:uiPriority w:val="99"/>
    <w:semiHidden/>
    <w:unhideWhenUsed/>
    <w:rsid w:val="004108A3"/>
    <w:rPr>
      <w:sz w:val="16"/>
      <w:szCs w:val="16"/>
    </w:rPr>
  </w:style>
  <w:style w:type="paragraph" w:styleId="CommentText">
    <w:name w:val="annotation text"/>
    <w:basedOn w:val="Normal"/>
    <w:link w:val="CommentTextChar"/>
    <w:uiPriority w:val="99"/>
    <w:unhideWhenUsed/>
    <w:rsid w:val="004108A3"/>
    <w:pPr>
      <w:spacing w:line="240" w:lineRule="auto"/>
    </w:pPr>
    <w:rPr>
      <w:sz w:val="20"/>
      <w:szCs w:val="20"/>
    </w:rPr>
  </w:style>
  <w:style w:type="character" w:customStyle="1" w:styleId="CommentTextChar">
    <w:name w:val="Comment Text Char"/>
    <w:basedOn w:val="DefaultParagraphFont"/>
    <w:link w:val="CommentText"/>
    <w:uiPriority w:val="99"/>
    <w:rsid w:val="004108A3"/>
    <w:rPr>
      <w:sz w:val="20"/>
      <w:szCs w:val="20"/>
    </w:rPr>
  </w:style>
  <w:style w:type="paragraph" w:styleId="CommentSubject">
    <w:name w:val="annotation subject"/>
    <w:basedOn w:val="CommentText"/>
    <w:next w:val="CommentText"/>
    <w:link w:val="CommentSubjectChar"/>
    <w:uiPriority w:val="99"/>
    <w:semiHidden/>
    <w:unhideWhenUsed/>
    <w:rsid w:val="004108A3"/>
    <w:rPr>
      <w:b/>
      <w:bCs/>
    </w:rPr>
  </w:style>
  <w:style w:type="character" w:customStyle="1" w:styleId="CommentSubjectChar">
    <w:name w:val="Comment Subject Char"/>
    <w:basedOn w:val="CommentTextChar"/>
    <w:link w:val="CommentSubject"/>
    <w:uiPriority w:val="99"/>
    <w:semiHidden/>
    <w:rsid w:val="004108A3"/>
    <w:rPr>
      <w:b/>
      <w:bCs/>
      <w:sz w:val="20"/>
      <w:szCs w:val="20"/>
    </w:rPr>
  </w:style>
  <w:style w:type="paragraph" w:customStyle="1" w:styleId="xl63">
    <w:name w:val="xl63"/>
    <w:basedOn w:val="Normal"/>
    <w:rsid w:val="00CA2DA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mbria" w:eastAsia="Times New Roman" w:hAnsi="Cambria" w:cs="Calibri"/>
      <w:sz w:val="20"/>
      <w:szCs w:val="20"/>
      <w:lang w:eastAsia="ja-JP"/>
    </w:rPr>
  </w:style>
  <w:style w:type="paragraph" w:customStyle="1" w:styleId="xl64">
    <w:name w:val="xl64"/>
    <w:basedOn w:val="Normal"/>
    <w:rsid w:val="00CA2DA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Calibri"/>
      <w:sz w:val="20"/>
      <w:szCs w:val="20"/>
      <w:lang w:eastAsia="ja-JP"/>
    </w:rPr>
  </w:style>
  <w:style w:type="character" w:customStyle="1" w:styleId="emailstyle53">
    <w:name w:val="emailstyle53"/>
    <w:basedOn w:val="DefaultParagraphFont"/>
    <w:semiHidden/>
    <w:rsid w:val="00CA2DA4"/>
    <w:rPr>
      <w:rFonts w:ascii="Verdana" w:hAnsi="Verdana" w:cs="Arial" w:hint="default"/>
      <w:color w:val="1F3864"/>
      <w:sz w:val="18"/>
      <w:szCs w:val="22"/>
    </w:rPr>
  </w:style>
  <w:style w:type="character" w:customStyle="1" w:styleId="emailstyle54">
    <w:name w:val="emailstyle54"/>
    <w:basedOn w:val="DefaultParagraphFont"/>
    <w:semiHidden/>
    <w:rsid w:val="00CA2DA4"/>
    <w:rPr>
      <w:rFonts w:ascii="Verdana" w:hAnsi="Verdana" w:cs="Arial" w:hint="default"/>
      <w:color w:val="1F3864"/>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203">
      <w:bodyDiv w:val="1"/>
      <w:marLeft w:val="0"/>
      <w:marRight w:val="0"/>
      <w:marTop w:val="0"/>
      <w:marBottom w:val="0"/>
      <w:divBdr>
        <w:top w:val="none" w:sz="0" w:space="0" w:color="auto"/>
        <w:left w:val="none" w:sz="0" w:space="0" w:color="auto"/>
        <w:bottom w:val="none" w:sz="0" w:space="0" w:color="auto"/>
        <w:right w:val="none" w:sz="0" w:space="0" w:color="auto"/>
      </w:divBdr>
    </w:div>
    <w:div w:id="27266264">
      <w:bodyDiv w:val="1"/>
      <w:marLeft w:val="0"/>
      <w:marRight w:val="0"/>
      <w:marTop w:val="0"/>
      <w:marBottom w:val="0"/>
      <w:divBdr>
        <w:top w:val="none" w:sz="0" w:space="0" w:color="auto"/>
        <w:left w:val="none" w:sz="0" w:space="0" w:color="auto"/>
        <w:bottom w:val="none" w:sz="0" w:space="0" w:color="auto"/>
        <w:right w:val="none" w:sz="0" w:space="0" w:color="auto"/>
      </w:divBdr>
    </w:div>
    <w:div w:id="55856648">
      <w:bodyDiv w:val="1"/>
      <w:marLeft w:val="0"/>
      <w:marRight w:val="0"/>
      <w:marTop w:val="0"/>
      <w:marBottom w:val="0"/>
      <w:divBdr>
        <w:top w:val="none" w:sz="0" w:space="0" w:color="auto"/>
        <w:left w:val="none" w:sz="0" w:space="0" w:color="auto"/>
        <w:bottom w:val="none" w:sz="0" w:space="0" w:color="auto"/>
        <w:right w:val="none" w:sz="0" w:space="0" w:color="auto"/>
      </w:divBdr>
    </w:div>
    <w:div w:id="60178673">
      <w:bodyDiv w:val="1"/>
      <w:marLeft w:val="0"/>
      <w:marRight w:val="0"/>
      <w:marTop w:val="0"/>
      <w:marBottom w:val="0"/>
      <w:divBdr>
        <w:top w:val="none" w:sz="0" w:space="0" w:color="auto"/>
        <w:left w:val="none" w:sz="0" w:space="0" w:color="auto"/>
        <w:bottom w:val="none" w:sz="0" w:space="0" w:color="auto"/>
        <w:right w:val="none" w:sz="0" w:space="0" w:color="auto"/>
      </w:divBdr>
    </w:div>
    <w:div w:id="240725425">
      <w:bodyDiv w:val="1"/>
      <w:marLeft w:val="0"/>
      <w:marRight w:val="0"/>
      <w:marTop w:val="0"/>
      <w:marBottom w:val="0"/>
      <w:divBdr>
        <w:top w:val="none" w:sz="0" w:space="0" w:color="auto"/>
        <w:left w:val="none" w:sz="0" w:space="0" w:color="auto"/>
        <w:bottom w:val="none" w:sz="0" w:space="0" w:color="auto"/>
        <w:right w:val="none" w:sz="0" w:space="0" w:color="auto"/>
      </w:divBdr>
    </w:div>
    <w:div w:id="365178612">
      <w:bodyDiv w:val="1"/>
      <w:marLeft w:val="0"/>
      <w:marRight w:val="0"/>
      <w:marTop w:val="0"/>
      <w:marBottom w:val="0"/>
      <w:divBdr>
        <w:top w:val="none" w:sz="0" w:space="0" w:color="auto"/>
        <w:left w:val="none" w:sz="0" w:space="0" w:color="auto"/>
        <w:bottom w:val="none" w:sz="0" w:space="0" w:color="auto"/>
        <w:right w:val="none" w:sz="0" w:space="0" w:color="auto"/>
      </w:divBdr>
    </w:div>
    <w:div w:id="371927240">
      <w:bodyDiv w:val="1"/>
      <w:marLeft w:val="0"/>
      <w:marRight w:val="0"/>
      <w:marTop w:val="0"/>
      <w:marBottom w:val="0"/>
      <w:divBdr>
        <w:top w:val="none" w:sz="0" w:space="0" w:color="auto"/>
        <w:left w:val="none" w:sz="0" w:space="0" w:color="auto"/>
        <w:bottom w:val="none" w:sz="0" w:space="0" w:color="auto"/>
        <w:right w:val="none" w:sz="0" w:space="0" w:color="auto"/>
      </w:divBdr>
    </w:div>
    <w:div w:id="399911670">
      <w:bodyDiv w:val="1"/>
      <w:marLeft w:val="0"/>
      <w:marRight w:val="0"/>
      <w:marTop w:val="0"/>
      <w:marBottom w:val="0"/>
      <w:divBdr>
        <w:top w:val="none" w:sz="0" w:space="0" w:color="auto"/>
        <w:left w:val="none" w:sz="0" w:space="0" w:color="auto"/>
        <w:bottom w:val="none" w:sz="0" w:space="0" w:color="auto"/>
        <w:right w:val="none" w:sz="0" w:space="0" w:color="auto"/>
      </w:divBdr>
    </w:div>
    <w:div w:id="447940233">
      <w:bodyDiv w:val="1"/>
      <w:marLeft w:val="0"/>
      <w:marRight w:val="0"/>
      <w:marTop w:val="0"/>
      <w:marBottom w:val="0"/>
      <w:divBdr>
        <w:top w:val="none" w:sz="0" w:space="0" w:color="auto"/>
        <w:left w:val="none" w:sz="0" w:space="0" w:color="auto"/>
        <w:bottom w:val="none" w:sz="0" w:space="0" w:color="auto"/>
        <w:right w:val="none" w:sz="0" w:space="0" w:color="auto"/>
      </w:divBdr>
    </w:div>
    <w:div w:id="536040033">
      <w:bodyDiv w:val="1"/>
      <w:marLeft w:val="0"/>
      <w:marRight w:val="0"/>
      <w:marTop w:val="0"/>
      <w:marBottom w:val="0"/>
      <w:divBdr>
        <w:top w:val="none" w:sz="0" w:space="0" w:color="auto"/>
        <w:left w:val="none" w:sz="0" w:space="0" w:color="auto"/>
        <w:bottom w:val="none" w:sz="0" w:space="0" w:color="auto"/>
        <w:right w:val="none" w:sz="0" w:space="0" w:color="auto"/>
      </w:divBdr>
    </w:div>
    <w:div w:id="714961460">
      <w:bodyDiv w:val="1"/>
      <w:marLeft w:val="0"/>
      <w:marRight w:val="0"/>
      <w:marTop w:val="0"/>
      <w:marBottom w:val="0"/>
      <w:divBdr>
        <w:top w:val="none" w:sz="0" w:space="0" w:color="auto"/>
        <w:left w:val="none" w:sz="0" w:space="0" w:color="auto"/>
        <w:bottom w:val="none" w:sz="0" w:space="0" w:color="auto"/>
        <w:right w:val="none" w:sz="0" w:space="0" w:color="auto"/>
      </w:divBdr>
    </w:div>
    <w:div w:id="889463174">
      <w:bodyDiv w:val="1"/>
      <w:marLeft w:val="0"/>
      <w:marRight w:val="0"/>
      <w:marTop w:val="0"/>
      <w:marBottom w:val="0"/>
      <w:divBdr>
        <w:top w:val="none" w:sz="0" w:space="0" w:color="auto"/>
        <w:left w:val="none" w:sz="0" w:space="0" w:color="auto"/>
        <w:bottom w:val="none" w:sz="0" w:space="0" w:color="auto"/>
        <w:right w:val="none" w:sz="0" w:space="0" w:color="auto"/>
      </w:divBdr>
    </w:div>
    <w:div w:id="955021014">
      <w:bodyDiv w:val="1"/>
      <w:marLeft w:val="0"/>
      <w:marRight w:val="0"/>
      <w:marTop w:val="0"/>
      <w:marBottom w:val="0"/>
      <w:divBdr>
        <w:top w:val="none" w:sz="0" w:space="0" w:color="auto"/>
        <w:left w:val="none" w:sz="0" w:space="0" w:color="auto"/>
        <w:bottom w:val="none" w:sz="0" w:space="0" w:color="auto"/>
        <w:right w:val="none" w:sz="0" w:space="0" w:color="auto"/>
      </w:divBdr>
    </w:div>
    <w:div w:id="1009060269">
      <w:bodyDiv w:val="1"/>
      <w:marLeft w:val="0"/>
      <w:marRight w:val="0"/>
      <w:marTop w:val="0"/>
      <w:marBottom w:val="0"/>
      <w:divBdr>
        <w:top w:val="none" w:sz="0" w:space="0" w:color="auto"/>
        <w:left w:val="none" w:sz="0" w:space="0" w:color="auto"/>
        <w:bottom w:val="none" w:sz="0" w:space="0" w:color="auto"/>
        <w:right w:val="none" w:sz="0" w:space="0" w:color="auto"/>
      </w:divBdr>
    </w:div>
    <w:div w:id="1040318961">
      <w:bodyDiv w:val="1"/>
      <w:marLeft w:val="0"/>
      <w:marRight w:val="0"/>
      <w:marTop w:val="0"/>
      <w:marBottom w:val="0"/>
      <w:divBdr>
        <w:top w:val="none" w:sz="0" w:space="0" w:color="auto"/>
        <w:left w:val="none" w:sz="0" w:space="0" w:color="auto"/>
        <w:bottom w:val="none" w:sz="0" w:space="0" w:color="auto"/>
        <w:right w:val="none" w:sz="0" w:space="0" w:color="auto"/>
      </w:divBdr>
    </w:div>
    <w:div w:id="1086078886">
      <w:bodyDiv w:val="1"/>
      <w:marLeft w:val="0"/>
      <w:marRight w:val="0"/>
      <w:marTop w:val="0"/>
      <w:marBottom w:val="0"/>
      <w:divBdr>
        <w:top w:val="none" w:sz="0" w:space="0" w:color="auto"/>
        <w:left w:val="none" w:sz="0" w:space="0" w:color="auto"/>
        <w:bottom w:val="none" w:sz="0" w:space="0" w:color="auto"/>
        <w:right w:val="none" w:sz="0" w:space="0" w:color="auto"/>
      </w:divBdr>
    </w:div>
    <w:div w:id="1109160980">
      <w:bodyDiv w:val="1"/>
      <w:marLeft w:val="0"/>
      <w:marRight w:val="0"/>
      <w:marTop w:val="0"/>
      <w:marBottom w:val="0"/>
      <w:divBdr>
        <w:top w:val="none" w:sz="0" w:space="0" w:color="auto"/>
        <w:left w:val="none" w:sz="0" w:space="0" w:color="auto"/>
        <w:bottom w:val="none" w:sz="0" w:space="0" w:color="auto"/>
        <w:right w:val="none" w:sz="0" w:space="0" w:color="auto"/>
      </w:divBdr>
    </w:div>
    <w:div w:id="1132479016">
      <w:bodyDiv w:val="1"/>
      <w:marLeft w:val="0"/>
      <w:marRight w:val="0"/>
      <w:marTop w:val="0"/>
      <w:marBottom w:val="0"/>
      <w:divBdr>
        <w:top w:val="none" w:sz="0" w:space="0" w:color="auto"/>
        <w:left w:val="none" w:sz="0" w:space="0" w:color="auto"/>
        <w:bottom w:val="none" w:sz="0" w:space="0" w:color="auto"/>
        <w:right w:val="none" w:sz="0" w:space="0" w:color="auto"/>
      </w:divBdr>
    </w:div>
    <w:div w:id="1179663139">
      <w:bodyDiv w:val="1"/>
      <w:marLeft w:val="0"/>
      <w:marRight w:val="0"/>
      <w:marTop w:val="0"/>
      <w:marBottom w:val="0"/>
      <w:divBdr>
        <w:top w:val="none" w:sz="0" w:space="0" w:color="auto"/>
        <w:left w:val="none" w:sz="0" w:space="0" w:color="auto"/>
        <w:bottom w:val="none" w:sz="0" w:space="0" w:color="auto"/>
        <w:right w:val="none" w:sz="0" w:space="0" w:color="auto"/>
      </w:divBdr>
    </w:div>
    <w:div w:id="1183203458">
      <w:bodyDiv w:val="1"/>
      <w:marLeft w:val="0"/>
      <w:marRight w:val="0"/>
      <w:marTop w:val="0"/>
      <w:marBottom w:val="0"/>
      <w:divBdr>
        <w:top w:val="none" w:sz="0" w:space="0" w:color="auto"/>
        <w:left w:val="none" w:sz="0" w:space="0" w:color="auto"/>
        <w:bottom w:val="none" w:sz="0" w:space="0" w:color="auto"/>
        <w:right w:val="none" w:sz="0" w:space="0" w:color="auto"/>
      </w:divBdr>
    </w:div>
    <w:div w:id="1278835078">
      <w:bodyDiv w:val="1"/>
      <w:marLeft w:val="0"/>
      <w:marRight w:val="0"/>
      <w:marTop w:val="0"/>
      <w:marBottom w:val="0"/>
      <w:divBdr>
        <w:top w:val="none" w:sz="0" w:space="0" w:color="auto"/>
        <w:left w:val="none" w:sz="0" w:space="0" w:color="auto"/>
        <w:bottom w:val="none" w:sz="0" w:space="0" w:color="auto"/>
        <w:right w:val="none" w:sz="0" w:space="0" w:color="auto"/>
      </w:divBdr>
    </w:div>
    <w:div w:id="1280332483">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432167768">
      <w:bodyDiv w:val="1"/>
      <w:marLeft w:val="0"/>
      <w:marRight w:val="0"/>
      <w:marTop w:val="0"/>
      <w:marBottom w:val="0"/>
      <w:divBdr>
        <w:top w:val="none" w:sz="0" w:space="0" w:color="auto"/>
        <w:left w:val="none" w:sz="0" w:space="0" w:color="auto"/>
        <w:bottom w:val="none" w:sz="0" w:space="0" w:color="auto"/>
        <w:right w:val="none" w:sz="0" w:space="0" w:color="auto"/>
      </w:divBdr>
    </w:div>
    <w:div w:id="1466704954">
      <w:bodyDiv w:val="1"/>
      <w:marLeft w:val="0"/>
      <w:marRight w:val="0"/>
      <w:marTop w:val="0"/>
      <w:marBottom w:val="0"/>
      <w:divBdr>
        <w:top w:val="none" w:sz="0" w:space="0" w:color="auto"/>
        <w:left w:val="none" w:sz="0" w:space="0" w:color="auto"/>
        <w:bottom w:val="none" w:sz="0" w:space="0" w:color="auto"/>
        <w:right w:val="none" w:sz="0" w:space="0" w:color="auto"/>
      </w:divBdr>
    </w:div>
    <w:div w:id="1682585437">
      <w:bodyDiv w:val="1"/>
      <w:marLeft w:val="0"/>
      <w:marRight w:val="0"/>
      <w:marTop w:val="0"/>
      <w:marBottom w:val="0"/>
      <w:divBdr>
        <w:top w:val="none" w:sz="0" w:space="0" w:color="auto"/>
        <w:left w:val="none" w:sz="0" w:space="0" w:color="auto"/>
        <w:bottom w:val="none" w:sz="0" w:space="0" w:color="auto"/>
        <w:right w:val="none" w:sz="0" w:space="0" w:color="auto"/>
      </w:divBdr>
    </w:div>
    <w:div w:id="1740712068">
      <w:bodyDiv w:val="1"/>
      <w:marLeft w:val="0"/>
      <w:marRight w:val="0"/>
      <w:marTop w:val="0"/>
      <w:marBottom w:val="0"/>
      <w:divBdr>
        <w:top w:val="none" w:sz="0" w:space="0" w:color="auto"/>
        <w:left w:val="none" w:sz="0" w:space="0" w:color="auto"/>
        <w:bottom w:val="none" w:sz="0" w:space="0" w:color="auto"/>
        <w:right w:val="none" w:sz="0" w:space="0" w:color="auto"/>
      </w:divBdr>
    </w:div>
    <w:div w:id="1824543712">
      <w:bodyDiv w:val="1"/>
      <w:marLeft w:val="0"/>
      <w:marRight w:val="0"/>
      <w:marTop w:val="0"/>
      <w:marBottom w:val="0"/>
      <w:divBdr>
        <w:top w:val="none" w:sz="0" w:space="0" w:color="auto"/>
        <w:left w:val="none" w:sz="0" w:space="0" w:color="auto"/>
        <w:bottom w:val="none" w:sz="0" w:space="0" w:color="auto"/>
        <w:right w:val="none" w:sz="0" w:space="0" w:color="auto"/>
      </w:divBdr>
    </w:div>
    <w:div w:id="1891187447">
      <w:bodyDiv w:val="1"/>
      <w:marLeft w:val="0"/>
      <w:marRight w:val="0"/>
      <w:marTop w:val="0"/>
      <w:marBottom w:val="0"/>
      <w:divBdr>
        <w:top w:val="none" w:sz="0" w:space="0" w:color="auto"/>
        <w:left w:val="none" w:sz="0" w:space="0" w:color="auto"/>
        <w:bottom w:val="none" w:sz="0" w:space="0" w:color="auto"/>
        <w:right w:val="none" w:sz="0" w:space="0" w:color="auto"/>
      </w:divBdr>
    </w:div>
    <w:div w:id="2032871999">
      <w:bodyDiv w:val="1"/>
      <w:marLeft w:val="0"/>
      <w:marRight w:val="0"/>
      <w:marTop w:val="0"/>
      <w:marBottom w:val="0"/>
      <w:divBdr>
        <w:top w:val="none" w:sz="0" w:space="0" w:color="auto"/>
        <w:left w:val="none" w:sz="0" w:space="0" w:color="auto"/>
        <w:bottom w:val="none" w:sz="0" w:space="0" w:color="auto"/>
        <w:right w:val="none" w:sz="0" w:space="0" w:color="auto"/>
      </w:divBdr>
    </w:div>
    <w:div w:id="2038971436">
      <w:bodyDiv w:val="1"/>
      <w:marLeft w:val="0"/>
      <w:marRight w:val="0"/>
      <w:marTop w:val="0"/>
      <w:marBottom w:val="0"/>
      <w:divBdr>
        <w:top w:val="none" w:sz="0" w:space="0" w:color="auto"/>
        <w:left w:val="none" w:sz="0" w:space="0" w:color="auto"/>
        <w:bottom w:val="none" w:sz="0" w:space="0" w:color="auto"/>
        <w:right w:val="none" w:sz="0" w:space="0" w:color="auto"/>
      </w:divBdr>
    </w:div>
    <w:div w:id="21025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es/SDPsummary.asp" TargetMode="External"/><Relationship Id="rId13" Type="http://schemas.openxmlformats.org/officeDocument/2006/relationships/hyperlink" Target="https://www.iccat.int/Documents/Recs/compendiopdf-s/2024-05-s.pdf" TargetMode="External"/><Relationship Id="rId18" Type="http://schemas.openxmlformats.org/officeDocument/2006/relationships/hyperlink" Target="https://www.iccat.int/Documents/Recs/compendiopdf-s/2024-05-s.pdf"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iccat.int/es/portinspection.html" TargetMode="External"/><Relationship Id="rId7" Type="http://schemas.openxmlformats.org/officeDocument/2006/relationships/endnotes" Target="endnotes.xml"/><Relationship Id="rId12" Type="http://schemas.openxmlformats.org/officeDocument/2006/relationships/hyperlink" Target="https://etuna.iccat.int" TargetMode="External"/><Relationship Id="rId17" Type="http://schemas.openxmlformats.org/officeDocument/2006/relationships/hyperlink" Target="https://www.iccat.int/Documents/Recs/compendiopdf-s/2014-07-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cat.int/Documents/Recs/compendiopdf-s/2013-14-s.pdf" TargetMode="External"/><Relationship Id="rId20" Type="http://schemas.openxmlformats.org/officeDocument/2006/relationships/hyperlink" Target="https://iccat.int/es/Ports.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es/SDPsummary.as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cat.int/Documents/Recs/compendiopdf-s/2016-14-s.pdf" TargetMode="External"/><Relationship Id="rId23" Type="http://schemas.openxmlformats.org/officeDocument/2006/relationships/hyperlink" Target="https://www.iccat.int/Documents/Recs/compendiopdf-s/2003-12-s.pdf" TargetMode="External"/><Relationship Id="rId28" Type="http://schemas.openxmlformats.org/officeDocument/2006/relationships/image" Target="media/image3.png"/><Relationship Id="rId10" Type="http://schemas.openxmlformats.org/officeDocument/2006/relationships/hyperlink" Target="https://www.iccat.int/Documents/Recs/compendiopdf-e/2001-22-e.pdf" TargetMode="External"/><Relationship Id="rId19" Type="http://schemas.openxmlformats.org/officeDocument/2006/relationships/hyperlink" Target="https://www.iccat.int/Documents/Recs/compendiopdf-s/2016-05-s.pdf" TargetMode="External"/><Relationship Id="rId4" Type="http://schemas.openxmlformats.org/officeDocument/2006/relationships/settings" Target="settings.xml"/><Relationship Id="rId9" Type="http://schemas.openxmlformats.org/officeDocument/2006/relationships/hyperlink" Target="https://www.iccat.int/Documents/Recs/compendiopdf-e/2001-21-e.pdf" TargetMode="External"/><Relationship Id="rId14" Type="http://schemas.openxmlformats.org/officeDocument/2006/relationships/hyperlink" Target="https://www.iccat.int/Documents/Recs/compendiopdf-s/2024-01-s.pdf" TargetMode="External"/><Relationship Id="rId22" Type="http://schemas.openxmlformats.org/officeDocument/2006/relationships/hyperlink" Target="https://www.iccat.int/es/portinspection.html" TargetMode="External"/><Relationship Id="rId27" Type="http://schemas.openxmlformats.org/officeDocument/2006/relationships/image" Target="media/image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B615D-C403-4D3C-9A45-42FF761C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11</Pages>
  <Words>2778</Words>
  <Characters>15281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M'Hamed Idrissi</dc:creator>
  <cp:keywords/>
  <dc:description/>
  <cp:lastModifiedBy>Author</cp:lastModifiedBy>
  <cp:revision>61</cp:revision>
  <dcterms:created xsi:type="dcterms:W3CDTF">2024-10-29T09:25:00Z</dcterms:created>
  <dcterms:modified xsi:type="dcterms:W3CDTF">2025-11-16T16:29:00Z</dcterms:modified>
</cp:coreProperties>
</file>