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1916" w14:textId="77777777" w:rsidR="00B577D3" w:rsidRPr="00E33CD3" w:rsidRDefault="004C246C" w:rsidP="00E22A18">
      <w:pPr>
        <w:pStyle w:val="Heading1"/>
      </w:pPr>
      <w:r w:rsidRPr="00E33CD3">
        <w:t>Original: inglés</w:t>
      </w:r>
    </w:p>
    <w:p w14:paraId="555A1917" w14:textId="77777777" w:rsidR="00B577D3" w:rsidRPr="00E33CD3" w:rsidRDefault="00B577D3" w:rsidP="00E33CD3">
      <w:pPr>
        <w:pStyle w:val="Standard"/>
        <w:shd w:val="clear" w:color="auto" w:fill="FFFFFF" w:themeFill="background1"/>
        <w:jc w:val="center"/>
        <w:rPr>
          <w:rFonts w:ascii="Cambria" w:hAnsi="Cambria"/>
          <w:b/>
          <w:bCs/>
          <w:sz w:val="20"/>
          <w:szCs w:val="20"/>
        </w:rPr>
      </w:pPr>
    </w:p>
    <w:p w14:paraId="16417C56" w14:textId="77777777" w:rsidR="00951648" w:rsidRPr="00E33CD3" w:rsidRDefault="004C246C" w:rsidP="00E33CD3">
      <w:pPr>
        <w:pStyle w:val="Standard"/>
        <w:shd w:val="clear" w:color="auto" w:fill="FFFFFF" w:themeFill="background1"/>
        <w:jc w:val="center"/>
        <w:rPr>
          <w:rFonts w:ascii="Cambria" w:hAnsi="Cambria"/>
          <w:b/>
          <w:bCs/>
          <w:sz w:val="20"/>
          <w:szCs w:val="20"/>
        </w:rPr>
      </w:pPr>
      <w:bookmarkStart w:id="0" w:name="_Hlk214464917"/>
      <w:r w:rsidRPr="00E33CD3">
        <w:rPr>
          <w:rFonts w:ascii="Cambria" w:hAnsi="Cambria"/>
          <w:b/>
          <w:bCs/>
          <w:sz w:val="20"/>
          <w:szCs w:val="20"/>
        </w:rPr>
        <w:t xml:space="preserve">Proyecto de Resolución de ICCAT sobre la implementación del Acuerdo de las Naciones Unidas </w:t>
      </w:r>
    </w:p>
    <w:p w14:paraId="18D31A4F" w14:textId="77777777" w:rsidR="00951648" w:rsidRPr="00E33CD3" w:rsidRDefault="004C246C" w:rsidP="00E33CD3">
      <w:pPr>
        <w:pStyle w:val="Standard"/>
        <w:shd w:val="clear" w:color="auto" w:fill="FFFFFF" w:themeFill="background1"/>
        <w:jc w:val="center"/>
        <w:rPr>
          <w:rFonts w:ascii="Cambria" w:hAnsi="Cambria"/>
          <w:b/>
          <w:bCs/>
          <w:sz w:val="20"/>
          <w:szCs w:val="20"/>
        </w:rPr>
      </w:pPr>
      <w:r w:rsidRPr="00E33CD3">
        <w:rPr>
          <w:rFonts w:ascii="Cambria" w:hAnsi="Cambria"/>
          <w:b/>
          <w:bCs/>
          <w:sz w:val="20"/>
          <w:szCs w:val="20"/>
        </w:rPr>
        <w:t xml:space="preserve">para la protección de la diversidad biológica marina de las zonas situadas </w:t>
      </w:r>
    </w:p>
    <w:p w14:paraId="555A1918" w14:textId="694BB7B2" w:rsidR="00B577D3" w:rsidRPr="00E33CD3" w:rsidRDefault="004C246C" w:rsidP="00E33CD3">
      <w:pPr>
        <w:pStyle w:val="Standard"/>
        <w:shd w:val="clear" w:color="auto" w:fill="FFFFFF" w:themeFill="background1"/>
        <w:jc w:val="center"/>
      </w:pPr>
      <w:r w:rsidRPr="00E33CD3">
        <w:rPr>
          <w:rFonts w:ascii="Cambria" w:hAnsi="Cambria"/>
          <w:b/>
          <w:bCs/>
          <w:sz w:val="20"/>
          <w:szCs w:val="20"/>
        </w:rPr>
        <w:t>fuera de la jurisdicción nacional (BBNJ)</w:t>
      </w:r>
    </w:p>
    <w:p w14:paraId="555A1919" w14:textId="77777777" w:rsidR="00B577D3" w:rsidRPr="00E33CD3" w:rsidRDefault="004C246C" w:rsidP="00E33CD3">
      <w:pPr>
        <w:shd w:val="clear" w:color="auto" w:fill="FFFFFF" w:themeFill="background1"/>
        <w:jc w:val="center"/>
        <w:rPr>
          <w:rFonts w:ascii="Cambria" w:hAnsi="Cambria"/>
          <w:i/>
          <w:iCs/>
          <w:sz w:val="20"/>
          <w:szCs w:val="20"/>
        </w:rPr>
      </w:pPr>
      <w:r w:rsidRPr="00E33CD3">
        <w:rPr>
          <w:rFonts w:ascii="Cambria" w:hAnsi="Cambria"/>
          <w:i/>
          <w:iCs/>
          <w:sz w:val="20"/>
          <w:szCs w:val="20"/>
        </w:rPr>
        <w:t>(presentado por el presidente de la Comisión)</w:t>
      </w:r>
    </w:p>
    <w:bookmarkEnd w:id="0"/>
    <w:p w14:paraId="555A191A"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1B"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1C" w14:textId="77777777" w:rsidR="00B577D3" w:rsidRPr="00E33CD3" w:rsidRDefault="004C246C" w:rsidP="00E33CD3">
      <w:pPr>
        <w:pStyle w:val="Standard"/>
        <w:shd w:val="clear" w:color="auto" w:fill="FFFFFF" w:themeFill="background1"/>
        <w:jc w:val="both"/>
      </w:pPr>
      <w:r w:rsidRPr="00E33CD3">
        <w:rPr>
          <w:rFonts w:ascii="Cambria" w:hAnsi="Cambria"/>
          <w:sz w:val="20"/>
          <w:szCs w:val="20"/>
        </w:rPr>
        <w:t>El Acuerdo en el marco de la Convención de las Naciones Unidas sobre el Derecho del Mar relativo a la Conservación y el Uso Sostenible de la Diversidad Biológica Marina de las Zonas Situadas Fuera de la Jurisdicción Nacional (denominado BBNJ) entrará en vigor el 17 de enero de 2026, y se están llevando a cabo debates sobre su implementación práctica en un futuro próximo, incluida la función que desempeñarán las organizaciones regionales de ordenación pesquera (OROP), como ICCAT.</w:t>
      </w:r>
    </w:p>
    <w:p w14:paraId="555A191D"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1E" w14:textId="77777777"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rPr>
        <w:t>CONSIDERANDO</w:t>
      </w:r>
      <w:r w:rsidRPr="00E33CD3">
        <w:rPr>
          <w:rFonts w:ascii="Cambria" w:hAnsi="Cambria"/>
          <w:sz w:val="20"/>
          <w:szCs w:val="20"/>
        </w:rPr>
        <w:t xml:space="preserve"> que, con vistas a decidir sobre la imple</w:t>
      </w:r>
      <w:r w:rsidRPr="00E33CD3">
        <w:rPr>
          <w:rFonts w:ascii="Cambria" w:hAnsi="Cambria"/>
          <w:sz w:val="20"/>
          <w:szCs w:val="20"/>
          <w:shd w:val="clear" w:color="auto" w:fill="FFFFFF" w:themeFill="background1"/>
        </w:rPr>
        <w:t xml:space="preserve">mentación práctica del Acuerdo, está previsto celebrar una primera Conferencia de las Partes a finales de </w:t>
      </w:r>
      <w:r w:rsidRPr="00E33CD3">
        <w:rPr>
          <w:rFonts w:ascii="Cambria" w:hAnsi="Cambria"/>
          <w:sz w:val="20"/>
          <w:szCs w:val="20"/>
        </w:rPr>
        <w:t>2026;</w:t>
      </w:r>
    </w:p>
    <w:p w14:paraId="555A191F"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20" w14:textId="7D2B41D3"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rPr>
        <w:t>CONSIDERANDO</w:t>
      </w:r>
      <w:r w:rsidRPr="00E33CD3">
        <w:rPr>
          <w:rFonts w:ascii="Cambria" w:hAnsi="Cambria"/>
          <w:sz w:val="20"/>
          <w:szCs w:val="20"/>
        </w:rPr>
        <w:t xml:space="preserve"> que el Acuerdo reconoce, en su artículo 5.2, que "el presente Acuerdo se interpretará y aplicará de manera que no vaya en detrimento de los instrumentos y marcos jurídicos pertinentes ni los órganos mundiales, regionales, subregionales y sectoriales competentes y promueva la coherencia y la coordinación con esos instrumentos, marcos y órga</w:t>
      </w:r>
      <w:r w:rsidRPr="00E33CD3">
        <w:rPr>
          <w:rFonts w:ascii="Cambria" w:hAnsi="Cambria"/>
          <w:sz w:val="20"/>
          <w:szCs w:val="20"/>
          <w:shd w:val="clear" w:color="auto" w:fill="FFFFFF" w:themeFill="background1"/>
        </w:rPr>
        <w:t>nos";</w:t>
      </w:r>
    </w:p>
    <w:p w14:paraId="555A1921" w14:textId="77777777" w:rsidR="00B577D3" w:rsidRPr="00E33CD3" w:rsidRDefault="00B577D3" w:rsidP="00E33CD3">
      <w:pPr>
        <w:pStyle w:val="Standard"/>
        <w:shd w:val="clear" w:color="auto" w:fill="FFFFFF" w:themeFill="background1"/>
        <w:jc w:val="both"/>
        <w:rPr>
          <w:rFonts w:ascii="Cambria" w:hAnsi="Cambria"/>
          <w:sz w:val="20"/>
          <w:szCs w:val="20"/>
          <w:shd w:val="clear" w:color="auto" w:fill="FFFF00"/>
        </w:rPr>
      </w:pPr>
    </w:p>
    <w:p w14:paraId="555A1922" w14:textId="77777777"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shd w:val="clear" w:color="auto" w:fill="FFFFFF" w:themeFill="background1"/>
        </w:rPr>
        <w:t xml:space="preserve">CONSIDERANDO </w:t>
      </w:r>
      <w:r w:rsidRPr="00E33CD3">
        <w:rPr>
          <w:rFonts w:ascii="Cambria" w:hAnsi="Cambria"/>
          <w:sz w:val="20"/>
          <w:szCs w:val="20"/>
          <w:shd w:val="clear" w:color="auto" w:fill="FFFFFF" w:themeFill="background1"/>
        </w:rPr>
        <w:t>que el Acuerdo ha identificado, como instrumento principal, el uso de herramientas de ordenación basadas en zonas (ABMT), incluidas las zonas marinas protegidas,</w:t>
      </w:r>
      <w:r w:rsidRPr="00E33CD3">
        <w:rPr>
          <w:rFonts w:ascii="Cambria" w:hAnsi="Cambria"/>
          <w:sz w:val="20"/>
          <w:szCs w:val="20"/>
        </w:rPr>
        <w:t xml:space="preserve"> y que, si bien estos instrumentos son adecuados para la protección de los ecosistemas del fondo, resultan menos adecuados para la protección de la biodiversidad en los ecosistemas en mar abierto, caracterizados por la falta de límites claros y los patrones migratorios de gran parte de la biota que debe protegerse; y que esto hace que sea muy importante identificar herramientas diseñadas específicamente para la protección de la biodiversidad en estos ecosistemas;</w:t>
      </w:r>
    </w:p>
    <w:p w14:paraId="555A1923"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24" w14:textId="77777777"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rPr>
        <w:t>CONSIDERANDO</w:t>
      </w:r>
      <w:r w:rsidRPr="00E33CD3">
        <w:rPr>
          <w:rFonts w:ascii="Cambria" w:hAnsi="Cambria"/>
          <w:sz w:val="20"/>
          <w:szCs w:val="20"/>
        </w:rPr>
        <w:t xml:space="preserve"> que ICCAT cuenta con una larga tradición en la adopción de medidas para proteger las especies marinas afectadas por las pesquerías dirigidas a los túnidos y especies afines;</w:t>
      </w:r>
    </w:p>
    <w:p w14:paraId="555A1925"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26" w14:textId="77777777"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rPr>
        <w:t>CONSIDERANDO</w:t>
      </w:r>
      <w:r w:rsidRPr="00E33CD3">
        <w:rPr>
          <w:rFonts w:ascii="Cambria" w:hAnsi="Cambria"/>
          <w:sz w:val="20"/>
          <w:szCs w:val="20"/>
        </w:rPr>
        <w:t xml:space="preserve"> que ICCAT, y en particular su Comité Permanente de Investigación y Estadísticas (SCRS), ha acumulado a lo largo de los años un profundo conocimiento del ecosistema pelágico oceánico que resulta extremadamente valioso para una implementación significativa del BBNJ;</w:t>
      </w:r>
    </w:p>
    <w:p w14:paraId="555A1927" w14:textId="77777777" w:rsidR="00B577D3" w:rsidRPr="00E33CD3" w:rsidRDefault="00B577D3" w:rsidP="00E33CD3">
      <w:pPr>
        <w:pStyle w:val="Standard"/>
        <w:shd w:val="clear" w:color="auto" w:fill="FFFFFF" w:themeFill="background1"/>
        <w:jc w:val="both"/>
        <w:rPr>
          <w:rFonts w:ascii="Cambria" w:hAnsi="Cambria"/>
          <w:i/>
          <w:iCs/>
          <w:sz w:val="20"/>
          <w:szCs w:val="20"/>
        </w:rPr>
      </w:pPr>
    </w:p>
    <w:p w14:paraId="555A1928" w14:textId="77777777" w:rsidR="00B577D3" w:rsidRPr="00E33CD3" w:rsidRDefault="004C246C" w:rsidP="00E33CD3">
      <w:pPr>
        <w:pStyle w:val="Standard"/>
        <w:shd w:val="clear" w:color="auto" w:fill="FFFFFF" w:themeFill="background1"/>
        <w:tabs>
          <w:tab w:val="left" w:pos="426"/>
        </w:tabs>
        <w:ind w:firstLine="426"/>
        <w:jc w:val="both"/>
      </w:pPr>
      <w:r w:rsidRPr="00E33CD3">
        <w:rPr>
          <w:rFonts w:ascii="Cambria" w:hAnsi="Cambria"/>
          <w:i/>
          <w:iCs/>
          <w:sz w:val="20"/>
          <w:szCs w:val="20"/>
        </w:rPr>
        <w:t>CONSIDERANDO</w:t>
      </w:r>
      <w:r w:rsidRPr="00E33CD3">
        <w:rPr>
          <w:rFonts w:ascii="Cambria" w:hAnsi="Cambria"/>
          <w:sz w:val="20"/>
          <w:szCs w:val="20"/>
        </w:rPr>
        <w:t xml:space="preserve"> que, por lo tanto, es muy importante que ICCAT esté preparada para contribuir de manera sustancial, a su debido tiempo, a la implementación del Acuerdo en el ecosistema oceánico del océano Atlántico y mares adyacentes.</w:t>
      </w:r>
    </w:p>
    <w:p w14:paraId="555A1929"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2A"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2B" w14:textId="77777777" w:rsidR="00B577D3" w:rsidRPr="00E33CD3" w:rsidRDefault="004C246C" w:rsidP="00E33CD3">
      <w:pPr>
        <w:pStyle w:val="Standard"/>
        <w:shd w:val="clear" w:color="auto" w:fill="FFFFFF" w:themeFill="background1"/>
        <w:jc w:val="center"/>
        <w:rPr>
          <w:rFonts w:ascii="Cambria" w:hAnsi="Cambria"/>
          <w:sz w:val="20"/>
          <w:szCs w:val="20"/>
        </w:rPr>
      </w:pPr>
      <w:r w:rsidRPr="00E33CD3">
        <w:rPr>
          <w:rFonts w:ascii="Cambria" w:hAnsi="Cambria"/>
          <w:sz w:val="20"/>
          <w:szCs w:val="20"/>
        </w:rPr>
        <w:t>LA COMISIÓN INTERNACIONAL PARA LA</w:t>
      </w:r>
    </w:p>
    <w:p w14:paraId="555A192C" w14:textId="77777777" w:rsidR="00B577D3" w:rsidRPr="00E33CD3" w:rsidRDefault="004C246C" w:rsidP="00E33CD3">
      <w:pPr>
        <w:pStyle w:val="Standard"/>
        <w:shd w:val="clear" w:color="auto" w:fill="FFFFFF" w:themeFill="background1"/>
        <w:jc w:val="center"/>
        <w:rPr>
          <w:rFonts w:ascii="Cambria" w:hAnsi="Cambria"/>
          <w:sz w:val="20"/>
          <w:szCs w:val="20"/>
        </w:rPr>
      </w:pPr>
      <w:r w:rsidRPr="00E33CD3">
        <w:rPr>
          <w:rFonts w:ascii="Cambria" w:hAnsi="Cambria"/>
          <w:sz w:val="20"/>
          <w:szCs w:val="20"/>
        </w:rPr>
        <w:t>CONSERVACIÓN DEL ATÚN ATLÁNTICO (ICCAT) RESUELVE:</w:t>
      </w:r>
    </w:p>
    <w:p w14:paraId="555A192D" w14:textId="77777777" w:rsidR="00B577D3" w:rsidRPr="00E33CD3" w:rsidRDefault="00B577D3" w:rsidP="00E33CD3">
      <w:pPr>
        <w:pStyle w:val="Standard"/>
        <w:shd w:val="clear" w:color="auto" w:fill="FFFFFF" w:themeFill="background1"/>
        <w:jc w:val="center"/>
        <w:rPr>
          <w:rFonts w:ascii="Cambria" w:hAnsi="Cambria"/>
          <w:sz w:val="20"/>
          <w:szCs w:val="20"/>
        </w:rPr>
      </w:pPr>
    </w:p>
    <w:p w14:paraId="555A192E" w14:textId="77777777" w:rsidR="00B577D3" w:rsidRPr="00E33CD3" w:rsidRDefault="004C246C" w:rsidP="00E33CD3">
      <w:pPr>
        <w:pStyle w:val="Standard"/>
        <w:numPr>
          <w:ilvl w:val="0"/>
          <w:numId w:val="1"/>
        </w:numPr>
        <w:shd w:val="clear" w:color="auto" w:fill="FFFFFF" w:themeFill="background1"/>
        <w:ind w:left="426" w:hanging="426"/>
        <w:jc w:val="both"/>
        <w:rPr>
          <w:rFonts w:ascii="Cambria" w:hAnsi="Cambria"/>
          <w:sz w:val="20"/>
          <w:szCs w:val="20"/>
        </w:rPr>
      </w:pPr>
      <w:r w:rsidRPr="00E33CD3">
        <w:rPr>
          <w:rFonts w:ascii="Cambria" w:hAnsi="Cambria"/>
          <w:sz w:val="20"/>
          <w:szCs w:val="20"/>
        </w:rPr>
        <w:t>Garantizar que el debate en curso sobre un nuevo Plan estratégico para la ciencia del SCRS tenga debidamente en cuenta la necesidad de proporcionar asesoramiento sobre la protección de la biodiversidad marina en el contexto de la implementación del BBNJ.</w:t>
      </w:r>
    </w:p>
    <w:p w14:paraId="555A192F"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30" w14:textId="77777777" w:rsidR="00B577D3" w:rsidRPr="00E33CD3" w:rsidRDefault="004C246C" w:rsidP="00E33CD3">
      <w:pPr>
        <w:pStyle w:val="Standard"/>
        <w:numPr>
          <w:ilvl w:val="0"/>
          <w:numId w:val="1"/>
        </w:numPr>
        <w:shd w:val="clear" w:color="auto" w:fill="FFFFFF" w:themeFill="background1"/>
        <w:ind w:left="426" w:hanging="426"/>
        <w:jc w:val="both"/>
        <w:rPr>
          <w:rFonts w:ascii="Cambria" w:hAnsi="Cambria"/>
          <w:sz w:val="20"/>
          <w:szCs w:val="20"/>
        </w:rPr>
      </w:pPr>
      <w:r w:rsidRPr="00E33CD3">
        <w:rPr>
          <w:rFonts w:ascii="Cambria" w:hAnsi="Cambria"/>
          <w:sz w:val="20"/>
          <w:szCs w:val="20"/>
        </w:rPr>
        <w:t>Garantizar que la tercera revisión del desempeño de la Comisión, que se llevará a cabo en los próximos años, tenga debidamente en cuenta las posibles mejoras en su desempeño para permitir, entre otras cosas, una contribución significativa de ICCAT a la implementación del BBNJ.</w:t>
      </w:r>
    </w:p>
    <w:p w14:paraId="555A1931"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32" w14:textId="77777777" w:rsidR="00B577D3" w:rsidRPr="00E33CD3" w:rsidRDefault="004C246C" w:rsidP="00E33CD3">
      <w:pPr>
        <w:pStyle w:val="Standard"/>
        <w:numPr>
          <w:ilvl w:val="0"/>
          <w:numId w:val="1"/>
        </w:numPr>
        <w:shd w:val="clear" w:color="auto" w:fill="FFFFFF" w:themeFill="background1"/>
        <w:ind w:left="426" w:hanging="426"/>
        <w:jc w:val="both"/>
      </w:pPr>
      <w:r w:rsidRPr="00E33CD3">
        <w:rPr>
          <w:rFonts w:ascii="Cambria" w:hAnsi="Cambria"/>
          <w:sz w:val="20"/>
          <w:szCs w:val="20"/>
        </w:rPr>
        <w:t xml:space="preserve">Instar a las CPC </w:t>
      </w:r>
      <w:r w:rsidRPr="00E33CD3">
        <w:rPr>
          <w:rFonts w:ascii="Cambria" w:hAnsi="Cambria"/>
          <w:sz w:val="20"/>
          <w:szCs w:val="20"/>
          <w:shd w:val="clear" w:color="auto" w:fill="FFFFFF" w:themeFill="background1"/>
        </w:rPr>
        <w:t>a que se coordinen a nivel nacional con los departamentos pertinentes y a que envíen expertos en pesca, como parte de sus delegaciones, a la próxima Comisión Preparatoria, así como a la próxima Conferencia de las Partes en el Acuerdo, con el fin de subrayar la importancia de la actividad pesquera en el contexto de su implementación, y en particular en lo que respecta a la seguridad alimentaria, y garantizar una representación adecuada de los expertos pesqueros en los órganos pertinentes del BBNJ</w:t>
      </w:r>
      <w:r w:rsidRPr="00E33CD3">
        <w:rPr>
          <w:rFonts w:ascii="Cambria" w:hAnsi="Cambria"/>
          <w:sz w:val="20"/>
          <w:szCs w:val="20"/>
        </w:rPr>
        <w:t>.</w:t>
      </w:r>
    </w:p>
    <w:p w14:paraId="555A1933"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34" w14:textId="77777777" w:rsidR="00B577D3" w:rsidRPr="00E33CD3" w:rsidRDefault="004C246C" w:rsidP="00E33CD3">
      <w:pPr>
        <w:pStyle w:val="Standard"/>
        <w:numPr>
          <w:ilvl w:val="0"/>
          <w:numId w:val="1"/>
        </w:numPr>
        <w:shd w:val="clear" w:color="auto" w:fill="FFFFFF" w:themeFill="background1"/>
        <w:ind w:left="426" w:hanging="426"/>
        <w:jc w:val="both"/>
      </w:pPr>
      <w:r w:rsidRPr="00E33CD3">
        <w:rPr>
          <w:rFonts w:ascii="Cambria" w:hAnsi="Cambria"/>
          <w:sz w:val="20"/>
          <w:szCs w:val="20"/>
        </w:rPr>
        <w:t>Encargar a la Secretaría de ICCAT que</w:t>
      </w:r>
      <w:r w:rsidRPr="00E33CD3">
        <w:rPr>
          <w:rFonts w:ascii="Cambria" w:hAnsi="Cambria"/>
          <w:sz w:val="20"/>
          <w:szCs w:val="20"/>
          <w:shd w:val="clear" w:color="auto" w:fill="FFFFFF" w:themeFill="background1"/>
        </w:rPr>
        <w:t xml:space="preserve"> continúe realizando un seguimiento de las reuniones preparatorias, así como de futuras reuniones relevantes del BBNJ, </w:t>
      </w:r>
      <w:r w:rsidRPr="00E33CD3">
        <w:rPr>
          <w:rFonts w:ascii="Cambria" w:hAnsi="Cambria"/>
          <w:sz w:val="20"/>
          <w:szCs w:val="20"/>
        </w:rPr>
        <w:t>con el objetivo de informar a las CPC de las decisiones adoptadas y, en particular, del papel más específico que desempeñarán las OROP en la implementación del BBNJ.</w:t>
      </w:r>
    </w:p>
    <w:p w14:paraId="555A1935"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36" w14:textId="77777777" w:rsidR="00B577D3" w:rsidRPr="00E33CD3" w:rsidRDefault="004C246C" w:rsidP="00E33CD3">
      <w:pPr>
        <w:pStyle w:val="Standard"/>
        <w:numPr>
          <w:ilvl w:val="0"/>
          <w:numId w:val="1"/>
        </w:numPr>
        <w:shd w:val="clear" w:color="auto" w:fill="FFFFFF" w:themeFill="background1"/>
        <w:ind w:left="426" w:hanging="426"/>
        <w:jc w:val="both"/>
        <w:rPr>
          <w:rFonts w:ascii="Cambria" w:hAnsi="Cambria"/>
          <w:sz w:val="20"/>
          <w:szCs w:val="20"/>
        </w:rPr>
      </w:pPr>
      <w:r w:rsidRPr="00E33CD3">
        <w:rPr>
          <w:rFonts w:ascii="Cambria" w:hAnsi="Cambria"/>
          <w:sz w:val="20"/>
          <w:szCs w:val="20"/>
        </w:rPr>
        <w:t>Encargar a la Secretaría de ICCAT que coopere con otras OROP, en particular las OROP de túnidos, con miras a coordinar las contribuciones al proceso de implementación del BBNJ, e informar a las CPC sobre cualquier avance.</w:t>
      </w:r>
    </w:p>
    <w:p w14:paraId="555A1937" w14:textId="77777777" w:rsidR="00B577D3" w:rsidRPr="00E33CD3" w:rsidRDefault="00B577D3" w:rsidP="00E33CD3">
      <w:pPr>
        <w:pStyle w:val="Standard"/>
        <w:shd w:val="clear" w:color="auto" w:fill="FFFFFF" w:themeFill="background1"/>
        <w:jc w:val="both"/>
        <w:rPr>
          <w:rFonts w:ascii="Cambria" w:hAnsi="Cambria"/>
          <w:sz w:val="20"/>
          <w:szCs w:val="20"/>
        </w:rPr>
      </w:pPr>
    </w:p>
    <w:p w14:paraId="555A1938" w14:textId="77777777" w:rsidR="00B577D3" w:rsidRPr="00E33CD3" w:rsidRDefault="004C246C" w:rsidP="00E33CD3">
      <w:pPr>
        <w:pStyle w:val="Standard"/>
        <w:numPr>
          <w:ilvl w:val="0"/>
          <w:numId w:val="1"/>
        </w:numPr>
        <w:shd w:val="clear" w:color="auto" w:fill="FFFFFF" w:themeFill="background1"/>
        <w:ind w:left="426" w:hanging="426"/>
        <w:jc w:val="both"/>
      </w:pPr>
      <w:r w:rsidRPr="00E33CD3">
        <w:rPr>
          <w:rFonts w:ascii="Cambria" w:hAnsi="Cambria"/>
          <w:sz w:val="20"/>
          <w:szCs w:val="20"/>
        </w:rPr>
        <w:t>Garantizar el seguimiento adecuado de este asunto mediante la inclusión de un punto específico en el orden del día de todas las futuras reuniones plenarias de la Comisión.</w:t>
      </w:r>
    </w:p>
    <w:sectPr w:rsidR="00B577D3" w:rsidRPr="00E33CD3">
      <w:headerReference w:type="default" r:id="rId7"/>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1A" w14:textId="77777777" w:rsidR="004C246C" w:rsidRDefault="004C246C">
      <w:r>
        <w:separator/>
      </w:r>
    </w:p>
  </w:endnote>
  <w:endnote w:type="continuationSeparator" w:id="0">
    <w:p w14:paraId="555A191C" w14:textId="77777777" w:rsidR="004C246C" w:rsidRDefault="004C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921" w14:textId="77777777" w:rsidR="004C246C" w:rsidRDefault="004C246C">
    <w:pPr>
      <w:pStyle w:val="Footer"/>
      <w:jc w:val="center"/>
    </w:pPr>
    <w:r>
      <w:rPr>
        <w:rFonts w:ascii="Cambria" w:hAnsi="Cambria"/>
        <w:sz w:val="20"/>
        <w:szCs w:val="20"/>
      </w:rPr>
      <w:fldChar w:fldCharType="begin"/>
    </w:r>
    <w:r>
      <w:rPr>
        <w:rFonts w:ascii="Cambria" w:hAnsi="Cambria"/>
        <w:sz w:val="20"/>
        <w:szCs w:val="20"/>
      </w:rPr>
      <w:instrText xml:space="preserve"> PAGE </w:instrText>
    </w:r>
    <w:r>
      <w:rPr>
        <w:rFonts w:ascii="Cambria" w:hAnsi="Cambria"/>
        <w:sz w:val="20"/>
        <w:szCs w:val="20"/>
      </w:rPr>
      <w:fldChar w:fldCharType="separate"/>
    </w:r>
    <w:r>
      <w:rPr>
        <w:rFonts w:ascii="Cambria" w:hAnsi="Cambria"/>
        <w:sz w:val="20"/>
        <w:szCs w:val="20"/>
      </w:rPr>
      <w:t>1</w:t>
    </w:r>
    <w:r>
      <w:rPr>
        <w:rFonts w:ascii="Cambria" w:hAnsi="Cambria"/>
        <w:sz w:val="20"/>
        <w:szCs w:val="20"/>
      </w:rPr>
      <w:fldChar w:fldCharType="end"/>
    </w:r>
    <w:r>
      <w:rPr>
        <w:rFonts w:ascii="Cambria" w:hAnsi="Cambria"/>
        <w:sz w:val="20"/>
        <w:szCs w:val="20"/>
      </w:rPr>
      <w:t xml:space="preserve"> / </w:t>
    </w:r>
    <w:r>
      <w:rPr>
        <w:rFonts w:ascii="Cambria" w:hAnsi="Cambria"/>
        <w:sz w:val="20"/>
        <w:szCs w:val="20"/>
      </w:rPr>
      <w:fldChar w:fldCharType="begin"/>
    </w:r>
    <w:r>
      <w:rPr>
        <w:rFonts w:ascii="Cambria" w:hAnsi="Cambria"/>
        <w:sz w:val="20"/>
        <w:szCs w:val="20"/>
      </w:rPr>
      <w:instrText xml:space="preserve"> NUMPAGES </w:instrText>
    </w:r>
    <w:r>
      <w:rPr>
        <w:rFonts w:ascii="Cambria" w:hAnsi="Cambria"/>
        <w:sz w:val="20"/>
        <w:szCs w:val="20"/>
      </w:rPr>
      <w:fldChar w:fldCharType="separate"/>
    </w:r>
    <w:r>
      <w:rPr>
        <w:rFonts w:ascii="Cambria" w:hAnsi="Cambria"/>
        <w:sz w:val="20"/>
        <w:szCs w:val="20"/>
      </w:rPr>
      <w:t>1</w:t>
    </w:r>
    <w:r>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1916" w14:textId="77777777" w:rsidR="004C246C" w:rsidRDefault="004C246C">
      <w:r>
        <w:rPr>
          <w:color w:val="000000"/>
        </w:rPr>
        <w:separator/>
      </w:r>
    </w:p>
  </w:footnote>
  <w:footnote w:type="continuationSeparator" w:id="0">
    <w:p w14:paraId="555A1918" w14:textId="77777777" w:rsidR="004C246C" w:rsidRDefault="004C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191E" w14:textId="77777777" w:rsidR="004C246C" w:rsidRDefault="004C246C">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eastAsia="Calibri" w:hAnsi="Cambria"/>
        <w:b/>
        <w:bCs/>
        <w:kern w:val="0"/>
        <w:sz w:val="20"/>
        <w:szCs w:val="20"/>
      </w:rPr>
      <w:t>PLE_129/2025</w:t>
    </w:r>
  </w:p>
  <w:p w14:paraId="555A191F" w14:textId="118C3D23" w:rsidR="004C246C" w:rsidRDefault="004C246C">
    <w:pPr>
      <w:tabs>
        <w:tab w:val="left" w:pos="7320"/>
      </w:tabs>
      <w:suppressAutoHyphens w:val="0"/>
      <w:spacing w:line="240" w:lineRule="exact"/>
      <w:jc w:val="right"/>
    </w:pPr>
    <w:r>
      <w:rPr>
        <w:rFonts w:ascii="Cambria" w:eastAsia="Calibri" w:hAnsi="Cambria"/>
        <w:b/>
        <w:bCs/>
        <w:kern w:val="0"/>
        <w:sz w:val="16"/>
        <w:szCs w:val="16"/>
        <w:lang w:val="es-ES_tradnl"/>
      </w:rPr>
      <w:fldChar w:fldCharType="begin"/>
    </w:r>
    <w:r>
      <w:rPr>
        <w:rFonts w:ascii="Cambria" w:eastAsia="Calibri" w:hAnsi="Cambria"/>
        <w:b/>
        <w:bCs/>
        <w:kern w:val="0"/>
        <w:sz w:val="16"/>
        <w:szCs w:val="16"/>
        <w:lang w:val="es-ES_tradnl"/>
      </w:rPr>
      <w:instrText xml:space="preserve"> DATE \@ "dd'/'MM'/'yyyy' 'H':'mm" </w:instrText>
    </w:r>
    <w:r>
      <w:rPr>
        <w:rFonts w:ascii="Cambria" w:eastAsia="Calibri" w:hAnsi="Cambria"/>
        <w:b/>
        <w:bCs/>
        <w:kern w:val="0"/>
        <w:sz w:val="16"/>
        <w:szCs w:val="16"/>
        <w:lang w:val="es-ES_tradnl"/>
      </w:rPr>
      <w:fldChar w:fldCharType="separate"/>
    </w:r>
    <w:r w:rsidR="00E22A18">
      <w:rPr>
        <w:rFonts w:ascii="Cambria" w:eastAsia="Calibri" w:hAnsi="Cambria"/>
        <w:b/>
        <w:bCs/>
        <w:noProof/>
        <w:kern w:val="0"/>
        <w:sz w:val="16"/>
        <w:szCs w:val="16"/>
        <w:lang w:val="es-ES_tradnl"/>
      </w:rPr>
      <w:t>19/11/2025 17:14</w:t>
    </w:r>
    <w:r>
      <w:rPr>
        <w:rFonts w:ascii="Cambria" w:eastAsia="Calibri" w:hAnsi="Cambria"/>
        <w:b/>
        <w:bCs/>
        <w:kern w:val="0"/>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8CD"/>
    <w:multiLevelType w:val="multilevel"/>
    <w:tmpl w:val="08EC9502"/>
    <w:lvl w:ilvl="0">
      <w:start w:val="1"/>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9992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D3"/>
    <w:rsid w:val="00064E54"/>
    <w:rsid w:val="00261E26"/>
    <w:rsid w:val="004C246C"/>
    <w:rsid w:val="006A7B48"/>
    <w:rsid w:val="0086136A"/>
    <w:rsid w:val="00951648"/>
    <w:rsid w:val="00985E26"/>
    <w:rsid w:val="00AB6008"/>
    <w:rsid w:val="00B577D3"/>
    <w:rsid w:val="00B655A0"/>
    <w:rsid w:val="00BD64B8"/>
    <w:rsid w:val="00E22A18"/>
    <w:rsid w:val="00E33CD3"/>
    <w:rsid w:val="00EB4610"/>
    <w:rsid w:val="00FB24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916"/>
  <w15:docId w15:val="{C5A3E459-A336-4CBD-905E-02E0560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E22A18"/>
    <w:pPr>
      <w:keepNext/>
      <w:shd w:val="clear" w:color="auto" w:fill="FFFFFF" w:themeFill="background1"/>
      <w:jc w:val="right"/>
      <w:outlineLvl w:val="0"/>
    </w:pPr>
    <w:rPr>
      <w:rFonts w:ascii="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link w:val="Heading1"/>
    <w:uiPriority w:val="9"/>
    <w:rsid w:val="00E22A18"/>
    <w:rPr>
      <w:rFonts w:ascii="Cambria" w:hAnsi="Cambria"/>
      <w:b/>
      <w:bCs/>
      <w:sz w:val="20"/>
      <w:szCs w:val="20"/>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690</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de Andrés</dc:creator>
  <cp:lastModifiedBy>Author</cp:lastModifiedBy>
  <cp:revision>10</cp:revision>
  <dcterms:created xsi:type="dcterms:W3CDTF">2025-11-19T15:50:00Z</dcterms:created>
  <dcterms:modified xsi:type="dcterms:W3CDTF">2025-11-19T16:15:00Z</dcterms:modified>
</cp:coreProperties>
</file>