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989D" w14:textId="77777777" w:rsidR="00B23862" w:rsidRDefault="0029484B">
      <w:pPr>
        <w:jc w:val="right"/>
        <w:rPr>
          <w:rFonts w:ascii="Cambria" w:hAnsi="Cambria"/>
          <w:b/>
          <w:bCs/>
          <w:sz w:val="20"/>
          <w:szCs w:val="20"/>
        </w:rPr>
      </w:pPr>
      <w:r>
        <w:rPr>
          <w:rFonts w:ascii="Cambria" w:hAnsi="Cambria"/>
          <w:b/>
          <w:sz w:val="20"/>
        </w:rPr>
        <w:t xml:space="preserve">Original : </w:t>
      </w:r>
      <w:r>
        <w:rPr>
          <w:rFonts w:ascii="Cambria" w:hAnsi="Cambria"/>
          <w:b/>
          <w:bCs/>
          <w:sz w:val="20"/>
        </w:rPr>
        <w:t>anglais</w:t>
      </w:r>
    </w:p>
    <w:p w14:paraId="706C989E" w14:textId="77777777" w:rsidR="00B23862" w:rsidRDefault="00B23862">
      <w:pPr>
        <w:pStyle w:val="Standard"/>
        <w:jc w:val="center"/>
        <w:rPr>
          <w:rFonts w:ascii="Cambria" w:hAnsi="Cambria"/>
          <w:b/>
          <w:bCs/>
          <w:sz w:val="20"/>
          <w:szCs w:val="20"/>
        </w:rPr>
      </w:pPr>
    </w:p>
    <w:p w14:paraId="706C989F" w14:textId="77777777" w:rsidR="00B23862" w:rsidRDefault="0029484B">
      <w:pPr>
        <w:pStyle w:val="Standard"/>
        <w:jc w:val="center"/>
      </w:pPr>
      <w:r>
        <w:rPr>
          <w:rFonts w:ascii="Cambria" w:hAnsi="Cambria"/>
          <w:b/>
          <w:sz w:val="20"/>
        </w:rPr>
        <w:t>Projet de résolution de l’ICCAT sur la mise en œuvre de l'Accord des Nations unies sur la protection de la biodiversité marine dans les zones situées au-delà de la juridiction nationale (BBNJ)</w:t>
      </w:r>
    </w:p>
    <w:p w14:paraId="706C98A0" w14:textId="77777777" w:rsidR="00B23862" w:rsidRDefault="0029484B">
      <w:pPr>
        <w:jc w:val="center"/>
        <w:rPr>
          <w:rFonts w:ascii="Cambria" w:hAnsi="Cambria"/>
          <w:i/>
          <w:iCs/>
          <w:sz w:val="20"/>
          <w:szCs w:val="20"/>
        </w:rPr>
      </w:pPr>
      <w:r>
        <w:rPr>
          <w:rFonts w:ascii="Cambria" w:hAnsi="Cambria"/>
          <w:i/>
          <w:sz w:val="20"/>
        </w:rPr>
        <w:t>(Document soumis par le Président de la Commission)</w:t>
      </w:r>
    </w:p>
    <w:p w14:paraId="706C98A1" w14:textId="77777777" w:rsidR="00B23862" w:rsidRDefault="00B23862">
      <w:pPr>
        <w:pStyle w:val="Standard"/>
        <w:jc w:val="both"/>
        <w:rPr>
          <w:rFonts w:ascii="Cambria" w:hAnsi="Cambria"/>
          <w:sz w:val="20"/>
          <w:szCs w:val="20"/>
        </w:rPr>
      </w:pPr>
    </w:p>
    <w:p w14:paraId="706C98A2" w14:textId="77777777" w:rsidR="00B23862" w:rsidRDefault="00B23862">
      <w:pPr>
        <w:pStyle w:val="Standard"/>
        <w:jc w:val="both"/>
        <w:rPr>
          <w:rFonts w:ascii="Cambria" w:hAnsi="Cambria"/>
          <w:sz w:val="20"/>
          <w:szCs w:val="20"/>
        </w:rPr>
      </w:pPr>
    </w:p>
    <w:p w14:paraId="706C98A3" w14:textId="77777777" w:rsidR="00B23862" w:rsidRPr="0029484B" w:rsidRDefault="0029484B">
      <w:pPr>
        <w:pStyle w:val="Standard"/>
        <w:jc w:val="both"/>
      </w:pPr>
      <w:r>
        <w:rPr>
          <w:rFonts w:ascii="Cambria" w:hAnsi="Cambria"/>
          <w:sz w:val="20"/>
        </w:rPr>
        <w:t>L’Accord se rapportant à la Convention des Nations Unies sur le droit de la mer et portant sur la conservation et l’utilisation durable de la diversité biologique marine des zones ne relevant pas de la juridiction nationale (dit « Accord BBNJ ») entrera en vigueur le 17 janvier 2026, et des discussions sont en cours sur sa mise en œuvre pratique dans un avenir proche, y compris sur le rôle que doivent jouer les organisations régionales de gestion des pêches (ORGP), telles que l’ICCAT.</w:t>
      </w:r>
    </w:p>
    <w:p w14:paraId="706C98A4" w14:textId="77777777" w:rsidR="00B23862" w:rsidRPr="0029484B" w:rsidRDefault="00B23862">
      <w:pPr>
        <w:pStyle w:val="Standard"/>
        <w:jc w:val="both"/>
        <w:rPr>
          <w:rFonts w:ascii="Cambria" w:hAnsi="Cambria"/>
          <w:sz w:val="20"/>
          <w:szCs w:val="20"/>
        </w:rPr>
      </w:pPr>
    </w:p>
    <w:p w14:paraId="706C98A5" w14:textId="77777777" w:rsidR="00B23862" w:rsidRPr="0029484B" w:rsidRDefault="0029484B">
      <w:pPr>
        <w:pStyle w:val="Standard"/>
        <w:tabs>
          <w:tab w:val="left" w:pos="426"/>
        </w:tabs>
        <w:ind w:firstLine="426"/>
        <w:jc w:val="both"/>
      </w:pPr>
      <w:r>
        <w:rPr>
          <w:rFonts w:ascii="Cambria" w:hAnsi="Cambria"/>
          <w:i/>
          <w:iCs/>
          <w:sz w:val="20"/>
        </w:rPr>
        <w:t>CONSIDÉRANT</w:t>
      </w:r>
      <w:r>
        <w:rPr>
          <w:rFonts w:ascii="Cambria" w:hAnsi="Cambria"/>
          <w:sz w:val="20"/>
        </w:rPr>
        <w:t xml:space="preserve"> qu'en vue de décider de la mise en œuvre pratique de l'Accord, une première conférence des Parties devrait se tenir d’ici la fin de 2026 ;</w:t>
      </w:r>
    </w:p>
    <w:p w14:paraId="706C98A6" w14:textId="77777777" w:rsidR="00B23862" w:rsidRPr="0029484B" w:rsidRDefault="00B23862">
      <w:pPr>
        <w:pStyle w:val="Standard"/>
        <w:jc w:val="both"/>
        <w:rPr>
          <w:rFonts w:ascii="Cambria" w:hAnsi="Cambria"/>
          <w:sz w:val="20"/>
          <w:szCs w:val="20"/>
        </w:rPr>
      </w:pPr>
    </w:p>
    <w:p w14:paraId="706C98A7" w14:textId="77777777" w:rsidR="00B23862" w:rsidRPr="0029484B" w:rsidRDefault="0029484B">
      <w:pPr>
        <w:pStyle w:val="Standard"/>
        <w:tabs>
          <w:tab w:val="left" w:pos="426"/>
        </w:tabs>
        <w:ind w:firstLine="426"/>
        <w:jc w:val="both"/>
      </w:pPr>
      <w:r>
        <w:rPr>
          <w:rFonts w:ascii="Cambria" w:hAnsi="Cambria"/>
          <w:i/>
          <w:iCs/>
          <w:sz w:val="20"/>
        </w:rPr>
        <w:t xml:space="preserve">CONSIDÉRANT </w:t>
      </w:r>
      <w:r>
        <w:rPr>
          <w:rFonts w:ascii="Cambria" w:hAnsi="Cambria"/>
          <w:sz w:val="20"/>
        </w:rPr>
        <w:t>que l'Accord reconnaît, dans son article 5.2, que « </w:t>
      </w:r>
      <w:r>
        <w:rPr>
          <w:rFonts w:ascii="Cambria" w:hAnsi="Cambria"/>
          <w:i/>
          <w:iCs/>
          <w:sz w:val="20"/>
        </w:rPr>
        <w:t>Le présent Accord est interprété et appliqué d’une manière qui ne porte atteinte ni aux instruments et cadres juridiques pertinents, ni aux organes mondiaux, régionaux, sous-régionaux et sectoriels pertinents, et qui favorise la cohérence et la coordination avec ces instruments, cadres et organes </w:t>
      </w:r>
      <w:r>
        <w:rPr>
          <w:rFonts w:ascii="Cambria" w:hAnsi="Cambria"/>
          <w:sz w:val="20"/>
        </w:rPr>
        <w:t>» ;</w:t>
      </w:r>
    </w:p>
    <w:p w14:paraId="706C98AA" w14:textId="77777777" w:rsidR="00B23862" w:rsidRPr="0029484B" w:rsidRDefault="00B23862">
      <w:pPr>
        <w:pStyle w:val="Standard"/>
        <w:jc w:val="both"/>
        <w:rPr>
          <w:rFonts w:ascii="Cambria" w:hAnsi="Cambria"/>
          <w:sz w:val="20"/>
          <w:szCs w:val="20"/>
        </w:rPr>
      </w:pPr>
    </w:p>
    <w:p w14:paraId="706C98AB" w14:textId="77777777" w:rsidR="00B23862" w:rsidRPr="0029484B" w:rsidRDefault="0029484B">
      <w:pPr>
        <w:pStyle w:val="Standard"/>
        <w:tabs>
          <w:tab w:val="left" w:pos="426"/>
        </w:tabs>
        <w:ind w:firstLine="426"/>
        <w:jc w:val="both"/>
      </w:pPr>
      <w:r>
        <w:rPr>
          <w:rFonts w:ascii="Cambria" w:hAnsi="Cambria"/>
          <w:i/>
          <w:iCs/>
          <w:sz w:val="20"/>
        </w:rPr>
        <w:t>CONSIDÉRANT</w:t>
      </w:r>
      <w:r>
        <w:rPr>
          <w:rFonts w:ascii="Cambria" w:hAnsi="Cambria"/>
          <w:sz w:val="20"/>
        </w:rPr>
        <w:t xml:space="preserve"> que l'Accord a identifié, comme principal instrument, l'utilisation d'outils de gestion par zone (ABMT), y compris les aires marines protégées, et que si ces instruments sont adaptés à la protection des écosystèmes de fond, ils le sont moins à la protection de la biodiversité dans les écosystèmes océaniques ouverts, caractérisés par l'absence de frontières claires et les schémas de migration de nombreux biotes à protéger ; ce qui rend très importante l'identification d'outils spécifiquement conçus pour la protection de la biodiversité dans ces écosystèmes ;</w:t>
      </w:r>
    </w:p>
    <w:p w14:paraId="706C98AC" w14:textId="77777777" w:rsidR="00B23862" w:rsidRPr="0029484B" w:rsidRDefault="00B23862">
      <w:pPr>
        <w:pStyle w:val="Standard"/>
        <w:jc w:val="both"/>
        <w:rPr>
          <w:rFonts w:ascii="Cambria" w:hAnsi="Cambria"/>
          <w:sz w:val="20"/>
          <w:szCs w:val="20"/>
        </w:rPr>
      </w:pPr>
    </w:p>
    <w:p w14:paraId="706C98AD" w14:textId="77777777" w:rsidR="00B23862" w:rsidRPr="0029484B" w:rsidRDefault="0029484B">
      <w:pPr>
        <w:pStyle w:val="Standard"/>
        <w:tabs>
          <w:tab w:val="left" w:pos="426"/>
        </w:tabs>
        <w:ind w:firstLine="426"/>
        <w:jc w:val="both"/>
      </w:pPr>
      <w:r>
        <w:rPr>
          <w:rFonts w:ascii="Cambria" w:hAnsi="Cambria"/>
          <w:i/>
          <w:iCs/>
          <w:sz w:val="20"/>
        </w:rPr>
        <w:t>CONSIDÉRANT</w:t>
      </w:r>
      <w:r>
        <w:rPr>
          <w:rFonts w:ascii="Cambria" w:hAnsi="Cambria"/>
          <w:sz w:val="20"/>
        </w:rPr>
        <w:t xml:space="preserve"> que l’ICCAT a une longue tradition d'adoption de mesures visant à protéger les espèces marines affectées par les pêcheries ciblant les thonidés et les espèces thonières apparentées ;</w:t>
      </w:r>
    </w:p>
    <w:p w14:paraId="706C98AE" w14:textId="77777777" w:rsidR="00B23862" w:rsidRPr="0029484B" w:rsidRDefault="00B23862">
      <w:pPr>
        <w:pStyle w:val="Standard"/>
        <w:jc w:val="both"/>
        <w:rPr>
          <w:rFonts w:ascii="Cambria" w:hAnsi="Cambria"/>
          <w:sz w:val="20"/>
          <w:szCs w:val="20"/>
        </w:rPr>
      </w:pPr>
    </w:p>
    <w:p w14:paraId="706C98AF" w14:textId="77777777" w:rsidR="00B23862" w:rsidRPr="0029484B" w:rsidRDefault="0029484B">
      <w:pPr>
        <w:pStyle w:val="Standard"/>
        <w:tabs>
          <w:tab w:val="left" w:pos="426"/>
        </w:tabs>
        <w:ind w:firstLine="426"/>
        <w:jc w:val="both"/>
      </w:pPr>
      <w:r>
        <w:rPr>
          <w:rFonts w:ascii="Cambria" w:hAnsi="Cambria"/>
          <w:i/>
          <w:iCs/>
          <w:sz w:val="20"/>
        </w:rPr>
        <w:t>CONSIDÉRANT</w:t>
      </w:r>
      <w:r>
        <w:rPr>
          <w:rFonts w:ascii="Cambria" w:hAnsi="Cambria"/>
          <w:sz w:val="20"/>
        </w:rPr>
        <w:t xml:space="preserve"> que l’ICCAT, et notamment son Comité permanent pour la recherche et les statistiques (SCRS), a accumulé, au fil des ans, une connaissance approfondie de l'écosystème pélagique océanique qui est extrêmement précieuse pour une mise en œuvre significative de l’Accord BBNJ ;</w:t>
      </w:r>
    </w:p>
    <w:p w14:paraId="706C98B0" w14:textId="77777777" w:rsidR="00B23862" w:rsidRPr="0029484B" w:rsidRDefault="00B23862">
      <w:pPr>
        <w:pStyle w:val="Standard"/>
        <w:jc w:val="both"/>
        <w:rPr>
          <w:rFonts w:ascii="Cambria" w:hAnsi="Cambria"/>
          <w:i/>
          <w:iCs/>
          <w:sz w:val="20"/>
          <w:szCs w:val="20"/>
        </w:rPr>
      </w:pPr>
    </w:p>
    <w:p w14:paraId="706C98B1" w14:textId="77777777" w:rsidR="00B23862" w:rsidRPr="0029484B" w:rsidRDefault="0029484B">
      <w:pPr>
        <w:pStyle w:val="Standard"/>
        <w:tabs>
          <w:tab w:val="left" w:pos="426"/>
        </w:tabs>
        <w:ind w:firstLine="426"/>
        <w:jc w:val="both"/>
      </w:pPr>
      <w:r>
        <w:rPr>
          <w:rFonts w:ascii="Cambria" w:hAnsi="Cambria"/>
          <w:i/>
          <w:iCs/>
          <w:sz w:val="20"/>
        </w:rPr>
        <w:t>CONSIDÉRANT</w:t>
      </w:r>
      <w:r>
        <w:rPr>
          <w:rFonts w:ascii="Cambria" w:hAnsi="Cambria"/>
          <w:sz w:val="20"/>
        </w:rPr>
        <w:t xml:space="preserve"> qu'il est donc très important que l’ICCAT soit prête à apporter une contribution substantielle, en temps voulu, à la mise en œuvre de l'Accord dans l'écosystème océanique de l'océan Atlantique et des mers adjacentes ;</w:t>
      </w:r>
    </w:p>
    <w:p w14:paraId="706C98B2" w14:textId="77777777" w:rsidR="00B23862" w:rsidRPr="0029484B" w:rsidRDefault="00B23862">
      <w:pPr>
        <w:pStyle w:val="Standard"/>
        <w:jc w:val="both"/>
        <w:rPr>
          <w:rFonts w:ascii="Cambria" w:hAnsi="Cambria"/>
          <w:sz w:val="20"/>
          <w:szCs w:val="20"/>
        </w:rPr>
      </w:pPr>
    </w:p>
    <w:p w14:paraId="706C98B3" w14:textId="77777777" w:rsidR="00B23862" w:rsidRPr="0029484B" w:rsidRDefault="00B23862">
      <w:pPr>
        <w:pStyle w:val="Standard"/>
        <w:jc w:val="both"/>
        <w:rPr>
          <w:rFonts w:ascii="Cambria" w:hAnsi="Cambria"/>
          <w:sz w:val="20"/>
          <w:szCs w:val="20"/>
        </w:rPr>
      </w:pPr>
    </w:p>
    <w:p w14:paraId="706C98B4" w14:textId="77777777" w:rsidR="00B23862" w:rsidRPr="0029484B" w:rsidRDefault="0029484B">
      <w:pPr>
        <w:pStyle w:val="Standard"/>
        <w:jc w:val="center"/>
        <w:rPr>
          <w:rFonts w:ascii="Cambria" w:hAnsi="Cambria"/>
          <w:sz w:val="20"/>
          <w:szCs w:val="20"/>
        </w:rPr>
      </w:pPr>
      <w:r>
        <w:rPr>
          <w:rFonts w:ascii="Cambria" w:hAnsi="Cambria"/>
          <w:sz w:val="20"/>
        </w:rPr>
        <w:t xml:space="preserve">LA COMMISSION INTERNATIONALE POUR </w:t>
      </w:r>
      <w:proofErr w:type="gramStart"/>
      <w:r>
        <w:rPr>
          <w:rFonts w:ascii="Cambria" w:hAnsi="Cambria"/>
          <w:sz w:val="20"/>
        </w:rPr>
        <w:t>LA</w:t>
      </w:r>
      <w:proofErr w:type="gramEnd"/>
      <w:r>
        <w:rPr>
          <w:rFonts w:ascii="Cambria" w:hAnsi="Cambria"/>
          <w:sz w:val="20"/>
        </w:rPr>
        <w:t xml:space="preserve"> </w:t>
      </w:r>
    </w:p>
    <w:p w14:paraId="706C98B5" w14:textId="77777777" w:rsidR="00B23862" w:rsidRPr="0029484B" w:rsidRDefault="0029484B">
      <w:pPr>
        <w:pStyle w:val="Standard"/>
        <w:jc w:val="center"/>
        <w:rPr>
          <w:rFonts w:ascii="Cambria" w:hAnsi="Cambria"/>
          <w:sz w:val="20"/>
          <w:szCs w:val="20"/>
        </w:rPr>
      </w:pPr>
      <w:r>
        <w:rPr>
          <w:rFonts w:ascii="Cambria" w:hAnsi="Cambria"/>
          <w:sz w:val="20"/>
        </w:rPr>
        <w:t>CONSERVATION DES THONIDÉS DE L’ATLANTIQUE (ICCAT) DÉCIDE CE QUI SUIT :</w:t>
      </w:r>
    </w:p>
    <w:p w14:paraId="706C98B6" w14:textId="77777777" w:rsidR="00B23862" w:rsidRPr="0029484B" w:rsidRDefault="00B23862">
      <w:pPr>
        <w:pStyle w:val="Standard"/>
        <w:jc w:val="center"/>
        <w:rPr>
          <w:rFonts w:ascii="Cambria" w:hAnsi="Cambria"/>
          <w:sz w:val="20"/>
          <w:szCs w:val="20"/>
        </w:rPr>
      </w:pPr>
    </w:p>
    <w:p w14:paraId="706C98B7" w14:textId="77777777" w:rsidR="00B23862" w:rsidRPr="0029484B" w:rsidRDefault="0029484B">
      <w:pPr>
        <w:pStyle w:val="Standard"/>
        <w:numPr>
          <w:ilvl w:val="0"/>
          <w:numId w:val="1"/>
        </w:numPr>
        <w:ind w:left="426" w:hanging="426"/>
        <w:jc w:val="both"/>
      </w:pPr>
      <w:r>
        <w:rPr>
          <w:rFonts w:ascii="Cambria" w:hAnsi="Cambria"/>
          <w:sz w:val="20"/>
        </w:rPr>
        <w:t>Veiller à ce que la discussion en cours sur un nouveau plan stratégique pour la science du SCRS tienne dûment compte de la nécessité de formuler un avis sur la protection de la biodiversité marine dans le contexte de la mise en œuvre de l’Accord BBNJ.</w:t>
      </w:r>
    </w:p>
    <w:p w14:paraId="706C98B8" w14:textId="77777777" w:rsidR="00B23862" w:rsidRPr="0029484B" w:rsidRDefault="00B23862">
      <w:pPr>
        <w:pStyle w:val="Standard"/>
        <w:jc w:val="both"/>
        <w:rPr>
          <w:rFonts w:ascii="Cambria" w:hAnsi="Cambria"/>
          <w:sz w:val="20"/>
          <w:szCs w:val="20"/>
        </w:rPr>
      </w:pPr>
    </w:p>
    <w:p w14:paraId="706C98B9" w14:textId="77777777" w:rsidR="00B23862" w:rsidRPr="0029484B" w:rsidRDefault="0029484B">
      <w:pPr>
        <w:pStyle w:val="Standard"/>
        <w:numPr>
          <w:ilvl w:val="0"/>
          <w:numId w:val="1"/>
        </w:numPr>
        <w:ind w:left="426" w:hanging="426"/>
        <w:jc w:val="both"/>
      </w:pPr>
      <w:r>
        <w:rPr>
          <w:rFonts w:ascii="Cambria" w:hAnsi="Cambria"/>
          <w:sz w:val="20"/>
        </w:rPr>
        <w:t xml:space="preserve">Assurer que la troisième évaluation des performances de la Commission, qui sera entreprise dans les années à venir, prenne dûment en considération les améliorations potentielles de ses performances afin de permettre, </w:t>
      </w:r>
      <w:r>
        <w:rPr>
          <w:rFonts w:ascii="Cambria" w:hAnsi="Cambria"/>
          <w:i/>
          <w:sz w:val="20"/>
        </w:rPr>
        <w:t>entre autres</w:t>
      </w:r>
      <w:r>
        <w:rPr>
          <w:rFonts w:ascii="Cambria" w:hAnsi="Cambria"/>
          <w:sz w:val="20"/>
        </w:rPr>
        <w:t>, une contribution significative de l’ICCAT à la mise en œuvre de l’Accord BBNJ.</w:t>
      </w:r>
    </w:p>
    <w:p w14:paraId="706C98BA" w14:textId="77777777" w:rsidR="00B23862" w:rsidRDefault="00B23862">
      <w:pPr>
        <w:pStyle w:val="Standard"/>
        <w:jc w:val="both"/>
        <w:rPr>
          <w:rFonts w:ascii="Cambria" w:hAnsi="Cambria"/>
          <w:sz w:val="20"/>
          <w:szCs w:val="20"/>
        </w:rPr>
      </w:pPr>
    </w:p>
    <w:p w14:paraId="706C98BB" w14:textId="7189DD7F" w:rsidR="00B23862" w:rsidRDefault="0029484B">
      <w:pPr>
        <w:pStyle w:val="Standard"/>
        <w:numPr>
          <w:ilvl w:val="0"/>
          <w:numId w:val="1"/>
        </w:numPr>
        <w:ind w:left="426" w:hanging="426"/>
        <w:jc w:val="both"/>
        <w:rPr>
          <w:rFonts w:ascii="Cambria" w:hAnsi="Cambria"/>
          <w:sz w:val="20"/>
          <w:szCs w:val="20"/>
        </w:rPr>
      </w:pPr>
      <w:r>
        <w:rPr>
          <w:rFonts w:ascii="Cambria" w:hAnsi="Cambria"/>
          <w:sz w:val="20"/>
        </w:rPr>
        <w:t>Encourager les CPC à se coordonner au niveau national avec les départements concernés et à envoyer des experts de la pêche, dans le cadre de leurs délégations, à la prochaine Commission préparatoire ainsi qu’à la prochaine Conférence des Parties à l'Accord, afin de souligner l'importance de l'activité de pêche dans le contexte de sa mise en œuvre, et en particulier en ce qui concerne la sécurité alimentaire</w:t>
      </w:r>
      <w:r w:rsidR="00B96F88">
        <w:rPr>
          <w:rFonts w:ascii="Cambria" w:hAnsi="Cambria"/>
          <w:sz w:val="20"/>
        </w:rPr>
        <w:t>,</w:t>
      </w:r>
      <w:r>
        <w:rPr>
          <w:rFonts w:ascii="Cambria" w:hAnsi="Cambria"/>
          <w:sz w:val="20"/>
        </w:rPr>
        <w:t xml:space="preserve"> et </w:t>
      </w:r>
      <w:r w:rsidR="001B7B18">
        <w:rPr>
          <w:rFonts w:ascii="Cambria" w:hAnsi="Cambria"/>
          <w:sz w:val="20"/>
        </w:rPr>
        <w:t xml:space="preserve">garantir </w:t>
      </w:r>
      <w:r w:rsidR="00EF76F1">
        <w:rPr>
          <w:rFonts w:ascii="Cambria" w:hAnsi="Cambria"/>
          <w:sz w:val="20"/>
        </w:rPr>
        <w:t xml:space="preserve">une représentation </w:t>
      </w:r>
      <w:r w:rsidR="001B7B18">
        <w:rPr>
          <w:rFonts w:ascii="Cambria" w:hAnsi="Cambria"/>
          <w:sz w:val="20"/>
        </w:rPr>
        <w:t xml:space="preserve">adéquate des </w:t>
      </w:r>
      <w:r w:rsidR="001B7B18">
        <w:rPr>
          <w:rFonts w:ascii="Cambria" w:hAnsi="Cambria"/>
          <w:sz w:val="20"/>
        </w:rPr>
        <w:t>experts en matière de pêche</w:t>
      </w:r>
      <w:r w:rsidR="001B7B18">
        <w:rPr>
          <w:rFonts w:ascii="Cambria" w:hAnsi="Cambria"/>
          <w:sz w:val="20"/>
        </w:rPr>
        <w:t xml:space="preserve"> </w:t>
      </w:r>
      <w:r w:rsidR="00BB32C5">
        <w:rPr>
          <w:rFonts w:ascii="Cambria" w:hAnsi="Cambria"/>
          <w:sz w:val="20"/>
        </w:rPr>
        <w:t xml:space="preserve">au sein des </w:t>
      </w:r>
      <w:r>
        <w:rPr>
          <w:rFonts w:ascii="Cambria" w:hAnsi="Cambria"/>
          <w:sz w:val="20"/>
        </w:rPr>
        <w:t>organes compétents de l’Accord BBNJ.</w:t>
      </w:r>
    </w:p>
    <w:p w14:paraId="706C98BC" w14:textId="77777777" w:rsidR="00B23862" w:rsidRDefault="00B23862">
      <w:pPr>
        <w:pStyle w:val="Standard"/>
        <w:jc w:val="both"/>
        <w:rPr>
          <w:rFonts w:ascii="Cambria" w:hAnsi="Cambria"/>
          <w:sz w:val="20"/>
          <w:szCs w:val="20"/>
        </w:rPr>
      </w:pPr>
    </w:p>
    <w:p w14:paraId="706C98BD" w14:textId="77777777" w:rsidR="00B23862" w:rsidRDefault="0029484B">
      <w:pPr>
        <w:pStyle w:val="Standard"/>
        <w:numPr>
          <w:ilvl w:val="0"/>
          <w:numId w:val="1"/>
        </w:numPr>
        <w:ind w:left="426" w:hanging="426"/>
        <w:jc w:val="both"/>
        <w:rPr>
          <w:rFonts w:ascii="Cambria" w:hAnsi="Cambria"/>
          <w:sz w:val="20"/>
          <w:szCs w:val="20"/>
        </w:rPr>
      </w:pPr>
      <w:r>
        <w:rPr>
          <w:rFonts w:ascii="Cambria" w:hAnsi="Cambria"/>
          <w:sz w:val="20"/>
        </w:rPr>
        <w:lastRenderedPageBreak/>
        <w:t>Charger le Secrétariat de l’ICCAT de continuer à assurer le suivi des réunions préparatoires ainsi que des futures réunions pertinentes de l’Accord BBNJ, dans le but d'informer les CPC des décisions prises et, en particulier, du rôle plus spécifique que les ORGP joueront dans la mise en œuvre de l’Accord BBNJ.</w:t>
      </w:r>
    </w:p>
    <w:p w14:paraId="706C98BE" w14:textId="77777777" w:rsidR="00B23862" w:rsidRDefault="00B23862">
      <w:pPr>
        <w:pStyle w:val="Standard"/>
        <w:jc w:val="both"/>
        <w:rPr>
          <w:rFonts w:ascii="Cambria" w:hAnsi="Cambria"/>
          <w:sz w:val="20"/>
          <w:szCs w:val="20"/>
        </w:rPr>
      </w:pPr>
    </w:p>
    <w:p w14:paraId="706C98BF" w14:textId="77777777" w:rsidR="00B23862" w:rsidRDefault="0029484B">
      <w:pPr>
        <w:pStyle w:val="Standard"/>
        <w:numPr>
          <w:ilvl w:val="0"/>
          <w:numId w:val="1"/>
        </w:numPr>
        <w:ind w:left="426" w:hanging="426"/>
        <w:jc w:val="both"/>
        <w:rPr>
          <w:rFonts w:ascii="Cambria" w:hAnsi="Cambria"/>
          <w:sz w:val="20"/>
          <w:szCs w:val="20"/>
        </w:rPr>
      </w:pPr>
      <w:r>
        <w:rPr>
          <w:rFonts w:ascii="Cambria" w:hAnsi="Cambria"/>
          <w:sz w:val="20"/>
        </w:rPr>
        <w:t>Charger le Secrétariat de l’ICCAT de coopérer avec d'autres ORGP, en particulier les ORGP thonières, en vue de coordonner les contributions au processus de mise en œuvre de l’Accord BBNJ, et d'informer les CPC de tout développement.</w:t>
      </w:r>
    </w:p>
    <w:p w14:paraId="706C98C0" w14:textId="77777777" w:rsidR="00B23862" w:rsidRDefault="00B23862">
      <w:pPr>
        <w:pStyle w:val="Standard"/>
        <w:jc w:val="both"/>
        <w:rPr>
          <w:rFonts w:ascii="Cambria" w:hAnsi="Cambria"/>
          <w:sz w:val="20"/>
          <w:szCs w:val="20"/>
        </w:rPr>
      </w:pPr>
    </w:p>
    <w:p w14:paraId="706C98C1" w14:textId="77777777" w:rsidR="00B23862" w:rsidRDefault="0029484B">
      <w:pPr>
        <w:pStyle w:val="Standard"/>
        <w:numPr>
          <w:ilvl w:val="0"/>
          <w:numId w:val="1"/>
        </w:numPr>
        <w:ind w:left="426" w:hanging="426"/>
        <w:jc w:val="both"/>
      </w:pPr>
      <w:r>
        <w:rPr>
          <w:rFonts w:ascii="Cambria" w:hAnsi="Cambria"/>
          <w:sz w:val="20"/>
        </w:rPr>
        <w:t>Assurer un suivi adéquat de cette question en inscrivant un point spécifique à l'ordre du jour de toutes les futures réunions plénières de la Commission.</w:t>
      </w:r>
    </w:p>
    <w:sectPr w:rsidR="00B23862">
      <w:headerReference w:type="default" r:id="rId7"/>
      <w:footerReference w:type="default" r:id="rId8"/>
      <w:pgSz w:w="11907" w:h="16840"/>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98A1" w14:textId="77777777" w:rsidR="0029484B" w:rsidRDefault="0029484B">
      <w:r>
        <w:separator/>
      </w:r>
    </w:p>
  </w:endnote>
  <w:endnote w:type="continuationSeparator" w:id="0">
    <w:p w14:paraId="706C98A3" w14:textId="77777777" w:rsidR="0029484B" w:rsidRDefault="0029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98A8" w14:textId="77777777" w:rsidR="0029484B" w:rsidRDefault="0029484B">
    <w:pPr>
      <w:pStyle w:val="Footer"/>
      <w:jc w:val="center"/>
    </w:pPr>
    <w:r>
      <w:rPr>
        <w:rFonts w:ascii="Cambria" w:hAnsi="Cambria"/>
        <w:sz w:val="20"/>
      </w:rPr>
      <w:fldChar w:fldCharType="begin"/>
    </w:r>
    <w:r>
      <w:rPr>
        <w:rFonts w:ascii="Cambria" w:hAnsi="Cambria"/>
        <w:sz w:val="20"/>
      </w:rPr>
      <w:instrText xml:space="preserve"> PAGE </w:instrText>
    </w:r>
    <w:r>
      <w:rPr>
        <w:rFonts w:ascii="Cambria" w:hAnsi="Cambria"/>
        <w:sz w:val="20"/>
      </w:rPr>
      <w:fldChar w:fldCharType="separate"/>
    </w:r>
    <w:r>
      <w:rPr>
        <w:rFonts w:ascii="Cambria" w:hAnsi="Cambria"/>
        <w:sz w:val="20"/>
      </w:rPr>
      <w:t>1</w:t>
    </w:r>
    <w:r>
      <w:rPr>
        <w:rFonts w:ascii="Cambria" w:hAnsi="Cambria"/>
        <w:sz w:val="20"/>
      </w:rPr>
      <w:fldChar w:fldCharType="end"/>
    </w:r>
    <w:r>
      <w:rPr>
        <w:rFonts w:ascii="Cambria" w:hAnsi="Cambria"/>
        <w:sz w:val="20"/>
      </w:rPr>
      <w:t xml:space="preserve"> / </w:t>
    </w:r>
    <w:r>
      <w:rPr>
        <w:rFonts w:ascii="Cambria" w:hAnsi="Cambria"/>
        <w:sz w:val="20"/>
      </w:rPr>
      <w:fldChar w:fldCharType="begin"/>
    </w:r>
    <w:r>
      <w:rPr>
        <w:rFonts w:ascii="Cambria" w:hAnsi="Cambria"/>
        <w:sz w:val="20"/>
      </w:rPr>
      <w:instrText xml:space="preserve"> NUMPAGES </w:instrText>
    </w:r>
    <w:r>
      <w:rPr>
        <w:rFonts w:ascii="Cambria" w:hAnsi="Cambria"/>
        <w:sz w:val="20"/>
      </w:rPr>
      <w:fldChar w:fldCharType="separate"/>
    </w:r>
    <w:r>
      <w:rPr>
        <w:rFonts w:ascii="Cambria" w:hAnsi="Cambria"/>
        <w:sz w:val="20"/>
      </w:rPr>
      <w:t>1</w:t>
    </w:r>
    <w:r>
      <w:rP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989D" w14:textId="77777777" w:rsidR="0029484B" w:rsidRDefault="0029484B">
      <w:r>
        <w:rPr>
          <w:color w:val="000000"/>
        </w:rPr>
        <w:separator/>
      </w:r>
    </w:p>
  </w:footnote>
  <w:footnote w:type="continuationSeparator" w:id="0">
    <w:p w14:paraId="706C989F" w14:textId="77777777" w:rsidR="0029484B" w:rsidRDefault="00294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98A5" w14:textId="77777777" w:rsidR="0029484B" w:rsidRDefault="0029484B">
    <w:pPr>
      <w:tabs>
        <w:tab w:val="center" w:pos="4680"/>
        <w:tab w:val="left" w:pos="6520"/>
        <w:tab w:val="right" w:pos="9360"/>
        <w:tab w:val="right" w:pos="14240"/>
      </w:tabs>
      <w:suppressAutoHyphens w:val="0"/>
      <w:jc w:val="right"/>
      <w:rPr>
        <w:rFonts w:ascii="Cambria" w:eastAsia="Calibri" w:hAnsi="Cambria"/>
        <w:b/>
        <w:bCs/>
        <w:kern w:val="0"/>
        <w:sz w:val="20"/>
        <w:szCs w:val="20"/>
      </w:rPr>
    </w:pPr>
    <w:r>
      <w:rPr>
        <w:rFonts w:ascii="Cambria" w:hAnsi="Cambria"/>
        <w:b/>
        <w:sz w:val="20"/>
      </w:rPr>
      <w:t>PLE_129/2025</w:t>
    </w:r>
  </w:p>
  <w:p w14:paraId="706C98A6" w14:textId="4AF7FE4C" w:rsidR="0029484B" w:rsidRDefault="0029484B">
    <w:pPr>
      <w:tabs>
        <w:tab w:val="left" w:pos="7320"/>
      </w:tabs>
      <w:suppressAutoHyphens w:val="0"/>
      <w:spacing w:line="240" w:lineRule="exact"/>
      <w:jc w:val="right"/>
      <w:rPr>
        <w:rFonts w:ascii="Cambria" w:eastAsia="Calibri" w:hAnsi="Cambria"/>
        <w:b/>
        <w:bCs/>
        <w:kern w:val="0"/>
        <w:sz w:val="16"/>
        <w:szCs w:val="16"/>
        <w:lang w:val="es-ES_tradnl"/>
      </w:rPr>
    </w:pPr>
    <w:r>
      <w:rPr>
        <w:rFonts w:ascii="Cambria" w:eastAsia="Calibri" w:hAnsi="Cambria"/>
        <w:b/>
        <w:sz w:val="16"/>
      </w:rPr>
      <w:fldChar w:fldCharType="begin"/>
    </w:r>
    <w:r>
      <w:rPr>
        <w:rFonts w:ascii="Cambria" w:eastAsia="Calibri" w:hAnsi="Cambria"/>
        <w:b/>
        <w:sz w:val="16"/>
      </w:rPr>
      <w:instrText xml:space="preserve"> DATE \@ "dd'/'MM'/'yyyy' 'H':'mm" </w:instrText>
    </w:r>
    <w:r>
      <w:rPr>
        <w:rFonts w:ascii="Cambria" w:eastAsia="Calibri" w:hAnsi="Cambria"/>
        <w:b/>
        <w:sz w:val="16"/>
      </w:rPr>
      <w:fldChar w:fldCharType="separate"/>
    </w:r>
    <w:r w:rsidR="00B736B8">
      <w:rPr>
        <w:rFonts w:ascii="Cambria" w:eastAsia="Calibri" w:hAnsi="Cambria"/>
        <w:b/>
        <w:noProof/>
        <w:sz w:val="16"/>
      </w:rPr>
      <w:t>19/11/2025 16:56</w:t>
    </w:r>
    <w:r>
      <w:rPr>
        <w:rFonts w:ascii="Cambria" w:eastAsia="Calibri" w:hAnsi="Cambria"/>
        <w:b/>
        <w:bCs/>
        <w:kern w:val="0"/>
        <w:sz w:val="16"/>
        <w:szCs w:val="16"/>
        <w:lang w:val="es-ES_tradnl"/>
      </w:rPr>
      <w:fldChar w:fldCharType="end"/>
    </w:r>
  </w:p>
  <w:p w14:paraId="7A1F69E8" w14:textId="77777777" w:rsidR="004E1B6D" w:rsidRDefault="004E1B6D">
    <w:pPr>
      <w:tabs>
        <w:tab w:val="left" w:pos="7320"/>
      </w:tabs>
      <w:suppressAutoHyphens w:val="0"/>
      <w:spacing w:line="24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13DCF"/>
    <w:multiLevelType w:val="multilevel"/>
    <w:tmpl w:val="09E26B4A"/>
    <w:lvl w:ilvl="0">
      <w:start w:val="1"/>
      <w:numFmt w:val="decimal"/>
      <w:lvlText w:val="%1."/>
      <w:lvlJc w:val="left"/>
      <w:pPr>
        <w:ind w:left="720" w:hanging="360"/>
      </w:pPr>
      <w:rPr>
        <w:rFonts w:ascii="Cambria" w:hAnsi="Cambria" w:hint="default"/>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63108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62"/>
    <w:rsid w:val="001B7B18"/>
    <w:rsid w:val="001C71E2"/>
    <w:rsid w:val="0029484B"/>
    <w:rsid w:val="002D2DD1"/>
    <w:rsid w:val="003640D6"/>
    <w:rsid w:val="004E1B6D"/>
    <w:rsid w:val="008E3EA2"/>
    <w:rsid w:val="00B23862"/>
    <w:rsid w:val="00B736B8"/>
    <w:rsid w:val="00B96F88"/>
    <w:rsid w:val="00BB32C5"/>
    <w:rsid w:val="00BF69F3"/>
    <w:rsid w:val="00D84554"/>
    <w:rsid w:val="00E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989D"/>
  <w15:docId w15:val="{59C2F224-20DC-4A1C-8292-BDB29EC7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evision">
    <w:name w:val="Revision"/>
    <w:pPr>
      <w:widowControl/>
      <w:textAlignment w:val="auto"/>
    </w:pPr>
    <w:rPr>
      <w:rFonts w:cs="Mangal"/>
      <w:szCs w:val="21"/>
    </w:rPr>
  </w:style>
  <w:style w:type="paragraph" w:styleId="Header">
    <w:name w:val="header"/>
    <w:basedOn w:val="Normal"/>
    <w:pPr>
      <w:tabs>
        <w:tab w:val="center" w:pos="4680"/>
        <w:tab w:val="right" w:pos="9360"/>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680"/>
        <w:tab w:val="right" w:pos="9360"/>
      </w:tabs>
    </w:pPr>
    <w:rPr>
      <w:rFonts w:cs="Mangal"/>
      <w:szCs w:val="21"/>
    </w:rPr>
  </w:style>
  <w:style w:type="character" w:customStyle="1" w:styleId="FooterChar">
    <w:name w:val="Footer Char"/>
    <w:basedOn w:val="DefaultParagraphFont"/>
    <w:rPr>
      <w:rFonts w:cs="Mangal"/>
      <w:szCs w:val="21"/>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de Andrés</dc:creator>
  <cp:lastModifiedBy>Christine Peyre</cp:lastModifiedBy>
  <cp:revision>12</cp:revision>
  <dcterms:created xsi:type="dcterms:W3CDTF">2025-11-19T10:56:00Z</dcterms:created>
  <dcterms:modified xsi:type="dcterms:W3CDTF">2025-11-19T16:12:00Z</dcterms:modified>
</cp:coreProperties>
</file>