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989D" w14:textId="77777777" w:rsidR="00B23862" w:rsidRPr="00422E5B" w:rsidRDefault="0029484B">
      <w:pPr>
        <w:jc w:val="right"/>
        <w:rPr>
          <w:rFonts w:ascii="Cambria" w:hAnsi="Cambria"/>
          <w:b/>
          <w:bCs/>
          <w:sz w:val="20"/>
          <w:szCs w:val="20"/>
        </w:rPr>
      </w:pPr>
      <w:r w:rsidRPr="00422E5B">
        <w:rPr>
          <w:rFonts w:ascii="Cambria" w:hAnsi="Cambria"/>
          <w:b/>
          <w:sz w:val="20"/>
        </w:rPr>
        <w:t xml:space="preserve">Original : </w:t>
      </w:r>
      <w:r w:rsidRPr="00422E5B">
        <w:rPr>
          <w:rFonts w:ascii="Cambria" w:hAnsi="Cambria"/>
          <w:b/>
          <w:bCs/>
          <w:sz w:val="20"/>
        </w:rPr>
        <w:t>anglais</w:t>
      </w:r>
    </w:p>
    <w:p w14:paraId="706C989E" w14:textId="77777777" w:rsidR="00B23862" w:rsidRPr="00422E5B" w:rsidRDefault="00B23862">
      <w:pPr>
        <w:pStyle w:val="Standard"/>
        <w:jc w:val="center"/>
        <w:rPr>
          <w:rFonts w:ascii="Cambria" w:hAnsi="Cambria"/>
          <w:b/>
          <w:bCs/>
          <w:sz w:val="20"/>
          <w:szCs w:val="20"/>
        </w:rPr>
      </w:pPr>
    </w:p>
    <w:p w14:paraId="706C989F" w14:textId="6DAF22CF" w:rsidR="00B23862" w:rsidRPr="00422E5B" w:rsidRDefault="0029484B">
      <w:pPr>
        <w:pStyle w:val="Standard"/>
        <w:jc w:val="center"/>
      </w:pPr>
      <w:r w:rsidRPr="00422E5B">
        <w:rPr>
          <w:rFonts w:ascii="Cambria" w:hAnsi="Cambria"/>
          <w:b/>
          <w:sz w:val="20"/>
        </w:rPr>
        <w:t xml:space="preserve">Projet de </w:t>
      </w:r>
      <w:r w:rsidR="001D6C04" w:rsidRPr="00422E5B">
        <w:rPr>
          <w:rFonts w:ascii="Cambria" w:hAnsi="Cambria"/>
          <w:b/>
          <w:sz w:val="20"/>
        </w:rPr>
        <w:t xml:space="preserve">Résolution </w:t>
      </w:r>
      <w:r w:rsidRPr="00422E5B">
        <w:rPr>
          <w:rFonts w:ascii="Cambria" w:hAnsi="Cambria"/>
          <w:b/>
          <w:sz w:val="20"/>
        </w:rPr>
        <w:t>de l’ICCAT sur la mise en œuvre de l'Accord des Nations unies sur la protection de la biodiversité marine dans les zones situées au-delà de la juridiction nationale (BBNJ)</w:t>
      </w:r>
    </w:p>
    <w:p w14:paraId="706C98A0" w14:textId="77777777" w:rsidR="00B23862" w:rsidRPr="00422E5B" w:rsidRDefault="0029484B">
      <w:pPr>
        <w:jc w:val="center"/>
        <w:rPr>
          <w:rFonts w:ascii="Cambria" w:hAnsi="Cambria"/>
          <w:i/>
          <w:iCs/>
          <w:sz w:val="20"/>
          <w:szCs w:val="20"/>
        </w:rPr>
      </w:pPr>
      <w:r w:rsidRPr="00422E5B">
        <w:rPr>
          <w:rFonts w:ascii="Cambria" w:hAnsi="Cambria"/>
          <w:i/>
          <w:sz w:val="20"/>
        </w:rPr>
        <w:t>(Document soumis par le Président de la Commission)</w:t>
      </w:r>
    </w:p>
    <w:p w14:paraId="706C98A1" w14:textId="77777777" w:rsidR="00B23862" w:rsidRPr="00422E5B" w:rsidRDefault="00B23862">
      <w:pPr>
        <w:pStyle w:val="Standard"/>
        <w:jc w:val="both"/>
        <w:rPr>
          <w:rFonts w:ascii="Cambria" w:hAnsi="Cambria"/>
          <w:sz w:val="20"/>
          <w:szCs w:val="20"/>
        </w:rPr>
      </w:pPr>
    </w:p>
    <w:p w14:paraId="706C98A2" w14:textId="77777777" w:rsidR="00B23862" w:rsidRPr="00422E5B" w:rsidRDefault="00B23862">
      <w:pPr>
        <w:pStyle w:val="Standard"/>
        <w:jc w:val="both"/>
        <w:rPr>
          <w:rFonts w:ascii="Cambria" w:hAnsi="Cambria"/>
          <w:sz w:val="20"/>
          <w:szCs w:val="20"/>
        </w:rPr>
      </w:pPr>
    </w:p>
    <w:p w14:paraId="706C98A3" w14:textId="7518CD5C" w:rsidR="00B23862" w:rsidRPr="00422E5B" w:rsidRDefault="0029484B">
      <w:pPr>
        <w:pStyle w:val="Standard"/>
        <w:jc w:val="both"/>
      </w:pPr>
      <w:r w:rsidRPr="00422E5B">
        <w:rPr>
          <w:rFonts w:ascii="Cambria" w:hAnsi="Cambria"/>
          <w:sz w:val="20"/>
        </w:rPr>
        <w:t xml:space="preserve">L’Accord se rapportant à la Convention des Nations Unies sur le droit de la mer et portant sur la conservation et l’utilisation durable de la diversité biologique marine des zones ne relevant pas de la juridiction nationale </w:t>
      </w:r>
      <w:r w:rsidRPr="00422E5B">
        <w:rPr>
          <w:rFonts w:ascii="Cambria" w:hAnsi="Cambria"/>
          <w:sz w:val="20"/>
          <w:u w:val="single"/>
        </w:rPr>
        <w:t>(« A</w:t>
      </w:r>
      <w:r w:rsidRPr="00422E5B">
        <w:rPr>
          <w:rFonts w:ascii="Cambria" w:hAnsi="Cambria"/>
          <w:sz w:val="20"/>
        </w:rPr>
        <w:t>ccord BBNJ ») entrera en vigueur le 17 janvier 2026, et des discussions sont en cours sur sa mise en œuvre pratique dans un avenir proche, y compris sur le rôle que doivent jouer les organisations régionales de gestion des pêches (ORGP), telles que l’ICCAT.</w:t>
      </w:r>
    </w:p>
    <w:p w14:paraId="706C98A4" w14:textId="77777777" w:rsidR="00B23862" w:rsidRPr="00422E5B" w:rsidRDefault="00B23862">
      <w:pPr>
        <w:pStyle w:val="Standard"/>
        <w:jc w:val="both"/>
        <w:rPr>
          <w:rFonts w:ascii="Cambria" w:hAnsi="Cambria"/>
          <w:sz w:val="20"/>
          <w:szCs w:val="20"/>
        </w:rPr>
      </w:pPr>
    </w:p>
    <w:p w14:paraId="706C98A5" w14:textId="346941A5"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qu'en vue de décider de la mise en œuvre pratique de l'Accord, une première conférence des Parties devrait se tenir d’ici la fin </w:t>
      </w:r>
      <w:r w:rsidR="00422A38" w:rsidRPr="00422E5B">
        <w:rPr>
          <w:rFonts w:ascii="Cambria" w:hAnsi="Cambria"/>
          <w:sz w:val="20"/>
        </w:rPr>
        <w:t>du mois de mars</w:t>
      </w:r>
      <w:r w:rsidRPr="00422E5B">
        <w:rPr>
          <w:rFonts w:ascii="Cambria" w:hAnsi="Cambria"/>
          <w:sz w:val="20"/>
        </w:rPr>
        <w:t xml:space="preserve"> 2026 </w:t>
      </w:r>
      <w:r w:rsidR="00422A38" w:rsidRPr="00422E5B">
        <w:rPr>
          <w:rFonts w:ascii="Cambria" w:hAnsi="Cambria"/>
          <w:sz w:val="20"/>
          <w:u w:val="single"/>
        </w:rPr>
        <w:t>[ou avant le 16 janvier 2027]</w:t>
      </w:r>
      <w:r w:rsidR="00A845F8" w:rsidRPr="00422E5B">
        <w:rPr>
          <w:rFonts w:ascii="Cambria" w:hAnsi="Cambria"/>
          <w:sz w:val="20"/>
          <w:u w:val="single"/>
        </w:rPr>
        <w:t xml:space="preserve"> </w:t>
      </w:r>
      <w:r w:rsidRPr="00422E5B">
        <w:rPr>
          <w:rFonts w:ascii="Cambria" w:hAnsi="Cambria"/>
          <w:sz w:val="20"/>
        </w:rPr>
        <w:t>;</w:t>
      </w:r>
    </w:p>
    <w:p w14:paraId="706C98A6" w14:textId="77777777" w:rsidR="00B23862" w:rsidRPr="00422E5B" w:rsidRDefault="00B23862">
      <w:pPr>
        <w:pStyle w:val="Standard"/>
        <w:jc w:val="both"/>
        <w:rPr>
          <w:rFonts w:ascii="Cambria" w:hAnsi="Cambria"/>
          <w:sz w:val="20"/>
          <w:szCs w:val="20"/>
        </w:rPr>
      </w:pPr>
    </w:p>
    <w:p w14:paraId="706C98A7" w14:textId="77777777" w:rsidR="00B23862" w:rsidRPr="00422E5B" w:rsidRDefault="0029484B">
      <w:pPr>
        <w:pStyle w:val="Standard"/>
        <w:tabs>
          <w:tab w:val="left" w:pos="426"/>
        </w:tabs>
        <w:ind w:firstLine="426"/>
        <w:jc w:val="both"/>
      </w:pPr>
      <w:r w:rsidRPr="00422E5B">
        <w:rPr>
          <w:rFonts w:ascii="Cambria" w:hAnsi="Cambria"/>
          <w:i/>
          <w:iCs/>
          <w:sz w:val="20"/>
        </w:rPr>
        <w:t xml:space="preserve">CONSIDÉRANT </w:t>
      </w:r>
      <w:r w:rsidRPr="00422E5B">
        <w:rPr>
          <w:rFonts w:ascii="Cambria" w:hAnsi="Cambria"/>
          <w:sz w:val="20"/>
        </w:rPr>
        <w:t>que l'Accord reconnaît, dans son article 5.2, que « </w:t>
      </w:r>
      <w:r w:rsidRPr="00422E5B">
        <w:rPr>
          <w:rFonts w:ascii="Cambria" w:hAnsi="Cambria"/>
          <w:i/>
          <w:iCs/>
          <w:sz w:val="20"/>
        </w:rPr>
        <w:t>Le présent Accord est interprété et appliqué d’une manière qui ne porte atteinte ni aux instruments et cadres juridiques pertinents, ni aux organes mondiaux, régionaux, sous-régionaux et sectoriels pertinents, et qui favorise la cohérence et la coordination avec ces instruments, cadres et organes </w:t>
      </w:r>
      <w:r w:rsidRPr="00422E5B">
        <w:rPr>
          <w:rFonts w:ascii="Cambria" w:hAnsi="Cambria"/>
          <w:sz w:val="20"/>
        </w:rPr>
        <w:t>» ;</w:t>
      </w:r>
    </w:p>
    <w:p w14:paraId="706C98AA" w14:textId="77777777" w:rsidR="00B23862" w:rsidRPr="00422E5B" w:rsidRDefault="00B23862">
      <w:pPr>
        <w:pStyle w:val="Standard"/>
        <w:jc w:val="both"/>
        <w:rPr>
          <w:rFonts w:ascii="Cambria" w:hAnsi="Cambria"/>
          <w:sz w:val="20"/>
          <w:szCs w:val="20"/>
        </w:rPr>
      </w:pPr>
    </w:p>
    <w:p w14:paraId="706C98AB" w14:textId="493636B5" w:rsidR="00B23862" w:rsidRPr="00422E5B" w:rsidRDefault="00651FE1">
      <w:pPr>
        <w:pStyle w:val="Standard"/>
        <w:tabs>
          <w:tab w:val="left" w:pos="426"/>
        </w:tabs>
        <w:ind w:firstLine="426"/>
        <w:jc w:val="both"/>
      </w:pPr>
      <w:r w:rsidRPr="00422E5B">
        <w:rPr>
          <w:rFonts w:ascii="Cambria" w:hAnsi="Cambria"/>
          <w:sz w:val="20"/>
        </w:rPr>
        <w:t>[…]</w:t>
      </w:r>
    </w:p>
    <w:p w14:paraId="706C98AC" w14:textId="77777777" w:rsidR="00B23862" w:rsidRPr="00422E5B" w:rsidRDefault="00B23862">
      <w:pPr>
        <w:pStyle w:val="Standard"/>
        <w:jc w:val="both"/>
        <w:rPr>
          <w:rFonts w:ascii="Cambria" w:hAnsi="Cambria"/>
          <w:sz w:val="20"/>
          <w:szCs w:val="20"/>
        </w:rPr>
      </w:pPr>
    </w:p>
    <w:p w14:paraId="706C98AD" w14:textId="77777777"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 l’ICCAT a une longue tradition d'adoption de mesures visant à protéger les espèces marines affectées par les pêcheries ciblant les thonidés et les espèces thonières apparentées ;</w:t>
      </w:r>
    </w:p>
    <w:p w14:paraId="706C98AE" w14:textId="77777777" w:rsidR="00B23862" w:rsidRPr="00422E5B" w:rsidRDefault="00B23862">
      <w:pPr>
        <w:pStyle w:val="Standard"/>
        <w:jc w:val="both"/>
        <w:rPr>
          <w:rFonts w:ascii="Cambria" w:hAnsi="Cambria"/>
          <w:sz w:val="20"/>
          <w:szCs w:val="20"/>
        </w:rPr>
      </w:pPr>
    </w:p>
    <w:p w14:paraId="706C98AF" w14:textId="77777777"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 l’ICCAT, et notamment son Comité permanent pour la recherche et les statistiques (SCRS), a accumulé, au fil des ans, une connaissance approfondie de l'écosystème pélagique océanique qui est extrêmement précieuse pour une mise en œuvre significative de l’Accord BBNJ ;</w:t>
      </w:r>
    </w:p>
    <w:p w14:paraId="706C98B0" w14:textId="77777777" w:rsidR="00B23862" w:rsidRPr="00422E5B" w:rsidRDefault="00B23862">
      <w:pPr>
        <w:pStyle w:val="Standard"/>
        <w:jc w:val="both"/>
        <w:rPr>
          <w:rFonts w:ascii="Cambria" w:hAnsi="Cambria"/>
          <w:i/>
          <w:iCs/>
          <w:sz w:val="20"/>
          <w:szCs w:val="20"/>
        </w:rPr>
      </w:pPr>
    </w:p>
    <w:p w14:paraId="706C98B1" w14:textId="3841A8FC"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qu'il est donc très important que l’ICCAT soit prête à apporter une contribution substantiel</w:t>
      </w:r>
      <w:r w:rsidRPr="00422E5B">
        <w:rPr>
          <w:rFonts w:ascii="Cambria" w:hAnsi="Cambria"/>
          <w:sz w:val="20"/>
          <w:u w:val="single"/>
        </w:rPr>
        <w:t>le</w:t>
      </w:r>
      <w:r w:rsidR="00E53FB7" w:rsidRPr="00422E5B">
        <w:rPr>
          <w:rFonts w:ascii="Cambria" w:hAnsi="Cambria"/>
          <w:sz w:val="20"/>
          <w:u w:val="single"/>
        </w:rPr>
        <w:t xml:space="preserve"> </w:t>
      </w:r>
      <w:r w:rsidRPr="00422E5B">
        <w:rPr>
          <w:rFonts w:ascii="Cambria" w:hAnsi="Cambria"/>
          <w:sz w:val="20"/>
          <w:u w:val="single"/>
        </w:rPr>
        <w:t>à</w:t>
      </w:r>
      <w:r w:rsidRPr="00422E5B">
        <w:rPr>
          <w:rFonts w:ascii="Cambria" w:hAnsi="Cambria"/>
          <w:sz w:val="20"/>
        </w:rPr>
        <w:t xml:space="preserve"> la mise en œuvre de l'Accord dans l'écosystème océanique de l'océan Atlantique et des mers adjacentes ;</w:t>
      </w:r>
    </w:p>
    <w:p w14:paraId="706C98B2" w14:textId="77777777" w:rsidR="00B23862" w:rsidRPr="00422E5B" w:rsidRDefault="00B23862">
      <w:pPr>
        <w:pStyle w:val="Standard"/>
        <w:jc w:val="both"/>
        <w:rPr>
          <w:rFonts w:ascii="Cambria" w:hAnsi="Cambria"/>
          <w:sz w:val="20"/>
          <w:szCs w:val="20"/>
        </w:rPr>
      </w:pPr>
    </w:p>
    <w:p w14:paraId="706C98B3" w14:textId="77777777" w:rsidR="00B23862" w:rsidRPr="00422E5B" w:rsidRDefault="00B23862">
      <w:pPr>
        <w:pStyle w:val="Standard"/>
        <w:jc w:val="both"/>
        <w:rPr>
          <w:rFonts w:ascii="Cambria" w:hAnsi="Cambria"/>
          <w:sz w:val="20"/>
          <w:szCs w:val="20"/>
        </w:rPr>
      </w:pPr>
    </w:p>
    <w:p w14:paraId="706C98B4" w14:textId="77777777" w:rsidR="00B23862" w:rsidRPr="00422E5B" w:rsidRDefault="0029484B">
      <w:pPr>
        <w:pStyle w:val="Standard"/>
        <w:jc w:val="center"/>
        <w:rPr>
          <w:rFonts w:ascii="Cambria" w:hAnsi="Cambria"/>
          <w:sz w:val="20"/>
          <w:szCs w:val="20"/>
        </w:rPr>
      </w:pPr>
      <w:r w:rsidRPr="00422E5B">
        <w:rPr>
          <w:rFonts w:ascii="Cambria" w:hAnsi="Cambria"/>
          <w:sz w:val="20"/>
        </w:rPr>
        <w:t xml:space="preserve">LA COMMISSION INTERNATIONALE POUR LA </w:t>
      </w:r>
    </w:p>
    <w:p w14:paraId="706C98B5" w14:textId="77777777" w:rsidR="00B23862" w:rsidRPr="00422E5B" w:rsidRDefault="0029484B">
      <w:pPr>
        <w:pStyle w:val="Standard"/>
        <w:jc w:val="center"/>
        <w:rPr>
          <w:rFonts w:ascii="Cambria" w:hAnsi="Cambria"/>
          <w:sz w:val="20"/>
          <w:szCs w:val="20"/>
        </w:rPr>
      </w:pPr>
      <w:r w:rsidRPr="00422E5B">
        <w:rPr>
          <w:rFonts w:ascii="Cambria" w:hAnsi="Cambria"/>
          <w:sz w:val="20"/>
        </w:rPr>
        <w:t>CONSERVATION DES THONIDÉS DE L’ATLANTIQUE (ICCAT) DÉCIDE CE QUI SUIT :</w:t>
      </w:r>
    </w:p>
    <w:p w14:paraId="706C98B6" w14:textId="77777777" w:rsidR="00B23862" w:rsidRPr="00422E5B" w:rsidRDefault="00B23862">
      <w:pPr>
        <w:pStyle w:val="Standard"/>
        <w:jc w:val="center"/>
        <w:rPr>
          <w:rFonts w:ascii="Cambria" w:hAnsi="Cambria"/>
          <w:sz w:val="20"/>
          <w:szCs w:val="20"/>
        </w:rPr>
      </w:pPr>
    </w:p>
    <w:p w14:paraId="4FD3064B" w14:textId="77777777" w:rsidR="00C10C70" w:rsidRPr="00422E5B" w:rsidRDefault="00C10C70">
      <w:pPr>
        <w:pStyle w:val="Standard"/>
        <w:jc w:val="center"/>
        <w:rPr>
          <w:rFonts w:ascii="Cambria" w:hAnsi="Cambria"/>
          <w:sz w:val="20"/>
          <w:szCs w:val="20"/>
        </w:rPr>
      </w:pPr>
    </w:p>
    <w:p w14:paraId="41B608CD" w14:textId="77777777" w:rsidR="008D0B67" w:rsidRPr="00422E5B" w:rsidRDefault="008D0B67" w:rsidP="008D0B67">
      <w:pPr>
        <w:pStyle w:val="Standard"/>
        <w:numPr>
          <w:ilvl w:val="0"/>
          <w:numId w:val="1"/>
        </w:numPr>
        <w:ind w:left="426" w:hanging="426"/>
        <w:jc w:val="both"/>
        <w:rPr>
          <w:rFonts w:ascii="Cambria" w:hAnsi="Cambria"/>
          <w:sz w:val="20"/>
          <w:szCs w:val="20"/>
          <w:u w:val="single"/>
        </w:rPr>
      </w:pPr>
      <w:r w:rsidRPr="00422E5B">
        <w:rPr>
          <w:rFonts w:ascii="Cambria" w:hAnsi="Cambria"/>
          <w:sz w:val="20"/>
          <w:u w:val="single"/>
        </w:rPr>
        <w:t>Encourager fortement les CPC à ratifier le Protocole visant à amender la Convention internationale pour la conservation des thonidés de l'Atlantique, ce qui mettra l’ICCAT dans une position plus forte pour contribuer à la mise en œuvre de l'Accord BBNJ.</w:t>
      </w:r>
    </w:p>
    <w:p w14:paraId="24F0B755" w14:textId="77777777" w:rsidR="008D0B67" w:rsidRPr="00422E5B" w:rsidRDefault="008D0B67" w:rsidP="008D0B67">
      <w:pPr>
        <w:pStyle w:val="Standard"/>
        <w:ind w:left="426"/>
        <w:jc w:val="both"/>
      </w:pPr>
    </w:p>
    <w:p w14:paraId="706C98B7" w14:textId="4682A8D7" w:rsidR="00B23862" w:rsidRPr="00422E5B" w:rsidRDefault="0029484B">
      <w:pPr>
        <w:pStyle w:val="Standard"/>
        <w:numPr>
          <w:ilvl w:val="0"/>
          <w:numId w:val="1"/>
        </w:numPr>
        <w:ind w:left="426" w:hanging="426"/>
        <w:jc w:val="both"/>
      </w:pPr>
      <w:r w:rsidRPr="00422E5B">
        <w:rPr>
          <w:rFonts w:ascii="Cambria" w:hAnsi="Cambria"/>
          <w:sz w:val="20"/>
        </w:rPr>
        <w:t xml:space="preserve">Veiller à ce que la discussion en cours sur un nouveau plan stratégique pour la science du SCRS tienne dûment compte de la nécessité de formuler un avis </w:t>
      </w:r>
      <w:r w:rsidR="00C10C70" w:rsidRPr="00422E5B">
        <w:rPr>
          <w:rFonts w:ascii="Cambria" w:hAnsi="Cambria"/>
          <w:sz w:val="20"/>
          <w:u w:val="single"/>
        </w:rPr>
        <w:t>basé</w:t>
      </w:r>
      <w:r w:rsidR="00C10C70" w:rsidRPr="00422E5B">
        <w:rPr>
          <w:rFonts w:ascii="Cambria" w:hAnsi="Cambria"/>
          <w:sz w:val="20"/>
        </w:rPr>
        <w:t xml:space="preserve"> </w:t>
      </w:r>
      <w:r w:rsidR="0047724F" w:rsidRPr="00422E5B">
        <w:rPr>
          <w:rFonts w:ascii="Cambria" w:hAnsi="Cambria"/>
          <w:sz w:val="20"/>
          <w:u w:val="single"/>
        </w:rPr>
        <w:t>sur le meilleur avis scientifique disponible</w:t>
      </w:r>
      <w:r w:rsidR="0047724F" w:rsidRPr="00422E5B">
        <w:rPr>
          <w:rFonts w:ascii="Cambria" w:hAnsi="Cambria"/>
          <w:sz w:val="20"/>
        </w:rPr>
        <w:t xml:space="preserve"> </w:t>
      </w:r>
      <w:r w:rsidRPr="00422E5B">
        <w:rPr>
          <w:rFonts w:ascii="Cambria" w:hAnsi="Cambria"/>
          <w:sz w:val="20"/>
        </w:rPr>
        <w:t>sur la protection de la biodiversité marine dans le contexte de la mise en œuvre de l’Accord BBNJ.</w:t>
      </w:r>
    </w:p>
    <w:p w14:paraId="706C98B8" w14:textId="77777777" w:rsidR="00B23862" w:rsidRPr="00422E5B" w:rsidRDefault="00B23862">
      <w:pPr>
        <w:pStyle w:val="Standard"/>
        <w:jc w:val="both"/>
        <w:rPr>
          <w:rFonts w:ascii="Cambria" w:hAnsi="Cambria"/>
          <w:sz w:val="20"/>
          <w:szCs w:val="20"/>
        </w:rPr>
      </w:pPr>
    </w:p>
    <w:p w14:paraId="706C98B9" w14:textId="77777777" w:rsidR="00B23862" w:rsidRPr="00422E5B" w:rsidRDefault="0029484B">
      <w:pPr>
        <w:pStyle w:val="Standard"/>
        <w:numPr>
          <w:ilvl w:val="0"/>
          <w:numId w:val="1"/>
        </w:numPr>
        <w:ind w:left="426" w:hanging="426"/>
        <w:jc w:val="both"/>
      </w:pPr>
      <w:r w:rsidRPr="00422E5B">
        <w:rPr>
          <w:rFonts w:ascii="Cambria" w:hAnsi="Cambria"/>
          <w:sz w:val="20"/>
        </w:rPr>
        <w:t xml:space="preserve">Assurer que la troisième évaluation des performances de la Commission, qui sera entreprise dans les années à venir, prenne dûment en considération les améliorations potentielles de ses performances afin de permettre, </w:t>
      </w:r>
      <w:r w:rsidRPr="00422E5B">
        <w:rPr>
          <w:rFonts w:ascii="Cambria" w:hAnsi="Cambria"/>
          <w:i/>
          <w:sz w:val="20"/>
        </w:rPr>
        <w:t>entre autres</w:t>
      </w:r>
      <w:r w:rsidRPr="00422E5B">
        <w:rPr>
          <w:rFonts w:ascii="Cambria" w:hAnsi="Cambria"/>
          <w:sz w:val="20"/>
        </w:rPr>
        <w:t xml:space="preserve">, une contribution significative de l’ICCAT à la mise en œuvre de </w:t>
      </w:r>
      <w:r w:rsidRPr="00422E5B">
        <w:rPr>
          <w:rFonts w:ascii="Cambria" w:hAnsi="Cambria"/>
          <w:sz w:val="20"/>
          <w:u w:val="single"/>
        </w:rPr>
        <w:t>l’Accord</w:t>
      </w:r>
      <w:r w:rsidRPr="00422E5B">
        <w:rPr>
          <w:rFonts w:ascii="Cambria" w:hAnsi="Cambria"/>
          <w:sz w:val="20"/>
        </w:rPr>
        <w:t xml:space="preserve"> BBNJ.</w:t>
      </w:r>
    </w:p>
    <w:p w14:paraId="706C98BA" w14:textId="77777777" w:rsidR="00B23862" w:rsidRPr="00422E5B" w:rsidRDefault="00B23862">
      <w:pPr>
        <w:pStyle w:val="Standard"/>
        <w:jc w:val="both"/>
        <w:rPr>
          <w:rFonts w:ascii="Cambria" w:hAnsi="Cambria"/>
          <w:sz w:val="20"/>
          <w:szCs w:val="20"/>
        </w:rPr>
      </w:pPr>
    </w:p>
    <w:p w14:paraId="630CA8C5" w14:textId="5B9D61A7" w:rsidR="00873C1A" w:rsidRPr="00422E5B" w:rsidRDefault="0029484B" w:rsidP="007F18B3">
      <w:pPr>
        <w:pStyle w:val="Standard"/>
        <w:numPr>
          <w:ilvl w:val="0"/>
          <w:numId w:val="1"/>
        </w:numPr>
        <w:ind w:left="426" w:hanging="426"/>
        <w:jc w:val="both"/>
        <w:rPr>
          <w:rFonts w:ascii="Cambria" w:hAnsi="Cambria"/>
          <w:sz w:val="20"/>
          <w:szCs w:val="20"/>
          <w:u w:val="single"/>
        </w:rPr>
      </w:pPr>
      <w:r w:rsidRPr="00422E5B">
        <w:rPr>
          <w:rFonts w:ascii="Cambria" w:hAnsi="Cambria"/>
          <w:sz w:val="20"/>
        </w:rPr>
        <w:t xml:space="preserve">Encourager les CPC à se coordonner au niveau national avec les départements concernés et à envoyer des experts de la pêche, dans le cadre de leurs délégations, à la prochaine Commission préparatoire ainsi qu’à la prochaine Conférence des Parties à l'Accord, afin de souligner l'importance </w:t>
      </w:r>
      <w:r w:rsidR="00C46373" w:rsidRPr="00422E5B">
        <w:rPr>
          <w:rFonts w:ascii="Cambria" w:hAnsi="Cambria"/>
          <w:sz w:val="20"/>
          <w:u w:val="single"/>
        </w:rPr>
        <w:t xml:space="preserve">sociale et économique </w:t>
      </w:r>
      <w:r w:rsidRPr="00422E5B">
        <w:rPr>
          <w:rFonts w:ascii="Cambria" w:hAnsi="Cambria"/>
          <w:sz w:val="20"/>
        </w:rPr>
        <w:t>d</w:t>
      </w:r>
      <w:r w:rsidRPr="00422E5B">
        <w:rPr>
          <w:rFonts w:ascii="Cambria" w:hAnsi="Cambria"/>
          <w:sz w:val="20"/>
          <w:u w:val="single"/>
        </w:rPr>
        <w:t xml:space="preserve">e </w:t>
      </w:r>
      <w:r w:rsidR="00C46373" w:rsidRPr="00422E5B">
        <w:rPr>
          <w:rFonts w:ascii="Cambria" w:hAnsi="Cambria"/>
          <w:sz w:val="20"/>
          <w:u w:val="single"/>
        </w:rPr>
        <w:t>la</w:t>
      </w:r>
      <w:r w:rsidRPr="00422E5B">
        <w:rPr>
          <w:rFonts w:ascii="Cambria" w:hAnsi="Cambria"/>
          <w:sz w:val="20"/>
          <w:u w:val="single"/>
        </w:rPr>
        <w:t xml:space="preserve"> </w:t>
      </w:r>
      <w:r w:rsidRPr="00422E5B">
        <w:rPr>
          <w:rFonts w:ascii="Cambria" w:hAnsi="Cambria"/>
          <w:sz w:val="20"/>
        </w:rPr>
        <w:t xml:space="preserve">pêche dans le contexte de </w:t>
      </w:r>
      <w:r w:rsidR="00EF7874" w:rsidRPr="00422E5B">
        <w:rPr>
          <w:rFonts w:ascii="Cambria" w:hAnsi="Cambria"/>
          <w:sz w:val="20"/>
          <w:u w:val="single"/>
        </w:rPr>
        <w:t>l</w:t>
      </w:r>
      <w:r w:rsidRPr="00422E5B">
        <w:rPr>
          <w:rFonts w:ascii="Cambria" w:hAnsi="Cambria"/>
          <w:sz w:val="20"/>
          <w:u w:val="single"/>
        </w:rPr>
        <w:t>a</w:t>
      </w:r>
      <w:r w:rsidRPr="00422E5B">
        <w:rPr>
          <w:rFonts w:ascii="Cambria" w:hAnsi="Cambria"/>
          <w:sz w:val="20"/>
        </w:rPr>
        <w:t xml:space="preserve"> mise en œuvre, et en particulier en ce qui concerne la sécurité alimentaire</w:t>
      </w:r>
      <w:r w:rsidR="00B96F88" w:rsidRPr="00422E5B">
        <w:rPr>
          <w:rFonts w:ascii="Cambria" w:hAnsi="Cambria"/>
          <w:sz w:val="20"/>
        </w:rPr>
        <w:t>,</w:t>
      </w:r>
      <w:r w:rsidRPr="00422E5B">
        <w:rPr>
          <w:rFonts w:ascii="Cambria" w:hAnsi="Cambria"/>
          <w:sz w:val="20"/>
        </w:rPr>
        <w:t xml:space="preserve"> et </w:t>
      </w:r>
      <w:r w:rsidR="001B7B18" w:rsidRPr="00422E5B">
        <w:rPr>
          <w:rFonts w:ascii="Cambria" w:hAnsi="Cambria"/>
          <w:sz w:val="20"/>
        </w:rPr>
        <w:t xml:space="preserve">garantir </w:t>
      </w:r>
      <w:r w:rsidR="00EF76F1" w:rsidRPr="00422E5B">
        <w:rPr>
          <w:rFonts w:ascii="Cambria" w:hAnsi="Cambria"/>
          <w:sz w:val="20"/>
        </w:rPr>
        <w:t xml:space="preserve">une représentation </w:t>
      </w:r>
      <w:r w:rsidR="001B7B18" w:rsidRPr="00422E5B">
        <w:rPr>
          <w:rFonts w:ascii="Cambria" w:hAnsi="Cambria"/>
          <w:sz w:val="20"/>
        </w:rPr>
        <w:t xml:space="preserve">adéquate des experts en matière de pêche </w:t>
      </w:r>
      <w:r w:rsidR="00BB32C5" w:rsidRPr="00422E5B">
        <w:rPr>
          <w:rFonts w:ascii="Cambria" w:hAnsi="Cambria"/>
          <w:sz w:val="20"/>
        </w:rPr>
        <w:t xml:space="preserve">au sein des </w:t>
      </w:r>
      <w:r w:rsidRPr="00422E5B">
        <w:rPr>
          <w:rFonts w:ascii="Cambria" w:hAnsi="Cambria"/>
          <w:sz w:val="20"/>
        </w:rPr>
        <w:t>organes compétents de l’Accord BBNJ</w:t>
      </w:r>
      <w:r w:rsidR="00873C1A" w:rsidRPr="00422E5B">
        <w:rPr>
          <w:rFonts w:ascii="Cambria" w:hAnsi="Cambria"/>
          <w:sz w:val="20"/>
          <w:u w:val="single"/>
        </w:rPr>
        <w:t xml:space="preserve">, </w:t>
      </w:r>
      <w:r w:rsidR="00873C1A" w:rsidRPr="00422E5B">
        <w:rPr>
          <w:rFonts w:ascii="Cambria" w:hAnsi="Cambria"/>
          <w:sz w:val="20"/>
          <w:u w:val="single"/>
        </w:rPr>
        <w:t xml:space="preserve">et afin de veiller à ce que l’ICCAT soit en mesure de soutenir </w:t>
      </w:r>
      <w:r w:rsidR="00873C1A" w:rsidRPr="00422E5B">
        <w:rPr>
          <w:rFonts w:ascii="Cambria" w:hAnsi="Cambria"/>
          <w:sz w:val="20"/>
          <w:u w:val="single"/>
        </w:rPr>
        <w:lastRenderedPageBreak/>
        <w:t>la mise en œuvre des objectifs de l’Accord BBNJ dans l'exercice de ses propres fonctions.</w:t>
      </w:r>
    </w:p>
    <w:p w14:paraId="706C98BC" w14:textId="77777777" w:rsidR="00B23862" w:rsidRPr="00422E5B" w:rsidRDefault="00B23862">
      <w:pPr>
        <w:pStyle w:val="Standard"/>
        <w:jc w:val="both"/>
        <w:rPr>
          <w:rFonts w:ascii="Cambria" w:hAnsi="Cambria"/>
          <w:sz w:val="20"/>
          <w:szCs w:val="20"/>
        </w:rPr>
      </w:pPr>
    </w:p>
    <w:p w14:paraId="706C98BD" w14:textId="3A1F6CA4" w:rsidR="00B23862" w:rsidRPr="00422E5B" w:rsidRDefault="0029484B">
      <w:pPr>
        <w:pStyle w:val="Standard"/>
        <w:numPr>
          <w:ilvl w:val="0"/>
          <w:numId w:val="1"/>
        </w:numPr>
        <w:ind w:left="426" w:hanging="426"/>
        <w:jc w:val="both"/>
        <w:rPr>
          <w:rFonts w:ascii="Cambria" w:hAnsi="Cambria"/>
          <w:sz w:val="20"/>
          <w:szCs w:val="20"/>
        </w:rPr>
      </w:pPr>
      <w:r w:rsidRPr="00422E5B">
        <w:rPr>
          <w:rFonts w:ascii="Cambria" w:hAnsi="Cambria"/>
          <w:sz w:val="20"/>
        </w:rPr>
        <w:t xml:space="preserve">Charger le Secrétariat de l’ICCAT de continuer à assurer le suivi des réunions préparatoires ainsi que des futures réunions pertinentes </w:t>
      </w:r>
      <w:r w:rsidR="00E50C71" w:rsidRPr="00422E5B">
        <w:rPr>
          <w:rFonts w:ascii="Cambria" w:hAnsi="Cambria"/>
          <w:sz w:val="20"/>
          <w:u w:val="single"/>
        </w:rPr>
        <w:t xml:space="preserve">et importantes </w:t>
      </w:r>
      <w:r w:rsidRPr="00422E5B">
        <w:rPr>
          <w:rFonts w:ascii="Cambria" w:hAnsi="Cambria"/>
          <w:sz w:val="20"/>
        </w:rPr>
        <w:t>d</w:t>
      </w:r>
      <w:r w:rsidRPr="00422E5B">
        <w:rPr>
          <w:rFonts w:ascii="Cambria" w:hAnsi="Cambria"/>
          <w:sz w:val="20"/>
          <w:u w:val="single"/>
        </w:rPr>
        <w:t>e</w:t>
      </w:r>
      <w:r w:rsidR="00E50C71" w:rsidRPr="00422E5B">
        <w:rPr>
          <w:rFonts w:ascii="Cambria" w:hAnsi="Cambria"/>
          <w:sz w:val="20"/>
          <w:u w:val="single"/>
        </w:rPr>
        <w:t>s</w:t>
      </w:r>
      <w:r w:rsidRPr="00422E5B">
        <w:rPr>
          <w:rFonts w:ascii="Cambria" w:hAnsi="Cambria"/>
          <w:sz w:val="20"/>
        </w:rPr>
        <w:t xml:space="preserve"> Accord</w:t>
      </w:r>
      <w:r w:rsidR="00E50C71" w:rsidRPr="00422E5B">
        <w:rPr>
          <w:rFonts w:ascii="Cambria" w:hAnsi="Cambria"/>
          <w:sz w:val="20"/>
          <w:u w:val="single"/>
        </w:rPr>
        <w:t>s</w:t>
      </w:r>
      <w:r w:rsidRPr="00422E5B">
        <w:rPr>
          <w:rFonts w:ascii="Cambria" w:hAnsi="Cambria"/>
          <w:sz w:val="20"/>
        </w:rPr>
        <w:t xml:space="preserve"> BBNJ</w:t>
      </w:r>
      <w:r w:rsidR="00AA6B9E" w:rsidRPr="00422E5B">
        <w:rPr>
          <w:rFonts w:ascii="Cambria" w:hAnsi="Cambria"/>
          <w:sz w:val="20"/>
        </w:rPr>
        <w:t xml:space="preserve"> </w:t>
      </w:r>
      <w:r w:rsidR="00AA6B9E" w:rsidRPr="00422E5B">
        <w:rPr>
          <w:rFonts w:ascii="Cambria" w:hAnsi="Cambria"/>
          <w:sz w:val="20"/>
          <w:u w:val="single"/>
        </w:rPr>
        <w:t xml:space="preserve">qui </w:t>
      </w:r>
      <w:r w:rsidR="00CB6724" w:rsidRPr="00422E5B">
        <w:rPr>
          <w:rFonts w:ascii="Cambria" w:hAnsi="Cambria"/>
          <w:sz w:val="20"/>
          <w:u w:val="single"/>
        </w:rPr>
        <w:t>affectent</w:t>
      </w:r>
      <w:r w:rsidR="002826BF" w:rsidRPr="00422E5B">
        <w:rPr>
          <w:rFonts w:ascii="Cambria" w:hAnsi="Cambria"/>
          <w:sz w:val="20"/>
          <w:u w:val="single"/>
        </w:rPr>
        <w:t xml:space="preserve"> le</w:t>
      </w:r>
      <w:r w:rsidR="00AA6B9E" w:rsidRPr="00422E5B">
        <w:rPr>
          <w:rFonts w:ascii="Cambria" w:hAnsi="Cambria"/>
          <w:sz w:val="20"/>
          <w:u w:val="single"/>
        </w:rPr>
        <w:t xml:space="preserve"> travail</w:t>
      </w:r>
      <w:r w:rsidR="00AF2EAA" w:rsidRPr="00422E5B">
        <w:rPr>
          <w:rFonts w:ascii="Cambria" w:hAnsi="Cambria"/>
          <w:sz w:val="20"/>
          <w:u w:val="single"/>
        </w:rPr>
        <w:t xml:space="preserve"> des ORGP</w:t>
      </w:r>
      <w:r w:rsidRPr="00422E5B">
        <w:rPr>
          <w:rFonts w:ascii="Cambria" w:hAnsi="Cambria"/>
          <w:sz w:val="20"/>
        </w:rPr>
        <w:t xml:space="preserve">, dans le but d'informer les CPC des décisions prises et, en particulier, du rôle plus spécifique que les ORGP joueront dans la mise en œuvre de </w:t>
      </w:r>
      <w:r w:rsidRPr="00422E5B">
        <w:rPr>
          <w:rFonts w:ascii="Cambria" w:hAnsi="Cambria"/>
          <w:sz w:val="20"/>
          <w:u w:val="single"/>
        </w:rPr>
        <w:t>l’Accord</w:t>
      </w:r>
      <w:r w:rsidRPr="00422E5B">
        <w:rPr>
          <w:rFonts w:ascii="Cambria" w:hAnsi="Cambria"/>
          <w:sz w:val="20"/>
        </w:rPr>
        <w:t xml:space="preserve"> BBNJ.</w:t>
      </w:r>
    </w:p>
    <w:p w14:paraId="706C98BE" w14:textId="77777777" w:rsidR="00B23862" w:rsidRPr="00422E5B" w:rsidRDefault="00B23862">
      <w:pPr>
        <w:pStyle w:val="Standard"/>
        <w:jc w:val="both"/>
        <w:rPr>
          <w:rFonts w:ascii="Cambria" w:hAnsi="Cambria"/>
          <w:sz w:val="20"/>
          <w:szCs w:val="20"/>
        </w:rPr>
      </w:pPr>
    </w:p>
    <w:p w14:paraId="66AD1A52" w14:textId="7B94686D" w:rsidR="004D6363" w:rsidRPr="00422E5B" w:rsidRDefault="00AF2EAA" w:rsidP="000F09B6">
      <w:pPr>
        <w:pStyle w:val="Standard"/>
        <w:numPr>
          <w:ilvl w:val="0"/>
          <w:numId w:val="2"/>
        </w:numPr>
        <w:jc w:val="both"/>
        <w:rPr>
          <w:rFonts w:ascii="Cambria" w:hAnsi="Cambria"/>
          <w:sz w:val="20"/>
          <w:szCs w:val="20"/>
        </w:rPr>
      </w:pPr>
      <w:r w:rsidRPr="00422E5B">
        <w:rPr>
          <w:rFonts w:ascii="Cambria" w:hAnsi="Cambria"/>
          <w:sz w:val="20"/>
          <w:u w:val="single"/>
        </w:rPr>
        <w:t>Encourager</w:t>
      </w:r>
      <w:r w:rsidR="0029484B" w:rsidRPr="00422E5B">
        <w:rPr>
          <w:rFonts w:ascii="Cambria" w:hAnsi="Cambria"/>
          <w:sz w:val="20"/>
        </w:rPr>
        <w:t xml:space="preserve"> le Secrétariat de l’ICCAT </w:t>
      </w:r>
      <w:r w:rsidR="002826BF" w:rsidRPr="00422E5B">
        <w:rPr>
          <w:rFonts w:ascii="Cambria" w:hAnsi="Cambria"/>
          <w:sz w:val="20"/>
          <w:u w:val="single"/>
        </w:rPr>
        <w:t>à</w:t>
      </w:r>
      <w:r w:rsidR="0029484B" w:rsidRPr="00422E5B">
        <w:rPr>
          <w:rFonts w:ascii="Cambria" w:hAnsi="Cambria"/>
          <w:sz w:val="20"/>
        </w:rPr>
        <w:t xml:space="preserve"> </w:t>
      </w:r>
      <w:r w:rsidRPr="00422E5B">
        <w:rPr>
          <w:rFonts w:ascii="Cambria" w:hAnsi="Cambria"/>
          <w:sz w:val="20"/>
          <w:u w:val="single"/>
        </w:rPr>
        <w:t>poursuivre</w:t>
      </w:r>
      <w:r w:rsidRPr="00422E5B">
        <w:rPr>
          <w:rFonts w:ascii="Cambria" w:hAnsi="Cambria"/>
          <w:sz w:val="20"/>
        </w:rPr>
        <w:t xml:space="preserve"> sa coopération </w:t>
      </w:r>
      <w:r w:rsidR="0029484B" w:rsidRPr="00422E5B">
        <w:rPr>
          <w:rFonts w:ascii="Cambria" w:hAnsi="Cambria"/>
          <w:sz w:val="20"/>
        </w:rPr>
        <w:t>avec d'autres ORGP, en particulier les ORGP thonières, en vue de coordonner les contributions au processus de mise en œuvre de l’Accord BBNJ, et d'informer les CPC de tout développement</w:t>
      </w:r>
      <w:r w:rsidRPr="00422E5B">
        <w:rPr>
          <w:rFonts w:ascii="Cambria" w:hAnsi="Cambria"/>
          <w:sz w:val="20"/>
        </w:rPr>
        <w:t>,</w:t>
      </w:r>
      <w:r w:rsidR="004D6363" w:rsidRPr="00422E5B">
        <w:rPr>
          <w:rFonts w:ascii="Cambria" w:hAnsi="Cambria"/>
          <w:sz w:val="20"/>
        </w:rPr>
        <w:t xml:space="preserve"> </w:t>
      </w:r>
      <w:r w:rsidR="004D6363" w:rsidRPr="00422E5B">
        <w:rPr>
          <w:rFonts w:ascii="Cambria" w:hAnsi="Cambria"/>
          <w:sz w:val="20"/>
          <w:u w:val="single"/>
        </w:rPr>
        <w:t>dans le cadre des attributions et du mandat du Secrétariat de représenter les positions factuelles de l’ICCAT.</w:t>
      </w:r>
    </w:p>
    <w:p w14:paraId="706C98BF" w14:textId="2EE0DA64" w:rsidR="00B23862" w:rsidRPr="00422E5B" w:rsidRDefault="00B23862" w:rsidP="004D6363">
      <w:pPr>
        <w:pStyle w:val="Standard"/>
        <w:ind w:left="426"/>
        <w:jc w:val="both"/>
        <w:rPr>
          <w:rFonts w:ascii="Cambria" w:hAnsi="Cambria"/>
          <w:sz w:val="20"/>
          <w:szCs w:val="20"/>
        </w:rPr>
      </w:pPr>
    </w:p>
    <w:p w14:paraId="2BCE738E" w14:textId="6D674195" w:rsidR="00D84559" w:rsidRPr="00422E5B" w:rsidRDefault="00D84559" w:rsidP="00D84559">
      <w:pPr>
        <w:pStyle w:val="Standard"/>
        <w:numPr>
          <w:ilvl w:val="0"/>
          <w:numId w:val="2"/>
        </w:numPr>
        <w:ind w:left="426" w:hanging="426"/>
        <w:jc w:val="both"/>
      </w:pPr>
      <w:r w:rsidRPr="00422E5B">
        <w:rPr>
          <w:rFonts w:ascii="Cambria" w:hAnsi="Cambria"/>
          <w:sz w:val="20"/>
        </w:rPr>
        <w:t xml:space="preserve">Assurer un suivi adéquat de cette question en </w:t>
      </w:r>
      <w:r w:rsidRPr="00422E5B">
        <w:rPr>
          <w:rFonts w:ascii="Cambria" w:hAnsi="Cambria"/>
          <w:sz w:val="20"/>
          <w:u w:val="single"/>
        </w:rPr>
        <w:t xml:space="preserve">incorporant l’Accord BBNJ </w:t>
      </w:r>
      <w:r w:rsidR="00907C29">
        <w:rPr>
          <w:rFonts w:ascii="Cambria" w:hAnsi="Cambria"/>
          <w:sz w:val="20"/>
          <w:u w:val="single"/>
        </w:rPr>
        <w:t>en tant que</w:t>
      </w:r>
      <w:r w:rsidRPr="00422E5B">
        <w:rPr>
          <w:rFonts w:ascii="Cambria" w:hAnsi="Cambria"/>
          <w:sz w:val="20"/>
          <w:u w:val="single"/>
        </w:rPr>
        <w:t xml:space="preserve"> point permanen</w:t>
      </w:r>
      <w:r w:rsidRPr="00422E5B">
        <w:rPr>
          <w:rFonts w:ascii="Cambria" w:hAnsi="Cambria"/>
          <w:sz w:val="20"/>
        </w:rPr>
        <w:t>t de l'ordre du jour de</w:t>
      </w:r>
      <w:r w:rsidRPr="00422E5B">
        <w:rPr>
          <w:rFonts w:ascii="Cambria" w:hAnsi="Cambria"/>
          <w:sz w:val="20"/>
          <w:u w:val="single"/>
        </w:rPr>
        <w:t>s ré</w:t>
      </w:r>
      <w:r w:rsidRPr="00422E5B">
        <w:rPr>
          <w:rFonts w:ascii="Cambria" w:hAnsi="Cambria"/>
          <w:sz w:val="20"/>
        </w:rPr>
        <w:t xml:space="preserve">unions plénières de la Commission </w:t>
      </w:r>
      <w:r w:rsidRPr="00422E5B">
        <w:rPr>
          <w:rFonts w:ascii="Cambria" w:hAnsi="Cambria"/>
          <w:sz w:val="20"/>
          <w:u w:val="single"/>
        </w:rPr>
        <w:t>sur les questions relevant de la compétence du Groupe de travail permanent dédié au dialogue entre halieutes et gestionnaires des pêcheries</w:t>
      </w:r>
      <w:r w:rsidRPr="00422E5B">
        <w:rPr>
          <w:rFonts w:ascii="Cambria" w:hAnsi="Cambria"/>
          <w:sz w:val="20"/>
        </w:rPr>
        <w:t>.</w:t>
      </w:r>
    </w:p>
    <w:p w14:paraId="706C98C1" w14:textId="3E85BDC8" w:rsidR="00B23862" w:rsidRDefault="00B23862" w:rsidP="00D84559">
      <w:pPr>
        <w:pStyle w:val="Standard"/>
        <w:ind w:left="426"/>
        <w:jc w:val="both"/>
      </w:pPr>
    </w:p>
    <w:sectPr w:rsidR="00B23862">
      <w:headerReference w:type="default" r:id="rId7"/>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98A1" w14:textId="77777777" w:rsidR="0029484B" w:rsidRDefault="0029484B">
      <w:r>
        <w:separator/>
      </w:r>
    </w:p>
  </w:endnote>
  <w:endnote w:type="continuationSeparator" w:id="0">
    <w:p w14:paraId="706C98A3" w14:textId="77777777" w:rsidR="0029484B" w:rsidRDefault="0029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8" w14:textId="77777777" w:rsidR="0029484B" w:rsidRDefault="0029484B">
    <w:pPr>
      <w:pStyle w:val="Footer"/>
      <w:jc w:val="center"/>
    </w:pPr>
    <w:r>
      <w:rPr>
        <w:rFonts w:ascii="Cambria" w:hAnsi="Cambria"/>
        <w:sz w:val="20"/>
      </w:rPr>
      <w:fldChar w:fldCharType="begin"/>
    </w:r>
    <w:r>
      <w:rPr>
        <w:rFonts w:ascii="Cambria" w:hAnsi="Cambria"/>
        <w:sz w:val="20"/>
      </w:rPr>
      <w:instrText xml:space="preserve">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xml:space="preserve"> / </w:t>
    </w:r>
    <w:r>
      <w:rPr>
        <w:rFonts w:ascii="Cambria" w:hAnsi="Cambria"/>
        <w:sz w:val="20"/>
      </w:rPr>
      <w:fldChar w:fldCharType="begin"/>
    </w:r>
    <w:r>
      <w:rPr>
        <w:rFonts w:ascii="Cambria" w:hAnsi="Cambria"/>
        <w:sz w:val="20"/>
      </w:rPr>
      <w:instrText xml:space="preserve"> NUMPAGES </w:instrText>
    </w:r>
    <w:r>
      <w:rPr>
        <w:rFonts w:ascii="Cambria" w:hAnsi="Cambria"/>
        <w:sz w:val="20"/>
      </w:rPr>
      <w:fldChar w:fldCharType="separate"/>
    </w:r>
    <w:r>
      <w:rPr>
        <w:rFonts w:ascii="Cambria" w:hAnsi="Cambria"/>
        <w:sz w:val="20"/>
      </w:rPr>
      <w:t>1</w:t>
    </w:r>
    <w:r>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989D" w14:textId="77777777" w:rsidR="0029484B" w:rsidRDefault="0029484B">
      <w:r>
        <w:rPr>
          <w:color w:val="000000"/>
        </w:rPr>
        <w:separator/>
      </w:r>
    </w:p>
  </w:footnote>
  <w:footnote w:type="continuationSeparator" w:id="0">
    <w:p w14:paraId="706C989F" w14:textId="77777777" w:rsidR="0029484B" w:rsidRDefault="0029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5" w14:textId="41508A46" w:rsidR="0029484B" w:rsidRDefault="0029484B">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hAnsi="Cambria"/>
        <w:b/>
        <w:sz w:val="20"/>
      </w:rPr>
      <w:t>PLE_129</w:t>
    </w:r>
    <w:r w:rsidR="00D12AE9">
      <w:rPr>
        <w:rFonts w:ascii="Cambria" w:hAnsi="Cambria"/>
        <w:b/>
        <w:sz w:val="20"/>
      </w:rPr>
      <w:t>A</w:t>
    </w:r>
    <w:r>
      <w:rPr>
        <w:rFonts w:ascii="Cambria" w:hAnsi="Cambria"/>
        <w:b/>
        <w:sz w:val="20"/>
      </w:rPr>
      <w:t>/2025</w:t>
    </w:r>
  </w:p>
  <w:p w14:paraId="706C98A6" w14:textId="1019EE9F" w:rsidR="0029484B" w:rsidRDefault="0029484B">
    <w:pPr>
      <w:tabs>
        <w:tab w:val="left" w:pos="7320"/>
      </w:tabs>
      <w:suppressAutoHyphens w:val="0"/>
      <w:spacing w:line="240" w:lineRule="exact"/>
      <w:jc w:val="right"/>
      <w:rPr>
        <w:rFonts w:ascii="Cambria" w:eastAsia="Calibri" w:hAnsi="Cambria"/>
        <w:b/>
        <w:bCs/>
        <w:kern w:val="0"/>
        <w:sz w:val="16"/>
        <w:szCs w:val="16"/>
        <w:lang w:val="es-ES_tradnl"/>
      </w:rPr>
    </w:pPr>
    <w:r>
      <w:rPr>
        <w:rFonts w:ascii="Cambria" w:eastAsia="Calibri" w:hAnsi="Cambria"/>
        <w:b/>
        <w:sz w:val="16"/>
      </w:rPr>
      <w:fldChar w:fldCharType="begin"/>
    </w:r>
    <w:r>
      <w:rPr>
        <w:rFonts w:ascii="Cambria" w:eastAsia="Calibri" w:hAnsi="Cambria"/>
        <w:b/>
        <w:sz w:val="16"/>
      </w:rPr>
      <w:instrText xml:space="preserve"> DATE \@ "dd'/'MM'/'yyyy' 'H':'mm" </w:instrText>
    </w:r>
    <w:r>
      <w:rPr>
        <w:rFonts w:ascii="Cambria" w:eastAsia="Calibri" w:hAnsi="Cambria"/>
        <w:b/>
        <w:sz w:val="16"/>
      </w:rPr>
      <w:fldChar w:fldCharType="separate"/>
    </w:r>
    <w:r w:rsidR="007E17A6">
      <w:rPr>
        <w:rFonts w:ascii="Cambria" w:eastAsia="Calibri" w:hAnsi="Cambria"/>
        <w:b/>
        <w:noProof/>
        <w:sz w:val="16"/>
      </w:rPr>
      <w:t>24/11/2025 13:54</w:t>
    </w:r>
    <w:r>
      <w:rPr>
        <w:rFonts w:ascii="Cambria" w:eastAsia="Calibri" w:hAnsi="Cambria"/>
        <w:b/>
        <w:bCs/>
        <w:kern w:val="0"/>
        <w:sz w:val="16"/>
        <w:szCs w:val="16"/>
        <w:lang w:val="es-ES_tradnl"/>
      </w:rPr>
      <w:fldChar w:fldCharType="end"/>
    </w:r>
  </w:p>
  <w:p w14:paraId="7A1F69E8" w14:textId="77777777" w:rsidR="004E1B6D" w:rsidRDefault="004E1B6D">
    <w:pPr>
      <w:tabs>
        <w:tab w:val="left" w:pos="7320"/>
      </w:tabs>
      <w:suppressAutoHyphens w:val="0"/>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DCF"/>
    <w:multiLevelType w:val="multilevel"/>
    <w:tmpl w:val="09E26B4A"/>
    <w:lvl w:ilvl="0">
      <w:start w:val="1"/>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2711B2A"/>
    <w:multiLevelType w:val="multilevel"/>
    <w:tmpl w:val="0624E36C"/>
    <w:lvl w:ilvl="0">
      <w:start w:val="6"/>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num w:numId="1" w16cid:durableId="1631084052">
    <w:abstractNumId w:val="0"/>
  </w:num>
  <w:num w:numId="2" w16cid:durableId="46886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62"/>
    <w:rsid w:val="000F09B6"/>
    <w:rsid w:val="001B7B18"/>
    <w:rsid w:val="001C71E2"/>
    <w:rsid w:val="001D6C04"/>
    <w:rsid w:val="001E221C"/>
    <w:rsid w:val="002826BF"/>
    <w:rsid w:val="0029484B"/>
    <w:rsid w:val="002D2DD1"/>
    <w:rsid w:val="00337E83"/>
    <w:rsid w:val="003640D6"/>
    <w:rsid w:val="00422A38"/>
    <w:rsid w:val="00422E5B"/>
    <w:rsid w:val="0047724F"/>
    <w:rsid w:val="004D6363"/>
    <w:rsid w:val="004E1B6D"/>
    <w:rsid w:val="00651FE1"/>
    <w:rsid w:val="0070123F"/>
    <w:rsid w:val="007251AE"/>
    <w:rsid w:val="007E17A6"/>
    <w:rsid w:val="007F18B3"/>
    <w:rsid w:val="008253B5"/>
    <w:rsid w:val="00873C1A"/>
    <w:rsid w:val="008D0B67"/>
    <w:rsid w:val="008E3EA2"/>
    <w:rsid w:val="00907C29"/>
    <w:rsid w:val="00A845F8"/>
    <w:rsid w:val="00AA6B9E"/>
    <w:rsid w:val="00AF2EAA"/>
    <w:rsid w:val="00B23862"/>
    <w:rsid w:val="00B736B8"/>
    <w:rsid w:val="00B96F88"/>
    <w:rsid w:val="00BB32C5"/>
    <w:rsid w:val="00BD451F"/>
    <w:rsid w:val="00BF69F3"/>
    <w:rsid w:val="00C10C70"/>
    <w:rsid w:val="00C46373"/>
    <w:rsid w:val="00CB6724"/>
    <w:rsid w:val="00D12AE9"/>
    <w:rsid w:val="00D84554"/>
    <w:rsid w:val="00D84559"/>
    <w:rsid w:val="00E50C71"/>
    <w:rsid w:val="00E53FB7"/>
    <w:rsid w:val="00EF76F1"/>
    <w:rsid w:val="00E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989D"/>
  <w15:docId w15:val="{59C2F224-20DC-4A1C-8292-BDB29EC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de Andrés</dc:creator>
  <cp:lastModifiedBy>Christine Peyre</cp:lastModifiedBy>
  <cp:revision>23</cp:revision>
  <dcterms:created xsi:type="dcterms:W3CDTF">2025-11-24T12:55:00Z</dcterms:created>
  <dcterms:modified xsi:type="dcterms:W3CDTF">2025-11-24T13:48:00Z</dcterms:modified>
</cp:coreProperties>
</file>