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7C0D" w14:textId="35D07FFE" w:rsidR="00E24FB7" w:rsidRPr="0014224A" w:rsidRDefault="00DB0FFB" w:rsidP="00DB0FFB">
      <w:pPr>
        <w:spacing w:after="0" w:line="240" w:lineRule="auto"/>
        <w:jc w:val="right"/>
        <w:rPr>
          <w:rFonts w:ascii="Cambria" w:hAnsi="Cambria" w:cs="Times New Roman"/>
          <w:b/>
          <w:bCs/>
          <w:sz w:val="20"/>
          <w:szCs w:val="20"/>
        </w:rPr>
      </w:pPr>
      <w:r w:rsidRPr="0014224A">
        <w:rPr>
          <w:rFonts w:ascii="Cambria" w:hAnsi="Cambria"/>
          <w:b/>
          <w:bCs/>
          <w:sz w:val="20"/>
          <w:szCs w:val="20"/>
        </w:rPr>
        <w:t>Original : anglais</w:t>
      </w:r>
    </w:p>
    <w:p w14:paraId="10648FD0" w14:textId="77777777" w:rsidR="00A4237E" w:rsidRPr="0014224A" w:rsidRDefault="00A4237E" w:rsidP="00DB0FFB">
      <w:pPr>
        <w:spacing w:after="0" w:line="240" w:lineRule="auto"/>
        <w:jc w:val="center"/>
        <w:rPr>
          <w:rFonts w:ascii="Cambria" w:hAnsi="Cambria" w:cs="Times New Roman"/>
          <w:b/>
          <w:bCs/>
          <w:sz w:val="20"/>
          <w:szCs w:val="20"/>
        </w:rPr>
      </w:pPr>
    </w:p>
    <w:p w14:paraId="75206B40" w14:textId="723C5A64" w:rsidR="00F37051" w:rsidRPr="0014224A" w:rsidRDefault="005A687C" w:rsidP="00DB0FFB">
      <w:pPr>
        <w:spacing w:after="0" w:line="240" w:lineRule="auto"/>
        <w:jc w:val="center"/>
        <w:rPr>
          <w:rFonts w:ascii="Cambria" w:hAnsi="Cambria" w:cs="Times New Roman"/>
          <w:b/>
          <w:bCs/>
          <w:sz w:val="20"/>
          <w:szCs w:val="20"/>
        </w:rPr>
      </w:pPr>
      <w:r w:rsidRPr="0014224A">
        <w:rPr>
          <w:rFonts w:ascii="Cambria" w:hAnsi="Cambria"/>
          <w:b/>
          <w:bCs/>
          <w:sz w:val="20"/>
          <w:szCs w:val="20"/>
        </w:rPr>
        <w:t xml:space="preserve">Accord </w:t>
      </w:r>
      <w:proofErr w:type="spellStart"/>
      <w:r w:rsidRPr="0014224A">
        <w:rPr>
          <w:rFonts w:ascii="Cambria" w:hAnsi="Cambria"/>
          <w:b/>
          <w:bCs/>
          <w:sz w:val="20"/>
          <w:szCs w:val="20"/>
        </w:rPr>
        <w:t>BBNJ</w:t>
      </w:r>
      <w:proofErr w:type="spellEnd"/>
      <w:r w:rsidRPr="0014224A">
        <w:rPr>
          <w:rFonts w:ascii="Cambria" w:hAnsi="Cambria"/>
          <w:b/>
          <w:bCs/>
          <w:sz w:val="20"/>
          <w:szCs w:val="20"/>
        </w:rPr>
        <w:t xml:space="preserve"> – progrès et prochaines étapes</w:t>
      </w:r>
    </w:p>
    <w:p w14:paraId="7F31A372" w14:textId="0281E8F4" w:rsidR="00893D72" w:rsidRPr="0014224A" w:rsidRDefault="00893D72" w:rsidP="00DB0FFB">
      <w:pPr>
        <w:spacing w:after="0" w:line="240" w:lineRule="auto"/>
        <w:jc w:val="center"/>
        <w:rPr>
          <w:rFonts w:ascii="Cambria" w:hAnsi="Cambria" w:cs="Times New Roman"/>
          <w:i/>
          <w:iCs/>
          <w:sz w:val="20"/>
          <w:szCs w:val="20"/>
        </w:rPr>
      </w:pPr>
      <w:r w:rsidRPr="0014224A">
        <w:rPr>
          <w:rFonts w:ascii="Cambria" w:hAnsi="Cambria"/>
          <w:i/>
          <w:iCs/>
          <w:sz w:val="20"/>
          <w:szCs w:val="20"/>
        </w:rPr>
        <w:t>(Document préparé par le Président de la Commission)</w:t>
      </w:r>
    </w:p>
    <w:p w14:paraId="7234AAD5" w14:textId="77777777" w:rsidR="005A687C" w:rsidRPr="0014224A" w:rsidRDefault="005A687C" w:rsidP="00DB0FFB">
      <w:pPr>
        <w:spacing w:after="0" w:line="240" w:lineRule="auto"/>
        <w:jc w:val="both"/>
        <w:rPr>
          <w:rFonts w:ascii="Cambria" w:hAnsi="Cambria" w:cs="Times New Roman"/>
          <w:b/>
          <w:bCs/>
          <w:sz w:val="20"/>
          <w:szCs w:val="20"/>
        </w:rPr>
      </w:pPr>
    </w:p>
    <w:p w14:paraId="5331A76C" w14:textId="21004FDC" w:rsidR="006C1294" w:rsidRPr="0014224A" w:rsidRDefault="006C1294" w:rsidP="00DB0FFB">
      <w:pPr>
        <w:spacing w:after="0" w:line="240" w:lineRule="auto"/>
        <w:jc w:val="both"/>
        <w:rPr>
          <w:rFonts w:ascii="Cambria" w:hAnsi="Cambria" w:cs="Times New Roman"/>
          <w:sz w:val="20"/>
          <w:szCs w:val="20"/>
        </w:rPr>
      </w:pPr>
      <w:r w:rsidRPr="0014224A">
        <w:rPr>
          <w:rFonts w:ascii="Cambria" w:hAnsi="Cambria"/>
          <w:sz w:val="20"/>
          <w:szCs w:val="20"/>
        </w:rPr>
        <w:t xml:space="preserve">Le prochain achèvement des travaux sur les documents fondamentaux de l’accord </w:t>
      </w:r>
      <w:proofErr w:type="spellStart"/>
      <w:r w:rsidRPr="0014224A">
        <w:rPr>
          <w:rFonts w:ascii="Cambria" w:hAnsi="Cambria"/>
          <w:sz w:val="20"/>
          <w:szCs w:val="20"/>
        </w:rPr>
        <w:t>BBNJ</w:t>
      </w:r>
      <w:proofErr w:type="spellEnd"/>
      <w:r w:rsidRPr="0014224A">
        <w:rPr>
          <w:rFonts w:ascii="Cambria" w:hAnsi="Cambria"/>
          <w:sz w:val="20"/>
          <w:szCs w:val="20"/>
        </w:rPr>
        <w:t xml:space="preserve"> constitue une étape majeure dans la reconfiguration de la gouvernance des océans. Ce développement offre également l’occasion de s’assurer que les préoccupations du secteur de la pêche sont dûment représentées et intégrées dans les organes subsidiaires pertinents de ce nouvel instrument international. La participation active des </w:t>
      </w:r>
      <w:proofErr w:type="spellStart"/>
      <w:r w:rsidRPr="0014224A">
        <w:rPr>
          <w:rFonts w:ascii="Cambria" w:hAnsi="Cambria"/>
          <w:sz w:val="20"/>
          <w:szCs w:val="20"/>
        </w:rPr>
        <w:t>CPC</w:t>
      </w:r>
      <w:proofErr w:type="spellEnd"/>
      <w:r w:rsidRPr="0014224A">
        <w:rPr>
          <w:rFonts w:ascii="Cambria" w:hAnsi="Cambria"/>
          <w:sz w:val="20"/>
          <w:szCs w:val="20"/>
        </w:rPr>
        <w:t xml:space="preserve"> de l’</w:t>
      </w:r>
      <w:proofErr w:type="spellStart"/>
      <w:r w:rsidRPr="0014224A">
        <w:rPr>
          <w:rFonts w:ascii="Cambria" w:hAnsi="Cambria"/>
          <w:sz w:val="20"/>
          <w:szCs w:val="20"/>
        </w:rPr>
        <w:t>ICCAT</w:t>
      </w:r>
      <w:proofErr w:type="spellEnd"/>
      <w:r w:rsidRPr="0014224A">
        <w:rPr>
          <w:rFonts w:ascii="Cambria" w:hAnsi="Cambria"/>
          <w:sz w:val="20"/>
          <w:szCs w:val="20"/>
        </w:rPr>
        <w:t xml:space="preserve"> sera fondamentale pour veiller à ce que les questions liées à la conservation et à la gestion des ressources halieutiques ne soient pas marginalisées dans la mise en œuvre de l’accord </w:t>
      </w:r>
      <w:proofErr w:type="spellStart"/>
      <w:r w:rsidRPr="0014224A">
        <w:rPr>
          <w:rFonts w:ascii="Cambria" w:hAnsi="Cambria"/>
          <w:sz w:val="20"/>
          <w:szCs w:val="20"/>
        </w:rPr>
        <w:t>BBNJ</w:t>
      </w:r>
      <w:proofErr w:type="spellEnd"/>
      <w:r w:rsidRPr="0014224A">
        <w:rPr>
          <w:rFonts w:ascii="Cambria" w:hAnsi="Cambria"/>
          <w:sz w:val="20"/>
          <w:szCs w:val="20"/>
        </w:rPr>
        <w:t>.</w:t>
      </w:r>
    </w:p>
    <w:p w14:paraId="1A35D27B" w14:textId="77777777" w:rsidR="00DB0FFB" w:rsidRPr="0014224A" w:rsidRDefault="00DB0FFB" w:rsidP="00DB0FFB">
      <w:pPr>
        <w:spacing w:after="0" w:line="240" w:lineRule="auto"/>
        <w:jc w:val="both"/>
        <w:rPr>
          <w:rFonts w:ascii="Cambria" w:hAnsi="Cambria" w:cs="Times New Roman"/>
          <w:sz w:val="20"/>
          <w:szCs w:val="20"/>
        </w:rPr>
      </w:pPr>
    </w:p>
    <w:p w14:paraId="32F0CBD4" w14:textId="40851C7D" w:rsidR="006C1294" w:rsidRPr="0014224A" w:rsidRDefault="006C1294" w:rsidP="00DB0FFB">
      <w:pPr>
        <w:spacing w:after="0" w:line="240" w:lineRule="auto"/>
        <w:jc w:val="both"/>
        <w:rPr>
          <w:rFonts w:ascii="Cambria" w:hAnsi="Cambria" w:cs="Times New Roman"/>
          <w:sz w:val="20"/>
          <w:szCs w:val="20"/>
        </w:rPr>
      </w:pPr>
      <w:r w:rsidRPr="0014224A">
        <w:rPr>
          <w:rFonts w:ascii="Cambria" w:hAnsi="Cambria"/>
          <w:sz w:val="20"/>
          <w:szCs w:val="20"/>
        </w:rPr>
        <w:t xml:space="preserve">Adopté à New-York au mois de juin 2023, l’accord </w:t>
      </w:r>
      <w:proofErr w:type="spellStart"/>
      <w:r w:rsidRPr="0014224A">
        <w:rPr>
          <w:rFonts w:ascii="Cambria" w:hAnsi="Cambria"/>
          <w:sz w:val="20"/>
          <w:szCs w:val="20"/>
        </w:rPr>
        <w:t>BBNJ</w:t>
      </w:r>
      <w:proofErr w:type="spellEnd"/>
      <w:r w:rsidRPr="0014224A">
        <w:rPr>
          <w:rFonts w:ascii="Cambria" w:hAnsi="Cambria"/>
          <w:sz w:val="20"/>
          <w:szCs w:val="20"/>
        </w:rPr>
        <w:t xml:space="preserve"> a été ouvert à signature le 20 septembre 2023 et l’est resté jusqu’au 20 septembre 2025. À ce jour, 145 États l’ont signé et 75 en sont déjà Parties. Ces chiffres reflètent l’élan politique sous-jacent à cet accord qui jouit d’un solide soutien international. De nombreuses </w:t>
      </w:r>
      <w:proofErr w:type="spellStart"/>
      <w:r w:rsidRPr="0014224A">
        <w:rPr>
          <w:rFonts w:ascii="Cambria" w:hAnsi="Cambria"/>
          <w:sz w:val="20"/>
          <w:szCs w:val="20"/>
        </w:rPr>
        <w:t>CPC</w:t>
      </w:r>
      <w:proofErr w:type="spellEnd"/>
      <w:r w:rsidRPr="0014224A">
        <w:rPr>
          <w:rFonts w:ascii="Cambria" w:hAnsi="Cambria"/>
          <w:sz w:val="20"/>
          <w:szCs w:val="20"/>
        </w:rPr>
        <w:t xml:space="preserve"> de l’</w:t>
      </w:r>
      <w:proofErr w:type="spellStart"/>
      <w:r w:rsidRPr="0014224A">
        <w:rPr>
          <w:rFonts w:ascii="Cambria" w:hAnsi="Cambria"/>
          <w:sz w:val="20"/>
          <w:szCs w:val="20"/>
        </w:rPr>
        <w:t>ICCAT</w:t>
      </w:r>
      <w:proofErr w:type="spellEnd"/>
      <w:r w:rsidRPr="0014224A">
        <w:rPr>
          <w:rFonts w:ascii="Cambria" w:hAnsi="Cambria"/>
          <w:sz w:val="20"/>
          <w:szCs w:val="20"/>
        </w:rPr>
        <w:t xml:space="preserve"> font partie des signataires et 25 d’entre elles l’ont déjà ratifié. </w:t>
      </w:r>
    </w:p>
    <w:p w14:paraId="125876F7" w14:textId="77777777" w:rsidR="00DB0FFB" w:rsidRPr="0014224A" w:rsidRDefault="00DB0FFB" w:rsidP="00DB0FFB">
      <w:pPr>
        <w:spacing w:after="0" w:line="240" w:lineRule="auto"/>
        <w:jc w:val="both"/>
        <w:rPr>
          <w:rFonts w:ascii="Cambria" w:hAnsi="Cambria" w:cs="Times New Roman"/>
          <w:sz w:val="20"/>
          <w:szCs w:val="20"/>
        </w:rPr>
      </w:pPr>
    </w:p>
    <w:p w14:paraId="6D402541" w14:textId="77777777" w:rsidR="00557DD0" w:rsidRPr="0014224A" w:rsidRDefault="00557DD0" w:rsidP="00DB0FFB">
      <w:pPr>
        <w:spacing w:after="0" w:line="240" w:lineRule="auto"/>
        <w:jc w:val="both"/>
        <w:rPr>
          <w:rFonts w:ascii="Cambria" w:hAnsi="Cambria" w:cs="Times New Roman"/>
          <w:sz w:val="20"/>
          <w:szCs w:val="20"/>
        </w:rPr>
      </w:pPr>
      <w:r w:rsidRPr="0014224A">
        <w:rPr>
          <w:rFonts w:ascii="Cambria" w:hAnsi="Cambria"/>
          <w:sz w:val="20"/>
          <w:szCs w:val="20"/>
        </w:rPr>
        <w:t>Conformément au paragraphe 1 de l’article 68, l’accord entrera en vigueur 120 jours après le dépôt du soixantième instrument de ratification, d’approbation, d’acceptation ou d’adhésion. Cette condition ayant été remplie, l’entrée en vigueur est prévue le 17 janvier 2026. La Commission préparatoire poursuivra ses travaux sur la définition des modalités institutionnelles et opérationnelles du nouvel instrument à sa troisième session, qui se tiendra du 23 mars au 2 avril 2026. La première Conférence des Parties (</w:t>
      </w:r>
      <w:proofErr w:type="spellStart"/>
      <w:r w:rsidRPr="0014224A">
        <w:rPr>
          <w:rFonts w:ascii="Cambria" w:hAnsi="Cambria"/>
          <w:sz w:val="20"/>
          <w:szCs w:val="20"/>
        </w:rPr>
        <w:t>CoP</w:t>
      </w:r>
      <w:proofErr w:type="spellEnd"/>
      <w:r w:rsidRPr="0014224A">
        <w:rPr>
          <w:rFonts w:ascii="Cambria" w:hAnsi="Cambria"/>
          <w:sz w:val="20"/>
          <w:szCs w:val="20"/>
        </w:rPr>
        <w:t>) devrait se tenir au deuxième semestre 2026, ce qui sera une étape cruciale pour la mise en œuvre efficace de l’accord et la définition de ses priorités.</w:t>
      </w:r>
    </w:p>
    <w:p w14:paraId="20EE54EA" w14:textId="77777777" w:rsidR="00A4237E" w:rsidRPr="0014224A" w:rsidRDefault="00A4237E" w:rsidP="00DB0FFB">
      <w:pPr>
        <w:spacing w:after="0" w:line="240" w:lineRule="auto"/>
        <w:jc w:val="both"/>
        <w:rPr>
          <w:rFonts w:ascii="Cambria" w:hAnsi="Cambria" w:cs="Times New Roman"/>
          <w:sz w:val="20"/>
          <w:szCs w:val="20"/>
        </w:rPr>
      </w:pPr>
    </w:p>
    <w:p w14:paraId="50E21BDC" w14:textId="4B51DF07" w:rsidR="00557DD0" w:rsidRPr="0014224A" w:rsidRDefault="00E24FB7" w:rsidP="00DB0FFB">
      <w:pPr>
        <w:spacing w:after="0" w:line="240" w:lineRule="auto"/>
        <w:jc w:val="both"/>
        <w:rPr>
          <w:rFonts w:ascii="Cambria" w:hAnsi="Cambria" w:cs="Times New Roman"/>
          <w:sz w:val="20"/>
          <w:szCs w:val="20"/>
        </w:rPr>
      </w:pPr>
      <w:r w:rsidRPr="0014224A">
        <w:rPr>
          <w:rFonts w:ascii="Cambria" w:hAnsi="Cambria"/>
          <w:sz w:val="20"/>
          <w:szCs w:val="20"/>
        </w:rPr>
        <w:t xml:space="preserve">Il convient de noter que l’accord </w:t>
      </w:r>
      <w:proofErr w:type="spellStart"/>
      <w:r w:rsidRPr="0014224A">
        <w:rPr>
          <w:rFonts w:ascii="Cambria" w:hAnsi="Cambria"/>
          <w:sz w:val="20"/>
          <w:szCs w:val="20"/>
        </w:rPr>
        <w:t>BBNJ</w:t>
      </w:r>
      <w:proofErr w:type="spellEnd"/>
      <w:r w:rsidRPr="0014224A">
        <w:rPr>
          <w:rFonts w:ascii="Cambria" w:hAnsi="Cambria"/>
          <w:sz w:val="20"/>
          <w:szCs w:val="20"/>
        </w:rPr>
        <w:t xml:space="preserve"> a déjà reçu bien plus de ratifications de la part de nos États membres que notre propre protocole amendant la Convention, le Protocole de Palma de Mallorca, qui doit encore entrer en vigueur. Cette dynamique soulève des questions quant au traitement et à l’importance accordé à notre instrument, bien qu’il constitue un cadre essentiel pour garantir un meilleur alignement sur les objectifs de l’accord </w:t>
      </w:r>
      <w:proofErr w:type="spellStart"/>
      <w:r w:rsidRPr="0014224A">
        <w:rPr>
          <w:rFonts w:ascii="Cambria" w:hAnsi="Cambria"/>
          <w:sz w:val="20"/>
          <w:szCs w:val="20"/>
        </w:rPr>
        <w:t>BBNJ</w:t>
      </w:r>
      <w:proofErr w:type="spellEnd"/>
      <w:r w:rsidRPr="0014224A">
        <w:rPr>
          <w:rFonts w:ascii="Cambria" w:hAnsi="Cambria"/>
          <w:sz w:val="20"/>
          <w:szCs w:val="20"/>
        </w:rPr>
        <w:t xml:space="preserve"> car il élargira son mandat pour inclure, par exemple, les requins grands migrateurs. Dans un contexte où la biodiversité marine devient une très haute priorité internationale, il est impératif que la Commission se dote de la base juridique lui permettant de jouer un rôle clef dans la conservation et la gestion de ces espèces iconiques.</w:t>
      </w:r>
    </w:p>
    <w:p w14:paraId="218FB982" w14:textId="77777777" w:rsidR="00DB0FFB" w:rsidRPr="0014224A" w:rsidRDefault="00DB0FFB" w:rsidP="00DB0FFB">
      <w:pPr>
        <w:spacing w:after="0" w:line="240" w:lineRule="auto"/>
        <w:jc w:val="both"/>
        <w:rPr>
          <w:rFonts w:ascii="Cambria" w:hAnsi="Cambria" w:cs="Times New Roman"/>
          <w:sz w:val="20"/>
          <w:szCs w:val="20"/>
        </w:rPr>
      </w:pPr>
    </w:p>
    <w:p w14:paraId="01081680" w14:textId="2CFF4CAC" w:rsidR="00B511E0" w:rsidRPr="0014224A" w:rsidRDefault="00B511E0" w:rsidP="00DB0FFB">
      <w:pPr>
        <w:spacing w:after="0" w:line="240" w:lineRule="auto"/>
        <w:jc w:val="both"/>
        <w:rPr>
          <w:rFonts w:ascii="Cambria" w:hAnsi="Cambria" w:cs="Times New Roman"/>
          <w:sz w:val="20"/>
          <w:szCs w:val="20"/>
        </w:rPr>
      </w:pPr>
      <w:r w:rsidRPr="0014224A">
        <w:rPr>
          <w:rFonts w:ascii="Cambria" w:hAnsi="Cambria"/>
          <w:sz w:val="20"/>
          <w:szCs w:val="20"/>
        </w:rPr>
        <w:t xml:space="preserve">Dans cette optique, il est recommandé que les </w:t>
      </w:r>
      <w:proofErr w:type="spellStart"/>
      <w:r w:rsidRPr="0014224A">
        <w:rPr>
          <w:rFonts w:ascii="Cambria" w:hAnsi="Cambria"/>
          <w:sz w:val="20"/>
          <w:szCs w:val="20"/>
        </w:rPr>
        <w:t>CPC</w:t>
      </w:r>
      <w:proofErr w:type="spellEnd"/>
      <w:r w:rsidRPr="0014224A">
        <w:rPr>
          <w:rFonts w:ascii="Cambria" w:hAnsi="Cambria"/>
          <w:sz w:val="20"/>
          <w:szCs w:val="20"/>
        </w:rPr>
        <w:t xml:space="preserve"> encouragent leurs experts des pêches à prendre une part plus active </w:t>
      </w:r>
      <w:r w:rsidR="00420A43" w:rsidRPr="0014224A">
        <w:rPr>
          <w:rFonts w:ascii="Cambria" w:hAnsi="Cambria"/>
          <w:sz w:val="20"/>
          <w:szCs w:val="20"/>
        </w:rPr>
        <w:t>aux</w:t>
      </w:r>
      <w:r w:rsidRPr="0014224A">
        <w:rPr>
          <w:rFonts w:ascii="Cambria" w:hAnsi="Cambria"/>
          <w:sz w:val="20"/>
          <w:szCs w:val="20"/>
        </w:rPr>
        <w:t xml:space="preserve"> prochaines phases du processus préparatoire. Une plus grande coordination au niveau national entre les départements compétents – notamment les pêches, l’environnement et les affaires étrangères– est essentielle pour garantir une approche cohérente et efficace. Finalement, une plus grande promotion de notre propre instrument permettrait de mieux positionner notre organisation dans le paysage institutionnel en évolution et de s’assurer que les intérêts du secteur de la pêche sont défendus de la manière adéquate au sein des organes de l’accord </w:t>
      </w:r>
      <w:proofErr w:type="spellStart"/>
      <w:r w:rsidRPr="0014224A">
        <w:rPr>
          <w:rFonts w:ascii="Cambria" w:hAnsi="Cambria"/>
          <w:sz w:val="20"/>
          <w:szCs w:val="20"/>
        </w:rPr>
        <w:t>BBNJ</w:t>
      </w:r>
      <w:proofErr w:type="spellEnd"/>
      <w:r w:rsidRPr="0014224A">
        <w:rPr>
          <w:rFonts w:ascii="Cambria" w:hAnsi="Cambria"/>
          <w:sz w:val="20"/>
          <w:szCs w:val="20"/>
        </w:rPr>
        <w:t>.</w:t>
      </w:r>
    </w:p>
    <w:p w14:paraId="3D6F5025" w14:textId="77777777" w:rsidR="00DB0FFB" w:rsidRPr="0014224A" w:rsidRDefault="00DB0FFB" w:rsidP="00DB0FFB">
      <w:pPr>
        <w:spacing w:after="0" w:line="240" w:lineRule="auto"/>
        <w:jc w:val="both"/>
        <w:rPr>
          <w:rFonts w:ascii="Cambria" w:hAnsi="Cambria" w:cs="Times New Roman"/>
          <w:sz w:val="20"/>
          <w:szCs w:val="20"/>
        </w:rPr>
      </w:pPr>
    </w:p>
    <w:p w14:paraId="706C1EE3" w14:textId="316AB119" w:rsidR="00867359" w:rsidRPr="00DB0FFB" w:rsidRDefault="00867359" w:rsidP="00DB0FFB">
      <w:pPr>
        <w:spacing w:after="0" w:line="240" w:lineRule="auto"/>
        <w:jc w:val="both"/>
        <w:rPr>
          <w:rFonts w:ascii="Cambria" w:hAnsi="Cambria" w:cs="Times New Roman"/>
          <w:sz w:val="20"/>
          <w:szCs w:val="20"/>
        </w:rPr>
      </w:pPr>
      <w:r w:rsidRPr="0014224A">
        <w:rPr>
          <w:rFonts w:ascii="Cambria" w:hAnsi="Cambria"/>
          <w:sz w:val="20"/>
          <w:szCs w:val="20"/>
        </w:rPr>
        <w:t xml:space="preserve">Dans ce contexte, il est important de s’assurer que, quel que soit le rôle que les </w:t>
      </w:r>
      <w:proofErr w:type="spellStart"/>
      <w:r w:rsidRPr="0014224A">
        <w:rPr>
          <w:rFonts w:ascii="Cambria" w:hAnsi="Cambria"/>
          <w:sz w:val="20"/>
          <w:szCs w:val="20"/>
        </w:rPr>
        <w:t>ORGP</w:t>
      </w:r>
      <w:proofErr w:type="spellEnd"/>
      <w:r w:rsidRPr="0014224A">
        <w:rPr>
          <w:rFonts w:ascii="Cambria" w:hAnsi="Cambria"/>
          <w:sz w:val="20"/>
          <w:szCs w:val="20"/>
        </w:rPr>
        <w:t xml:space="preserve"> sont appelées à jouer dans la mise en œuvre de l’accord </w:t>
      </w:r>
      <w:proofErr w:type="spellStart"/>
      <w:r w:rsidRPr="0014224A">
        <w:rPr>
          <w:rFonts w:ascii="Cambria" w:hAnsi="Cambria"/>
          <w:sz w:val="20"/>
          <w:szCs w:val="20"/>
        </w:rPr>
        <w:t>BBNJ</w:t>
      </w:r>
      <w:proofErr w:type="spellEnd"/>
      <w:r w:rsidRPr="0014224A">
        <w:rPr>
          <w:rFonts w:ascii="Cambria" w:hAnsi="Cambria"/>
          <w:sz w:val="20"/>
          <w:szCs w:val="20"/>
        </w:rPr>
        <w:t>, l’</w:t>
      </w:r>
      <w:proofErr w:type="spellStart"/>
      <w:r w:rsidRPr="0014224A">
        <w:rPr>
          <w:rFonts w:ascii="Cambria" w:hAnsi="Cambria"/>
          <w:sz w:val="20"/>
          <w:szCs w:val="20"/>
        </w:rPr>
        <w:t>ICCAT</w:t>
      </w:r>
      <w:proofErr w:type="spellEnd"/>
      <w:r w:rsidRPr="0014224A">
        <w:rPr>
          <w:rFonts w:ascii="Cambria" w:hAnsi="Cambria"/>
          <w:sz w:val="20"/>
          <w:szCs w:val="20"/>
        </w:rPr>
        <w:t xml:space="preserve"> sera en mesure de jouer ce rôle avec succès. Un facteur clé à cet effet est l’adoption du nouveau Plan stratégique pour la science du </w:t>
      </w:r>
      <w:proofErr w:type="spellStart"/>
      <w:r w:rsidRPr="0014224A">
        <w:rPr>
          <w:rFonts w:ascii="Cambria" w:hAnsi="Cambria"/>
          <w:sz w:val="20"/>
          <w:szCs w:val="20"/>
        </w:rPr>
        <w:t>SCRS</w:t>
      </w:r>
      <w:proofErr w:type="spellEnd"/>
      <w:r w:rsidRPr="0014224A">
        <w:rPr>
          <w:rFonts w:ascii="Cambria" w:hAnsi="Cambria"/>
          <w:sz w:val="20"/>
          <w:szCs w:val="20"/>
        </w:rPr>
        <w:t>, dans le cadre duquel nous devrions discuter du degré de priorité et d’implication de nos scientifiques dans l’avis pour mettre en œuvre la Convention des Nations</w:t>
      </w:r>
      <w:r w:rsidR="005A5989" w:rsidRPr="0014224A">
        <w:rPr>
          <w:rFonts w:ascii="Cambria" w:hAnsi="Cambria"/>
          <w:sz w:val="20"/>
          <w:szCs w:val="20"/>
        </w:rPr>
        <w:t xml:space="preserve"> </w:t>
      </w:r>
      <w:r w:rsidRPr="0014224A">
        <w:rPr>
          <w:rFonts w:ascii="Cambria" w:hAnsi="Cambria"/>
          <w:sz w:val="20"/>
          <w:szCs w:val="20"/>
        </w:rPr>
        <w:t>Unies. L’adoption de ce Plan stratégique pour la science, dans les meilleurs délais, revêt donc une importance capitale.</w:t>
      </w:r>
    </w:p>
    <w:p w14:paraId="2F201E01" w14:textId="47286694" w:rsidR="006C1294" w:rsidRPr="00DB0FFB" w:rsidRDefault="006C1294" w:rsidP="00DB0FFB">
      <w:pPr>
        <w:spacing w:after="0" w:line="240" w:lineRule="auto"/>
        <w:jc w:val="both"/>
        <w:rPr>
          <w:rFonts w:ascii="Cambria" w:hAnsi="Cambria" w:cs="Times New Roman"/>
          <w:sz w:val="20"/>
          <w:szCs w:val="20"/>
        </w:rPr>
      </w:pPr>
    </w:p>
    <w:sectPr w:rsidR="006C1294" w:rsidRPr="00DB0FFB" w:rsidSect="00A4237E">
      <w:headerReference w:type="default" r:id="rId6"/>
      <w:footerReference w:type="default" r:id="rId7"/>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FF62D" w14:textId="77777777" w:rsidR="00015601" w:rsidRDefault="00015601" w:rsidP="00DB0FFB">
      <w:pPr>
        <w:spacing w:after="0" w:line="240" w:lineRule="auto"/>
      </w:pPr>
      <w:r>
        <w:separator/>
      </w:r>
    </w:p>
  </w:endnote>
  <w:endnote w:type="continuationSeparator" w:id="0">
    <w:p w14:paraId="0FEFC7A7" w14:textId="77777777" w:rsidR="00015601" w:rsidRDefault="00015601" w:rsidP="00DB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84B7" w14:textId="576BF596" w:rsidR="00A4237E" w:rsidRPr="00A4237E" w:rsidRDefault="00000000" w:rsidP="00A4237E">
    <w:pPr>
      <w:pStyle w:val="Pieddepage"/>
      <w:jc w:val="center"/>
      <w:rPr>
        <w:sz w:val="20"/>
        <w:szCs w:val="20"/>
      </w:rPr>
    </w:pPr>
    <w:sdt>
      <w:sdtPr>
        <w:id w:val="-60483211"/>
        <w:docPartObj>
          <w:docPartGallery w:val="Page Numbers (Top of Page)"/>
          <w:docPartUnique/>
        </w:docPartObj>
      </w:sdtPr>
      <w:sdtEndPr>
        <w:rPr>
          <w:sz w:val="20"/>
          <w:szCs w:val="20"/>
        </w:rPr>
      </w:sdtEndPr>
      <w:sdtContent>
        <w:r w:rsidR="00A4237E" w:rsidRPr="008854A8">
          <w:rPr>
            <w:rFonts w:ascii="Cambria" w:hAnsi="Cambria"/>
            <w:sz w:val="20"/>
            <w:szCs w:val="20"/>
          </w:rPr>
          <w:fldChar w:fldCharType="begin"/>
        </w:r>
        <w:r w:rsidR="00A4237E" w:rsidRPr="008854A8">
          <w:rPr>
            <w:rFonts w:ascii="Cambria" w:hAnsi="Cambria"/>
            <w:sz w:val="20"/>
            <w:szCs w:val="20"/>
          </w:rPr>
          <w:instrText xml:space="preserve"> PAGE </w:instrText>
        </w:r>
        <w:r w:rsidR="00A4237E" w:rsidRPr="008854A8">
          <w:rPr>
            <w:rFonts w:ascii="Cambria" w:hAnsi="Cambria"/>
            <w:sz w:val="20"/>
            <w:szCs w:val="20"/>
          </w:rPr>
          <w:fldChar w:fldCharType="separate"/>
        </w:r>
        <w:r w:rsidR="00A4237E">
          <w:rPr>
            <w:rFonts w:ascii="Cambria" w:hAnsi="Cambria"/>
            <w:sz w:val="20"/>
            <w:szCs w:val="20"/>
          </w:rPr>
          <w:t>1</w:t>
        </w:r>
        <w:r w:rsidR="00A4237E" w:rsidRPr="008854A8">
          <w:rPr>
            <w:rFonts w:ascii="Cambria" w:hAnsi="Cambria"/>
            <w:sz w:val="20"/>
            <w:szCs w:val="20"/>
          </w:rPr>
          <w:fldChar w:fldCharType="end"/>
        </w:r>
        <w:r w:rsidR="005C3752">
          <w:t xml:space="preserve"> / </w:t>
        </w:r>
        <w:r w:rsidR="00A4237E" w:rsidRPr="008854A8">
          <w:rPr>
            <w:rFonts w:ascii="Cambria" w:hAnsi="Cambria"/>
            <w:sz w:val="20"/>
            <w:szCs w:val="20"/>
          </w:rPr>
          <w:fldChar w:fldCharType="begin"/>
        </w:r>
        <w:r w:rsidR="00A4237E" w:rsidRPr="008854A8">
          <w:rPr>
            <w:rFonts w:ascii="Cambria" w:hAnsi="Cambria"/>
            <w:sz w:val="20"/>
            <w:szCs w:val="20"/>
          </w:rPr>
          <w:instrText xml:space="preserve"> NUMPAGES  </w:instrText>
        </w:r>
        <w:r w:rsidR="00A4237E" w:rsidRPr="008854A8">
          <w:rPr>
            <w:rFonts w:ascii="Cambria" w:hAnsi="Cambria"/>
            <w:sz w:val="20"/>
            <w:szCs w:val="20"/>
          </w:rPr>
          <w:fldChar w:fldCharType="separate"/>
        </w:r>
        <w:r w:rsidR="00A4237E">
          <w:rPr>
            <w:rFonts w:ascii="Cambria" w:hAnsi="Cambria"/>
            <w:sz w:val="20"/>
            <w:szCs w:val="20"/>
          </w:rPr>
          <w:t>4</w:t>
        </w:r>
        <w:r w:rsidR="00A4237E" w:rsidRPr="008854A8">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DF79" w14:textId="77777777" w:rsidR="00015601" w:rsidRDefault="00015601" w:rsidP="00DB0FFB">
      <w:pPr>
        <w:spacing w:after="0" w:line="240" w:lineRule="auto"/>
      </w:pPr>
      <w:r>
        <w:separator/>
      </w:r>
    </w:p>
  </w:footnote>
  <w:footnote w:type="continuationSeparator" w:id="0">
    <w:p w14:paraId="54BDBC59" w14:textId="77777777" w:rsidR="00015601" w:rsidRDefault="00015601" w:rsidP="00DB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B5A3" w14:textId="04EEB518" w:rsidR="00DB0FFB" w:rsidRPr="00DB0FFB" w:rsidRDefault="00DB0FFB" w:rsidP="00DB0FFB">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bCs/>
        <w:sz w:val="20"/>
        <w:szCs w:val="20"/>
      </w:rPr>
      <w:t>PLE_114/2025</w:t>
    </w:r>
  </w:p>
  <w:p w14:paraId="58F00E92" w14:textId="30C427A0" w:rsidR="00DB0FFB" w:rsidRPr="00DB0FFB" w:rsidRDefault="00C76E83" w:rsidP="00DB0FFB">
    <w:pPr>
      <w:widowControl w:val="0"/>
      <w:tabs>
        <w:tab w:val="left" w:pos="7320"/>
      </w:tabs>
      <w:spacing w:after="0" w:line="240" w:lineRule="exact"/>
      <w:jc w:val="right"/>
      <w:rPr>
        <w:rFonts w:ascii="Calibri" w:eastAsia="Calibri" w:hAnsi="Calibri" w:cs="Times New Roman"/>
        <w:kern w:val="0"/>
        <w14:ligatures w14:val="none"/>
      </w:rPr>
    </w:pPr>
    <w:r>
      <w:rPr>
        <w:rFonts w:ascii="Cambria" w:eastAsia="Calibri" w:hAnsi="Cambria" w:cs="Times New Roman"/>
        <w:b/>
        <w:bCs/>
        <w:sz w:val="16"/>
        <w:szCs w:val="16"/>
      </w:rPr>
      <w:fldChar w:fldCharType="begin"/>
    </w:r>
    <w:r>
      <w:rPr>
        <w:rFonts w:ascii="Cambria" w:eastAsia="Calibri" w:hAnsi="Cambria" w:cs="Times New Roman"/>
        <w:b/>
        <w:bCs/>
        <w:sz w:val="16"/>
        <w:szCs w:val="16"/>
      </w:rPr>
      <w:instrText xml:space="preserve"> TIME  \@ "dd/MM/yyyy HH:mm" </w:instrText>
    </w:r>
    <w:r>
      <w:rPr>
        <w:rFonts w:ascii="Cambria" w:eastAsia="Calibri" w:hAnsi="Cambria" w:cs="Times New Roman"/>
        <w:b/>
        <w:bCs/>
        <w:sz w:val="16"/>
        <w:szCs w:val="16"/>
      </w:rPr>
      <w:fldChar w:fldCharType="separate"/>
    </w:r>
    <w:r>
      <w:rPr>
        <w:rFonts w:ascii="Cambria" w:eastAsia="Calibri" w:hAnsi="Cambria" w:cs="Times New Roman"/>
        <w:b/>
        <w:bCs/>
        <w:noProof/>
        <w:sz w:val="16"/>
        <w:szCs w:val="16"/>
      </w:rPr>
      <w:t>11/11/2025 10:43</w:t>
    </w:r>
    <w:r>
      <w:rPr>
        <w:rFonts w:ascii="Cambria" w:eastAsia="Calibri" w:hAnsi="Cambria" w:cs="Times New Roman"/>
        <w:b/>
        <w:bCs/>
        <w:sz w:val="16"/>
        <w:szCs w:val="16"/>
      </w:rPr>
      <w:fldChar w:fldCharType="end"/>
    </w:r>
  </w:p>
  <w:p w14:paraId="170132F4" w14:textId="77777777" w:rsidR="00DB0FFB" w:rsidRDefault="00DB0FF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DA"/>
    <w:rsid w:val="00004516"/>
    <w:rsid w:val="0000673B"/>
    <w:rsid w:val="00015601"/>
    <w:rsid w:val="000B7E28"/>
    <w:rsid w:val="000D4525"/>
    <w:rsid w:val="000D50A9"/>
    <w:rsid w:val="0014224A"/>
    <w:rsid w:val="00161FC3"/>
    <w:rsid w:val="0018380D"/>
    <w:rsid w:val="00196F1E"/>
    <w:rsid w:val="001B0133"/>
    <w:rsid w:val="001B6429"/>
    <w:rsid w:val="001C1A95"/>
    <w:rsid w:val="001E4902"/>
    <w:rsid w:val="0021645A"/>
    <w:rsid w:val="002247BD"/>
    <w:rsid w:val="00243DA0"/>
    <w:rsid w:val="00246631"/>
    <w:rsid w:val="00254930"/>
    <w:rsid w:val="002F36FC"/>
    <w:rsid w:val="002F371D"/>
    <w:rsid w:val="002F4FC9"/>
    <w:rsid w:val="002F7159"/>
    <w:rsid w:val="002F7EB7"/>
    <w:rsid w:val="00315B5E"/>
    <w:rsid w:val="00327547"/>
    <w:rsid w:val="00334781"/>
    <w:rsid w:val="00362C68"/>
    <w:rsid w:val="00365080"/>
    <w:rsid w:val="0037136D"/>
    <w:rsid w:val="003977DA"/>
    <w:rsid w:val="003E58A0"/>
    <w:rsid w:val="00410597"/>
    <w:rsid w:val="00420A43"/>
    <w:rsid w:val="00456394"/>
    <w:rsid w:val="004C7C40"/>
    <w:rsid w:val="004F68F6"/>
    <w:rsid w:val="0051218B"/>
    <w:rsid w:val="0052468F"/>
    <w:rsid w:val="00557DD0"/>
    <w:rsid w:val="005A0C95"/>
    <w:rsid w:val="005A0EA9"/>
    <w:rsid w:val="005A5989"/>
    <w:rsid w:val="005A687C"/>
    <w:rsid w:val="005C3752"/>
    <w:rsid w:val="005E7A08"/>
    <w:rsid w:val="00604713"/>
    <w:rsid w:val="00634637"/>
    <w:rsid w:val="00694319"/>
    <w:rsid w:val="006A3CD4"/>
    <w:rsid w:val="006B4244"/>
    <w:rsid w:val="006C1294"/>
    <w:rsid w:val="006F0299"/>
    <w:rsid w:val="00743D36"/>
    <w:rsid w:val="0074449E"/>
    <w:rsid w:val="00757C18"/>
    <w:rsid w:val="00813DDA"/>
    <w:rsid w:val="0083402D"/>
    <w:rsid w:val="00842C2F"/>
    <w:rsid w:val="00867359"/>
    <w:rsid w:val="00893D72"/>
    <w:rsid w:val="008C027E"/>
    <w:rsid w:val="008C1FBC"/>
    <w:rsid w:val="008F35FC"/>
    <w:rsid w:val="008F5512"/>
    <w:rsid w:val="00944435"/>
    <w:rsid w:val="00991036"/>
    <w:rsid w:val="00992723"/>
    <w:rsid w:val="00A00B63"/>
    <w:rsid w:val="00A4237E"/>
    <w:rsid w:val="00A44A3F"/>
    <w:rsid w:val="00A80029"/>
    <w:rsid w:val="00A8247D"/>
    <w:rsid w:val="00B00C66"/>
    <w:rsid w:val="00B511E0"/>
    <w:rsid w:val="00B72AEB"/>
    <w:rsid w:val="00BC2E03"/>
    <w:rsid w:val="00BC56E5"/>
    <w:rsid w:val="00BF2123"/>
    <w:rsid w:val="00C16F6F"/>
    <w:rsid w:val="00C3341F"/>
    <w:rsid w:val="00C41AC6"/>
    <w:rsid w:val="00C76E83"/>
    <w:rsid w:val="00CA479A"/>
    <w:rsid w:val="00CC15C1"/>
    <w:rsid w:val="00CD55F7"/>
    <w:rsid w:val="00CD5ACA"/>
    <w:rsid w:val="00D01336"/>
    <w:rsid w:val="00D35FDA"/>
    <w:rsid w:val="00D5265F"/>
    <w:rsid w:val="00DA2FA0"/>
    <w:rsid w:val="00DA4A95"/>
    <w:rsid w:val="00DA7D4E"/>
    <w:rsid w:val="00DB0FFB"/>
    <w:rsid w:val="00DB215E"/>
    <w:rsid w:val="00DB6486"/>
    <w:rsid w:val="00DD66A3"/>
    <w:rsid w:val="00E07998"/>
    <w:rsid w:val="00E144A1"/>
    <w:rsid w:val="00E237F0"/>
    <w:rsid w:val="00E24FB7"/>
    <w:rsid w:val="00E83E8C"/>
    <w:rsid w:val="00E87274"/>
    <w:rsid w:val="00EA23EF"/>
    <w:rsid w:val="00F00311"/>
    <w:rsid w:val="00F02AAE"/>
    <w:rsid w:val="00F10053"/>
    <w:rsid w:val="00F24EF4"/>
    <w:rsid w:val="00F3616B"/>
    <w:rsid w:val="00F37051"/>
    <w:rsid w:val="00F518EF"/>
    <w:rsid w:val="00F51AC0"/>
    <w:rsid w:val="00F564F3"/>
    <w:rsid w:val="00FC5295"/>
    <w:rsid w:val="00FC609C"/>
    <w:rsid w:val="00FE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533DC"/>
  <w15:chartTrackingRefBased/>
  <w15:docId w15:val="{4B6215B4-7168-46D4-A918-C26F43A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3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5FD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5FD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5FD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5FD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5FD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5FD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5FD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5FD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5FD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5FD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5FD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5FD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5F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5F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5F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5FDA"/>
    <w:rPr>
      <w:rFonts w:eastAsiaTheme="majorEastAsia" w:cstheme="majorBidi"/>
      <w:color w:val="272727" w:themeColor="text1" w:themeTint="D8"/>
    </w:rPr>
  </w:style>
  <w:style w:type="paragraph" w:styleId="Titre">
    <w:name w:val="Title"/>
    <w:basedOn w:val="Normal"/>
    <w:next w:val="Normal"/>
    <w:link w:val="TitreCar"/>
    <w:uiPriority w:val="10"/>
    <w:qFormat/>
    <w:rsid w:val="00D3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5F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5F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5F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5FDA"/>
    <w:pPr>
      <w:spacing w:before="160"/>
      <w:jc w:val="center"/>
    </w:pPr>
    <w:rPr>
      <w:i/>
      <w:iCs/>
      <w:color w:val="404040" w:themeColor="text1" w:themeTint="BF"/>
    </w:rPr>
  </w:style>
  <w:style w:type="character" w:customStyle="1" w:styleId="CitationCar">
    <w:name w:val="Citation Car"/>
    <w:basedOn w:val="Policepardfaut"/>
    <w:link w:val="Citation"/>
    <w:uiPriority w:val="29"/>
    <w:rsid w:val="00D35FDA"/>
    <w:rPr>
      <w:i/>
      <w:iCs/>
      <w:color w:val="404040" w:themeColor="text1" w:themeTint="BF"/>
    </w:rPr>
  </w:style>
  <w:style w:type="paragraph" w:styleId="Paragraphedeliste">
    <w:name w:val="List Paragraph"/>
    <w:basedOn w:val="Normal"/>
    <w:uiPriority w:val="34"/>
    <w:qFormat/>
    <w:rsid w:val="00D35FDA"/>
    <w:pPr>
      <w:ind w:left="720"/>
      <w:contextualSpacing/>
    </w:pPr>
  </w:style>
  <w:style w:type="character" w:styleId="Accentuationintense">
    <w:name w:val="Intense Emphasis"/>
    <w:basedOn w:val="Policepardfaut"/>
    <w:uiPriority w:val="21"/>
    <w:qFormat/>
    <w:rsid w:val="00D35FDA"/>
    <w:rPr>
      <w:i/>
      <w:iCs/>
      <w:color w:val="0F4761" w:themeColor="accent1" w:themeShade="BF"/>
    </w:rPr>
  </w:style>
  <w:style w:type="paragraph" w:styleId="Citationintense">
    <w:name w:val="Intense Quote"/>
    <w:basedOn w:val="Normal"/>
    <w:next w:val="Normal"/>
    <w:link w:val="CitationintenseCar"/>
    <w:uiPriority w:val="30"/>
    <w:qFormat/>
    <w:rsid w:val="00D3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5FDA"/>
    <w:rPr>
      <w:i/>
      <w:iCs/>
      <w:color w:val="0F4761" w:themeColor="accent1" w:themeShade="BF"/>
    </w:rPr>
  </w:style>
  <w:style w:type="character" w:styleId="Rfrenceintense">
    <w:name w:val="Intense Reference"/>
    <w:basedOn w:val="Policepardfaut"/>
    <w:uiPriority w:val="32"/>
    <w:qFormat/>
    <w:rsid w:val="00D35FDA"/>
    <w:rPr>
      <w:b/>
      <w:bCs/>
      <w:smallCaps/>
      <w:color w:val="0F4761" w:themeColor="accent1" w:themeShade="BF"/>
      <w:spacing w:val="5"/>
    </w:rPr>
  </w:style>
  <w:style w:type="paragraph" w:styleId="Rvision">
    <w:name w:val="Revision"/>
    <w:hidden/>
    <w:uiPriority w:val="99"/>
    <w:semiHidden/>
    <w:rsid w:val="004C7C40"/>
    <w:pPr>
      <w:spacing w:after="0" w:line="240" w:lineRule="auto"/>
    </w:pPr>
  </w:style>
  <w:style w:type="paragraph" w:styleId="En-tte">
    <w:name w:val="header"/>
    <w:basedOn w:val="Normal"/>
    <w:link w:val="En-tteCar"/>
    <w:uiPriority w:val="99"/>
    <w:unhideWhenUsed/>
    <w:rsid w:val="00DB0FFB"/>
    <w:pPr>
      <w:tabs>
        <w:tab w:val="center" w:pos="4680"/>
        <w:tab w:val="right" w:pos="9360"/>
      </w:tabs>
      <w:spacing w:after="0" w:line="240" w:lineRule="auto"/>
    </w:pPr>
  </w:style>
  <w:style w:type="character" w:customStyle="1" w:styleId="En-tteCar">
    <w:name w:val="En-tête Car"/>
    <w:basedOn w:val="Policepardfaut"/>
    <w:link w:val="En-tte"/>
    <w:uiPriority w:val="99"/>
    <w:rsid w:val="00DB0FFB"/>
  </w:style>
  <w:style w:type="paragraph" w:styleId="Pieddepage">
    <w:name w:val="footer"/>
    <w:basedOn w:val="Normal"/>
    <w:link w:val="PieddepageCar"/>
    <w:uiPriority w:val="99"/>
    <w:unhideWhenUsed/>
    <w:rsid w:val="00DB0FF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B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595</Words>
  <Characters>3273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christel navarret</cp:lastModifiedBy>
  <cp:revision>11</cp:revision>
  <dcterms:created xsi:type="dcterms:W3CDTF">2025-10-30T12:17:00Z</dcterms:created>
  <dcterms:modified xsi:type="dcterms:W3CDTF">2025-11-11T09:54:00Z</dcterms:modified>
</cp:coreProperties>
</file>