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8FD1F" w14:textId="722ADD12" w:rsidR="00D21EAC" w:rsidRPr="00DC1A92" w:rsidRDefault="00D21EAC" w:rsidP="00DC1A92">
      <w:pPr>
        <w:spacing w:after="0" w:line="240" w:lineRule="auto"/>
        <w:jc w:val="right"/>
        <w:rPr>
          <w:rFonts w:ascii="Cambria" w:hAnsi="Cambria"/>
          <w:b/>
          <w:bCs/>
          <w:sz w:val="20"/>
          <w:szCs w:val="20"/>
        </w:rPr>
      </w:pPr>
      <w:r>
        <w:rPr>
          <w:rFonts w:ascii="Cambria" w:hAnsi="Cambria"/>
          <w:b/>
          <w:sz w:val="20"/>
        </w:rPr>
        <w:t>Original: inglés</w:t>
      </w:r>
    </w:p>
    <w:p w14:paraId="7655216E" w14:textId="6F1333D9" w:rsidR="00460919" w:rsidRPr="00DC1A92" w:rsidRDefault="00FC2D60" w:rsidP="00DC1A92">
      <w:pPr>
        <w:spacing w:after="0" w:line="240" w:lineRule="auto"/>
        <w:jc w:val="center"/>
        <w:rPr>
          <w:rFonts w:ascii="Cambria" w:hAnsi="Cambria"/>
          <w:b/>
          <w:bCs/>
          <w:sz w:val="20"/>
          <w:szCs w:val="20"/>
        </w:rPr>
      </w:pPr>
      <w:r>
        <w:rPr>
          <w:rFonts w:ascii="Cambria" w:hAnsi="Cambria"/>
          <w:b/>
          <w:sz w:val="20"/>
        </w:rPr>
        <w:t>Tercera revisión del desempeño de ICCAT</w:t>
      </w:r>
    </w:p>
    <w:p w14:paraId="64FB3FBC" w14:textId="77777777" w:rsidR="00EA0322" w:rsidRDefault="00EA0322" w:rsidP="00DC1A92">
      <w:pPr>
        <w:spacing w:after="0" w:line="240" w:lineRule="auto"/>
        <w:jc w:val="center"/>
        <w:rPr>
          <w:rFonts w:ascii="Cambria" w:hAnsi="Cambria"/>
          <w:i/>
          <w:iCs/>
          <w:sz w:val="20"/>
        </w:rPr>
      </w:pPr>
    </w:p>
    <w:p w14:paraId="2BB75F69" w14:textId="1B354094" w:rsidR="001F5442" w:rsidRPr="00EA0322" w:rsidRDefault="001F5442" w:rsidP="00DC1A92">
      <w:pPr>
        <w:spacing w:after="0" w:line="240" w:lineRule="auto"/>
        <w:jc w:val="center"/>
        <w:rPr>
          <w:rFonts w:ascii="Cambria" w:hAnsi="Cambria"/>
          <w:i/>
          <w:iCs/>
          <w:sz w:val="20"/>
          <w:szCs w:val="20"/>
        </w:rPr>
      </w:pPr>
      <w:r w:rsidRPr="00EA0322">
        <w:rPr>
          <w:rFonts w:ascii="Cambria" w:hAnsi="Cambria"/>
          <w:i/>
          <w:iCs/>
          <w:sz w:val="20"/>
        </w:rPr>
        <w:t>(preparado por el presidente de la Comisión)</w:t>
      </w:r>
    </w:p>
    <w:p w14:paraId="3AF05D71" w14:textId="77777777" w:rsidR="00460919" w:rsidRPr="00DC1A92" w:rsidRDefault="00460919" w:rsidP="00DC1A92">
      <w:pPr>
        <w:spacing w:after="0" w:line="240" w:lineRule="auto"/>
        <w:jc w:val="both"/>
        <w:rPr>
          <w:rFonts w:ascii="Cambria" w:hAnsi="Cambria"/>
          <w:sz w:val="20"/>
          <w:szCs w:val="20"/>
        </w:rPr>
      </w:pPr>
    </w:p>
    <w:p w14:paraId="323D81DB" w14:textId="77777777" w:rsidR="00460919" w:rsidRPr="00DC1A92" w:rsidRDefault="001579A5" w:rsidP="00DC1A92">
      <w:pPr>
        <w:spacing w:after="0" w:line="240" w:lineRule="auto"/>
        <w:jc w:val="both"/>
        <w:rPr>
          <w:rFonts w:ascii="Cambria" w:hAnsi="Cambria"/>
          <w:sz w:val="20"/>
          <w:szCs w:val="20"/>
        </w:rPr>
      </w:pPr>
      <w:r>
        <w:rPr>
          <w:rFonts w:ascii="Cambria" w:hAnsi="Cambria"/>
          <w:sz w:val="20"/>
        </w:rPr>
        <w:t>Desde hace varios años, las revisiones del desempeño son un proceso fundamental para las organizaciones internacionales de ordenación pesquera. No sólo miden la eficacia de las instituciones, sino que también identifican áreas de mejora de forma constructiva. ICCAT no es una excepción a esta dinámica y ya ha realizado dos ejercicios de este tipo.</w:t>
      </w:r>
    </w:p>
    <w:p w14:paraId="009D86DB" w14:textId="77777777" w:rsidR="00DC1A92" w:rsidRPr="00DC1A92" w:rsidRDefault="00DC1A92" w:rsidP="00DC1A92">
      <w:pPr>
        <w:spacing w:after="0" w:line="240" w:lineRule="auto"/>
        <w:jc w:val="both"/>
        <w:rPr>
          <w:rFonts w:ascii="Cambria" w:hAnsi="Cambria"/>
          <w:sz w:val="20"/>
          <w:szCs w:val="20"/>
        </w:rPr>
      </w:pPr>
    </w:p>
    <w:p w14:paraId="7CAB852C" w14:textId="41E043C7" w:rsidR="00460919" w:rsidRPr="00DC1A92" w:rsidRDefault="001579A5" w:rsidP="00DC1A92">
      <w:pPr>
        <w:spacing w:after="0" w:line="240" w:lineRule="auto"/>
        <w:jc w:val="both"/>
        <w:rPr>
          <w:rFonts w:ascii="Cambria" w:hAnsi="Cambria"/>
          <w:sz w:val="20"/>
          <w:szCs w:val="20"/>
        </w:rPr>
      </w:pPr>
      <w:r>
        <w:rPr>
          <w:rFonts w:ascii="Cambria" w:hAnsi="Cambria"/>
          <w:sz w:val="20"/>
        </w:rPr>
        <w:t xml:space="preserve">La primera revisión supuso un paso esencial en el deseo de la Comisión de reforzar su credibilidad y transparencia. La segunda, finalizada en 2016, profundizó en este esfuerzo y generó numerosas recomendaciones. A </w:t>
      </w:r>
      <w:r w:rsidR="00986837">
        <w:rPr>
          <w:rFonts w:ascii="Cambria" w:hAnsi="Cambria"/>
          <w:sz w:val="20"/>
        </w:rPr>
        <w:t>continuación,</w:t>
      </w:r>
      <w:r>
        <w:rPr>
          <w:rFonts w:ascii="Cambria" w:hAnsi="Cambria"/>
          <w:sz w:val="20"/>
        </w:rPr>
        <w:t xml:space="preserve"> se puso en marcha un mecanismo de seguimiento anual para examinar la aplicación de estas recomendaciones, proceso que concluyó en la reunión anual celebrada en El Cairo en 2023. Más allá de su valor técnico, estas revisiones son una herramienta esencial para demostrar los progresos realizados por la Comisión y poner de relieve las áreas que requieren mayor atención. Cabe señalar que otras organizaciones regionales de ordenación pesquera ya han llevado a cabo su tercera revisión, lo que subraya la importancia de que ICCAT también dé este paso.</w:t>
      </w:r>
    </w:p>
    <w:p w14:paraId="7F0B6544" w14:textId="77777777" w:rsidR="00DC1A92" w:rsidRPr="00DC1A92" w:rsidRDefault="00DC1A92" w:rsidP="00DC1A92">
      <w:pPr>
        <w:spacing w:after="0" w:line="240" w:lineRule="auto"/>
        <w:jc w:val="both"/>
        <w:rPr>
          <w:rFonts w:ascii="Cambria" w:hAnsi="Cambria"/>
          <w:sz w:val="20"/>
          <w:szCs w:val="20"/>
        </w:rPr>
      </w:pPr>
    </w:p>
    <w:p w14:paraId="5B20E849" w14:textId="77777777" w:rsidR="00460919" w:rsidRPr="00DC1A92" w:rsidRDefault="001579A5" w:rsidP="00DC1A92">
      <w:pPr>
        <w:spacing w:after="0" w:line="240" w:lineRule="auto"/>
        <w:jc w:val="both"/>
        <w:rPr>
          <w:rFonts w:ascii="Cambria" w:hAnsi="Cambria"/>
          <w:sz w:val="20"/>
          <w:szCs w:val="20"/>
        </w:rPr>
      </w:pPr>
      <w:r>
        <w:rPr>
          <w:rFonts w:ascii="Cambria" w:hAnsi="Cambria"/>
          <w:sz w:val="20"/>
        </w:rPr>
        <w:t>Teniendo esto en cuenta, parece oportuno recordar a la Comisión la necesidad de debatir la preparación de la tercera revisión del desempeño y fijar un calendario para su realización, que podría tener lugar en 2027. Este debate debería basarse en las lecciones aprendidas de las dos primeras revisiones y, en particular, en cómo se llevó a cabo y se hizo el seguimiento de la segunda revisión. Para ello, la Comisión podría considerar la creación de un grupo de trabajo ad hoc como primer paso en este proceso. La principal tarea de este grupo sería preparar los términos de referencia para su revisión, como se hizo para la segunda.</w:t>
      </w:r>
    </w:p>
    <w:p w14:paraId="66DDC2DC" w14:textId="77777777" w:rsidR="00DC1A92" w:rsidRPr="00DC1A92" w:rsidRDefault="00DC1A92" w:rsidP="00DC1A92">
      <w:pPr>
        <w:spacing w:after="0" w:line="240" w:lineRule="auto"/>
        <w:jc w:val="both"/>
        <w:rPr>
          <w:rFonts w:ascii="Cambria" w:hAnsi="Cambria"/>
          <w:sz w:val="20"/>
          <w:szCs w:val="20"/>
        </w:rPr>
      </w:pPr>
    </w:p>
    <w:p w14:paraId="187C29BD" w14:textId="77777777" w:rsidR="00460919" w:rsidRPr="00DC1A92" w:rsidRDefault="001579A5" w:rsidP="00DC1A92">
      <w:pPr>
        <w:spacing w:after="0" w:line="240" w:lineRule="auto"/>
        <w:jc w:val="both"/>
        <w:rPr>
          <w:rFonts w:ascii="Cambria" w:hAnsi="Cambria"/>
          <w:sz w:val="20"/>
          <w:szCs w:val="20"/>
        </w:rPr>
      </w:pPr>
      <w:r>
        <w:rPr>
          <w:rFonts w:ascii="Cambria" w:hAnsi="Cambria"/>
          <w:sz w:val="20"/>
        </w:rPr>
        <w:t>Por último, se invitará a la Comisión a decidir el alcance de esta revisión. Podrían considerarse dos opciones: por un lado, emprender una revisión exhaustiva que abarque todos los aspectos del mandato y el funcionamiento de ICCAT; por otro, optar por un enfoque más específico centrado en un número limitado de cuestiones prioritarias. Esta elección debe reflejar las ambiciones de la Comisión, así como los recursos y el tiempo disponibles.</w:t>
      </w:r>
    </w:p>
    <w:p w14:paraId="03573C11" w14:textId="77777777" w:rsidR="00DC1A92" w:rsidRPr="00DC1A92" w:rsidRDefault="00DC1A92" w:rsidP="00DC1A92">
      <w:pPr>
        <w:spacing w:after="0" w:line="240" w:lineRule="auto"/>
        <w:jc w:val="both"/>
        <w:rPr>
          <w:rFonts w:ascii="Cambria" w:hAnsi="Cambria"/>
          <w:sz w:val="20"/>
          <w:szCs w:val="20"/>
        </w:rPr>
      </w:pPr>
    </w:p>
    <w:p w14:paraId="6E59FCBE" w14:textId="67A8985F" w:rsidR="00460919" w:rsidRPr="00DC1A92" w:rsidRDefault="001579A5" w:rsidP="00DC1A92">
      <w:pPr>
        <w:spacing w:after="0" w:line="240" w:lineRule="auto"/>
        <w:jc w:val="both"/>
        <w:rPr>
          <w:rFonts w:ascii="Cambria" w:hAnsi="Cambria"/>
          <w:sz w:val="20"/>
          <w:szCs w:val="20"/>
        </w:rPr>
      </w:pPr>
      <w:r>
        <w:rPr>
          <w:rFonts w:ascii="Cambria" w:hAnsi="Cambria"/>
          <w:sz w:val="20"/>
        </w:rPr>
        <w:t>En última instancia, preparase para la tercera revisión del desempeño parece ser un paso necesario para consolidar los logros de las revisiones anteriores y seguir reforzando la eficacia y legitimidad de ICCAT. La creación de un grupo de trabajo ad hoc encargado de elaborar los términos de referencia es un enfoque pragmático y estructurado que proporcionará a la Comisión un marco claro y compartido para llevar a cabo este ejercicio.</w:t>
      </w:r>
    </w:p>
    <w:p w14:paraId="7CC5A37E" w14:textId="77777777" w:rsidR="00DC1A92" w:rsidRPr="00DC1A92" w:rsidRDefault="00DC1A92" w:rsidP="00DC1A92">
      <w:pPr>
        <w:spacing w:after="0" w:line="240" w:lineRule="auto"/>
        <w:jc w:val="both"/>
        <w:rPr>
          <w:rFonts w:ascii="Cambria" w:hAnsi="Cambria"/>
          <w:sz w:val="20"/>
          <w:szCs w:val="20"/>
        </w:rPr>
      </w:pPr>
    </w:p>
    <w:p w14:paraId="49EA661A" w14:textId="0E6CC468" w:rsidR="00431616" w:rsidRPr="00DC1A92" w:rsidRDefault="00431616" w:rsidP="00DC1A92">
      <w:pPr>
        <w:spacing w:after="0" w:line="240" w:lineRule="auto"/>
        <w:jc w:val="both"/>
        <w:rPr>
          <w:rFonts w:ascii="Cambria" w:hAnsi="Cambria"/>
          <w:sz w:val="20"/>
          <w:szCs w:val="20"/>
        </w:rPr>
      </w:pPr>
      <w:r>
        <w:rPr>
          <w:rFonts w:ascii="Cambria" w:hAnsi="Cambria"/>
          <w:sz w:val="20"/>
        </w:rPr>
        <w:t xml:space="preserve">En un futuro próximo, se pedirá a ICCAT que desempeñe un papel clave en un ámbito de actividades cada vez más amplio, sobre todo en lo que respecta a la biodiversidad marina en el contexto del acuerdo BBNJ, y posiblemente en cuestiones relacionadas con el cambio climático. Desde este punto de vista, la revisión del desempeño debería abordar cuestiones relativas a la capacidad de la Comisión para racionalizar los procedimientos con el fin de ampliar su ámbito de actuación tal como se solicita en los próximos años. </w:t>
      </w:r>
    </w:p>
    <w:p w14:paraId="02097E5A" w14:textId="01BEB33F" w:rsidR="00431616" w:rsidRPr="00DC1A92" w:rsidRDefault="00FE5699" w:rsidP="00DC1A92">
      <w:pPr>
        <w:spacing w:after="0" w:line="240" w:lineRule="auto"/>
        <w:jc w:val="both"/>
        <w:rPr>
          <w:rFonts w:ascii="Cambria" w:hAnsi="Cambria"/>
          <w:sz w:val="20"/>
          <w:szCs w:val="20"/>
        </w:rPr>
      </w:pPr>
      <w:r>
        <w:rPr>
          <w:rFonts w:ascii="Cambria" w:hAnsi="Cambria"/>
          <w:sz w:val="20"/>
        </w:rPr>
        <w:t xml:space="preserve">En resumen, la Comisión debe considerar los tres puntos de decisión siguientes: </w:t>
      </w:r>
    </w:p>
    <w:p w14:paraId="2F2F7AE1" w14:textId="77777777" w:rsidR="00DC1A92" w:rsidRPr="00DC1A92" w:rsidRDefault="00DC1A92" w:rsidP="00DC1A92">
      <w:pPr>
        <w:spacing w:after="0" w:line="240" w:lineRule="auto"/>
        <w:jc w:val="both"/>
        <w:rPr>
          <w:rFonts w:ascii="Cambria" w:hAnsi="Cambria"/>
          <w:sz w:val="20"/>
          <w:szCs w:val="20"/>
        </w:rPr>
      </w:pPr>
    </w:p>
    <w:p w14:paraId="01E67301" w14:textId="669C3DA5" w:rsidR="00FE5699" w:rsidRPr="00DC1A92" w:rsidRDefault="00FE5699" w:rsidP="00DC1A92">
      <w:pPr>
        <w:pStyle w:val="ListParagraph"/>
        <w:numPr>
          <w:ilvl w:val="0"/>
          <w:numId w:val="1"/>
        </w:numPr>
        <w:spacing w:after="0" w:line="240" w:lineRule="auto"/>
        <w:jc w:val="both"/>
        <w:rPr>
          <w:rFonts w:ascii="Cambria" w:hAnsi="Cambria"/>
          <w:sz w:val="20"/>
          <w:szCs w:val="20"/>
        </w:rPr>
      </w:pPr>
      <w:r>
        <w:rPr>
          <w:rFonts w:ascii="Cambria" w:hAnsi="Cambria"/>
          <w:sz w:val="20"/>
        </w:rPr>
        <w:t>¿Está de acuerdo la Comisión en iniciar un proceso para emprender una nueva revisión de los resultados en 2027 (o más tarde)?</w:t>
      </w:r>
    </w:p>
    <w:p w14:paraId="00B93B4D" w14:textId="77777777" w:rsidR="00DC1A92" w:rsidRPr="00DC1A92" w:rsidRDefault="00DC1A92" w:rsidP="00DC1A92">
      <w:pPr>
        <w:pStyle w:val="ListParagraph"/>
        <w:spacing w:after="0" w:line="240" w:lineRule="auto"/>
        <w:jc w:val="both"/>
        <w:rPr>
          <w:rFonts w:ascii="Cambria" w:hAnsi="Cambria"/>
          <w:sz w:val="20"/>
          <w:szCs w:val="20"/>
        </w:rPr>
      </w:pPr>
    </w:p>
    <w:p w14:paraId="00D6A3C4" w14:textId="32E69451" w:rsidR="00FE5699" w:rsidRPr="00DC1A92" w:rsidRDefault="00FE5699" w:rsidP="00DC1A92">
      <w:pPr>
        <w:pStyle w:val="ListParagraph"/>
        <w:numPr>
          <w:ilvl w:val="0"/>
          <w:numId w:val="1"/>
        </w:numPr>
        <w:spacing w:after="0" w:line="240" w:lineRule="auto"/>
        <w:jc w:val="both"/>
        <w:rPr>
          <w:rFonts w:ascii="Cambria" w:hAnsi="Cambria"/>
          <w:sz w:val="20"/>
          <w:szCs w:val="20"/>
        </w:rPr>
      </w:pPr>
      <w:r>
        <w:rPr>
          <w:rFonts w:ascii="Cambria" w:hAnsi="Cambria"/>
          <w:sz w:val="20"/>
        </w:rPr>
        <w:t>En caso afirmativo, ¿desea la Comisión una revisión amplia, coherente con las dos primeras, o una que se centre en un número limitado de criterios o cuestiones prioritarias?</w:t>
      </w:r>
    </w:p>
    <w:p w14:paraId="01E7EDD5" w14:textId="77777777" w:rsidR="00DC1A92" w:rsidRPr="00DC1A92" w:rsidRDefault="00DC1A92" w:rsidP="00DC1A92">
      <w:pPr>
        <w:pStyle w:val="ListParagraph"/>
        <w:rPr>
          <w:rFonts w:ascii="Cambria" w:hAnsi="Cambria"/>
          <w:sz w:val="20"/>
          <w:szCs w:val="20"/>
        </w:rPr>
      </w:pPr>
    </w:p>
    <w:p w14:paraId="29A96341" w14:textId="523B70A0" w:rsidR="00FE5699" w:rsidRPr="00DC1A92" w:rsidRDefault="00FE5699" w:rsidP="00DC1A92">
      <w:pPr>
        <w:pStyle w:val="ListParagraph"/>
        <w:numPr>
          <w:ilvl w:val="0"/>
          <w:numId w:val="1"/>
        </w:numPr>
        <w:spacing w:after="0" w:line="240" w:lineRule="auto"/>
        <w:jc w:val="both"/>
        <w:rPr>
          <w:rFonts w:ascii="Cambria" w:hAnsi="Cambria"/>
          <w:sz w:val="20"/>
          <w:szCs w:val="20"/>
        </w:rPr>
      </w:pPr>
      <w:r>
        <w:rPr>
          <w:rFonts w:ascii="Cambria" w:hAnsi="Cambria"/>
          <w:sz w:val="20"/>
        </w:rPr>
        <w:t>¿Cuál es el proceso para determinar los términos de referencia, los procedimientos, la composición del subcomité de revisión del desempeño, etc. para que la Comisión acuerde en su próxima reunión anual: convocar un grupo de trabajo ad hoc?</w:t>
      </w:r>
    </w:p>
    <w:sectPr w:rsidR="00FE5699" w:rsidRPr="00DC1A92" w:rsidSect="000C222F">
      <w:headerReference w:type="default" r:id="rId7"/>
      <w:footerReference w:type="default" r:id="rId8"/>
      <w:pgSz w:w="11907" w:h="16840"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CF119" w14:textId="77777777" w:rsidR="00D9488C" w:rsidRDefault="00D9488C">
      <w:pPr>
        <w:spacing w:after="0" w:line="240" w:lineRule="auto"/>
      </w:pPr>
      <w:r>
        <w:separator/>
      </w:r>
    </w:p>
  </w:endnote>
  <w:endnote w:type="continuationSeparator" w:id="0">
    <w:p w14:paraId="404AC6B0" w14:textId="77777777" w:rsidR="00D9488C" w:rsidRDefault="00D94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79B17" w14:textId="3BBF56ED" w:rsidR="00D519D2" w:rsidRPr="00DC1A92" w:rsidRDefault="00EA0322" w:rsidP="00DC1A92">
    <w:pPr>
      <w:pStyle w:val="Footer"/>
      <w:jc w:val="center"/>
      <w:rPr>
        <w:sz w:val="20"/>
        <w:szCs w:val="20"/>
      </w:rPr>
    </w:pPr>
    <w:sdt>
      <w:sdtPr>
        <w:id w:val="-60483211"/>
        <w:docPartObj>
          <w:docPartGallery w:val="Page Numbers (Top of Page)"/>
          <w:docPartUnique/>
        </w:docPartObj>
      </w:sdtPr>
      <w:sdtEndPr>
        <w:rPr>
          <w:sz w:val="20"/>
          <w:szCs w:val="20"/>
        </w:rPr>
      </w:sdtEndPr>
      <w:sdtContent>
        <w:r w:rsidR="000C222F" w:rsidRPr="008854A8">
          <w:rPr>
            <w:rFonts w:ascii="Cambria" w:hAnsi="Cambria"/>
            <w:sz w:val="20"/>
          </w:rPr>
          <w:fldChar w:fldCharType="begin"/>
        </w:r>
        <w:r w:rsidR="000C222F" w:rsidRPr="008854A8">
          <w:rPr>
            <w:rFonts w:ascii="Cambria" w:hAnsi="Cambria"/>
            <w:sz w:val="20"/>
          </w:rPr>
          <w:instrText xml:space="preserve"> PAGE </w:instrText>
        </w:r>
        <w:r w:rsidR="000C222F" w:rsidRPr="008854A8">
          <w:rPr>
            <w:rFonts w:ascii="Cambria" w:hAnsi="Cambria"/>
            <w:sz w:val="20"/>
          </w:rPr>
          <w:fldChar w:fldCharType="separate"/>
        </w:r>
        <w:r w:rsidR="000C222F">
          <w:rPr>
            <w:rFonts w:ascii="Cambria" w:hAnsi="Cambria"/>
            <w:sz w:val="20"/>
          </w:rPr>
          <w:t>1</w:t>
        </w:r>
        <w:r w:rsidR="000C222F" w:rsidRPr="008854A8">
          <w:rPr>
            <w:rFonts w:ascii="Cambria" w:hAnsi="Cambria"/>
            <w:sz w:val="20"/>
          </w:rPr>
          <w:fldChar w:fldCharType="end"/>
        </w:r>
        <w:r w:rsidR="000C222F">
          <w:rPr>
            <w:rFonts w:ascii="Cambria" w:hAnsi="Cambria"/>
            <w:sz w:val="20"/>
          </w:rPr>
          <w:t xml:space="preserve"> / </w:t>
        </w:r>
        <w:r w:rsidR="000C222F" w:rsidRPr="008854A8">
          <w:rPr>
            <w:rFonts w:ascii="Cambria" w:hAnsi="Cambria"/>
            <w:sz w:val="20"/>
          </w:rPr>
          <w:fldChar w:fldCharType="begin"/>
        </w:r>
        <w:r w:rsidR="000C222F" w:rsidRPr="008854A8">
          <w:rPr>
            <w:rFonts w:ascii="Cambria" w:hAnsi="Cambria"/>
            <w:sz w:val="20"/>
          </w:rPr>
          <w:instrText xml:space="preserve"> NUMPAGES  </w:instrText>
        </w:r>
        <w:r w:rsidR="000C222F" w:rsidRPr="008854A8">
          <w:rPr>
            <w:rFonts w:ascii="Cambria" w:hAnsi="Cambria"/>
            <w:sz w:val="20"/>
          </w:rPr>
          <w:fldChar w:fldCharType="separate"/>
        </w:r>
        <w:r w:rsidR="000C222F">
          <w:rPr>
            <w:rFonts w:ascii="Cambria" w:hAnsi="Cambria"/>
            <w:sz w:val="20"/>
          </w:rPr>
          <w:t>4</w:t>
        </w:r>
        <w:r w:rsidR="000C222F" w:rsidRPr="008854A8">
          <w:rPr>
            <w:rFonts w:ascii="Cambria" w:hAnsi="Cambria"/>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3236B" w14:textId="77777777" w:rsidR="00D9488C" w:rsidRDefault="00D9488C">
      <w:pPr>
        <w:spacing w:after="0" w:line="240" w:lineRule="auto"/>
      </w:pPr>
      <w:r>
        <w:rPr>
          <w:color w:val="000000"/>
        </w:rPr>
        <w:separator/>
      </w:r>
    </w:p>
  </w:footnote>
  <w:footnote w:type="continuationSeparator" w:id="0">
    <w:p w14:paraId="48C100D1" w14:textId="77777777" w:rsidR="00D9488C" w:rsidRDefault="00D948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0C30A" w14:textId="0CE4957F" w:rsidR="00D519D2" w:rsidRPr="00D519D2" w:rsidRDefault="00D519D2" w:rsidP="00D519D2">
    <w:pPr>
      <w:widowControl w:val="0"/>
      <w:tabs>
        <w:tab w:val="center" w:pos="4680"/>
        <w:tab w:val="left" w:pos="6520"/>
        <w:tab w:val="right" w:pos="9360"/>
        <w:tab w:val="right" w:pos="14240"/>
      </w:tabs>
      <w:suppressAutoHyphens w:val="0"/>
      <w:autoSpaceDN/>
      <w:spacing w:after="0" w:line="240" w:lineRule="auto"/>
      <w:jc w:val="right"/>
      <w:rPr>
        <w:rFonts w:ascii="Cambria" w:eastAsia="Calibri" w:hAnsi="Cambria"/>
        <w:b/>
        <w:bCs/>
        <w:kern w:val="0"/>
        <w:sz w:val="20"/>
        <w:szCs w:val="20"/>
      </w:rPr>
    </w:pPr>
    <w:r>
      <w:rPr>
        <w:rFonts w:ascii="Cambria" w:hAnsi="Cambria"/>
        <w:b/>
        <w:sz w:val="20"/>
      </w:rPr>
      <w:t>PLE_113/2025</w:t>
    </w:r>
  </w:p>
  <w:p w14:paraId="274C11F7" w14:textId="5A210D73" w:rsidR="00D519D2" w:rsidRDefault="00D519D2" w:rsidP="00D519D2">
    <w:pPr>
      <w:widowControl w:val="0"/>
      <w:tabs>
        <w:tab w:val="left" w:pos="7320"/>
      </w:tabs>
      <w:suppressAutoHyphens w:val="0"/>
      <w:autoSpaceDN/>
      <w:spacing w:after="0" w:line="240" w:lineRule="exact"/>
      <w:jc w:val="right"/>
    </w:pPr>
    <w:r w:rsidRPr="00D519D2">
      <w:rPr>
        <w:rFonts w:ascii="Cambria" w:eastAsia="Calibri" w:hAnsi="Cambria"/>
        <w:b/>
        <w:sz w:val="16"/>
      </w:rPr>
      <w:fldChar w:fldCharType="begin"/>
    </w:r>
    <w:r w:rsidRPr="00D519D2">
      <w:rPr>
        <w:rFonts w:ascii="Cambria" w:eastAsia="Calibri" w:hAnsi="Cambria"/>
        <w:b/>
        <w:sz w:val="16"/>
      </w:rPr>
      <w:instrText xml:space="preserve"> TIME \@ "dd/MM/yyyy H:mm" </w:instrText>
    </w:r>
    <w:r w:rsidRPr="00D519D2">
      <w:rPr>
        <w:rFonts w:ascii="Cambria" w:eastAsia="Calibri" w:hAnsi="Cambria"/>
        <w:b/>
        <w:sz w:val="16"/>
      </w:rPr>
      <w:fldChar w:fldCharType="separate"/>
    </w:r>
    <w:r w:rsidR="00EA0322">
      <w:rPr>
        <w:rFonts w:ascii="Cambria" w:eastAsia="Calibri" w:hAnsi="Cambria"/>
        <w:b/>
        <w:noProof/>
        <w:sz w:val="16"/>
      </w:rPr>
      <w:t>11/11/2025 14:15</w:t>
    </w:r>
    <w:r w:rsidRPr="00D519D2">
      <w:rPr>
        <w:rFonts w:ascii="Cambria" w:eastAsia="Calibri" w:hAnsi="Cambria"/>
        <w:b/>
        <w:bCs/>
        <w:kern w:val="0"/>
        <w:sz w:val="16"/>
        <w:szCs w:val="16"/>
        <w:lang w:val="es-ES_tradn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75C0B"/>
    <w:multiLevelType w:val="hybridMultilevel"/>
    <w:tmpl w:val="DC16D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9118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919"/>
    <w:rsid w:val="000C222F"/>
    <w:rsid w:val="001579A5"/>
    <w:rsid w:val="001C18CB"/>
    <w:rsid w:val="001F5442"/>
    <w:rsid w:val="0028457B"/>
    <w:rsid w:val="00417262"/>
    <w:rsid w:val="00431616"/>
    <w:rsid w:val="00460919"/>
    <w:rsid w:val="005F2D9A"/>
    <w:rsid w:val="00694319"/>
    <w:rsid w:val="00986837"/>
    <w:rsid w:val="00AC10F0"/>
    <w:rsid w:val="00CC2531"/>
    <w:rsid w:val="00CF59FF"/>
    <w:rsid w:val="00D21EAC"/>
    <w:rsid w:val="00D43938"/>
    <w:rsid w:val="00D519D2"/>
    <w:rsid w:val="00D9488C"/>
    <w:rsid w:val="00DA2FA0"/>
    <w:rsid w:val="00DB6486"/>
    <w:rsid w:val="00DC1A92"/>
    <w:rsid w:val="00EA0322"/>
    <w:rsid w:val="00FC2D60"/>
    <w:rsid w:val="00FE56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47352"/>
  <w15:docId w15:val="{B29F6743-0EDC-44FD-990F-EA2CFE5DF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s-ES"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Revision">
    <w:name w:val="Revision"/>
    <w:hidden/>
    <w:uiPriority w:val="99"/>
    <w:semiHidden/>
    <w:rsid w:val="00FE5699"/>
    <w:pPr>
      <w:autoSpaceDN/>
      <w:spacing w:after="0" w:line="240" w:lineRule="auto"/>
    </w:pPr>
  </w:style>
  <w:style w:type="paragraph" w:styleId="Header">
    <w:name w:val="header"/>
    <w:basedOn w:val="Normal"/>
    <w:link w:val="HeaderChar"/>
    <w:uiPriority w:val="99"/>
    <w:unhideWhenUsed/>
    <w:rsid w:val="00D519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9D2"/>
  </w:style>
  <w:style w:type="paragraph" w:styleId="Footer">
    <w:name w:val="footer"/>
    <w:basedOn w:val="Normal"/>
    <w:link w:val="FooterChar"/>
    <w:uiPriority w:val="99"/>
    <w:unhideWhenUsed/>
    <w:rsid w:val="00D519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598</Words>
  <Characters>3294</Characters>
  <Application>Microsoft Office Word</Application>
  <DocSecurity>0</DocSecurity>
  <Lines>27</Lines>
  <Paragraphs>7</Paragraphs>
  <ScaleCrop>false</ScaleCrop>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Author</cp:lastModifiedBy>
  <cp:revision>3</cp:revision>
  <dcterms:created xsi:type="dcterms:W3CDTF">2025-11-07T12:02:00Z</dcterms:created>
  <dcterms:modified xsi:type="dcterms:W3CDTF">2025-11-11T13:16:00Z</dcterms:modified>
</cp:coreProperties>
</file>