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5D2E" w14:textId="77777777" w:rsidR="00BA26E0" w:rsidRPr="00D24210" w:rsidRDefault="00BA26E0" w:rsidP="00BA26E0">
      <w:pPr>
        <w:widowControl w:val="0"/>
        <w:autoSpaceDE w:val="0"/>
        <w:autoSpaceDN w:val="0"/>
        <w:spacing w:after="0" w:line="240" w:lineRule="auto"/>
        <w:ind w:left="2905"/>
        <w:rPr>
          <w:rFonts w:ascii="Cambria" w:eastAsia="Cambria" w:hAnsi="Cambria" w:cs="Cambria"/>
          <w:b/>
          <w:kern w:val="0"/>
          <w:sz w:val="18"/>
          <w:szCs w:val="22"/>
          <w14:ligatures w14:val="none"/>
        </w:rPr>
      </w:pPr>
      <w:r w:rsidRPr="00D24210">
        <w:rPr>
          <w:rFonts w:ascii="Cambria" w:hAnsi="Cambria"/>
          <w:b/>
          <w:sz w:val="18"/>
        </w:rPr>
        <w:t>Portada para acompañar nuevas propuestas</w:t>
      </w:r>
    </w:p>
    <w:p w14:paraId="37CC7724" w14:textId="77777777" w:rsidR="00BA26E0" w:rsidRPr="00D24210" w:rsidRDefault="00BA26E0" w:rsidP="00BA26E0">
      <w:pPr>
        <w:widowControl w:val="0"/>
        <w:autoSpaceDE w:val="0"/>
        <w:autoSpaceDN w:val="0"/>
        <w:spacing w:before="63" w:after="0" w:line="240" w:lineRule="auto"/>
        <w:rPr>
          <w:rFonts w:ascii="Cambria" w:eastAsia="Cambria" w:hAnsi="Cambria" w:cs="Cambria"/>
          <w:b/>
          <w:kern w:val="0"/>
          <w:sz w:val="18"/>
          <w:szCs w:val="20"/>
          <w14:ligatures w14:val="none"/>
        </w:rPr>
      </w:pPr>
    </w:p>
    <w:p w14:paraId="3A037A38" w14:textId="3A8E6FAF" w:rsidR="00BA26E0" w:rsidRPr="00D24210" w:rsidRDefault="00BA26E0" w:rsidP="00BA26E0">
      <w:pPr>
        <w:widowControl w:val="0"/>
        <w:autoSpaceDE w:val="0"/>
        <w:autoSpaceDN w:val="0"/>
        <w:spacing w:after="0" w:line="234" w:lineRule="exact"/>
        <w:ind w:left="281" w:right="201"/>
        <w:jc w:val="center"/>
        <w:rPr>
          <w:rFonts w:ascii="Cambria" w:eastAsia="Cambria" w:hAnsi="Cambria" w:cs="Cambria"/>
          <w:i/>
          <w:kern w:val="0"/>
          <w:sz w:val="20"/>
          <w:szCs w:val="22"/>
          <w14:ligatures w14:val="none"/>
        </w:rPr>
      </w:pPr>
      <w:r w:rsidRPr="00D24210">
        <w:rPr>
          <w:rFonts w:ascii="Cambria" w:hAnsi="Cambria"/>
          <w:i/>
          <w:sz w:val="20"/>
        </w:rPr>
        <w:t>(</w:t>
      </w:r>
      <w:r w:rsidR="00CC5A40" w:rsidRPr="00D24210">
        <w:rPr>
          <w:rFonts w:ascii="Cambria" w:hAnsi="Cambria"/>
          <w:i/>
          <w:sz w:val="20"/>
        </w:rPr>
        <w:t xml:space="preserve">Documento </w:t>
      </w:r>
      <w:r w:rsidRPr="00D24210">
        <w:rPr>
          <w:rFonts w:ascii="Cambria" w:hAnsi="Cambria"/>
          <w:i/>
          <w:sz w:val="20"/>
        </w:rPr>
        <w:t>presentado por Canadá)</w:t>
      </w:r>
    </w:p>
    <w:p w14:paraId="24B3D7FF" w14:textId="77777777" w:rsidR="00730F2B" w:rsidRPr="00D24210" w:rsidRDefault="00730F2B" w:rsidP="00715287">
      <w:pPr>
        <w:widowControl w:val="0"/>
        <w:autoSpaceDE w:val="0"/>
        <w:autoSpaceDN w:val="0"/>
        <w:spacing w:after="0" w:line="240" w:lineRule="auto"/>
        <w:jc w:val="both"/>
        <w:rPr>
          <w:rFonts w:ascii="Cambria" w:eastAsia="Cambria" w:hAnsi="Cambria" w:cs="Cambria"/>
          <w:b/>
          <w:bCs/>
          <w:kern w:val="0"/>
          <w:sz w:val="20"/>
          <w:szCs w:val="20"/>
          <w14:ligatures w14:val="none"/>
        </w:rPr>
      </w:pPr>
    </w:p>
    <w:p w14:paraId="10CCBB11" w14:textId="77777777" w:rsidR="00730F2B" w:rsidRPr="00D24210" w:rsidRDefault="00730F2B" w:rsidP="00715287">
      <w:pPr>
        <w:widowControl w:val="0"/>
        <w:autoSpaceDE w:val="0"/>
        <w:autoSpaceDN w:val="0"/>
        <w:spacing w:after="0" w:line="240" w:lineRule="auto"/>
        <w:jc w:val="both"/>
        <w:rPr>
          <w:rFonts w:ascii="Cambria" w:eastAsia="Cambria" w:hAnsi="Cambria" w:cs="Cambria"/>
          <w:b/>
          <w:bCs/>
          <w:kern w:val="0"/>
          <w:sz w:val="20"/>
          <w:szCs w:val="20"/>
          <w14:ligatures w14:val="none"/>
        </w:rPr>
      </w:pPr>
    </w:p>
    <w:p w14:paraId="226DCC25" w14:textId="756D82B0" w:rsidR="00715287" w:rsidRPr="00D24210" w:rsidRDefault="00BA26E0" w:rsidP="00715287">
      <w:pPr>
        <w:widowControl w:val="0"/>
        <w:autoSpaceDE w:val="0"/>
        <w:autoSpaceDN w:val="0"/>
        <w:spacing w:after="0" w:line="240" w:lineRule="auto"/>
        <w:jc w:val="both"/>
        <w:rPr>
          <w:rFonts w:ascii="Cambria" w:eastAsia="Cambria" w:hAnsi="Cambria" w:cs="Cambria"/>
          <w:i/>
          <w:color w:val="FF0000"/>
          <w:kern w:val="0"/>
          <w:sz w:val="18"/>
          <w:szCs w:val="22"/>
          <w14:ligatures w14:val="none"/>
        </w:rPr>
      </w:pPr>
      <w:r w:rsidRPr="00D24210">
        <w:rPr>
          <w:rFonts w:ascii="Cambria" w:hAnsi="Cambria"/>
          <w:b/>
          <w:sz w:val="18"/>
        </w:rPr>
        <w:t xml:space="preserve">Título de la propuesta de Proyecto de Recomendación/Resolución: </w:t>
      </w:r>
      <w:r w:rsidRPr="00D24210">
        <w:rPr>
          <w:rFonts w:ascii="Cambria" w:hAnsi="Cambria"/>
          <w:i/>
          <w:color w:val="FF0000"/>
          <w:sz w:val="18"/>
        </w:rPr>
        <w:t>Documento de debate sobre una propuesta de memorando de entendimiento entre ICCAT y NAFO</w:t>
      </w:r>
    </w:p>
    <w:p w14:paraId="693D68ED" w14:textId="77777777" w:rsidR="00715287" w:rsidRPr="00D24210" w:rsidRDefault="00715287" w:rsidP="00715287">
      <w:pPr>
        <w:widowControl w:val="0"/>
        <w:autoSpaceDE w:val="0"/>
        <w:autoSpaceDN w:val="0"/>
        <w:spacing w:after="0" w:line="240" w:lineRule="auto"/>
        <w:jc w:val="both"/>
        <w:rPr>
          <w:rFonts w:ascii="Cambria" w:eastAsia="Cambria" w:hAnsi="Cambria" w:cs="Cambria"/>
          <w:kern w:val="0"/>
          <w:sz w:val="18"/>
          <w:szCs w:val="18"/>
          <w14:ligatures w14:val="none"/>
        </w:rPr>
      </w:pPr>
    </w:p>
    <w:p w14:paraId="73EF42DB" w14:textId="77777777" w:rsidR="00715287" w:rsidRPr="00D24210" w:rsidRDefault="00715287" w:rsidP="00715287">
      <w:pPr>
        <w:widowControl w:val="0"/>
        <w:autoSpaceDE w:val="0"/>
        <w:autoSpaceDN w:val="0"/>
        <w:spacing w:after="0" w:line="240" w:lineRule="auto"/>
        <w:jc w:val="both"/>
        <w:rPr>
          <w:rFonts w:ascii="Cambria" w:eastAsia="Cambria" w:hAnsi="Cambria" w:cs="Cambria"/>
          <w:i/>
          <w:color w:val="FF0000"/>
          <w:kern w:val="0"/>
          <w:sz w:val="18"/>
          <w:szCs w:val="22"/>
          <w14:ligatures w14:val="none"/>
        </w:rPr>
      </w:pPr>
      <w:r w:rsidRPr="00D24210">
        <w:rPr>
          <w:rFonts w:ascii="Cambria" w:hAnsi="Cambria"/>
          <w:b/>
          <w:sz w:val="18"/>
        </w:rPr>
        <w:t>Título de la(s) recomendación(es) o resolución(es) actualmente vigente(s) que aborda(n) la misma cuestión o cuestiones relacionadas:</w:t>
      </w:r>
      <w:r w:rsidRPr="00D24210">
        <w:rPr>
          <w:rFonts w:ascii="Cambria" w:hAnsi="Cambria"/>
          <w:i/>
          <w:color w:val="FF0000"/>
          <w:sz w:val="18"/>
        </w:rPr>
        <w:t xml:space="preserve"> No aplicable</w:t>
      </w:r>
    </w:p>
    <w:p w14:paraId="3CE4C7F1" w14:textId="77777777" w:rsidR="00715287" w:rsidRPr="00D24210" w:rsidRDefault="00715287" w:rsidP="00715287">
      <w:pPr>
        <w:widowControl w:val="0"/>
        <w:autoSpaceDE w:val="0"/>
        <w:autoSpaceDN w:val="0"/>
        <w:spacing w:after="0" w:line="240" w:lineRule="auto"/>
        <w:ind w:left="318"/>
        <w:jc w:val="both"/>
        <w:rPr>
          <w:rFonts w:ascii="Cambria" w:eastAsia="Cambria" w:hAnsi="Cambria" w:cs="Cambria"/>
          <w:kern w:val="0"/>
          <w:sz w:val="18"/>
          <w:szCs w:val="18"/>
          <w14:ligatures w14:val="none"/>
        </w:rPr>
      </w:pPr>
    </w:p>
    <w:p w14:paraId="2FD7301C" w14:textId="77777777" w:rsidR="00715287" w:rsidRPr="00D24210" w:rsidRDefault="00715287" w:rsidP="00715287">
      <w:pPr>
        <w:widowControl w:val="0"/>
        <w:autoSpaceDE w:val="0"/>
        <w:autoSpaceDN w:val="0"/>
        <w:spacing w:after="0" w:line="240" w:lineRule="auto"/>
        <w:ind w:left="318"/>
        <w:jc w:val="both"/>
        <w:rPr>
          <w:rFonts w:ascii="Cambria" w:eastAsia="Cambria" w:hAnsi="Cambria" w:cs="Cambria"/>
          <w:kern w:val="0"/>
          <w:sz w:val="18"/>
          <w:szCs w:val="18"/>
          <w14:ligatures w14:val="none"/>
        </w:rPr>
      </w:pPr>
    </w:p>
    <w:p w14:paraId="0CDCF7E9" w14:textId="77777777" w:rsidR="00750E3C" w:rsidRPr="00D24210" w:rsidRDefault="00715287" w:rsidP="00F750A4">
      <w:pPr>
        <w:pStyle w:val="ListParagraph"/>
        <w:widowControl w:val="0"/>
        <w:numPr>
          <w:ilvl w:val="0"/>
          <w:numId w:val="3"/>
        </w:numPr>
        <w:tabs>
          <w:tab w:val="left" w:pos="620"/>
        </w:tabs>
        <w:autoSpaceDE w:val="0"/>
        <w:autoSpaceDN w:val="0"/>
        <w:spacing w:after="0" w:line="240" w:lineRule="auto"/>
        <w:ind w:left="426" w:hanging="426"/>
        <w:contextualSpacing w:val="0"/>
        <w:rPr>
          <w:rFonts w:ascii="Cambria" w:eastAsia="Cambria" w:hAnsi="Cambria" w:cs="Cambria"/>
          <w:color w:val="FF0000"/>
          <w:kern w:val="0"/>
          <w:sz w:val="18"/>
          <w:szCs w:val="22"/>
          <w14:ligatures w14:val="none"/>
        </w:rPr>
      </w:pPr>
      <w:r w:rsidRPr="00D24210">
        <w:rPr>
          <w:rFonts w:ascii="Cambria" w:hAnsi="Cambria"/>
          <w:sz w:val="18"/>
        </w:rPr>
        <w:t xml:space="preserve">¿Crea nuevas obligaciones de comunicación para las CPC?     </w:t>
      </w:r>
      <w:bookmarkStart w:id="0" w:name="_Hlk211848521"/>
      <w:r w:rsidRPr="00D24210">
        <w:rPr>
          <w:rFonts w:ascii="Cambria" w:hAnsi="Cambria"/>
          <w:sz w:val="18"/>
        </w:rPr>
        <w:t>Sí ☐</w:t>
      </w:r>
      <w:r w:rsidRPr="00D24210">
        <w:rPr>
          <w:sz w:val="18"/>
        </w:rPr>
        <w:tab/>
      </w:r>
      <w:r w:rsidRPr="00D24210">
        <w:rPr>
          <w:rFonts w:ascii="Cambria" w:hAnsi="Cambria"/>
          <w:color w:val="FF0000"/>
          <w:sz w:val="18"/>
        </w:rPr>
        <w:t xml:space="preserve">No </w:t>
      </w:r>
      <w:r w:rsidRPr="00D24210">
        <w:rPr>
          <w:rFonts w:ascii="Segoe UI Symbol" w:hAnsi="Segoe UI Symbol"/>
          <w:color w:val="FF0000"/>
          <w:sz w:val="18"/>
        </w:rPr>
        <w:t>☒</w:t>
      </w:r>
    </w:p>
    <w:bookmarkEnd w:id="0"/>
    <w:p w14:paraId="335A9412" w14:textId="77777777" w:rsidR="00715287" w:rsidRPr="00D24210" w:rsidRDefault="00715287" w:rsidP="00715287">
      <w:pPr>
        <w:widowControl w:val="0"/>
        <w:autoSpaceDE w:val="0"/>
        <w:autoSpaceDN w:val="0"/>
        <w:spacing w:after="0" w:line="240" w:lineRule="auto"/>
        <w:rPr>
          <w:rFonts w:ascii="Cambria" w:eastAsia="Cambria" w:hAnsi="Cambria" w:cs="Cambria"/>
          <w:kern w:val="0"/>
          <w:sz w:val="18"/>
          <w:szCs w:val="18"/>
          <w:lang w:val="en-US"/>
          <w14:ligatures w14:val="none"/>
        </w:rPr>
      </w:pPr>
    </w:p>
    <w:p w14:paraId="7DC3EC91" w14:textId="77777777" w:rsidR="00AE247E" w:rsidRPr="00D24210" w:rsidRDefault="00715287" w:rsidP="00F750A4">
      <w:pPr>
        <w:spacing w:before="1"/>
        <w:ind w:left="426"/>
        <w:rPr>
          <w:rFonts w:ascii="Cambria" w:eastAsia="Cambria" w:hAnsi="Cambria" w:cs="Cambria"/>
          <w:i/>
          <w:kern w:val="0"/>
          <w:sz w:val="18"/>
          <w:szCs w:val="22"/>
          <w14:ligatures w14:val="none"/>
        </w:rPr>
      </w:pPr>
      <w:r w:rsidRPr="00D24210">
        <w:rPr>
          <w:rFonts w:ascii="Cambria" w:hAnsi="Cambria"/>
          <w:sz w:val="18"/>
        </w:rPr>
        <w:t xml:space="preserve">Breve descripción de la(s) nueva(s) obligación(es) de comunicación: </w:t>
      </w:r>
      <w:r w:rsidRPr="00D24210">
        <w:rPr>
          <w:rFonts w:ascii="Cambria" w:hAnsi="Cambria"/>
          <w:i/>
          <w:color w:val="FF0000"/>
          <w:sz w:val="18"/>
        </w:rPr>
        <w:t>Ninguna.</w:t>
      </w:r>
    </w:p>
    <w:p w14:paraId="1F42EE87" w14:textId="77777777" w:rsidR="00715287" w:rsidRPr="00D24210" w:rsidRDefault="00715287" w:rsidP="00715287">
      <w:pPr>
        <w:widowControl w:val="0"/>
        <w:autoSpaceDE w:val="0"/>
        <w:autoSpaceDN w:val="0"/>
        <w:spacing w:after="0" w:line="240" w:lineRule="auto"/>
        <w:ind w:left="318"/>
        <w:rPr>
          <w:rFonts w:ascii="Cambria" w:eastAsia="Cambria" w:hAnsi="Cambria" w:cs="Cambria"/>
          <w:kern w:val="0"/>
          <w:sz w:val="18"/>
          <w:szCs w:val="18"/>
          <w14:ligatures w14:val="none"/>
        </w:rPr>
      </w:pPr>
    </w:p>
    <w:p w14:paraId="4F621488" w14:textId="77777777" w:rsidR="000A0E84" w:rsidRPr="00D24210" w:rsidRDefault="00715287" w:rsidP="000A0E84">
      <w:pPr>
        <w:pStyle w:val="ListParagraph"/>
        <w:numPr>
          <w:ilvl w:val="0"/>
          <w:numId w:val="3"/>
        </w:numPr>
        <w:ind w:left="426" w:hanging="426"/>
        <w:rPr>
          <w:rFonts w:ascii="Cambria" w:eastAsia="Cambria" w:hAnsi="Cambria" w:cs="Cambria"/>
          <w:color w:val="EE0000"/>
          <w:spacing w:val="-2"/>
          <w:kern w:val="0"/>
          <w:sz w:val="18"/>
          <w:szCs w:val="18"/>
          <w14:ligatures w14:val="none"/>
        </w:rPr>
      </w:pPr>
      <w:r w:rsidRPr="00D24210">
        <w:rPr>
          <w:rFonts w:ascii="Cambria" w:hAnsi="Cambria"/>
          <w:sz w:val="18"/>
        </w:rPr>
        <w:t xml:space="preserve">¿Requiere aportaciones o trabajo adicional por parte del SCRS?    </w:t>
      </w:r>
      <w:bookmarkStart w:id="1" w:name="_Hlk211848621"/>
      <w:r w:rsidRPr="00D24210">
        <w:rPr>
          <w:rFonts w:ascii="Cambria" w:hAnsi="Cambria"/>
          <w:sz w:val="18"/>
        </w:rPr>
        <w:t xml:space="preserve">Sí </w:t>
      </w:r>
      <w:r w:rsidRPr="00D24210">
        <w:rPr>
          <w:rFonts w:ascii="Segoe UI Symbol" w:hAnsi="Segoe UI Symbol"/>
          <w:sz w:val="18"/>
        </w:rPr>
        <w:t>☐</w:t>
      </w:r>
      <w:r w:rsidRPr="00D24210">
        <w:rPr>
          <w:rFonts w:ascii="Cambria" w:hAnsi="Cambria"/>
          <w:sz w:val="18"/>
        </w:rPr>
        <w:t xml:space="preserve">    </w:t>
      </w:r>
      <w:r w:rsidRPr="00D24210">
        <w:rPr>
          <w:rFonts w:ascii="Cambria" w:hAnsi="Cambria"/>
          <w:color w:val="EE0000"/>
          <w:sz w:val="18"/>
        </w:rPr>
        <w:t xml:space="preserve">No </w:t>
      </w:r>
      <w:r w:rsidRPr="00D24210">
        <w:rPr>
          <w:rFonts w:ascii="Segoe UI Symbol" w:hAnsi="Segoe UI Symbol"/>
          <w:color w:val="EE0000"/>
          <w:sz w:val="18"/>
        </w:rPr>
        <w:t>☒</w:t>
      </w:r>
    </w:p>
    <w:bookmarkEnd w:id="1"/>
    <w:p w14:paraId="30A0F2E0" w14:textId="77777777" w:rsidR="000A0E84" w:rsidRPr="00D24210" w:rsidRDefault="000A0E84" w:rsidP="000A0E84">
      <w:pPr>
        <w:pStyle w:val="ListParagraph"/>
        <w:widowControl w:val="0"/>
        <w:tabs>
          <w:tab w:val="left" w:pos="620"/>
        </w:tabs>
        <w:autoSpaceDE w:val="0"/>
        <w:autoSpaceDN w:val="0"/>
        <w:spacing w:after="0" w:line="240" w:lineRule="auto"/>
        <w:ind w:left="360"/>
        <w:contextualSpacing w:val="0"/>
        <w:rPr>
          <w:rFonts w:ascii="Cambria" w:eastAsia="Cambria" w:hAnsi="Cambria" w:cs="Cambria"/>
          <w:kern w:val="0"/>
          <w:sz w:val="18"/>
          <w:szCs w:val="18"/>
          <w:lang w:val="en-US"/>
          <w14:ligatures w14:val="none"/>
        </w:rPr>
      </w:pPr>
    </w:p>
    <w:p w14:paraId="1086FBA9" w14:textId="30D335D0" w:rsidR="00715287" w:rsidRPr="00D24210" w:rsidRDefault="00715287" w:rsidP="00CD7913">
      <w:pPr>
        <w:pStyle w:val="ListParagraph"/>
        <w:widowControl w:val="0"/>
        <w:tabs>
          <w:tab w:val="left" w:pos="620"/>
        </w:tabs>
        <w:autoSpaceDE w:val="0"/>
        <w:autoSpaceDN w:val="0"/>
        <w:spacing w:after="0" w:line="240" w:lineRule="auto"/>
        <w:ind w:left="426"/>
        <w:contextualSpacing w:val="0"/>
        <w:rPr>
          <w:rFonts w:ascii="Cambria" w:eastAsia="Cambria" w:hAnsi="Cambria" w:cs="Cambria"/>
          <w:color w:val="EE0000"/>
          <w:kern w:val="0"/>
          <w:sz w:val="18"/>
          <w:szCs w:val="18"/>
          <w14:ligatures w14:val="none"/>
        </w:rPr>
      </w:pPr>
      <w:r w:rsidRPr="00D24210">
        <w:rPr>
          <w:rFonts w:ascii="Cambria" w:hAnsi="Cambria"/>
          <w:sz w:val="18"/>
        </w:rPr>
        <w:t>¿Está este trabajo ya incluido en el Plan de trabajo actual del SCRS?</w:t>
      </w:r>
      <w:r w:rsidRPr="00D24210">
        <w:rPr>
          <w:rFonts w:ascii="Cambria" w:hAnsi="Cambria"/>
          <w:sz w:val="18"/>
        </w:rPr>
        <w:tab/>
        <w:t xml:space="preserve">?      Sí </w:t>
      </w:r>
      <w:r w:rsidRPr="00D24210">
        <w:rPr>
          <w:rFonts w:ascii="Segoe UI Symbol" w:hAnsi="Segoe UI Symbol"/>
          <w:sz w:val="18"/>
        </w:rPr>
        <w:t>☐</w:t>
      </w:r>
      <w:r w:rsidRPr="00D24210">
        <w:rPr>
          <w:rFonts w:ascii="Cambria" w:hAnsi="Cambria"/>
          <w:sz w:val="18"/>
        </w:rPr>
        <w:t xml:space="preserve">    </w:t>
      </w:r>
      <w:r w:rsidRPr="00D24210">
        <w:rPr>
          <w:rFonts w:ascii="Cambria" w:hAnsi="Cambria"/>
          <w:color w:val="EE0000"/>
          <w:sz w:val="18"/>
        </w:rPr>
        <w:t xml:space="preserve">No </w:t>
      </w:r>
      <w:r w:rsidRPr="00D24210">
        <w:rPr>
          <w:rFonts w:ascii="Segoe UI Symbol" w:hAnsi="Segoe UI Symbol"/>
          <w:color w:val="EE0000"/>
          <w:sz w:val="18"/>
        </w:rPr>
        <w:t>☒</w:t>
      </w:r>
    </w:p>
    <w:p w14:paraId="25714947" w14:textId="77777777" w:rsidR="00715287" w:rsidRPr="00D24210" w:rsidRDefault="00715287" w:rsidP="00715287">
      <w:pPr>
        <w:widowControl w:val="0"/>
        <w:autoSpaceDE w:val="0"/>
        <w:autoSpaceDN w:val="0"/>
        <w:spacing w:after="0" w:line="240" w:lineRule="auto"/>
        <w:ind w:left="360"/>
        <w:rPr>
          <w:rFonts w:ascii="Cambria" w:eastAsia="Cambria" w:hAnsi="Cambria" w:cs="Cambria"/>
          <w:kern w:val="0"/>
          <w:sz w:val="18"/>
          <w:szCs w:val="18"/>
          <w14:ligatures w14:val="none"/>
        </w:rPr>
      </w:pPr>
    </w:p>
    <w:p w14:paraId="0614FC31" w14:textId="1B8A0CDA" w:rsidR="00715287" w:rsidRPr="00D24210" w:rsidRDefault="00715287" w:rsidP="00CD7913">
      <w:pPr>
        <w:pStyle w:val="ListParagraph"/>
        <w:widowControl w:val="0"/>
        <w:tabs>
          <w:tab w:val="left" w:pos="620"/>
        </w:tabs>
        <w:autoSpaceDE w:val="0"/>
        <w:autoSpaceDN w:val="0"/>
        <w:spacing w:after="0" w:line="240" w:lineRule="auto"/>
        <w:ind w:left="426"/>
        <w:contextualSpacing w:val="0"/>
        <w:rPr>
          <w:rFonts w:ascii="Cambria" w:eastAsia="Cambria" w:hAnsi="Cambria" w:cs="Cambria"/>
          <w:kern w:val="0"/>
          <w:sz w:val="18"/>
          <w:szCs w:val="18"/>
          <w14:ligatures w14:val="none"/>
        </w:rPr>
      </w:pPr>
      <w:r w:rsidRPr="00D24210">
        <w:rPr>
          <w:rFonts w:ascii="Cambria" w:hAnsi="Cambria"/>
          <w:sz w:val="18"/>
        </w:rPr>
        <w:t xml:space="preserve">Breve descripción del nuevo trabajo científico necesario (es decir, evaluación del stock, análisis, consultor externo): </w:t>
      </w:r>
      <w:r w:rsidRPr="00D24210">
        <w:rPr>
          <w:rFonts w:ascii="Cambria" w:hAnsi="Cambria"/>
          <w:i/>
          <w:color w:val="EE0000"/>
          <w:sz w:val="18"/>
        </w:rPr>
        <w:t>No aplicable</w:t>
      </w:r>
    </w:p>
    <w:p w14:paraId="0687E768" w14:textId="77777777" w:rsidR="00715287" w:rsidRPr="00D24210" w:rsidRDefault="00715287" w:rsidP="00715287">
      <w:pPr>
        <w:widowControl w:val="0"/>
        <w:autoSpaceDE w:val="0"/>
        <w:autoSpaceDN w:val="0"/>
        <w:spacing w:after="0" w:line="240" w:lineRule="auto"/>
        <w:ind w:left="318"/>
        <w:rPr>
          <w:rFonts w:ascii="Cambria" w:eastAsia="Cambria" w:hAnsi="Cambria" w:cs="Cambria"/>
          <w:kern w:val="0"/>
          <w:sz w:val="18"/>
          <w:szCs w:val="18"/>
          <w14:ligatures w14:val="none"/>
        </w:rPr>
      </w:pPr>
    </w:p>
    <w:p w14:paraId="221962D3" w14:textId="77777777" w:rsidR="00FD18B4" w:rsidRPr="00D24210" w:rsidRDefault="00FD18B4" w:rsidP="00715287">
      <w:pPr>
        <w:widowControl w:val="0"/>
        <w:autoSpaceDE w:val="0"/>
        <w:autoSpaceDN w:val="0"/>
        <w:spacing w:after="0" w:line="240" w:lineRule="auto"/>
        <w:ind w:left="318"/>
        <w:rPr>
          <w:rFonts w:ascii="Cambria" w:eastAsia="Cambria" w:hAnsi="Cambria" w:cs="Cambria"/>
          <w:kern w:val="0"/>
          <w:sz w:val="18"/>
          <w:szCs w:val="18"/>
          <w14:ligatures w14:val="none"/>
        </w:rPr>
      </w:pPr>
    </w:p>
    <w:p w14:paraId="57EDC1BA" w14:textId="77777777" w:rsidR="003B15E9" w:rsidRPr="00D24210" w:rsidRDefault="00715287" w:rsidP="003B15E9">
      <w:pPr>
        <w:pStyle w:val="ListParagraph"/>
        <w:numPr>
          <w:ilvl w:val="0"/>
          <w:numId w:val="3"/>
        </w:numPr>
        <w:ind w:left="426" w:hanging="426"/>
        <w:rPr>
          <w:rFonts w:ascii="Cambria" w:eastAsia="Cambria" w:hAnsi="Cambria" w:cs="Cambria"/>
          <w:color w:val="EE0000"/>
          <w:spacing w:val="-2"/>
          <w:kern w:val="0"/>
          <w:sz w:val="18"/>
          <w:szCs w:val="18"/>
          <w14:ligatures w14:val="none"/>
        </w:rPr>
      </w:pPr>
      <w:r w:rsidRPr="00D24210">
        <w:rPr>
          <w:rFonts w:ascii="Cambria" w:hAnsi="Cambria"/>
          <w:sz w:val="18"/>
        </w:rPr>
        <w:t xml:space="preserve">¿Implica la creación de un nuevo grupo de trabajo o proceso intersesiones?    Sí </w:t>
      </w:r>
      <w:r w:rsidRPr="00D24210">
        <w:rPr>
          <w:rFonts w:ascii="Segoe UI Symbol" w:hAnsi="Segoe UI Symbol"/>
          <w:sz w:val="18"/>
        </w:rPr>
        <w:t>☐</w:t>
      </w:r>
      <w:r w:rsidRPr="00D24210">
        <w:rPr>
          <w:rFonts w:ascii="Cambria" w:hAnsi="Cambria"/>
          <w:sz w:val="18"/>
        </w:rPr>
        <w:t xml:space="preserve">    </w:t>
      </w:r>
      <w:r w:rsidRPr="00D24210">
        <w:rPr>
          <w:rFonts w:ascii="Cambria" w:hAnsi="Cambria"/>
          <w:color w:val="EE0000"/>
          <w:sz w:val="18"/>
        </w:rPr>
        <w:t xml:space="preserve">No </w:t>
      </w:r>
      <w:r w:rsidRPr="00D24210">
        <w:rPr>
          <w:rFonts w:ascii="Segoe UI Symbol" w:hAnsi="Segoe UI Symbol"/>
          <w:color w:val="EE0000"/>
          <w:sz w:val="18"/>
        </w:rPr>
        <w:t>☒</w:t>
      </w:r>
    </w:p>
    <w:p w14:paraId="74C64CEA" w14:textId="572DEE9C" w:rsidR="00715287" w:rsidRPr="00D24210" w:rsidRDefault="00715287" w:rsidP="003B15E9">
      <w:pPr>
        <w:pStyle w:val="ListParagraph"/>
        <w:widowControl w:val="0"/>
        <w:autoSpaceDE w:val="0"/>
        <w:autoSpaceDN w:val="0"/>
        <w:spacing w:after="0" w:line="240" w:lineRule="auto"/>
        <w:ind w:left="318"/>
        <w:rPr>
          <w:rFonts w:ascii="Cambria" w:eastAsia="Cambria" w:hAnsi="Cambria" w:cs="Cambria"/>
          <w:kern w:val="0"/>
          <w:sz w:val="18"/>
          <w:szCs w:val="18"/>
          <w:lang w:val="en-US"/>
          <w14:ligatures w14:val="none"/>
        </w:rPr>
      </w:pPr>
    </w:p>
    <w:p w14:paraId="7681ACFB" w14:textId="77777777" w:rsidR="00715287" w:rsidRPr="00D24210" w:rsidRDefault="00715287" w:rsidP="00715287">
      <w:pPr>
        <w:widowControl w:val="0"/>
        <w:autoSpaceDE w:val="0"/>
        <w:autoSpaceDN w:val="0"/>
        <w:spacing w:after="0" w:line="240" w:lineRule="auto"/>
        <w:ind w:left="318"/>
        <w:rPr>
          <w:rFonts w:ascii="Cambria" w:eastAsia="Cambria" w:hAnsi="Cambria" w:cs="Cambria"/>
          <w:kern w:val="0"/>
          <w:sz w:val="18"/>
          <w:szCs w:val="18"/>
          <w:lang w:val="en-US"/>
          <w14:ligatures w14:val="none"/>
        </w:rPr>
      </w:pPr>
    </w:p>
    <w:p w14:paraId="67D622AD" w14:textId="77777777" w:rsidR="00715287" w:rsidRPr="00D24210" w:rsidRDefault="00715287" w:rsidP="003B15E9">
      <w:pPr>
        <w:pStyle w:val="ListParagraph"/>
        <w:numPr>
          <w:ilvl w:val="0"/>
          <w:numId w:val="3"/>
        </w:numPr>
        <w:ind w:left="426" w:hanging="426"/>
        <w:rPr>
          <w:rFonts w:ascii="Cambria" w:eastAsia="Cambria" w:hAnsi="Cambria" w:cs="Cambria"/>
          <w:kern w:val="0"/>
          <w:sz w:val="18"/>
          <w:szCs w:val="18"/>
          <w14:ligatures w14:val="none"/>
        </w:rPr>
      </w:pPr>
      <w:r w:rsidRPr="00D24210">
        <w:rPr>
          <w:rFonts w:ascii="Cambria" w:hAnsi="Cambria"/>
          <w:sz w:val="18"/>
        </w:rPr>
        <w:t xml:space="preserve">¿Requiere un nuevo programa o actividades adicionales que deba gestionar la Secretaría?  </w:t>
      </w:r>
    </w:p>
    <w:p w14:paraId="39075591" w14:textId="47B79BF4" w:rsidR="00715287" w:rsidRPr="00D24210" w:rsidRDefault="00C74329" w:rsidP="00C74329">
      <w:pPr>
        <w:widowControl w:val="0"/>
        <w:autoSpaceDE w:val="0"/>
        <w:autoSpaceDN w:val="0"/>
        <w:spacing w:after="0" w:line="240" w:lineRule="auto"/>
        <w:ind w:left="318" w:firstLine="108"/>
        <w:rPr>
          <w:rFonts w:ascii="Segoe UI Symbol" w:eastAsia="Cambria" w:hAnsi="Segoe UI Symbol" w:cs="Segoe UI Symbol"/>
          <w:color w:val="EE0000"/>
          <w:kern w:val="0"/>
          <w:sz w:val="18"/>
          <w:szCs w:val="18"/>
          <w14:ligatures w14:val="none"/>
        </w:rPr>
      </w:pPr>
      <w:r w:rsidRPr="00D24210">
        <w:rPr>
          <w:rFonts w:ascii="Cambria" w:hAnsi="Cambria"/>
          <w:sz w:val="18"/>
        </w:rPr>
        <w:t xml:space="preserve">Sí </w:t>
      </w:r>
      <w:r w:rsidRPr="00D24210">
        <w:rPr>
          <w:rFonts w:ascii="Segoe UI Symbol" w:hAnsi="Segoe UI Symbol"/>
          <w:sz w:val="18"/>
        </w:rPr>
        <w:t>☐</w:t>
      </w:r>
      <w:r w:rsidRPr="00D24210">
        <w:rPr>
          <w:rFonts w:ascii="Cambria" w:hAnsi="Cambria"/>
          <w:sz w:val="18"/>
        </w:rPr>
        <w:t xml:space="preserve">    </w:t>
      </w:r>
      <w:r w:rsidRPr="00D24210">
        <w:rPr>
          <w:rFonts w:ascii="Cambria" w:hAnsi="Cambria"/>
          <w:color w:val="EE0000"/>
          <w:sz w:val="18"/>
        </w:rPr>
        <w:t xml:space="preserve">No </w:t>
      </w:r>
      <w:r w:rsidRPr="00D24210">
        <w:rPr>
          <w:rFonts w:ascii="Segoe UI Symbol" w:hAnsi="Segoe UI Symbol"/>
          <w:color w:val="EE0000"/>
          <w:sz w:val="18"/>
        </w:rPr>
        <w:t>☒</w:t>
      </w:r>
    </w:p>
    <w:p w14:paraId="59847E1C" w14:textId="77777777" w:rsidR="00C74329" w:rsidRPr="00D24210" w:rsidRDefault="00C74329" w:rsidP="00C74329">
      <w:pPr>
        <w:widowControl w:val="0"/>
        <w:autoSpaceDE w:val="0"/>
        <w:autoSpaceDN w:val="0"/>
        <w:spacing w:after="0" w:line="240" w:lineRule="auto"/>
        <w:ind w:left="318" w:firstLine="108"/>
        <w:rPr>
          <w:rFonts w:ascii="Cambria" w:eastAsia="Cambria" w:hAnsi="Cambria" w:cs="Cambria"/>
          <w:kern w:val="0"/>
          <w:sz w:val="18"/>
          <w:szCs w:val="18"/>
          <w14:ligatures w14:val="none"/>
        </w:rPr>
      </w:pPr>
    </w:p>
    <w:p w14:paraId="696A7F7A" w14:textId="322BD95E" w:rsidR="00715287" w:rsidRPr="00D24210" w:rsidRDefault="00715287" w:rsidP="00715287">
      <w:pPr>
        <w:widowControl w:val="0"/>
        <w:autoSpaceDE w:val="0"/>
        <w:autoSpaceDN w:val="0"/>
        <w:spacing w:after="0" w:line="240" w:lineRule="auto"/>
        <w:ind w:left="360" w:firstLine="66"/>
        <w:jc w:val="both"/>
        <w:rPr>
          <w:rFonts w:ascii="Cambria" w:eastAsia="Cambria" w:hAnsi="Cambria" w:cs="Cambria"/>
          <w:i/>
          <w:iCs/>
          <w:color w:val="EE0000"/>
          <w:spacing w:val="-2"/>
          <w:kern w:val="0"/>
          <w:sz w:val="18"/>
          <w:szCs w:val="18"/>
          <w14:ligatures w14:val="none"/>
        </w:rPr>
      </w:pPr>
      <w:r w:rsidRPr="00D24210">
        <w:rPr>
          <w:rFonts w:ascii="Cambria" w:hAnsi="Cambria"/>
          <w:sz w:val="18"/>
        </w:rPr>
        <w:t>Breve descripción del nuevo trabajo necesario de la Secretaría:</w:t>
      </w:r>
      <w:r w:rsidRPr="00D24210">
        <w:t xml:space="preserve"> </w:t>
      </w:r>
    </w:p>
    <w:p w14:paraId="35A9696D" w14:textId="77777777" w:rsidR="00715287" w:rsidRPr="00D24210" w:rsidRDefault="00715287" w:rsidP="00715287">
      <w:pPr>
        <w:widowControl w:val="0"/>
        <w:autoSpaceDE w:val="0"/>
        <w:autoSpaceDN w:val="0"/>
        <w:spacing w:after="0" w:line="240" w:lineRule="auto"/>
        <w:rPr>
          <w:rFonts w:ascii="Cambria" w:eastAsia="Cambria" w:hAnsi="Cambria" w:cs="Cambria"/>
          <w:spacing w:val="-2"/>
          <w:kern w:val="0"/>
          <w:sz w:val="18"/>
          <w:szCs w:val="18"/>
          <w14:ligatures w14:val="none"/>
        </w:rPr>
      </w:pPr>
    </w:p>
    <w:p w14:paraId="3F3E48F9" w14:textId="77777777" w:rsidR="00715287" w:rsidRPr="00D24210" w:rsidRDefault="00715287" w:rsidP="004203A2">
      <w:pPr>
        <w:widowControl w:val="0"/>
        <w:autoSpaceDE w:val="0"/>
        <w:autoSpaceDN w:val="0"/>
        <w:spacing w:after="0" w:line="240" w:lineRule="auto"/>
        <w:ind w:left="426"/>
        <w:jc w:val="both"/>
        <w:rPr>
          <w:rFonts w:ascii="Cambria" w:eastAsia="Cambria" w:hAnsi="Cambria" w:cs="Cambria"/>
          <w:iCs/>
          <w:color w:val="EE0000"/>
          <w:spacing w:val="-2"/>
          <w:kern w:val="0"/>
          <w:sz w:val="18"/>
          <w:szCs w:val="18"/>
          <w14:ligatures w14:val="none"/>
        </w:rPr>
      </w:pPr>
      <w:r w:rsidRPr="00D24210">
        <w:rPr>
          <w:rFonts w:ascii="Cambria" w:hAnsi="Cambria"/>
          <w:iCs/>
          <w:color w:val="EE0000"/>
          <w:sz w:val="18"/>
        </w:rPr>
        <w:t>La Secretaría de ICCAT se encargaría de iniciar consultas informales con la Secretaría de NAFO para evaluar el interés mutuo y la viabilidad de elaborar un memorando de entendimiento, y de informar a la Comisión antes de su reunión de 2026.</w:t>
      </w:r>
    </w:p>
    <w:p w14:paraId="53825225" w14:textId="77777777" w:rsidR="00715287" w:rsidRPr="00D24210" w:rsidRDefault="00715287" w:rsidP="00715287">
      <w:pPr>
        <w:widowControl w:val="0"/>
        <w:autoSpaceDE w:val="0"/>
        <w:autoSpaceDN w:val="0"/>
        <w:spacing w:after="0" w:line="240" w:lineRule="auto"/>
        <w:rPr>
          <w:rFonts w:ascii="Cambria" w:eastAsia="Cambria" w:hAnsi="Cambria" w:cs="Cambria"/>
          <w:iCs/>
          <w:spacing w:val="-2"/>
          <w:kern w:val="0"/>
          <w:sz w:val="18"/>
          <w:szCs w:val="18"/>
          <w14:ligatures w14:val="none"/>
        </w:rPr>
      </w:pPr>
    </w:p>
    <w:p w14:paraId="34F4E23B" w14:textId="77777777" w:rsidR="00FD18B4" w:rsidRPr="00D24210" w:rsidRDefault="00FD18B4" w:rsidP="00715287">
      <w:pPr>
        <w:widowControl w:val="0"/>
        <w:autoSpaceDE w:val="0"/>
        <w:autoSpaceDN w:val="0"/>
        <w:spacing w:after="0" w:line="240" w:lineRule="auto"/>
        <w:rPr>
          <w:rFonts w:ascii="Cambria" w:eastAsia="Cambria" w:hAnsi="Cambria" w:cs="Cambria"/>
          <w:spacing w:val="-2"/>
          <w:kern w:val="0"/>
          <w:sz w:val="18"/>
          <w:szCs w:val="18"/>
          <w14:ligatures w14:val="none"/>
        </w:rPr>
      </w:pPr>
    </w:p>
    <w:p w14:paraId="49963F8A" w14:textId="77777777" w:rsidR="00715287" w:rsidRPr="00D24210" w:rsidRDefault="00715287" w:rsidP="00FD18B4">
      <w:pPr>
        <w:pStyle w:val="ListParagraph"/>
        <w:numPr>
          <w:ilvl w:val="0"/>
          <w:numId w:val="3"/>
        </w:numPr>
        <w:ind w:left="426" w:hanging="426"/>
        <w:rPr>
          <w:rFonts w:ascii="Cambria" w:eastAsia="Cambria" w:hAnsi="Cambria" w:cs="Cambria"/>
          <w:spacing w:val="-2"/>
          <w:kern w:val="0"/>
          <w:sz w:val="18"/>
          <w:szCs w:val="18"/>
          <w14:ligatures w14:val="none"/>
        </w:rPr>
      </w:pPr>
      <w:r w:rsidRPr="00D24210">
        <w:rPr>
          <w:rFonts w:ascii="Cambria" w:hAnsi="Cambria"/>
          <w:sz w:val="18"/>
        </w:rPr>
        <w:t>¿Cuál es el calendario propuesto para la implementación? ¿Existen distintos calendarios específicos para determinadas CPC, pesquerías, regiones, etc.?</w:t>
      </w:r>
    </w:p>
    <w:p w14:paraId="260F96AE" w14:textId="77777777" w:rsidR="00715287" w:rsidRPr="00D24210" w:rsidRDefault="00715287" w:rsidP="00FD18B4">
      <w:pPr>
        <w:widowControl w:val="0"/>
        <w:autoSpaceDE w:val="0"/>
        <w:autoSpaceDN w:val="0"/>
        <w:spacing w:after="0" w:line="240" w:lineRule="auto"/>
        <w:ind w:left="426"/>
        <w:jc w:val="both"/>
        <w:rPr>
          <w:rFonts w:ascii="Cambria" w:eastAsia="Cambria" w:hAnsi="Cambria" w:cs="Cambria"/>
          <w:iCs/>
          <w:color w:val="EE0000"/>
          <w:spacing w:val="-2"/>
          <w:kern w:val="0"/>
          <w:sz w:val="18"/>
          <w:szCs w:val="18"/>
          <w14:ligatures w14:val="none"/>
        </w:rPr>
      </w:pPr>
      <w:r w:rsidRPr="00D24210">
        <w:rPr>
          <w:rFonts w:ascii="Cambria" w:hAnsi="Cambria"/>
          <w:iCs/>
          <w:color w:val="EE0000"/>
          <w:sz w:val="18"/>
        </w:rPr>
        <w:t>Estas consultas informales se llevarían a cabo a lo largo de 2026, con el objetivo de presentar los resultados a la reunión de la Comisión en noviembre de 2026.</w:t>
      </w:r>
    </w:p>
    <w:p w14:paraId="0C4D6F8E" w14:textId="77777777" w:rsidR="00715287" w:rsidRPr="00D24210" w:rsidRDefault="00715287" w:rsidP="00715287">
      <w:pPr>
        <w:widowControl w:val="0"/>
        <w:autoSpaceDE w:val="0"/>
        <w:autoSpaceDN w:val="0"/>
        <w:spacing w:after="0" w:line="240" w:lineRule="auto"/>
        <w:rPr>
          <w:rFonts w:ascii="Cambria" w:eastAsia="Cambria" w:hAnsi="Cambria" w:cs="Cambria"/>
          <w:spacing w:val="-2"/>
          <w:kern w:val="0"/>
          <w:sz w:val="18"/>
          <w:szCs w:val="18"/>
          <w14:ligatures w14:val="none"/>
        </w:rPr>
      </w:pPr>
    </w:p>
    <w:p w14:paraId="27277090" w14:textId="77777777" w:rsidR="00FD18B4" w:rsidRPr="00D24210" w:rsidRDefault="00FD18B4" w:rsidP="00715287">
      <w:pPr>
        <w:widowControl w:val="0"/>
        <w:autoSpaceDE w:val="0"/>
        <w:autoSpaceDN w:val="0"/>
        <w:spacing w:after="0" w:line="240" w:lineRule="auto"/>
        <w:rPr>
          <w:rFonts w:ascii="Cambria" w:eastAsia="Cambria" w:hAnsi="Cambria" w:cs="Cambria"/>
          <w:spacing w:val="-2"/>
          <w:kern w:val="0"/>
          <w:sz w:val="18"/>
          <w:szCs w:val="18"/>
          <w14:ligatures w14:val="none"/>
        </w:rPr>
      </w:pPr>
    </w:p>
    <w:p w14:paraId="11BD515D" w14:textId="77777777" w:rsidR="00715287" w:rsidRPr="00D24210" w:rsidRDefault="00715287" w:rsidP="00FD18B4">
      <w:pPr>
        <w:pStyle w:val="ListParagraph"/>
        <w:numPr>
          <w:ilvl w:val="0"/>
          <w:numId w:val="3"/>
        </w:numPr>
        <w:ind w:left="426" w:hanging="426"/>
        <w:rPr>
          <w:rFonts w:ascii="Cambria" w:eastAsia="Cambria" w:hAnsi="Cambria" w:cs="Cambria"/>
          <w:spacing w:val="-2"/>
          <w:kern w:val="0"/>
          <w:sz w:val="18"/>
          <w:szCs w:val="18"/>
          <w14:ligatures w14:val="none"/>
        </w:rPr>
      </w:pPr>
      <w:r w:rsidRPr="00D24210">
        <w:rPr>
          <w:rFonts w:ascii="Cambria" w:hAnsi="Cambria"/>
          <w:sz w:val="18"/>
        </w:rPr>
        <w:t>Hay alguna otra información pertinente sobre las repercusiones de la propuesta en lo referente a los recursos y a la carga de trabajo?</w:t>
      </w:r>
    </w:p>
    <w:p w14:paraId="0822DAA1" w14:textId="77777777" w:rsidR="00715287" w:rsidRPr="00D24210" w:rsidRDefault="00715287" w:rsidP="00FD18B4">
      <w:pPr>
        <w:widowControl w:val="0"/>
        <w:autoSpaceDE w:val="0"/>
        <w:autoSpaceDN w:val="0"/>
        <w:spacing w:after="0" w:line="240" w:lineRule="auto"/>
        <w:ind w:left="426"/>
        <w:jc w:val="both"/>
        <w:rPr>
          <w:rFonts w:ascii="Cambria" w:eastAsia="Cambria" w:hAnsi="Cambria" w:cs="Cambria"/>
          <w:iCs/>
          <w:color w:val="EE0000"/>
          <w:spacing w:val="-2"/>
          <w:kern w:val="0"/>
          <w:sz w:val="18"/>
          <w:szCs w:val="18"/>
          <w14:ligatures w14:val="none"/>
        </w:rPr>
      </w:pPr>
      <w:r w:rsidRPr="00D24210">
        <w:rPr>
          <w:rFonts w:ascii="Cambria" w:hAnsi="Cambria"/>
          <w:iCs/>
          <w:color w:val="EE0000"/>
          <w:sz w:val="18"/>
        </w:rPr>
        <w:t>Si se implementa, se esperaría que ambas Secretarías compartieran información y datos.</w:t>
      </w:r>
    </w:p>
    <w:p w14:paraId="6DCD0CD7" w14:textId="77777777" w:rsidR="00715287" w:rsidRPr="00D24210" w:rsidRDefault="00715287">
      <w:pPr>
        <w:rPr>
          <w:rFonts w:ascii="Cambria" w:eastAsia="Times New Roman" w:hAnsi="Cambria" w:cs="Open Sans"/>
          <w:b/>
          <w:bCs/>
          <w:color w:val="000000"/>
          <w:kern w:val="0"/>
          <w:sz w:val="18"/>
          <w:szCs w:val="18"/>
          <w14:ligatures w14:val="none"/>
        </w:rPr>
      </w:pPr>
      <w:r w:rsidRPr="00D24210">
        <w:br w:type="page"/>
      </w:r>
    </w:p>
    <w:p w14:paraId="43ED2DFA" w14:textId="1CF919D0" w:rsidR="008E790A" w:rsidRPr="00D24210" w:rsidRDefault="008E790A" w:rsidP="008E790A">
      <w:pPr>
        <w:pStyle w:val="NormalWeb"/>
        <w:spacing w:before="0" w:beforeAutospacing="0" w:after="0" w:afterAutospacing="0"/>
        <w:jc w:val="right"/>
        <w:rPr>
          <w:rFonts w:ascii="Cambria" w:hAnsi="Cambria" w:cs="Open Sans"/>
          <w:b/>
          <w:bCs/>
          <w:color w:val="000000"/>
          <w:sz w:val="20"/>
          <w:szCs w:val="20"/>
        </w:rPr>
      </w:pPr>
      <w:r w:rsidRPr="00D24210">
        <w:rPr>
          <w:rFonts w:ascii="Cambria" w:hAnsi="Cambria"/>
          <w:b/>
          <w:color w:val="000000"/>
          <w:sz w:val="20"/>
        </w:rPr>
        <w:lastRenderedPageBreak/>
        <w:t>Original: inglés</w:t>
      </w:r>
    </w:p>
    <w:p w14:paraId="4B10B615" w14:textId="77777777" w:rsidR="008E790A" w:rsidRPr="00D24210" w:rsidRDefault="008E790A" w:rsidP="008E790A">
      <w:pPr>
        <w:pStyle w:val="NormalWeb"/>
        <w:spacing w:before="0" w:beforeAutospacing="0" w:after="0" w:afterAutospacing="0"/>
        <w:jc w:val="right"/>
        <w:rPr>
          <w:rFonts w:ascii="Cambria" w:hAnsi="Cambria" w:cs="Open Sans"/>
          <w:b/>
          <w:bCs/>
          <w:color w:val="000000"/>
          <w:sz w:val="20"/>
          <w:szCs w:val="20"/>
        </w:rPr>
      </w:pPr>
    </w:p>
    <w:p w14:paraId="59A9E544" w14:textId="22737F73" w:rsidR="00B91831" w:rsidRPr="00D24210" w:rsidRDefault="00B91831" w:rsidP="006A0192">
      <w:pPr>
        <w:pStyle w:val="NormalWeb"/>
        <w:spacing w:before="0" w:beforeAutospacing="0" w:after="0" w:afterAutospacing="0"/>
        <w:jc w:val="center"/>
        <w:rPr>
          <w:rFonts w:ascii="Cambria" w:hAnsi="Cambria" w:cs="Open Sans"/>
          <w:b/>
          <w:bCs/>
          <w:color w:val="000000"/>
          <w:sz w:val="20"/>
          <w:szCs w:val="20"/>
        </w:rPr>
      </w:pPr>
      <w:r w:rsidRPr="00D24210">
        <w:rPr>
          <w:rFonts w:ascii="Cambria" w:hAnsi="Cambria"/>
          <w:b/>
          <w:color w:val="000000"/>
          <w:sz w:val="20"/>
        </w:rPr>
        <w:t>Documento de debate sobre una propuesta de memorando de entendimiento entre ICCAT y NAFO</w:t>
      </w:r>
    </w:p>
    <w:p w14:paraId="21645384" w14:textId="6CC2CD33" w:rsidR="00AB5FA6" w:rsidRPr="00D24210" w:rsidRDefault="00291E67" w:rsidP="006A0192">
      <w:pPr>
        <w:pStyle w:val="NormalWeb"/>
        <w:spacing w:before="0" w:beforeAutospacing="0" w:after="0" w:afterAutospacing="0"/>
        <w:jc w:val="center"/>
        <w:rPr>
          <w:rFonts w:ascii="Cambria" w:hAnsi="Cambria" w:cs="Open Sans"/>
          <w:sz w:val="20"/>
          <w:szCs w:val="20"/>
        </w:rPr>
      </w:pPr>
      <w:r w:rsidRPr="00D24210">
        <w:rPr>
          <w:rFonts w:ascii="Cambria" w:hAnsi="Cambria"/>
          <w:i/>
          <w:color w:val="000000"/>
          <w:sz w:val="20"/>
        </w:rPr>
        <w:t>(</w:t>
      </w:r>
      <w:r w:rsidR="00C7371C" w:rsidRPr="00D24210">
        <w:rPr>
          <w:rFonts w:ascii="Cambria" w:hAnsi="Cambria"/>
          <w:i/>
          <w:color w:val="000000"/>
          <w:sz w:val="20"/>
        </w:rPr>
        <w:t>Documento p</w:t>
      </w:r>
      <w:r w:rsidRPr="00D24210">
        <w:rPr>
          <w:rFonts w:ascii="Cambria" w:hAnsi="Cambria"/>
          <w:i/>
          <w:color w:val="000000"/>
          <w:sz w:val="20"/>
        </w:rPr>
        <w:t>resentado por Canadá)</w:t>
      </w:r>
    </w:p>
    <w:p w14:paraId="73708FC8" w14:textId="77777777" w:rsidR="006A0192" w:rsidRPr="00D24210" w:rsidRDefault="006A0192" w:rsidP="006A0192">
      <w:pPr>
        <w:pStyle w:val="NormalWeb"/>
        <w:spacing w:before="0" w:beforeAutospacing="0" w:after="0" w:afterAutospacing="0"/>
        <w:jc w:val="both"/>
        <w:rPr>
          <w:rFonts w:ascii="Cambria" w:hAnsi="Cambria" w:cs="Open Sans"/>
          <w:b/>
          <w:bCs/>
          <w:color w:val="000000"/>
          <w:sz w:val="20"/>
          <w:szCs w:val="20"/>
        </w:rPr>
      </w:pPr>
    </w:p>
    <w:p w14:paraId="0DE51000" w14:textId="5891FBAA" w:rsidR="00B91831" w:rsidRPr="00D24210" w:rsidRDefault="00B91831" w:rsidP="006A0192">
      <w:pPr>
        <w:pStyle w:val="NormalWeb"/>
        <w:spacing w:before="0" w:beforeAutospacing="0" w:after="0" w:afterAutospacing="0"/>
        <w:jc w:val="both"/>
        <w:rPr>
          <w:rFonts w:ascii="Cambria" w:hAnsi="Cambria" w:cs="Open Sans"/>
          <w:b/>
          <w:bCs/>
          <w:color w:val="000000"/>
          <w:sz w:val="20"/>
          <w:szCs w:val="20"/>
        </w:rPr>
      </w:pPr>
      <w:r w:rsidRPr="00D24210">
        <w:rPr>
          <w:rFonts w:ascii="Cambria" w:hAnsi="Cambria"/>
          <w:b/>
          <w:color w:val="000000"/>
          <w:sz w:val="20"/>
        </w:rPr>
        <w:t>Introducción</w:t>
      </w:r>
    </w:p>
    <w:p w14:paraId="6B5DF690" w14:textId="77777777" w:rsidR="00291E67" w:rsidRPr="00D24210" w:rsidRDefault="00291E67" w:rsidP="006A0192">
      <w:pPr>
        <w:pStyle w:val="NormalWeb"/>
        <w:spacing w:before="0" w:beforeAutospacing="0" w:after="0" w:afterAutospacing="0"/>
        <w:jc w:val="both"/>
        <w:rPr>
          <w:rFonts w:ascii="Cambria" w:hAnsi="Cambria" w:cs="Open Sans"/>
          <w:b/>
          <w:bCs/>
          <w:sz w:val="20"/>
          <w:szCs w:val="20"/>
        </w:rPr>
      </w:pPr>
    </w:p>
    <w:p w14:paraId="27A377A4" w14:textId="42439CD6" w:rsidR="00B91831" w:rsidRPr="00D24210" w:rsidRDefault="00B91831" w:rsidP="006A0192">
      <w:pPr>
        <w:spacing w:after="0" w:line="240" w:lineRule="auto"/>
        <w:jc w:val="both"/>
        <w:rPr>
          <w:rFonts w:ascii="Cambria" w:eastAsia="Times New Roman" w:hAnsi="Cambria" w:cs="Open Sans"/>
          <w:kern w:val="0"/>
          <w:sz w:val="20"/>
          <w:szCs w:val="20"/>
          <w:shd w:val="clear" w:color="auto" w:fill="FFFFFF"/>
          <w14:ligatures w14:val="none"/>
        </w:rPr>
      </w:pPr>
      <w:r w:rsidRPr="00D24210">
        <w:rPr>
          <w:rFonts w:ascii="Cambria" w:hAnsi="Cambria"/>
          <w:color w:val="000000"/>
          <w:sz w:val="20"/>
        </w:rPr>
        <w:t>A lo largo de varios años, las organizaciones regionales de ordenación pesquera (OROP) con zonas de Convenio superpuestas o adyacentes en todo el mundo han firmado memorandos de entendimiento (MOU) para ayudarles a compartir información relevante para la ordenación de la actividad pesquera en esas zonas.</w:t>
      </w:r>
      <w:r w:rsidRPr="00D24210">
        <w:rPr>
          <w:rFonts w:ascii="Cambria" w:hAnsi="Cambria"/>
          <w:color w:val="000000"/>
          <w:sz w:val="20"/>
          <w:shd w:val="clear" w:color="auto" w:fill="FFFFFF"/>
        </w:rPr>
        <w:t> </w:t>
      </w:r>
      <w:r w:rsidRPr="00D24210">
        <w:rPr>
          <w:rFonts w:ascii="Cambria" w:hAnsi="Cambria"/>
          <w:sz w:val="20"/>
        </w:rPr>
        <w:t>Otras OROP han demostrado el valor del intercambio formalizado de información para mejorar las evaluaciones científicas, el cumplimiento y los enfoques ecosistémicos de la pesca. Entre los ejemplos se incluyen el memorando de entendimiento entre la Comisión de Pesca del Pacífico Occidental y Central (WCPFC) y la Comisión del Atún para el Océano Índico (IOTC) (2009), y entre la Comisión Internacional para la Conservación del Atún Atlántico (ICCAT) y la Organización de Pesca del Atlántico Sudoriental (SEAFO) (2020).</w:t>
      </w:r>
      <w:r w:rsidRPr="00D24210">
        <w:rPr>
          <w:rFonts w:ascii="Cambria" w:hAnsi="Cambria"/>
          <w:sz w:val="20"/>
          <w:shd w:val="clear" w:color="auto" w:fill="FFFFFF"/>
        </w:rPr>
        <w:t xml:space="preserve"> </w:t>
      </w:r>
    </w:p>
    <w:p w14:paraId="087F8F2B" w14:textId="77777777" w:rsidR="00291E67" w:rsidRPr="00D24210" w:rsidRDefault="00291E67" w:rsidP="00291E67">
      <w:pPr>
        <w:spacing w:after="0" w:line="240" w:lineRule="auto"/>
        <w:jc w:val="both"/>
        <w:rPr>
          <w:rFonts w:ascii="Cambria" w:eastAsia="Times New Roman" w:hAnsi="Cambria" w:cs="Open Sans"/>
          <w:kern w:val="0"/>
          <w:sz w:val="20"/>
          <w:szCs w:val="20"/>
          <w14:ligatures w14:val="none"/>
        </w:rPr>
      </w:pPr>
    </w:p>
    <w:p w14:paraId="4531856D" w14:textId="028F8644" w:rsidR="00B91831" w:rsidRPr="00D24210" w:rsidRDefault="00B91831" w:rsidP="00291E67">
      <w:pPr>
        <w:pStyle w:val="NormalWeb"/>
        <w:spacing w:before="0" w:beforeAutospacing="0" w:after="0" w:afterAutospacing="0"/>
        <w:jc w:val="both"/>
        <w:rPr>
          <w:rStyle w:val="Emphasis"/>
          <w:rFonts w:ascii="Cambria" w:eastAsiaTheme="majorEastAsia" w:hAnsi="Cambria" w:cs="Open Sans"/>
          <w:i w:val="0"/>
          <w:iCs w:val="0"/>
          <w:sz w:val="20"/>
          <w:szCs w:val="20"/>
        </w:rPr>
      </w:pPr>
      <w:r w:rsidRPr="00D24210">
        <w:rPr>
          <w:rFonts w:ascii="Cambria" w:hAnsi="Cambria"/>
          <w:color w:val="000000"/>
          <w:sz w:val="20"/>
        </w:rPr>
        <w:t xml:space="preserve">Al mismo tiempo, las OROP han avanzado en la incorporación de enfoques ecosistémicos en su labor y en la lucha contra los efectos del cambio climático en las especies que se encuentran bajo sus respectivas jurisdicciones. </w:t>
      </w:r>
      <w:r w:rsidRPr="00D24210">
        <w:rPr>
          <w:rFonts w:ascii="Cambria" w:hAnsi="Cambria"/>
          <w:sz w:val="20"/>
        </w:rPr>
        <w:t xml:space="preserve">Se espera que la ratificación y la entrada en vigor prevista del Acuerdo sobre </w:t>
      </w:r>
      <w:r w:rsidR="000D71E2" w:rsidRPr="00D24210">
        <w:rPr>
          <w:rFonts w:ascii="Cambria" w:hAnsi="Cambria"/>
          <w:sz w:val="20"/>
        </w:rPr>
        <w:t>la diversidad biológica marina de las zonas situadas fuera de la jurisdicción n</w:t>
      </w:r>
      <w:r w:rsidRPr="00D24210">
        <w:rPr>
          <w:rFonts w:ascii="Cambria" w:hAnsi="Cambria"/>
          <w:sz w:val="20"/>
        </w:rPr>
        <w:t>acional (Acuerdo BBNJ) en el marco de la Convención de las Naciones Unidas sobre el Derecho del Mar (CNUDM) cree nuevas oportunidades para mejorar la cooperación, la transparencia y la toma de decisiones basadas en datos científicos en relación con la conservación de la biodiversidad. Al reforzar de forma proactiva la colaboración entre las OROP, organizaciones como ICCAT y la Organización de la Pesca en el Atlántico Noroccidental (NAFO) pueden posicionarse para maximizar estos beneficios, ejercer liderazgo en la gobernanza de los océanos y mejorar la calidad y la eficacia de sus medidas de conservación y ordenación. Este compromiso ya se ha reflejado en la</w:t>
      </w:r>
      <w:r w:rsidRPr="00D24210">
        <w:rPr>
          <w:rStyle w:val="Emphasis"/>
          <w:rFonts w:ascii="Cambria" w:hAnsi="Cambria"/>
          <w:sz w:val="20"/>
        </w:rPr>
        <w:t xml:space="preserve"> Resolución de ICCAT sobre la implementación de instrumentos de conservación de la biodiversidad </w:t>
      </w:r>
      <w:r w:rsidRPr="00D24210">
        <w:rPr>
          <w:rFonts w:ascii="Cambria" w:hAnsi="Cambria"/>
          <w:sz w:val="20"/>
        </w:rPr>
        <w:t>(Res. 23-23)</w:t>
      </w:r>
      <w:r w:rsidRPr="00D24210">
        <w:rPr>
          <w:rStyle w:val="Emphasis"/>
          <w:rFonts w:ascii="Cambria" w:hAnsi="Cambria"/>
          <w:sz w:val="20"/>
        </w:rPr>
        <w:t>.</w:t>
      </w:r>
    </w:p>
    <w:p w14:paraId="7ADFDD90" w14:textId="77777777" w:rsidR="002C7F05" w:rsidRPr="00D24210" w:rsidRDefault="002C7F05" w:rsidP="00291E67">
      <w:pPr>
        <w:pStyle w:val="NormalWeb"/>
        <w:spacing w:before="0" w:beforeAutospacing="0" w:after="0" w:afterAutospacing="0"/>
        <w:jc w:val="both"/>
        <w:rPr>
          <w:rFonts w:ascii="Cambria" w:hAnsi="Cambria" w:cs="Open Sans"/>
          <w:color w:val="000000"/>
          <w:sz w:val="20"/>
          <w:szCs w:val="20"/>
        </w:rPr>
      </w:pPr>
    </w:p>
    <w:p w14:paraId="007C7355" w14:textId="23401A5E" w:rsidR="00291E67" w:rsidRPr="00D24210" w:rsidRDefault="00B91831" w:rsidP="00291E67">
      <w:pPr>
        <w:pStyle w:val="NormalWeb"/>
        <w:spacing w:before="0" w:beforeAutospacing="0" w:after="0" w:afterAutospacing="0"/>
        <w:jc w:val="both"/>
        <w:rPr>
          <w:rFonts w:ascii="Cambria" w:hAnsi="Cambria" w:cs="Open Sans"/>
          <w:color w:val="000000"/>
          <w:sz w:val="20"/>
          <w:szCs w:val="20"/>
          <w:shd w:val="clear" w:color="auto" w:fill="FFFFFF"/>
        </w:rPr>
      </w:pPr>
      <w:r w:rsidRPr="00D24210">
        <w:rPr>
          <w:rFonts w:ascii="Cambria" w:hAnsi="Cambria"/>
          <w:color w:val="000000"/>
          <w:sz w:val="20"/>
          <w:shd w:val="clear" w:color="auto" w:fill="FFFFFF"/>
        </w:rPr>
        <w:t>ICCAT ha establecido memorandos de entendimiento con diversas organizaciones, entre ellas la Comisión del Mar de los Sargazos (SSC), la Comisión de Pesca del Atlántico Centro-Oeste, el Consejo Internacional para la Exploración del Mar, la Comisión para la Conservación del Atún Rojo del Sur, la Comisión General de Pesca del Mediterráneo, el Acuerdo sobre la Conservación de Albatros y Petreles, la Convención Interamericana para la Protección y Conservación de las Tortugas Marinas y la Comisión del Atún del Océano Índico. Estos memorandos de entendimiento abarcan áreas como los enfoques ecosistémicos para la ordenación pesquera, la colaboración científica y las prioridades comunes en materia de conservación.</w:t>
      </w:r>
    </w:p>
    <w:p w14:paraId="17D87EF1" w14:textId="5431C8FD" w:rsidR="00B91831" w:rsidRPr="00D24210" w:rsidRDefault="00AD501E" w:rsidP="00291E67">
      <w:pPr>
        <w:pStyle w:val="NormalWeb"/>
        <w:spacing w:before="0" w:beforeAutospacing="0" w:after="0" w:afterAutospacing="0"/>
        <w:jc w:val="both"/>
        <w:rPr>
          <w:rFonts w:ascii="Cambria" w:hAnsi="Cambria" w:cs="Open Sans"/>
          <w:color w:val="000000" w:themeColor="text1"/>
          <w:sz w:val="20"/>
          <w:szCs w:val="20"/>
        </w:rPr>
      </w:pPr>
      <w:r w:rsidRPr="00D24210">
        <w:rPr>
          <w:rFonts w:ascii="Cambria" w:hAnsi="Cambria"/>
          <w:color w:val="000000"/>
          <w:sz w:val="20"/>
          <w:shd w:val="clear" w:color="auto" w:fill="FFFFFF"/>
        </w:rPr>
        <w:br/>
      </w:r>
      <w:r w:rsidRPr="00D24210">
        <w:rPr>
          <w:rFonts w:ascii="Cambria" w:hAnsi="Cambria"/>
          <w:sz w:val="20"/>
        </w:rPr>
        <w:t>La NAFO también cuenta con experiencia relevante, incluido su memorando de entendimiento con la SSC centrado en el intercambio de información que puede respaldar los enfoques ecosistémicos en el Atlántico noroccidental. Además</w:t>
      </w:r>
      <w:r w:rsidR="004B0F13" w:rsidRPr="00D24210">
        <w:rPr>
          <w:rFonts w:ascii="Cambria" w:hAnsi="Cambria"/>
          <w:sz w:val="20"/>
        </w:rPr>
        <w:t>,</w:t>
      </w:r>
      <w:r w:rsidRPr="00D24210">
        <w:rPr>
          <w:rFonts w:ascii="Cambria" w:hAnsi="Cambria"/>
          <w:sz w:val="20"/>
        </w:rPr>
        <w:t xml:space="preserve"> NAFO ha colaborado de manera informal con otras OROP y organismos científicos, como la Comisión de Pesca del Atlántico Nororiental (NEAFC) y el Consejo Internacional para la Exploración del Mar (ICES), en el intercambio de datos </w:t>
      </w:r>
      <w:r w:rsidR="004B0F13" w:rsidRPr="00D24210">
        <w:rPr>
          <w:rFonts w:ascii="Cambria" w:hAnsi="Cambria"/>
          <w:sz w:val="20"/>
        </w:rPr>
        <w:t>sobre</w:t>
      </w:r>
      <w:r w:rsidRPr="00D24210">
        <w:rPr>
          <w:rFonts w:ascii="Cambria" w:hAnsi="Cambria"/>
          <w:sz w:val="20"/>
        </w:rPr>
        <w:t xml:space="preserve"> ecosistemas marinos vulnerables (VME) y la cartografía de hábitats.</w:t>
      </w:r>
      <w:r w:rsidRPr="00D24210">
        <w:rPr>
          <w:rFonts w:ascii="Cambria" w:hAnsi="Cambria"/>
          <w:color w:val="000000" w:themeColor="text1"/>
          <w:sz w:val="20"/>
        </w:rPr>
        <w:t xml:space="preserve"> Este historial demuestra la capacidad de NAFO para participar en marcos de cooperación mutuamente beneficiosos, que podrían ampliarse mediante un acuerdo formal con ICCAT. </w:t>
      </w:r>
    </w:p>
    <w:p w14:paraId="3BC83F65" w14:textId="77777777" w:rsidR="00770D35" w:rsidRPr="00D24210" w:rsidRDefault="00770D35" w:rsidP="00291E67">
      <w:pPr>
        <w:pStyle w:val="NormalWeb"/>
        <w:spacing w:before="0" w:beforeAutospacing="0" w:after="0" w:afterAutospacing="0"/>
        <w:jc w:val="both"/>
        <w:rPr>
          <w:rFonts w:ascii="Cambria" w:hAnsi="Cambria" w:cs="Open Sans"/>
          <w:sz w:val="20"/>
          <w:szCs w:val="20"/>
        </w:rPr>
      </w:pPr>
    </w:p>
    <w:p w14:paraId="4BB3CEFF" w14:textId="14F863F6"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shd w:val="clear" w:color="auto" w:fill="FFFFFF"/>
        </w:rPr>
        <w:t>Sin embargo, actualmente no existe ningún memorando de entendimiento entre ICCAT y NAFO, a pesar de que sus zonas de aplicación se solapan y de que existen interacciones documentadas entre las especies gestionadas por ICCAT y las pesquerías de NAFO, especialmente en lo que respecta a las capturas fortuitas y al impacto de los artes de pesca. </w:t>
      </w:r>
      <w:r w:rsidRPr="00D24210">
        <w:rPr>
          <w:rFonts w:ascii="Cambria" w:hAnsi="Cambria"/>
          <w:color w:val="000000"/>
          <w:sz w:val="20"/>
        </w:rPr>
        <w:t>En este contexto, Canadá propone que ICCAT estudie la posibilidad de elaborar un memorando de entendimiento con la NAFO. Dicho memorando de entendimiento podría facilitar y formalizar el intercambio de información sobre cuestiones de interés mutuo.</w:t>
      </w:r>
    </w:p>
    <w:p w14:paraId="340E3C92" w14:textId="77777777" w:rsidR="001C37A4" w:rsidRPr="00D24210" w:rsidRDefault="001C37A4" w:rsidP="00291E67">
      <w:pPr>
        <w:pStyle w:val="NormalWeb"/>
        <w:spacing w:before="0" w:beforeAutospacing="0" w:after="0" w:afterAutospacing="0"/>
        <w:jc w:val="both"/>
        <w:rPr>
          <w:rFonts w:ascii="Cambria" w:hAnsi="Cambria" w:cs="Open Sans"/>
          <w:b/>
          <w:bCs/>
          <w:sz w:val="20"/>
          <w:szCs w:val="20"/>
        </w:rPr>
      </w:pPr>
    </w:p>
    <w:p w14:paraId="4C18F9BB" w14:textId="77777777" w:rsidR="00B91831" w:rsidRPr="00D24210" w:rsidRDefault="00B91831" w:rsidP="00291E67">
      <w:pPr>
        <w:pStyle w:val="NormalWeb"/>
        <w:spacing w:before="0" w:beforeAutospacing="0" w:after="0" w:afterAutospacing="0"/>
        <w:jc w:val="both"/>
        <w:rPr>
          <w:rFonts w:ascii="Cambria" w:hAnsi="Cambria" w:cs="Open Sans"/>
          <w:b/>
          <w:bCs/>
          <w:color w:val="000000"/>
          <w:sz w:val="20"/>
          <w:szCs w:val="20"/>
        </w:rPr>
      </w:pPr>
      <w:r w:rsidRPr="00D24210">
        <w:rPr>
          <w:rFonts w:ascii="Cambria" w:hAnsi="Cambria"/>
          <w:b/>
          <w:color w:val="000000"/>
          <w:sz w:val="20"/>
        </w:rPr>
        <w:t>Contexto</w:t>
      </w:r>
    </w:p>
    <w:p w14:paraId="43D2D80F" w14:textId="77777777" w:rsidR="001C37A4" w:rsidRPr="00D24210" w:rsidRDefault="001C37A4" w:rsidP="00291E67">
      <w:pPr>
        <w:pStyle w:val="NormalWeb"/>
        <w:spacing w:before="0" w:beforeAutospacing="0" w:after="0" w:afterAutospacing="0"/>
        <w:jc w:val="both"/>
        <w:rPr>
          <w:rFonts w:ascii="Cambria" w:hAnsi="Cambria" w:cs="Open Sans"/>
          <w:sz w:val="20"/>
          <w:szCs w:val="20"/>
        </w:rPr>
      </w:pPr>
    </w:p>
    <w:p w14:paraId="753166C1" w14:textId="35508A9B"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 xml:space="preserve">ICCAT y NAFO son dos organizaciones regionales de ordenación pesquera que operan en el Atlántico norte con zonas de jurisdicción superpuestas o adyacentes. Mientras que ICCAT se centra en la conservación de los túnidos y especies afines, incluidos los tiburones pelágicos, NAFO gestiona principalmente stocks de </w:t>
      </w:r>
      <w:r w:rsidRPr="00D24210">
        <w:rPr>
          <w:rFonts w:ascii="Cambria" w:hAnsi="Cambria"/>
          <w:color w:val="000000"/>
          <w:sz w:val="20"/>
        </w:rPr>
        <w:lastRenderedPageBreak/>
        <w:t>peces demersales y designa y supervisa los VME. Ambas organizaciones están trabajando para implementar enfoques ecosistémicos en la ordenación pesquera. </w:t>
      </w:r>
    </w:p>
    <w:p w14:paraId="27BB608C" w14:textId="77777777" w:rsidR="007D1240" w:rsidRPr="00D24210" w:rsidRDefault="007D1240" w:rsidP="00291E67">
      <w:pPr>
        <w:pStyle w:val="NormalWeb"/>
        <w:spacing w:before="0" w:beforeAutospacing="0" w:after="0" w:afterAutospacing="0"/>
        <w:jc w:val="both"/>
        <w:rPr>
          <w:rFonts w:ascii="Cambria" w:hAnsi="Cambria" w:cs="Open Sans"/>
          <w:sz w:val="20"/>
          <w:szCs w:val="20"/>
        </w:rPr>
      </w:pPr>
    </w:p>
    <w:p w14:paraId="033FE291" w14:textId="52DB6032"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 xml:space="preserve">El </w:t>
      </w:r>
      <w:hyperlink r:id="rId11" w:history="1">
        <w:r w:rsidRPr="00D24210">
          <w:rPr>
            <w:rStyle w:val="Hyperlink"/>
            <w:rFonts w:ascii="Cambria" w:hAnsi="Cambria"/>
            <w:sz w:val="20"/>
          </w:rPr>
          <w:t>Acuerdo sobre las zonas marinas situad</w:t>
        </w:r>
        <w:r w:rsidRPr="00D24210">
          <w:rPr>
            <w:rStyle w:val="Hyperlink"/>
            <w:rFonts w:ascii="Cambria" w:hAnsi="Cambria"/>
            <w:sz w:val="20"/>
          </w:rPr>
          <w:t>a</w:t>
        </w:r>
        <w:r w:rsidRPr="00D24210">
          <w:rPr>
            <w:rStyle w:val="Hyperlink"/>
            <w:rFonts w:ascii="Cambria" w:hAnsi="Cambria"/>
            <w:sz w:val="20"/>
          </w:rPr>
          <w:t>s fuera de la jurisdicción nacional</w:t>
        </w:r>
      </w:hyperlink>
      <w:r w:rsidRPr="00D24210">
        <w:rPr>
          <w:rFonts w:ascii="Cambria" w:hAnsi="Cambria"/>
          <w:color w:val="000000"/>
          <w:sz w:val="20"/>
        </w:rPr>
        <w:t xml:space="preserve"> (BBNJ) hace hincapié en la importancia de mejorar la cooperación entre los organismos competentes que operan en zonas situadas fuera de la jurisdicción nacional. Pide que se usen herramientas de ordenación por zonas, como las áreas marinas protegidas, entre otras, como instrumentos clave para cuidar la biodiversidad. El Acuerdo también promueve el intercambio de datos científicos, una mayor transparencia en los procesos de toma de decisiones y el desarrollo de capacidades, especialmente para los países en desarrollo. El Acuerdo reconoce explícitamente las funciones de las OROP y otros organismos regionales y sectoriales pertinentes, y fomenta los acuerdos de cooperación para garantizar la coherencia y la eficacia en la gobernanza de la biodiversidad.</w:t>
      </w:r>
    </w:p>
    <w:p w14:paraId="7171692C" w14:textId="77777777" w:rsidR="00836FFE" w:rsidRPr="00D24210" w:rsidRDefault="00836FFE" w:rsidP="00291E67">
      <w:pPr>
        <w:pStyle w:val="NormalWeb"/>
        <w:spacing w:before="0" w:beforeAutospacing="0" w:after="0" w:afterAutospacing="0"/>
        <w:jc w:val="both"/>
        <w:rPr>
          <w:rFonts w:ascii="Cambria" w:hAnsi="Cambria" w:cs="Open Sans"/>
          <w:color w:val="000000"/>
          <w:sz w:val="20"/>
          <w:szCs w:val="20"/>
        </w:rPr>
      </w:pPr>
    </w:p>
    <w:p w14:paraId="1CF1ACCC" w14:textId="454A9157" w:rsidR="00253D63" w:rsidRPr="00D24210" w:rsidRDefault="00253D63" w:rsidP="00291E67">
      <w:pPr>
        <w:pStyle w:val="NormalWeb"/>
        <w:spacing w:before="0" w:beforeAutospacing="0" w:after="0" w:afterAutospacing="0"/>
        <w:jc w:val="both"/>
        <w:rPr>
          <w:rFonts w:ascii="Cambria" w:hAnsi="Cambria" w:cs="Open Sans"/>
          <w:sz w:val="20"/>
          <w:szCs w:val="20"/>
        </w:rPr>
      </w:pPr>
      <w:r w:rsidRPr="00D24210">
        <w:rPr>
          <w:rFonts w:ascii="Cambria" w:hAnsi="Cambria"/>
          <w:color w:val="000000"/>
          <w:sz w:val="20"/>
        </w:rPr>
        <w:t xml:space="preserve">Las OROP han acordado entre ellas la importancia de compartir información y colaborar. </w:t>
      </w:r>
      <w:r w:rsidRPr="00D24210">
        <w:rPr>
          <w:rFonts w:ascii="Cambria" w:hAnsi="Cambria"/>
          <w:sz w:val="20"/>
        </w:rPr>
        <w:t>Por ejemplo, en la reunión «Aplicación del enfoque ecosistémico a la ordenación pesquera en las zonas marítimas no sujetas a jurisdicción nacional» convocada por la Organización de las Naciones Unidas para la Alimentación y la Agricultura (FAO), NAFO e ICES en Roma en marzo de 2025, los participantes acordaron continuar con esos diálogos.</w:t>
      </w:r>
    </w:p>
    <w:p w14:paraId="1E8446C7" w14:textId="77777777" w:rsidR="007D1240" w:rsidRPr="00D24210" w:rsidRDefault="007D1240" w:rsidP="00291E67">
      <w:pPr>
        <w:pStyle w:val="NormalWeb"/>
        <w:spacing w:before="0" w:beforeAutospacing="0" w:after="0" w:afterAutospacing="0"/>
        <w:jc w:val="both"/>
        <w:rPr>
          <w:rFonts w:ascii="Cambria" w:hAnsi="Cambria" w:cs="Open Sans"/>
          <w:sz w:val="20"/>
          <w:szCs w:val="20"/>
        </w:rPr>
      </w:pPr>
    </w:p>
    <w:p w14:paraId="44E39018" w14:textId="17B7D860" w:rsidR="00B91831" w:rsidRPr="00D24210" w:rsidRDefault="00B91831" w:rsidP="00291E67">
      <w:pPr>
        <w:pStyle w:val="NormalWeb"/>
        <w:spacing w:before="0" w:beforeAutospacing="0" w:after="0" w:afterAutospacing="0"/>
        <w:jc w:val="both"/>
        <w:rPr>
          <w:rFonts w:ascii="Cambria" w:hAnsi="Cambria" w:cs="Open Sans"/>
          <w:b/>
          <w:bCs/>
          <w:color w:val="000000"/>
          <w:sz w:val="20"/>
          <w:szCs w:val="20"/>
        </w:rPr>
      </w:pPr>
      <w:r w:rsidRPr="00D24210">
        <w:rPr>
          <w:rFonts w:ascii="Cambria" w:hAnsi="Cambria"/>
          <w:b/>
          <w:color w:val="000000"/>
          <w:sz w:val="20"/>
        </w:rPr>
        <w:t xml:space="preserve">Justificación del Memorando de </w:t>
      </w:r>
      <w:r w:rsidR="00A83B97" w:rsidRPr="00D24210">
        <w:rPr>
          <w:rFonts w:ascii="Cambria" w:hAnsi="Cambria"/>
          <w:b/>
          <w:color w:val="000000"/>
          <w:sz w:val="20"/>
        </w:rPr>
        <w:t xml:space="preserve">entendimiento </w:t>
      </w:r>
      <w:r w:rsidRPr="00D24210">
        <w:rPr>
          <w:rFonts w:ascii="Cambria" w:hAnsi="Cambria"/>
          <w:b/>
          <w:color w:val="000000"/>
          <w:sz w:val="20"/>
        </w:rPr>
        <w:t>entre ICCAT y NAFO</w:t>
      </w:r>
    </w:p>
    <w:p w14:paraId="240E39C5" w14:textId="77777777" w:rsidR="007D1240" w:rsidRPr="00D24210" w:rsidRDefault="007D1240" w:rsidP="00291E67">
      <w:pPr>
        <w:pStyle w:val="NormalWeb"/>
        <w:spacing w:before="0" w:beforeAutospacing="0" w:after="0" w:afterAutospacing="0"/>
        <w:jc w:val="both"/>
        <w:rPr>
          <w:rFonts w:ascii="Cambria" w:hAnsi="Cambria" w:cs="Open Sans"/>
          <w:sz w:val="20"/>
          <w:szCs w:val="20"/>
        </w:rPr>
      </w:pPr>
    </w:p>
    <w:p w14:paraId="69402DE8" w14:textId="4934E44F"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 xml:space="preserve">Un memorando de entendimiento entre ICCAT y NAFO podría proporcionar un marco formal, aunque no vinculante, para mejorar la cooperación en áreas de interés común. </w:t>
      </w:r>
    </w:p>
    <w:p w14:paraId="181A3FA1" w14:textId="77777777" w:rsidR="007D1240" w:rsidRPr="00D24210" w:rsidRDefault="007D1240" w:rsidP="00291E67">
      <w:pPr>
        <w:pStyle w:val="NormalWeb"/>
        <w:spacing w:before="0" w:beforeAutospacing="0" w:after="0" w:afterAutospacing="0"/>
        <w:jc w:val="both"/>
        <w:rPr>
          <w:rFonts w:ascii="Cambria" w:hAnsi="Cambria" w:cs="Open Sans"/>
          <w:sz w:val="20"/>
          <w:szCs w:val="20"/>
        </w:rPr>
      </w:pPr>
    </w:p>
    <w:p w14:paraId="5E2E0A27" w14:textId="0D277FAC"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Un memorando de entendimiento podría facilitar una participación más coordinada en las reuniones y grupos de trabajo pertinentes, reforzando los vínculos institucionales y el intercambio de información. También podría ser una vía para compartir información sobre transbordos u otras actividades similares, la identificación de buques que faenan ilegalmente u otras cuestiones operativas. Es importante destacar que esta colaboración demostraría la alineación proactiva de ICCAT con los principios del Acuerdo BBNJ, entre los que se incluyen la transparencia, un enfoque ecosistémico y la aplicación de herramientas de ordenación basadas en zonas. </w:t>
      </w:r>
    </w:p>
    <w:p w14:paraId="371A263A" w14:textId="77777777" w:rsidR="00425BDA" w:rsidRPr="00D24210" w:rsidRDefault="00425BDA" w:rsidP="00291E67">
      <w:pPr>
        <w:pStyle w:val="NormalWeb"/>
        <w:spacing w:before="0" w:beforeAutospacing="0" w:after="0" w:afterAutospacing="0"/>
        <w:jc w:val="both"/>
        <w:rPr>
          <w:rFonts w:ascii="Cambria" w:hAnsi="Cambria" w:cs="Open Sans"/>
          <w:sz w:val="20"/>
          <w:szCs w:val="20"/>
        </w:rPr>
      </w:pPr>
    </w:p>
    <w:p w14:paraId="020C4695" w14:textId="77777777" w:rsidR="00BA60BE"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Dicho memorando de entendimiento podría permitir el intercambio estructurado de información sobre la distribución de las especies, las capturas fortuitas y las interacciones con otras medidas de conservación eficaces basadas en zonas (OECM), y podría respaldar evaluaciones científicas conjuntas de los impactos acumulativos sobre la biodiversidad marina especialmente sensible. </w:t>
      </w:r>
    </w:p>
    <w:p w14:paraId="0C7CDDB4" w14:textId="77777777" w:rsidR="00425BDA" w:rsidRPr="00D24210" w:rsidRDefault="00425BDA" w:rsidP="00291E67">
      <w:pPr>
        <w:pStyle w:val="NormalWeb"/>
        <w:spacing w:before="0" w:beforeAutospacing="0" w:after="0" w:afterAutospacing="0"/>
        <w:jc w:val="both"/>
        <w:rPr>
          <w:rFonts w:ascii="Cambria" w:hAnsi="Cambria" w:cs="Open Sans"/>
          <w:sz w:val="20"/>
          <w:szCs w:val="20"/>
        </w:rPr>
      </w:pPr>
    </w:p>
    <w:p w14:paraId="7E67DAB4" w14:textId="332E21B5" w:rsidR="00B91831" w:rsidRPr="00D24210" w:rsidRDefault="00425BDA" w:rsidP="00291E67">
      <w:pPr>
        <w:pStyle w:val="NormalWeb"/>
        <w:spacing w:before="0" w:beforeAutospacing="0" w:after="0" w:afterAutospacing="0"/>
        <w:jc w:val="both"/>
        <w:rPr>
          <w:rFonts w:ascii="Cambria" w:hAnsi="Cambria" w:cs="Open Sans"/>
          <w:b/>
          <w:bCs/>
          <w:color w:val="000000"/>
          <w:sz w:val="20"/>
          <w:szCs w:val="20"/>
        </w:rPr>
      </w:pPr>
      <w:r w:rsidRPr="00D24210">
        <w:rPr>
          <w:rFonts w:ascii="Cambria" w:hAnsi="Cambria"/>
          <w:b/>
          <w:color w:val="000000"/>
          <w:sz w:val="20"/>
        </w:rPr>
        <w:t>Áreas potenciales de cooperación</w:t>
      </w:r>
    </w:p>
    <w:p w14:paraId="3E68CAC5" w14:textId="77777777" w:rsidR="00425BDA" w:rsidRPr="00D24210" w:rsidRDefault="00425BDA" w:rsidP="00291E67">
      <w:pPr>
        <w:pStyle w:val="NormalWeb"/>
        <w:spacing w:before="0" w:beforeAutospacing="0" w:after="0" w:afterAutospacing="0"/>
        <w:jc w:val="both"/>
        <w:rPr>
          <w:rFonts w:ascii="Cambria" w:hAnsi="Cambria" w:cs="Open Sans"/>
          <w:sz w:val="20"/>
          <w:szCs w:val="20"/>
        </w:rPr>
      </w:pPr>
    </w:p>
    <w:p w14:paraId="1657CA7E" w14:textId="3AD000AB" w:rsidR="008F0145" w:rsidRPr="00D24210" w:rsidRDefault="008F0145"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Las áreas de cooperación requerirían un debate por parte de las Secretarías, Comisiones y organismos científicos de ambas OROP, pero a continuación se enumeran algunas áreas potenciales que podrían contribuir al cumplimiento del mandato de ambas organizaciones. Proponemos estas áreas de cooperación únicamente como opciones a considerar, sin perjuicio de las áreas definitivas que se incluyan.</w:t>
      </w:r>
    </w:p>
    <w:p w14:paraId="2F8CFD5C" w14:textId="77777777" w:rsidR="00900170" w:rsidRPr="00D24210" w:rsidRDefault="00900170" w:rsidP="00291E67">
      <w:pPr>
        <w:pStyle w:val="NormalWeb"/>
        <w:spacing w:before="0" w:beforeAutospacing="0" w:after="0" w:afterAutospacing="0"/>
        <w:jc w:val="both"/>
        <w:rPr>
          <w:rFonts w:ascii="Cambria" w:hAnsi="Cambria" w:cs="Open Sans"/>
          <w:sz w:val="20"/>
          <w:szCs w:val="20"/>
        </w:rPr>
      </w:pPr>
    </w:p>
    <w:p w14:paraId="7ABA3E12" w14:textId="5BE95E80" w:rsidR="00900170" w:rsidRPr="00D24210" w:rsidRDefault="00B91831" w:rsidP="00291E67">
      <w:pPr>
        <w:pStyle w:val="NormalWeb"/>
        <w:spacing w:before="0" w:beforeAutospacing="0" w:after="0" w:afterAutospacing="0"/>
        <w:jc w:val="both"/>
        <w:rPr>
          <w:rFonts w:ascii="Cambria" w:hAnsi="Cambria" w:cs="Open Sans"/>
          <w:b/>
          <w:bCs/>
          <w:i/>
          <w:iCs/>
          <w:color w:val="000000"/>
          <w:sz w:val="20"/>
          <w:szCs w:val="20"/>
        </w:rPr>
      </w:pPr>
      <w:r w:rsidRPr="00D24210">
        <w:rPr>
          <w:rFonts w:ascii="Cambria" w:hAnsi="Cambria"/>
          <w:b/>
          <w:i/>
          <w:color w:val="000000"/>
          <w:sz w:val="20"/>
        </w:rPr>
        <w:t>Intercambio de información</w:t>
      </w:r>
    </w:p>
    <w:p w14:paraId="61C848AA" w14:textId="77777777" w:rsidR="00900170" w:rsidRPr="00D24210" w:rsidRDefault="00900170" w:rsidP="00291E67">
      <w:pPr>
        <w:pStyle w:val="NormalWeb"/>
        <w:spacing w:before="0" w:beforeAutospacing="0" w:after="0" w:afterAutospacing="0"/>
        <w:jc w:val="both"/>
        <w:rPr>
          <w:rFonts w:ascii="Cambria" w:hAnsi="Cambria" w:cs="Open Sans"/>
          <w:i/>
          <w:iCs/>
          <w:color w:val="000000"/>
          <w:sz w:val="20"/>
          <w:szCs w:val="20"/>
        </w:rPr>
      </w:pPr>
    </w:p>
    <w:p w14:paraId="713E37BB" w14:textId="55EC355E"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Es probable que un elemento importante sea el intercambio de información, incluida la información relevante para la conservación de la biodiversidad y los ecosistemas, las superposiciones en la distribución de las especies, los datos sobre capturas y capturas incidentales, así como la información sobre los buques, como los buques pesqueros autorizados y las listas de buques IUU. La coordinación de los protocolos de comunicación de información podría garantizar la transparencia y la armonización con los requisitos del Acuerdo BBNJ.</w:t>
      </w:r>
    </w:p>
    <w:p w14:paraId="41CCFBAF" w14:textId="77777777" w:rsidR="00AA25C3" w:rsidRPr="00D24210" w:rsidRDefault="00AA25C3" w:rsidP="00291E67">
      <w:pPr>
        <w:pStyle w:val="NormalWeb"/>
        <w:spacing w:before="0" w:beforeAutospacing="0" w:after="0" w:afterAutospacing="0"/>
        <w:jc w:val="both"/>
        <w:rPr>
          <w:rFonts w:ascii="Cambria" w:hAnsi="Cambria" w:cs="Open Sans"/>
          <w:sz w:val="20"/>
          <w:szCs w:val="20"/>
        </w:rPr>
      </w:pPr>
    </w:p>
    <w:p w14:paraId="06DCCB27" w14:textId="0C0EE9FF" w:rsidR="00AA25C3" w:rsidRPr="00D24210" w:rsidRDefault="00B91831" w:rsidP="00291E67">
      <w:pPr>
        <w:pStyle w:val="NormalWeb"/>
        <w:spacing w:before="0" w:beforeAutospacing="0" w:after="0" w:afterAutospacing="0"/>
        <w:jc w:val="both"/>
        <w:rPr>
          <w:rFonts w:ascii="Cambria" w:hAnsi="Cambria" w:cs="Open Sans"/>
          <w:b/>
          <w:bCs/>
          <w:i/>
          <w:iCs/>
          <w:color w:val="000000"/>
          <w:sz w:val="20"/>
          <w:szCs w:val="20"/>
        </w:rPr>
      </w:pPr>
      <w:r w:rsidRPr="00D24210">
        <w:rPr>
          <w:rFonts w:ascii="Cambria" w:hAnsi="Cambria"/>
          <w:b/>
          <w:i/>
          <w:color w:val="000000"/>
          <w:sz w:val="20"/>
        </w:rPr>
        <w:t>Intercambio científico y técnico</w:t>
      </w:r>
    </w:p>
    <w:p w14:paraId="7AECE303" w14:textId="6FE031A0"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i/>
          <w:color w:val="000000"/>
          <w:sz w:val="20"/>
        </w:rPr>
        <w:br/>
      </w:r>
      <w:r w:rsidRPr="00D24210">
        <w:rPr>
          <w:rFonts w:ascii="Cambria" w:hAnsi="Cambria"/>
          <w:color w:val="000000"/>
          <w:sz w:val="20"/>
        </w:rPr>
        <w:t>Ambas organizaciones podrían intercambiar informes de reuniones, documentos y publicaciones de conformidad con sus políticas de intercambio de información. La colaboración también podría extenderse a análisis e investigaciones conjuntas sobre especies de interés mutuo.</w:t>
      </w:r>
    </w:p>
    <w:p w14:paraId="4DE98D23" w14:textId="77777777" w:rsidR="00AA25C3" w:rsidRPr="00D24210" w:rsidRDefault="00AA25C3" w:rsidP="00291E67">
      <w:pPr>
        <w:pStyle w:val="NormalWeb"/>
        <w:spacing w:before="0" w:beforeAutospacing="0" w:after="0" w:afterAutospacing="0"/>
        <w:jc w:val="both"/>
        <w:rPr>
          <w:rFonts w:ascii="Cambria" w:hAnsi="Cambria" w:cs="Open Sans"/>
          <w:sz w:val="20"/>
          <w:szCs w:val="20"/>
        </w:rPr>
      </w:pPr>
    </w:p>
    <w:p w14:paraId="5611BF55" w14:textId="77777777" w:rsidR="00507118" w:rsidRPr="00D24210" w:rsidRDefault="00507118">
      <w:pPr>
        <w:rPr>
          <w:rFonts w:ascii="Cambria" w:eastAsia="Times New Roman" w:hAnsi="Cambria" w:cs="Times New Roman"/>
          <w:b/>
          <w:i/>
          <w:color w:val="000000"/>
          <w:kern w:val="0"/>
          <w:sz w:val="20"/>
          <w14:ligatures w14:val="none"/>
        </w:rPr>
      </w:pPr>
      <w:r w:rsidRPr="00D24210">
        <w:rPr>
          <w:rFonts w:ascii="Cambria" w:hAnsi="Cambria"/>
          <w:b/>
          <w:i/>
          <w:color w:val="000000"/>
          <w:sz w:val="20"/>
        </w:rPr>
        <w:br w:type="page"/>
      </w:r>
    </w:p>
    <w:p w14:paraId="6FE821C9" w14:textId="71D3668A" w:rsidR="00AA25C3" w:rsidRPr="00D24210" w:rsidRDefault="00B91831" w:rsidP="00291E67">
      <w:pPr>
        <w:pStyle w:val="NormalWeb"/>
        <w:spacing w:before="0" w:beforeAutospacing="0" w:after="0" w:afterAutospacing="0"/>
        <w:jc w:val="both"/>
        <w:rPr>
          <w:rFonts w:ascii="Cambria" w:hAnsi="Cambria" w:cs="Open Sans"/>
          <w:b/>
          <w:bCs/>
          <w:i/>
          <w:iCs/>
          <w:color w:val="000000"/>
          <w:sz w:val="20"/>
          <w:szCs w:val="20"/>
        </w:rPr>
      </w:pPr>
      <w:r w:rsidRPr="00D24210">
        <w:rPr>
          <w:rFonts w:ascii="Cambria" w:hAnsi="Cambria"/>
          <w:b/>
          <w:i/>
          <w:color w:val="000000"/>
          <w:sz w:val="20"/>
        </w:rPr>
        <w:lastRenderedPageBreak/>
        <w:t>Consulta sobre políticas</w:t>
      </w:r>
    </w:p>
    <w:p w14:paraId="6CCDE173" w14:textId="5AED01BD"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i/>
          <w:color w:val="000000"/>
          <w:sz w:val="20"/>
        </w:rPr>
        <w:br/>
      </w:r>
      <w:r w:rsidRPr="00D24210">
        <w:rPr>
          <w:rFonts w:ascii="Cambria" w:hAnsi="Cambria"/>
          <w:color w:val="000000"/>
          <w:sz w:val="20"/>
        </w:rPr>
        <w:t xml:space="preserve">El memorando de entendimiento podría establecer un marco para la consulta sobre herramientas de ordenación espacial, como zonas cerradas, restricciones a los artes de pesca y seguimiento del cumplimiento, en los casos en que se solapen jurisdicciones o ecosistemas. También podría fomentar la colaboración en el intercambio de información y, según proceda, la armonización de las medidas de conservación y ordenación, y podría promover el diálogo sobre la </w:t>
      </w:r>
      <w:r w:rsidR="00ED6895" w:rsidRPr="00D24210">
        <w:rPr>
          <w:rFonts w:ascii="Cambria" w:hAnsi="Cambria"/>
          <w:color w:val="000000"/>
          <w:sz w:val="20"/>
        </w:rPr>
        <w:t>desarrollo</w:t>
      </w:r>
      <w:r w:rsidRPr="00D24210">
        <w:rPr>
          <w:rFonts w:ascii="Cambria" w:hAnsi="Cambria"/>
          <w:color w:val="000000"/>
          <w:sz w:val="20"/>
        </w:rPr>
        <w:t xml:space="preserve"> </w:t>
      </w:r>
      <w:proofErr w:type="gramStart"/>
      <w:r w:rsidRPr="00D24210">
        <w:rPr>
          <w:rFonts w:ascii="Cambria" w:hAnsi="Cambria"/>
          <w:color w:val="000000"/>
          <w:sz w:val="20"/>
        </w:rPr>
        <w:t>de  políticas</w:t>
      </w:r>
      <w:proofErr w:type="gramEnd"/>
      <w:r w:rsidRPr="00D24210">
        <w:rPr>
          <w:rFonts w:ascii="Cambria" w:hAnsi="Cambria"/>
          <w:color w:val="000000"/>
          <w:sz w:val="20"/>
        </w:rPr>
        <w:t xml:space="preserve"> (por ejemplo, en el marco del BBNJ para garantizar una ordenación coherente basada en zonas y la protección de la biodiversidad).</w:t>
      </w:r>
    </w:p>
    <w:p w14:paraId="6F60FCE3" w14:textId="77777777" w:rsidR="009F3187" w:rsidRPr="00D24210" w:rsidRDefault="009F3187" w:rsidP="00291E67">
      <w:pPr>
        <w:pStyle w:val="NormalWeb"/>
        <w:spacing w:before="0" w:beforeAutospacing="0" w:after="0" w:afterAutospacing="0"/>
        <w:jc w:val="both"/>
        <w:rPr>
          <w:rFonts w:ascii="Cambria" w:hAnsi="Cambria" w:cs="Open Sans"/>
          <w:sz w:val="20"/>
          <w:szCs w:val="20"/>
        </w:rPr>
      </w:pPr>
    </w:p>
    <w:p w14:paraId="37506F09" w14:textId="0A5C6C2B" w:rsidR="009F3187" w:rsidRPr="00D24210" w:rsidRDefault="00B91831" w:rsidP="00291E67">
      <w:pPr>
        <w:pStyle w:val="NormalWeb"/>
        <w:spacing w:before="0" w:beforeAutospacing="0" w:after="0" w:afterAutospacing="0"/>
        <w:jc w:val="both"/>
        <w:rPr>
          <w:rFonts w:ascii="Cambria" w:hAnsi="Cambria" w:cs="Open Sans"/>
          <w:b/>
          <w:bCs/>
          <w:i/>
          <w:iCs/>
          <w:color w:val="000000"/>
          <w:sz w:val="20"/>
          <w:szCs w:val="20"/>
        </w:rPr>
      </w:pPr>
      <w:r w:rsidRPr="00D24210">
        <w:rPr>
          <w:rFonts w:ascii="Cambria" w:hAnsi="Cambria"/>
          <w:b/>
          <w:i/>
          <w:color w:val="000000"/>
          <w:sz w:val="20"/>
        </w:rPr>
        <w:t>Creación de capacidad</w:t>
      </w:r>
    </w:p>
    <w:p w14:paraId="6222EA23" w14:textId="77777777" w:rsidR="009F3187" w:rsidRPr="00D24210" w:rsidRDefault="009F3187" w:rsidP="00291E67">
      <w:pPr>
        <w:pStyle w:val="NormalWeb"/>
        <w:spacing w:before="0" w:beforeAutospacing="0" w:after="0" w:afterAutospacing="0"/>
        <w:jc w:val="both"/>
        <w:rPr>
          <w:rFonts w:ascii="Cambria" w:hAnsi="Cambria" w:cs="Open Sans"/>
          <w:i/>
          <w:iCs/>
          <w:color w:val="000000"/>
          <w:sz w:val="20"/>
          <w:szCs w:val="20"/>
        </w:rPr>
      </w:pPr>
    </w:p>
    <w:p w14:paraId="314EE041" w14:textId="5F9FB1AE"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La cooperación podría incluir programas conjuntos de formación sobre técnicas de evaluación, selectividad de los artes de pesca, modelación de ecosistemas y evaluación del cumplimiento, con el fin de desarrollar los conocimientos técnicos institucionales y apoyar los objetivos comunes.</w:t>
      </w:r>
    </w:p>
    <w:p w14:paraId="39545ED3" w14:textId="77777777" w:rsidR="009F3187" w:rsidRPr="00D24210" w:rsidRDefault="009F3187" w:rsidP="00291E67">
      <w:pPr>
        <w:pStyle w:val="NormalWeb"/>
        <w:spacing w:before="0" w:beforeAutospacing="0" w:after="0" w:afterAutospacing="0"/>
        <w:jc w:val="both"/>
        <w:rPr>
          <w:rFonts w:ascii="Cambria" w:hAnsi="Cambria" w:cs="Open Sans"/>
          <w:sz w:val="20"/>
          <w:szCs w:val="20"/>
        </w:rPr>
      </w:pPr>
    </w:p>
    <w:p w14:paraId="03B24E54" w14:textId="6F5DB57F" w:rsidR="009F3187" w:rsidRPr="00D24210" w:rsidRDefault="00B91831" w:rsidP="00291E67">
      <w:pPr>
        <w:pStyle w:val="NormalWeb"/>
        <w:spacing w:before="0" w:beforeAutospacing="0" w:after="0" w:afterAutospacing="0"/>
        <w:jc w:val="both"/>
        <w:rPr>
          <w:rFonts w:ascii="Cambria" w:hAnsi="Cambria" w:cs="Open Sans"/>
          <w:b/>
          <w:bCs/>
          <w:i/>
          <w:iCs/>
          <w:color w:val="000000"/>
          <w:sz w:val="20"/>
          <w:szCs w:val="20"/>
        </w:rPr>
      </w:pPr>
      <w:r w:rsidRPr="00D24210">
        <w:rPr>
          <w:rFonts w:ascii="Cambria" w:hAnsi="Cambria"/>
          <w:b/>
          <w:i/>
          <w:color w:val="000000"/>
          <w:sz w:val="20"/>
        </w:rPr>
        <w:t>Mecanismos de implementación</w:t>
      </w:r>
    </w:p>
    <w:p w14:paraId="39FDF19C" w14:textId="74C6A4EF"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b/>
          <w:i/>
          <w:color w:val="000000"/>
          <w:sz w:val="20"/>
        </w:rPr>
        <w:br/>
      </w:r>
      <w:r w:rsidRPr="00D24210">
        <w:rPr>
          <w:rFonts w:ascii="Cambria" w:hAnsi="Cambria"/>
          <w:color w:val="000000"/>
          <w:sz w:val="20"/>
        </w:rPr>
        <w:t>Para mantener la colaboración, cada organización podría designar puntos focales y fomentar la comunicación regular y la comunicación de información sobre los avances. Además, de conformidad con las normas internas y de confidencialidad, se concedería a los representantes la condición de observadores recíprocos en las reuniones pertinentes, con el fin de mejorar la transparencia y la cooperación.</w:t>
      </w:r>
    </w:p>
    <w:p w14:paraId="2F499C7A" w14:textId="77777777" w:rsidR="008E7AA0" w:rsidRPr="00D24210" w:rsidRDefault="008E7AA0" w:rsidP="00291E67">
      <w:pPr>
        <w:pStyle w:val="NormalWeb"/>
        <w:spacing w:before="0" w:beforeAutospacing="0" w:after="0" w:afterAutospacing="0"/>
        <w:jc w:val="both"/>
        <w:rPr>
          <w:rFonts w:ascii="Cambria" w:hAnsi="Cambria" w:cs="Open Sans"/>
          <w:sz w:val="20"/>
          <w:szCs w:val="20"/>
        </w:rPr>
      </w:pPr>
    </w:p>
    <w:p w14:paraId="5E2AB8E6" w14:textId="4DA1A1FA" w:rsidR="00B91831" w:rsidRPr="00D24210" w:rsidRDefault="00B91831"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El memorando de entendimiento podría seguir siendo no vinculante y voluntario, respetando el mandato y el marco jurídico de cada organización, las consideraciones de cada Parte contratante en materia de protección de dato</w:t>
      </w:r>
      <w:r w:rsidR="00362B5E" w:rsidRPr="00D24210">
        <w:rPr>
          <w:rFonts w:ascii="Cambria" w:hAnsi="Cambria"/>
          <w:color w:val="000000"/>
          <w:sz w:val="20"/>
        </w:rPr>
        <w:t>s,</w:t>
      </w:r>
      <w:r w:rsidRPr="00D24210">
        <w:rPr>
          <w:rFonts w:ascii="Cambria" w:hAnsi="Cambria"/>
          <w:color w:val="000000"/>
          <w:sz w:val="20"/>
        </w:rPr>
        <w:t xml:space="preserve"> en consonancia con acuerdos similares entre las organizaciones regionales de ordenación pesquera.</w:t>
      </w:r>
    </w:p>
    <w:p w14:paraId="7106F0D5" w14:textId="77777777" w:rsidR="008E7AA0" w:rsidRPr="00D24210" w:rsidRDefault="008E7AA0" w:rsidP="00291E67">
      <w:pPr>
        <w:pStyle w:val="NormalWeb"/>
        <w:spacing w:before="0" w:beforeAutospacing="0" w:after="0" w:afterAutospacing="0"/>
        <w:jc w:val="both"/>
        <w:rPr>
          <w:rFonts w:ascii="Cambria" w:hAnsi="Cambria" w:cs="Open Sans"/>
          <w:sz w:val="20"/>
          <w:szCs w:val="20"/>
        </w:rPr>
      </w:pPr>
    </w:p>
    <w:p w14:paraId="2804377B" w14:textId="4B1C431B" w:rsidR="00B91831" w:rsidRPr="00D24210" w:rsidRDefault="00B91831" w:rsidP="00291E67">
      <w:pPr>
        <w:pStyle w:val="NormalWeb"/>
        <w:spacing w:before="0" w:beforeAutospacing="0" w:after="0" w:afterAutospacing="0"/>
        <w:jc w:val="both"/>
        <w:rPr>
          <w:rFonts w:ascii="Cambria" w:hAnsi="Cambria" w:cs="Open Sans"/>
          <w:b/>
          <w:bCs/>
          <w:color w:val="000000"/>
          <w:sz w:val="20"/>
          <w:szCs w:val="20"/>
        </w:rPr>
      </w:pPr>
      <w:r w:rsidRPr="00D24210">
        <w:rPr>
          <w:rFonts w:ascii="Cambria" w:hAnsi="Cambria"/>
          <w:b/>
          <w:color w:val="000000"/>
          <w:sz w:val="20"/>
        </w:rPr>
        <w:t>Alineación con el enfoque ecosistémico de la pesca de ICCAT</w:t>
      </w:r>
    </w:p>
    <w:p w14:paraId="1049F3B6" w14:textId="77777777" w:rsidR="008E7AA0" w:rsidRPr="00D24210" w:rsidRDefault="008E7AA0" w:rsidP="00291E67">
      <w:pPr>
        <w:pStyle w:val="NormalWeb"/>
        <w:spacing w:before="0" w:beforeAutospacing="0" w:after="0" w:afterAutospacing="0"/>
        <w:jc w:val="both"/>
        <w:rPr>
          <w:rFonts w:ascii="Cambria" w:hAnsi="Cambria" w:cs="Open Sans"/>
          <w:b/>
          <w:bCs/>
          <w:sz w:val="20"/>
          <w:szCs w:val="20"/>
        </w:rPr>
      </w:pPr>
    </w:p>
    <w:p w14:paraId="44D1410D" w14:textId="73FAF39F" w:rsidR="00B91831" w:rsidRPr="00D24210" w:rsidRDefault="006172C6"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Dicho memorando de entendimiento podría respaldar los esfuerzos que está realizando el Subcomité de ecosistemas y capturas fortuitas para desarrollar la EcoCard con el fin de supervisar los impactos de las pesquerías de ICCAT en el ecosistema. El memorando de entendimiento también podría respaldar los trabajos destinados a aclarar las relaciones entre la pesca dirigida y las capturas fortuitas. Además, podría ayudar a preparar a ICCAT para cumplir con las nuevas expectativas derivadas del Acuerdo BBNJ, especialmente en lo que respecta a la transparencia, la cooperación científica y la gobernanza coordinada. </w:t>
      </w:r>
    </w:p>
    <w:p w14:paraId="48E55BD6" w14:textId="77777777" w:rsidR="008E7AA0" w:rsidRPr="00D24210" w:rsidRDefault="008E7AA0" w:rsidP="00291E67">
      <w:pPr>
        <w:pStyle w:val="NormalWeb"/>
        <w:spacing w:before="0" w:beforeAutospacing="0" w:after="0" w:afterAutospacing="0"/>
        <w:jc w:val="both"/>
        <w:rPr>
          <w:rFonts w:ascii="Cambria" w:hAnsi="Cambria" w:cs="Open Sans"/>
          <w:sz w:val="20"/>
          <w:szCs w:val="20"/>
        </w:rPr>
      </w:pPr>
    </w:p>
    <w:p w14:paraId="2AB9619F" w14:textId="77777777" w:rsidR="00B91831" w:rsidRPr="00D24210" w:rsidRDefault="00B91831" w:rsidP="00291E67">
      <w:pPr>
        <w:pStyle w:val="NormalWeb"/>
        <w:spacing w:before="0" w:beforeAutospacing="0" w:after="0" w:afterAutospacing="0"/>
        <w:jc w:val="both"/>
        <w:rPr>
          <w:rFonts w:ascii="Cambria" w:hAnsi="Cambria" w:cs="Open Sans"/>
          <w:b/>
          <w:bCs/>
          <w:color w:val="000000"/>
          <w:sz w:val="20"/>
          <w:szCs w:val="20"/>
        </w:rPr>
      </w:pPr>
      <w:r w:rsidRPr="00D24210">
        <w:rPr>
          <w:rFonts w:ascii="Cambria" w:hAnsi="Cambria"/>
          <w:b/>
          <w:color w:val="000000"/>
          <w:sz w:val="20"/>
        </w:rPr>
        <w:t>Recomendaciones</w:t>
      </w:r>
    </w:p>
    <w:p w14:paraId="1877D060" w14:textId="77777777" w:rsidR="008E7AA0" w:rsidRPr="00D24210" w:rsidRDefault="008E7AA0" w:rsidP="00291E67">
      <w:pPr>
        <w:pStyle w:val="NormalWeb"/>
        <w:spacing w:before="0" w:beforeAutospacing="0" w:after="0" w:afterAutospacing="0"/>
        <w:jc w:val="both"/>
        <w:rPr>
          <w:rFonts w:ascii="Cambria" w:hAnsi="Cambria" w:cs="Open Sans"/>
          <w:b/>
          <w:bCs/>
          <w:sz w:val="20"/>
          <w:szCs w:val="20"/>
        </w:rPr>
      </w:pPr>
    </w:p>
    <w:p w14:paraId="24E2D8B2" w14:textId="58B66D12" w:rsidR="00B91831" w:rsidRPr="00D24210" w:rsidRDefault="006D7BA3" w:rsidP="00291E67">
      <w:pPr>
        <w:pStyle w:val="NormalWeb"/>
        <w:spacing w:before="0" w:beforeAutospacing="0" w:after="0" w:afterAutospacing="0"/>
        <w:jc w:val="both"/>
        <w:rPr>
          <w:rFonts w:ascii="Cambria" w:hAnsi="Cambria" w:cs="Open Sans"/>
          <w:color w:val="000000"/>
          <w:sz w:val="20"/>
          <w:szCs w:val="20"/>
        </w:rPr>
      </w:pPr>
      <w:r w:rsidRPr="00D24210">
        <w:rPr>
          <w:rFonts w:ascii="Cambria" w:hAnsi="Cambria"/>
          <w:color w:val="000000"/>
          <w:sz w:val="20"/>
        </w:rPr>
        <w:t>Se recomienda a la Comisión que</w:t>
      </w:r>
    </w:p>
    <w:p w14:paraId="728295AD" w14:textId="77777777" w:rsidR="00AF373C" w:rsidRPr="00D24210" w:rsidRDefault="00AF373C" w:rsidP="00291E67">
      <w:pPr>
        <w:pStyle w:val="NormalWeb"/>
        <w:spacing w:before="0" w:beforeAutospacing="0" w:after="0" w:afterAutospacing="0"/>
        <w:jc w:val="both"/>
        <w:rPr>
          <w:rFonts w:ascii="Cambria" w:hAnsi="Cambria" w:cs="Open Sans"/>
          <w:sz w:val="20"/>
          <w:szCs w:val="20"/>
        </w:rPr>
      </w:pPr>
    </w:p>
    <w:p w14:paraId="2D9FE687" w14:textId="1AE7080A" w:rsidR="00B91831" w:rsidRPr="00D24210" w:rsidRDefault="00B91831" w:rsidP="00AF373C">
      <w:pPr>
        <w:pStyle w:val="NormalWeb"/>
        <w:numPr>
          <w:ilvl w:val="0"/>
          <w:numId w:val="1"/>
        </w:numPr>
        <w:tabs>
          <w:tab w:val="clear" w:pos="720"/>
          <w:tab w:val="num" w:pos="851"/>
        </w:tabs>
        <w:spacing w:before="0" w:beforeAutospacing="0" w:after="0" w:afterAutospacing="0"/>
        <w:ind w:left="851" w:hanging="425"/>
        <w:jc w:val="both"/>
        <w:textAlignment w:val="baseline"/>
        <w:rPr>
          <w:rFonts w:ascii="Cambria" w:hAnsi="Cambria" w:cs="Open Sans"/>
          <w:color w:val="000000"/>
          <w:sz w:val="20"/>
          <w:szCs w:val="20"/>
        </w:rPr>
      </w:pPr>
      <w:r w:rsidRPr="00D24210">
        <w:rPr>
          <w:rFonts w:ascii="Cambria" w:hAnsi="Cambria"/>
          <w:color w:val="000000"/>
          <w:sz w:val="20"/>
        </w:rPr>
        <w:t>Considere la elaboración de un memorando de entendimiento entre ICCAT y NAFO para mejorar la cooperación en áreas de interés común; y</w:t>
      </w:r>
    </w:p>
    <w:p w14:paraId="6A5B95EB" w14:textId="36E74701" w:rsidR="00B91831" w:rsidRPr="00D24210" w:rsidRDefault="00B6614C" w:rsidP="00AF373C">
      <w:pPr>
        <w:pStyle w:val="NormalWeb"/>
        <w:numPr>
          <w:ilvl w:val="0"/>
          <w:numId w:val="1"/>
        </w:numPr>
        <w:tabs>
          <w:tab w:val="clear" w:pos="720"/>
          <w:tab w:val="num" w:pos="851"/>
        </w:tabs>
        <w:spacing w:before="0" w:beforeAutospacing="0" w:after="0" w:afterAutospacing="0"/>
        <w:ind w:left="851" w:hanging="425"/>
        <w:jc w:val="both"/>
        <w:textAlignment w:val="baseline"/>
        <w:rPr>
          <w:rFonts w:ascii="Cambria" w:hAnsi="Cambria" w:cs="Open Sans"/>
          <w:color w:val="000000"/>
          <w:sz w:val="20"/>
          <w:szCs w:val="20"/>
        </w:rPr>
      </w:pPr>
      <w:r w:rsidRPr="00D24210">
        <w:rPr>
          <w:rFonts w:ascii="Cambria" w:hAnsi="Cambria"/>
          <w:color w:val="000000"/>
          <w:sz w:val="20"/>
        </w:rPr>
        <w:t>Solicite a la Secretaría de ICCAT que inicie consultas informales con la Secretaría de NAFO para evaluar el interés mutuo y la viabilidad de elaborar dicho memorando de entendimiento, y que informe a la Comisión antes de su reunión de 2026.</w:t>
      </w:r>
    </w:p>
    <w:p w14:paraId="36F50204" w14:textId="77777777" w:rsidR="008E6F27" w:rsidRPr="00AB5FA6" w:rsidRDefault="008E6F27" w:rsidP="00291E67">
      <w:pPr>
        <w:spacing w:after="0" w:line="240" w:lineRule="auto"/>
        <w:jc w:val="both"/>
        <w:rPr>
          <w:rFonts w:ascii="Cambria" w:hAnsi="Cambria" w:cs="Open Sans"/>
          <w:sz w:val="20"/>
          <w:szCs w:val="20"/>
        </w:rPr>
      </w:pPr>
    </w:p>
    <w:sectPr w:rsidR="008E6F27" w:rsidRPr="00AB5FA6" w:rsidSect="001C399F">
      <w:headerReference w:type="even" r:id="rId12"/>
      <w:headerReference w:type="default" r:id="rId13"/>
      <w:footerReference w:type="default" r:id="rId14"/>
      <w:headerReference w:type="first" r:id="rId15"/>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697A" w14:textId="77777777" w:rsidR="008D50E4" w:rsidRDefault="008D50E4" w:rsidP="00C6668A">
      <w:pPr>
        <w:spacing w:after="0" w:line="240" w:lineRule="auto"/>
      </w:pPr>
      <w:r>
        <w:separator/>
      </w:r>
    </w:p>
  </w:endnote>
  <w:endnote w:type="continuationSeparator" w:id="0">
    <w:p w14:paraId="5CCE4038" w14:textId="77777777" w:rsidR="008D50E4" w:rsidRDefault="008D50E4" w:rsidP="00C6668A">
      <w:pPr>
        <w:spacing w:after="0" w:line="240" w:lineRule="auto"/>
      </w:pPr>
      <w:r>
        <w:continuationSeparator/>
      </w:r>
    </w:p>
  </w:endnote>
  <w:endnote w:type="continuationNotice" w:id="1">
    <w:p w14:paraId="7F3A9FB2" w14:textId="77777777" w:rsidR="008D50E4" w:rsidRDefault="008D50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050D" w14:textId="77777777" w:rsidR="000148C4" w:rsidRPr="000148C4" w:rsidRDefault="00575A10" w:rsidP="000148C4">
    <w:pPr>
      <w:tabs>
        <w:tab w:val="center" w:pos="4535"/>
        <w:tab w:val="center" w:pos="4680"/>
        <w:tab w:val="left" w:pos="6150"/>
        <w:tab w:val="right" w:pos="9360"/>
      </w:tabs>
      <w:spacing w:after="0" w:line="240" w:lineRule="auto"/>
      <w:jc w:val="center"/>
      <w:rPr>
        <w:rFonts w:ascii="Cambria" w:eastAsia="Calibri" w:hAnsi="Cambria" w:cs="Calibri"/>
        <w:kern w:val="0"/>
        <w:sz w:val="20"/>
        <w:szCs w:val="22"/>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0148C4" w:rsidRPr="000148C4">
          <w:rPr>
            <w:rFonts w:ascii="Cambria" w:eastAsia="Calibri" w:hAnsi="Cambria" w:cs="Calibri"/>
            <w:sz w:val="20"/>
          </w:rPr>
          <w:fldChar w:fldCharType="begin"/>
        </w:r>
        <w:r w:rsidR="000148C4" w:rsidRPr="000148C4">
          <w:rPr>
            <w:rFonts w:ascii="Cambria" w:eastAsia="Calibri" w:hAnsi="Cambria" w:cs="Calibri"/>
            <w:sz w:val="20"/>
          </w:rPr>
          <w:instrText xml:space="preserve"> PAGE </w:instrText>
        </w:r>
        <w:r w:rsidR="000148C4" w:rsidRPr="000148C4">
          <w:rPr>
            <w:rFonts w:ascii="Cambria" w:eastAsia="Calibri" w:hAnsi="Cambria" w:cs="Calibri"/>
            <w:sz w:val="20"/>
          </w:rPr>
          <w:fldChar w:fldCharType="separate"/>
        </w:r>
        <w:r w:rsidR="000148C4" w:rsidRPr="000148C4">
          <w:rPr>
            <w:rFonts w:ascii="Cambria" w:eastAsia="Calibri" w:hAnsi="Cambria" w:cs="Calibri"/>
            <w:sz w:val="20"/>
          </w:rPr>
          <w:t>1</w:t>
        </w:r>
        <w:r w:rsidR="000148C4" w:rsidRPr="000148C4">
          <w:rPr>
            <w:rFonts w:ascii="Cambria" w:eastAsia="Calibri" w:hAnsi="Cambria" w:cs="Calibri"/>
            <w:sz w:val="20"/>
          </w:rPr>
          <w:fldChar w:fldCharType="end"/>
        </w:r>
        <w:r w:rsidR="00455437">
          <w:rPr>
            <w:rFonts w:ascii="Cambria" w:hAnsi="Cambria"/>
            <w:sz w:val="20"/>
          </w:rPr>
          <w:t xml:space="preserve"> / </w:t>
        </w:r>
        <w:r w:rsidR="000148C4" w:rsidRPr="000148C4">
          <w:rPr>
            <w:rFonts w:ascii="Cambria" w:eastAsia="Calibri" w:hAnsi="Cambria" w:cs="Calibri"/>
            <w:sz w:val="20"/>
          </w:rPr>
          <w:fldChar w:fldCharType="begin"/>
        </w:r>
        <w:r w:rsidR="000148C4" w:rsidRPr="000148C4">
          <w:rPr>
            <w:rFonts w:ascii="Cambria" w:eastAsia="Calibri" w:hAnsi="Cambria" w:cs="Calibri"/>
            <w:sz w:val="20"/>
          </w:rPr>
          <w:instrText xml:space="preserve"> NUMPAGES  </w:instrText>
        </w:r>
        <w:r w:rsidR="000148C4" w:rsidRPr="000148C4">
          <w:rPr>
            <w:rFonts w:ascii="Cambria" w:eastAsia="Calibri" w:hAnsi="Cambria" w:cs="Calibri"/>
            <w:sz w:val="20"/>
          </w:rPr>
          <w:fldChar w:fldCharType="separate"/>
        </w:r>
        <w:r w:rsidR="000148C4" w:rsidRPr="000148C4">
          <w:rPr>
            <w:rFonts w:ascii="Cambria" w:eastAsia="Calibri" w:hAnsi="Cambria" w:cs="Calibri"/>
            <w:sz w:val="20"/>
          </w:rPr>
          <w:t>1</w:t>
        </w:r>
        <w:r w:rsidR="000148C4" w:rsidRPr="000148C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A4CA" w14:textId="77777777" w:rsidR="008D50E4" w:rsidRDefault="008D50E4" w:rsidP="00C6668A">
      <w:pPr>
        <w:spacing w:after="0" w:line="240" w:lineRule="auto"/>
      </w:pPr>
      <w:r>
        <w:separator/>
      </w:r>
    </w:p>
  </w:footnote>
  <w:footnote w:type="continuationSeparator" w:id="0">
    <w:p w14:paraId="443FF77F" w14:textId="77777777" w:rsidR="008D50E4" w:rsidRDefault="008D50E4" w:rsidP="00C6668A">
      <w:pPr>
        <w:spacing w:after="0" w:line="240" w:lineRule="auto"/>
      </w:pPr>
      <w:r>
        <w:continuationSeparator/>
      </w:r>
    </w:p>
  </w:footnote>
  <w:footnote w:type="continuationNotice" w:id="1">
    <w:p w14:paraId="4B5C0200" w14:textId="77777777" w:rsidR="008D50E4" w:rsidRDefault="008D50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51F0" w14:textId="05AC3B66" w:rsidR="00C6668A" w:rsidRDefault="00D03342">
    <w:pPr>
      <w:pStyle w:val="Header"/>
    </w:pPr>
    <w:r>
      <w:rPr>
        <w:noProof/>
      </w:rPr>
      <mc:AlternateContent>
        <mc:Choice Requires="wps">
          <w:drawing>
            <wp:anchor distT="0" distB="0" distL="0" distR="0" simplePos="0" relativeHeight="251659264" behindDoc="0" locked="0" layoutInCell="1" allowOverlap="1" wp14:anchorId="36291B54" wp14:editId="4EE75A67">
              <wp:simplePos x="635" y="635"/>
              <wp:positionH relativeFrom="page">
                <wp:align>right</wp:align>
              </wp:positionH>
              <wp:positionV relativeFrom="page">
                <wp:align>top</wp:align>
              </wp:positionV>
              <wp:extent cx="443865" cy="443865"/>
              <wp:effectExtent l="0" t="0" r="0" b="13335"/>
              <wp:wrapNone/>
              <wp:docPr id="237049848"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9E086" w14:textId="21D759C3" w:rsidR="00D03342" w:rsidRPr="00D03342" w:rsidRDefault="00D03342" w:rsidP="00D03342">
                          <w:pPr>
                            <w:spacing w:after="0"/>
                            <w:rPr>
                              <w:rFonts w:ascii="Calibri" w:eastAsia="Calibri" w:hAnsi="Calibri" w:cs="Calibri"/>
                              <w:noProof/>
                              <w:color w:val="000000"/>
                            </w:rPr>
                          </w:pPr>
                          <w:r>
                            <w:rPr>
                              <w:rFonts w:ascii="Calibri" w:hAnsi="Calibri"/>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291B54" id="_x0000_t202" coordsize="21600,21600" o:spt="202" path="m,l,21600r21600,l21600,xe">
              <v:stroke joinstyle="miter"/>
              <v:path gradientshapeok="t" o:connecttype="rect"/>
            </v:shapetype>
            <v:shape id="Text Box 2" o:spid="_x0000_s1026" type="#_x0000_t202" alt="Unclassified - Non-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D69E086" w14:textId="21D759C3" w:rsidR="00D03342" w:rsidRPr="00D03342" w:rsidRDefault="00D03342" w:rsidP="00D03342">
                    <w:pPr>
                      <w:spacing w:after="0"/>
                      <w:rPr>
                        <w:rFonts w:ascii="Calibri" w:eastAsia="Calibri" w:hAnsi="Calibri" w:cs="Calibri"/>
                        <w:noProof/>
                        <w:color w:val="000000"/>
                      </w:rPr>
                    </w:pPr>
                    <w:r>
                      <w:rPr>
                        <w:rFonts w:ascii="Calibri" w:hAnsi="Calibri"/>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8DC3" w14:textId="68C1BE3B" w:rsidR="008E790A" w:rsidRPr="008E790A" w:rsidRDefault="008E790A" w:rsidP="008E790A">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PLE_111/2025</w:t>
    </w:r>
  </w:p>
  <w:p w14:paraId="2D12361A" w14:textId="108D85B1" w:rsidR="008E790A" w:rsidRPr="008E790A" w:rsidRDefault="008E790A" w:rsidP="008E790A">
    <w:pPr>
      <w:tabs>
        <w:tab w:val="left" w:pos="7320"/>
      </w:tabs>
      <w:spacing w:after="0" w:line="240" w:lineRule="exact"/>
      <w:jc w:val="right"/>
      <w:rPr>
        <w:rFonts w:ascii="Cambria" w:eastAsia="Times New Roman" w:hAnsi="Cambria" w:cs="Times New Roman"/>
        <w:b/>
        <w:bCs/>
        <w:kern w:val="0"/>
        <w:sz w:val="16"/>
        <w:szCs w:val="16"/>
        <w14:ligatures w14:val="none"/>
      </w:rPr>
    </w:pPr>
    <w:r w:rsidRPr="008E790A">
      <w:rPr>
        <w:rFonts w:ascii="Cambria" w:eastAsia="Times New Roman" w:hAnsi="Cambria" w:cs="Times New Roman"/>
        <w:b/>
        <w:sz w:val="16"/>
      </w:rPr>
      <w:fldChar w:fldCharType="begin"/>
    </w:r>
    <w:r w:rsidRPr="008E790A">
      <w:rPr>
        <w:rFonts w:ascii="Cambria" w:eastAsia="Times New Roman" w:hAnsi="Cambria" w:cs="Times New Roman"/>
        <w:b/>
        <w:sz w:val="16"/>
      </w:rPr>
      <w:instrText xml:space="preserve"> TIME \@ "dd/MM/yyyy H:mm" </w:instrText>
    </w:r>
    <w:r w:rsidRPr="008E790A">
      <w:rPr>
        <w:rFonts w:ascii="Cambria" w:eastAsia="Times New Roman" w:hAnsi="Cambria" w:cs="Times New Roman"/>
        <w:b/>
        <w:sz w:val="16"/>
      </w:rPr>
      <w:fldChar w:fldCharType="separate"/>
    </w:r>
    <w:r w:rsidR="00CC5A40">
      <w:rPr>
        <w:rFonts w:ascii="Cambria" w:eastAsia="Times New Roman" w:hAnsi="Cambria" w:cs="Times New Roman"/>
        <w:b/>
        <w:noProof/>
        <w:sz w:val="16"/>
      </w:rPr>
      <w:t>13/11/2025 15:13</w:t>
    </w:r>
    <w:r w:rsidRPr="008E790A">
      <w:rPr>
        <w:rFonts w:ascii="Cambria" w:eastAsia="Times New Roman" w:hAnsi="Cambria" w:cs="Times New Roman"/>
        <w:b/>
        <w:bCs/>
        <w:kern w:val="0"/>
        <w:sz w:val="16"/>
        <w:szCs w:val="16"/>
        <w:lang w:val="es-ES_tradnl"/>
        <w14:ligatures w14:val="none"/>
      </w:rPr>
      <w:fldChar w:fldCharType="end"/>
    </w:r>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3216" w14:textId="2D2BD58D" w:rsidR="00C6668A" w:rsidRDefault="00D03342">
    <w:pPr>
      <w:pStyle w:val="Header"/>
    </w:pPr>
    <w:r>
      <w:rPr>
        <w:noProof/>
      </w:rPr>
      <mc:AlternateContent>
        <mc:Choice Requires="wps">
          <w:drawing>
            <wp:anchor distT="0" distB="0" distL="0" distR="0" simplePos="0" relativeHeight="251658240" behindDoc="0" locked="0" layoutInCell="1" allowOverlap="1" wp14:anchorId="63A339BB" wp14:editId="63E7D92F">
              <wp:simplePos x="635" y="635"/>
              <wp:positionH relativeFrom="page">
                <wp:align>right</wp:align>
              </wp:positionH>
              <wp:positionV relativeFrom="page">
                <wp:align>top</wp:align>
              </wp:positionV>
              <wp:extent cx="443865" cy="443865"/>
              <wp:effectExtent l="0" t="0" r="0" b="13335"/>
              <wp:wrapNone/>
              <wp:docPr id="1306820964"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E1A3B" w14:textId="28411E1B" w:rsidR="00D03342" w:rsidRPr="00D03342" w:rsidRDefault="00D03342" w:rsidP="00D03342">
                          <w:pPr>
                            <w:spacing w:after="0"/>
                            <w:rPr>
                              <w:rFonts w:ascii="Calibri" w:eastAsia="Calibri" w:hAnsi="Calibri" w:cs="Calibri"/>
                              <w:noProof/>
                              <w:color w:val="000000"/>
                            </w:rPr>
                          </w:pPr>
                          <w:r>
                            <w:rPr>
                              <w:rFonts w:ascii="Calibri" w:hAnsi="Calibri"/>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A339BB" id="_x0000_t202" coordsize="21600,21600" o:spt="202" path="m,l,21600r21600,l21600,xe">
              <v:stroke joinstyle="miter"/>
              <v:path gradientshapeok="t" o:connecttype="rect"/>
            </v:shapetype>
            <v:shape id="Text Box 1" o:spid="_x0000_s1027" type="#_x0000_t202" alt="Unclassified - Non-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DFE1A3B" w14:textId="28411E1B" w:rsidR="00D03342" w:rsidRPr="00D03342" w:rsidRDefault="00D03342" w:rsidP="00D03342">
                    <w:pPr>
                      <w:spacing w:after="0"/>
                      <w:rPr>
                        <w:rFonts w:ascii="Calibri" w:eastAsia="Calibri" w:hAnsi="Calibri" w:cs="Calibri"/>
                        <w:noProof/>
                        <w:color w:val="000000"/>
                      </w:rPr>
                    </w:pPr>
                    <w:r>
                      <w:rPr>
                        <w:rFonts w:ascii="Calibri" w:hAnsi="Calibri"/>
                        <w:color w:val="000000"/>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66A68"/>
    <w:multiLevelType w:val="multilevel"/>
    <w:tmpl w:val="C56C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22F1D"/>
    <w:multiLevelType w:val="hybridMultilevel"/>
    <w:tmpl w:val="2FF08EDA"/>
    <w:lvl w:ilvl="0" w:tplc="E0105AD0">
      <w:start w:val="1"/>
      <w:numFmt w:val="decimal"/>
      <w:lvlText w:val="%1."/>
      <w:lvlJc w:val="left"/>
      <w:pPr>
        <w:ind w:left="620" w:hanging="394"/>
      </w:pPr>
      <w:rPr>
        <w:rFonts w:hint="default"/>
        <w:color w:val="auto"/>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37943872">
    <w:abstractNumId w:val="0"/>
  </w:num>
  <w:num w:numId="2" w16cid:durableId="37125249">
    <w:abstractNumId w:val="2"/>
  </w:num>
  <w:num w:numId="3" w16cid:durableId="19165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31"/>
    <w:rsid w:val="0000653E"/>
    <w:rsid w:val="000148C4"/>
    <w:rsid w:val="0002561A"/>
    <w:rsid w:val="00036B3B"/>
    <w:rsid w:val="000401E8"/>
    <w:rsid w:val="0004053D"/>
    <w:rsid w:val="000420A6"/>
    <w:rsid w:val="00074E81"/>
    <w:rsid w:val="00080B8E"/>
    <w:rsid w:val="000821BC"/>
    <w:rsid w:val="00092B94"/>
    <w:rsid w:val="00097001"/>
    <w:rsid w:val="000A0E84"/>
    <w:rsid w:val="000C5575"/>
    <w:rsid w:val="000D71E2"/>
    <w:rsid w:val="000F0BFB"/>
    <w:rsid w:val="0010109B"/>
    <w:rsid w:val="00102FA2"/>
    <w:rsid w:val="00126573"/>
    <w:rsid w:val="0012657E"/>
    <w:rsid w:val="00142949"/>
    <w:rsid w:val="00155371"/>
    <w:rsid w:val="0015577D"/>
    <w:rsid w:val="001649C1"/>
    <w:rsid w:val="00166A30"/>
    <w:rsid w:val="001726F6"/>
    <w:rsid w:val="00176582"/>
    <w:rsid w:val="00194C21"/>
    <w:rsid w:val="001A2BC8"/>
    <w:rsid w:val="001A2EC2"/>
    <w:rsid w:val="001A5DFB"/>
    <w:rsid w:val="001C37A4"/>
    <w:rsid w:val="001C399F"/>
    <w:rsid w:val="001D753C"/>
    <w:rsid w:val="001E00B3"/>
    <w:rsid w:val="001F0E8E"/>
    <w:rsid w:val="00200446"/>
    <w:rsid w:val="00246BA3"/>
    <w:rsid w:val="0025289B"/>
    <w:rsid w:val="00253D63"/>
    <w:rsid w:val="00256C22"/>
    <w:rsid w:val="0028340A"/>
    <w:rsid w:val="00291E67"/>
    <w:rsid w:val="002A27E1"/>
    <w:rsid w:val="002A7990"/>
    <w:rsid w:val="002C4B8D"/>
    <w:rsid w:val="002C7F05"/>
    <w:rsid w:val="002F4332"/>
    <w:rsid w:val="00304518"/>
    <w:rsid w:val="0031491D"/>
    <w:rsid w:val="00325A56"/>
    <w:rsid w:val="00344F1A"/>
    <w:rsid w:val="00362B5E"/>
    <w:rsid w:val="003849B4"/>
    <w:rsid w:val="00390804"/>
    <w:rsid w:val="003A44B8"/>
    <w:rsid w:val="003B15E9"/>
    <w:rsid w:val="003C1411"/>
    <w:rsid w:val="003C5641"/>
    <w:rsid w:val="003C6C61"/>
    <w:rsid w:val="003C6E04"/>
    <w:rsid w:val="003C7894"/>
    <w:rsid w:val="003D01F6"/>
    <w:rsid w:val="003D3F8A"/>
    <w:rsid w:val="003E01BF"/>
    <w:rsid w:val="00406F1C"/>
    <w:rsid w:val="004203A2"/>
    <w:rsid w:val="004225B2"/>
    <w:rsid w:val="00424503"/>
    <w:rsid w:val="00425BDA"/>
    <w:rsid w:val="0042667D"/>
    <w:rsid w:val="00431D27"/>
    <w:rsid w:val="00444534"/>
    <w:rsid w:val="00455437"/>
    <w:rsid w:val="004948EC"/>
    <w:rsid w:val="004B0F13"/>
    <w:rsid w:val="004B5FB1"/>
    <w:rsid w:val="004D3C37"/>
    <w:rsid w:val="00507118"/>
    <w:rsid w:val="00507EEE"/>
    <w:rsid w:val="00512060"/>
    <w:rsid w:val="00525FCE"/>
    <w:rsid w:val="00526455"/>
    <w:rsid w:val="005361A1"/>
    <w:rsid w:val="005566F6"/>
    <w:rsid w:val="00556F89"/>
    <w:rsid w:val="0056483B"/>
    <w:rsid w:val="00571304"/>
    <w:rsid w:val="00572934"/>
    <w:rsid w:val="00584A2B"/>
    <w:rsid w:val="005A084F"/>
    <w:rsid w:val="005A5AB6"/>
    <w:rsid w:val="005B1D1A"/>
    <w:rsid w:val="005B69A6"/>
    <w:rsid w:val="005C09E1"/>
    <w:rsid w:val="005C52E6"/>
    <w:rsid w:val="005C75E3"/>
    <w:rsid w:val="005D5EC5"/>
    <w:rsid w:val="005F2DF2"/>
    <w:rsid w:val="00613F5E"/>
    <w:rsid w:val="006172C6"/>
    <w:rsid w:val="00663249"/>
    <w:rsid w:val="0069120F"/>
    <w:rsid w:val="006A0192"/>
    <w:rsid w:val="006B0234"/>
    <w:rsid w:val="006B54C4"/>
    <w:rsid w:val="006C78F4"/>
    <w:rsid w:val="006D7BA3"/>
    <w:rsid w:val="006F2ADE"/>
    <w:rsid w:val="007113E3"/>
    <w:rsid w:val="00715287"/>
    <w:rsid w:val="0072168D"/>
    <w:rsid w:val="00722A89"/>
    <w:rsid w:val="007241D2"/>
    <w:rsid w:val="00730F2B"/>
    <w:rsid w:val="00750E3C"/>
    <w:rsid w:val="00753F05"/>
    <w:rsid w:val="0075444F"/>
    <w:rsid w:val="00770D35"/>
    <w:rsid w:val="00790257"/>
    <w:rsid w:val="0079150B"/>
    <w:rsid w:val="00796C10"/>
    <w:rsid w:val="007A1730"/>
    <w:rsid w:val="007A1DB1"/>
    <w:rsid w:val="007A476B"/>
    <w:rsid w:val="007D1240"/>
    <w:rsid w:val="007E7EC3"/>
    <w:rsid w:val="008061CE"/>
    <w:rsid w:val="00815CBE"/>
    <w:rsid w:val="0083199E"/>
    <w:rsid w:val="00833029"/>
    <w:rsid w:val="00836FFE"/>
    <w:rsid w:val="00854055"/>
    <w:rsid w:val="00875243"/>
    <w:rsid w:val="008821FB"/>
    <w:rsid w:val="008825F3"/>
    <w:rsid w:val="008A0133"/>
    <w:rsid w:val="008B606E"/>
    <w:rsid w:val="008D50E4"/>
    <w:rsid w:val="008D5EF8"/>
    <w:rsid w:val="008D7365"/>
    <w:rsid w:val="008E6F27"/>
    <w:rsid w:val="008E790A"/>
    <w:rsid w:val="008E7AA0"/>
    <w:rsid w:val="008F0145"/>
    <w:rsid w:val="008F2881"/>
    <w:rsid w:val="00900170"/>
    <w:rsid w:val="009074DE"/>
    <w:rsid w:val="00913596"/>
    <w:rsid w:val="00924E61"/>
    <w:rsid w:val="00930060"/>
    <w:rsid w:val="00933045"/>
    <w:rsid w:val="00943865"/>
    <w:rsid w:val="00943EA4"/>
    <w:rsid w:val="00951F5E"/>
    <w:rsid w:val="00957C8A"/>
    <w:rsid w:val="00964742"/>
    <w:rsid w:val="00966175"/>
    <w:rsid w:val="00981185"/>
    <w:rsid w:val="00987408"/>
    <w:rsid w:val="009930E3"/>
    <w:rsid w:val="009A2CFD"/>
    <w:rsid w:val="009A35DF"/>
    <w:rsid w:val="009C59C3"/>
    <w:rsid w:val="009D486A"/>
    <w:rsid w:val="009E5FCD"/>
    <w:rsid w:val="009F3187"/>
    <w:rsid w:val="00A06A30"/>
    <w:rsid w:val="00A11AE2"/>
    <w:rsid w:val="00A132E7"/>
    <w:rsid w:val="00A26506"/>
    <w:rsid w:val="00A2723E"/>
    <w:rsid w:val="00A3216A"/>
    <w:rsid w:val="00A33C52"/>
    <w:rsid w:val="00A37458"/>
    <w:rsid w:val="00A437AA"/>
    <w:rsid w:val="00A50C84"/>
    <w:rsid w:val="00A53CB9"/>
    <w:rsid w:val="00A61EDC"/>
    <w:rsid w:val="00A64939"/>
    <w:rsid w:val="00A83B97"/>
    <w:rsid w:val="00A959A8"/>
    <w:rsid w:val="00AA25C3"/>
    <w:rsid w:val="00AB5FA6"/>
    <w:rsid w:val="00AD501E"/>
    <w:rsid w:val="00AD6CA6"/>
    <w:rsid w:val="00AE247E"/>
    <w:rsid w:val="00AF1719"/>
    <w:rsid w:val="00AF373C"/>
    <w:rsid w:val="00B531A1"/>
    <w:rsid w:val="00B5698A"/>
    <w:rsid w:val="00B6614C"/>
    <w:rsid w:val="00B91831"/>
    <w:rsid w:val="00BA068C"/>
    <w:rsid w:val="00BA26E0"/>
    <w:rsid w:val="00BA3CDC"/>
    <w:rsid w:val="00BA5C7C"/>
    <w:rsid w:val="00BA60BE"/>
    <w:rsid w:val="00BB4082"/>
    <w:rsid w:val="00BC5D39"/>
    <w:rsid w:val="00BF6E6F"/>
    <w:rsid w:val="00C4007D"/>
    <w:rsid w:val="00C418BA"/>
    <w:rsid w:val="00C4526A"/>
    <w:rsid w:val="00C6668A"/>
    <w:rsid w:val="00C72318"/>
    <w:rsid w:val="00C72BDE"/>
    <w:rsid w:val="00C7371C"/>
    <w:rsid w:val="00C74329"/>
    <w:rsid w:val="00C8103A"/>
    <w:rsid w:val="00CC01A0"/>
    <w:rsid w:val="00CC5A40"/>
    <w:rsid w:val="00CD1C6A"/>
    <w:rsid w:val="00CD4F50"/>
    <w:rsid w:val="00CD7913"/>
    <w:rsid w:val="00D03342"/>
    <w:rsid w:val="00D24210"/>
    <w:rsid w:val="00D5735D"/>
    <w:rsid w:val="00D73FCA"/>
    <w:rsid w:val="00D75DED"/>
    <w:rsid w:val="00D77313"/>
    <w:rsid w:val="00D90C09"/>
    <w:rsid w:val="00DA0709"/>
    <w:rsid w:val="00DA7AE5"/>
    <w:rsid w:val="00DB51F3"/>
    <w:rsid w:val="00DC1B6C"/>
    <w:rsid w:val="00DD38ED"/>
    <w:rsid w:val="00DE4AD0"/>
    <w:rsid w:val="00DF1976"/>
    <w:rsid w:val="00DF390C"/>
    <w:rsid w:val="00E10BF7"/>
    <w:rsid w:val="00E15E69"/>
    <w:rsid w:val="00E21A11"/>
    <w:rsid w:val="00E250A6"/>
    <w:rsid w:val="00E53EDF"/>
    <w:rsid w:val="00E82921"/>
    <w:rsid w:val="00E91C7E"/>
    <w:rsid w:val="00E96C3D"/>
    <w:rsid w:val="00EA4291"/>
    <w:rsid w:val="00ED6895"/>
    <w:rsid w:val="00EE2455"/>
    <w:rsid w:val="00EF53A3"/>
    <w:rsid w:val="00F03453"/>
    <w:rsid w:val="00F11316"/>
    <w:rsid w:val="00F13A02"/>
    <w:rsid w:val="00F22521"/>
    <w:rsid w:val="00F403BB"/>
    <w:rsid w:val="00F40753"/>
    <w:rsid w:val="00F53157"/>
    <w:rsid w:val="00F6004C"/>
    <w:rsid w:val="00F652F6"/>
    <w:rsid w:val="00F653C8"/>
    <w:rsid w:val="00F715F7"/>
    <w:rsid w:val="00F750A4"/>
    <w:rsid w:val="00F85659"/>
    <w:rsid w:val="00F85ADB"/>
    <w:rsid w:val="00F935EE"/>
    <w:rsid w:val="00FB253B"/>
    <w:rsid w:val="00FD18B4"/>
    <w:rsid w:val="00FF18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09D3"/>
  <w15:chartTrackingRefBased/>
  <w15:docId w15:val="{EEE68F27-7C90-234F-A305-1395AD8F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831"/>
    <w:rPr>
      <w:rFonts w:eastAsiaTheme="majorEastAsia" w:cstheme="majorBidi"/>
      <w:color w:val="272727" w:themeColor="text1" w:themeTint="D8"/>
    </w:rPr>
  </w:style>
  <w:style w:type="paragraph" w:styleId="Title">
    <w:name w:val="Title"/>
    <w:basedOn w:val="Normal"/>
    <w:next w:val="Normal"/>
    <w:link w:val="TitleChar"/>
    <w:uiPriority w:val="10"/>
    <w:qFormat/>
    <w:rsid w:val="00B91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831"/>
    <w:pPr>
      <w:spacing w:before="160"/>
      <w:jc w:val="center"/>
    </w:pPr>
    <w:rPr>
      <w:i/>
      <w:iCs/>
      <w:color w:val="404040" w:themeColor="text1" w:themeTint="BF"/>
    </w:rPr>
  </w:style>
  <w:style w:type="character" w:customStyle="1" w:styleId="QuoteChar">
    <w:name w:val="Quote Char"/>
    <w:basedOn w:val="DefaultParagraphFont"/>
    <w:link w:val="Quote"/>
    <w:uiPriority w:val="29"/>
    <w:rsid w:val="00B91831"/>
    <w:rPr>
      <w:i/>
      <w:iCs/>
      <w:color w:val="404040" w:themeColor="text1" w:themeTint="BF"/>
    </w:rPr>
  </w:style>
  <w:style w:type="paragraph" w:styleId="ListParagraph">
    <w:name w:val="List Paragraph"/>
    <w:basedOn w:val="Normal"/>
    <w:uiPriority w:val="1"/>
    <w:qFormat/>
    <w:rsid w:val="00B91831"/>
    <w:pPr>
      <w:ind w:left="720"/>
      <w:contextualSpacing/>
    </w:pPr>
  </w:style>
  <w:style w:type="character" w:styleId="IntenseEmphasis">
    <w:name w:val="Intense Emphasis"/>
    <w:basedOn w:val="DefaultParagraphFont"/>
    <w:uiPriority w:val="21"/>
    <w:qFormat/>
    <w:rsid w:val="00B91831"/>
    <w:rPr>
      <w:i/>
      <w:iCs/>
      <w:color w:val="0F4761" w:themeColor="accent1" w:themeShade="BF"/>
    </w:rPr>
  </w:style>
  <w:style w:type="paragraph" w:styleId="IntenseQuote">
    <w:name w:val="Intense Quote"/>
    <w:basedOn w:val="Normal"/>
    <w:next w:val="Normal"/>
    <w:link w:val="IntenseQuoteChar"/>
    <w:uiPriority w:val="30"/>
    <w:qFormat/>
    <w:rsid w:val="00B91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831"/>
    <w:rPr>
      <w:i/>
      <w:iCs/>
      <w:color w:val="0F4761" w:themeColor="accent1" w:themeShade="BF"/>
    </w:rPr>
  </w:style>
  <w:style w:type="character" w:styleId="IntenseReference">
    <w:name w:val="Intense Reference"/>
    <w:basedOn w:val="DefaultParagraphFont"/>
    <w:uiPriority w:val="32"/>
    <w:qFormat/>
    <w:rsid w:val="00B91831"/>
    <w:rPr>
      <w:b/>
      <w:bCs/>
      <w:smallCaps/>
      <w:color w:val="0F4761" w:themeColor="accent1" w:themeShade="BF"/>
      <w:spacing w:val="5"/>
    </w:rPr>
  </w:style>
  <w:style w:type="paragraph" w:styleId="NormalWeb">
    <w:name w:val="Normal (Web)"/>
    <w:basedOn w:val="Normal"/>
    <w:uiPriority w:val="99"/>
    <w:semiHidden/>
    <w:unhideWhenUsed/>
    <w:rsid w:val="00B918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91831"/>
    <w:rPr>
      <w:color w:val="0000FF"/>
      <w:u w:val="single"/>
    </w:rPr>
  </w:style>
  <w:style w:type="paragraph" w:styleId="Revision">
    <w:name w:val="Revision"/>
    <w:hidden/>
    <w:uiPriority w:val="99"/>
    <w:semiHidden/>
    <w:rsid w:val="00C6668A"/>
    <w:pPr>
      <w:spacing w:after="0" w:line="240" w:lineRule="auto"/>
    </w:pPr>
  </w:style>
  <w:style w:type="paragraph" w:styleId="Header">
    <w:name w:val="header"/>
    <w:basedOn w:val="Normal"/>
    <w:link w:val="HeaderChar"/>
    <w:uiPriority w:val="99"/>
    <w:unhideWhenUsed/>
    <w:rsid w:val="00C66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68A"/>
  </w:style>
  <w:style w:type="paragraph" w:styleId="Footer">
    <w:name w:val="footer"/>
    <w:basedOn w:val="Normal"/>
    <w:link w:val="FooterChar"/>
    <w:uiPriority w:val="99"/>
    <w:unhideWhenUsed/>
    <w:rsid w:val="00CC0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A0"/>
  </w:style>
  <w:style w:type="character" w:styleId="CommentReference">
    <w:name w:val="annotation reference"/>
    <w:basedOn w:val="DefaultParagraphFont"/>
    <w:uiPriority w:val="99"/>
    <w:semiHidden/>
    <w:unhideWhenUsed/>
    <w:rsid w:val="00C72BDE"/>
    <w:rPr>
      <w:sz w:val="16"/>
      <w:szCs w:val="16"/>
    </w:rPr>
  </w:style>
  <w:style w:type="paragraph" w:styleId="CommentText">
    <w:name w:val="annotation text"/>
    <w:basedOn w:val="Normal"/>
    <w:link w:val="CommentTextChar"/>
    <w:uiPriority w:val="99"/>
    <w:unhideWhenUsed/>
    <w:rsid w:val="00C72BDE"/>
    <w:pPr>
      <w:spacing w:line="240" w:lineRule="auto"/>
    </w:pPr>
    <w:rPr>
      <w:sz w:val="20"/>
      <w:szCs w:val="20"/>
    </w:rPr>
  </w:style>
  <w:style w:type="character" w:customStyle="1" w:styleId="CommentTextChar">
    <w:name w:val="Comment Text Char"/>
    <w:basedOn w:val="DefaultParagraphFont"/>
    <w:link w:val="CommentText"/>
    <w:uiPriority w:val="99"/>
    <w:rsid w:val="00C72BDE"/>
    <w:rPr>
      <w:sz w:val="20"/>
      <w:szCs w:val="20"/>
    </w:rPr>
  </w:style>
  <w:style w:type="paragraph" w:styleId="CommentSubject">
    <w:name w:val="annotation subject"/>
    <w:basedOn w:val="CommentText"/>
    <w:next w:val="CommentText"/>
    <w:link w:val="CommentSubjectChar"/>
    <w:uiPriority w:val="99"/>
    <w:semiHidden/>
    <w:unhideWhenUsed/>
    <w:rsid w:val="00C72BDE"/>
    <w:rPr>
      <w:b/>
      <w:bCs/>
    </w:rPr>
  </w:style>
  <w:style w:type="character" w:customStyle="1" w:styleId="CommentSubjectChar">
    <w:name w:val="Comment Subject Char"/>
    <w:basedOn w:val="CommentTextChar"/>
    <w:link w:val="CommentSubject"/>
    <w:uiPriority w:val="99"/>
    <w:semiHidden/>
    <w:rsid w:val="00C72BDE"/>
    <w:rPr>
      <w:b/>
      <w:bCs/>
      <w:sz w:val="20"/>
      <w:szCs w:val="20"/>
    </w:rPr>
  </w:style>
  <w:style w:type="character" w:styleId="FollowedHyperlink">
    <w:name w:val="FollowedHyperlink"/>
    <w:basedOn w:val="DefaultParagraphFont"/>
    <w:uiPriority w:val="99"/>
    <w:semiHidden/>
    <w:unhideWhenUsed/>
    <w:rsid w:val="00796C10"/>
    <w:rPr>
      <w:color w:val="96607D" w:themeColor="followedHyperlink"/>
      <w:u w:val="single"/>
    </w:rPr>
  </w:style>
  <w:style w:type="character" w:styleId="Emphasis">
    <w:name w:val="Emphasis"/>
    <w:basedOn w:val="DefaultParagraphFont"/>
    <w:uiPriority w:val="20"/>
    <w:qFormat/>
    <w:rsid w:val="00CD4F50"/>
    <w:rPr>
      <w:i/>
      <w:iCs/>
    </w:rPr>
  </w:style>
  <w:style w:type="character" w:styleId="UnresolvedMention">
    <w:name w:val="Unresolved Mention"/>
    <w:basedOn w:val="DefaultParagraphFont"/>
    <w:uiPriority w:val="99"/>
    <w:semiHidden/>
    <w:unhideWhenUsed/>
    <w:rsid w:val="0017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bbnj"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gendaItem xmlns="50b1b30f-5915-4e73-9ca9-3fc165d457ec" xsi:nil="true"/>
    <Entity xmlns="50b1b30f-5915-4e73-9ca9-3fc165d457ec" xsi:nil="true"/>
    <Date xmlns="50b1b30f-5915-4e73-9ca9-3fc165d457ec" xsi:nil="true"/>
    <TypesofMeetingDocuments xmlns="50b1b30f-5915-4e73-9ca9-3fc165d457ec" xsi:nil="true"/>
    <_ip_UnifiedCompliancePolicyUIAction xmlns="http://schemas.microsoft.com/sharepoint/v3" xsi:nil="true"/>
    <TypeofDocument xmlns="50b1b30f-5915-4e73-9ca9-3fc165d457ec" xsi:nil="true"/>
    <_ip_UnifiedCompliancePolicyProperties xmlns="http://schemas.microsoft.com/sharepoint/v3" xsi:nil="true"/>
    <ExternalBody xmlns="50b1b30f-5915-4e73-9ca9-3fc165d457ec" xsi:nil="true"/>
    <lcf76f155ced4ddcb4097134ff3c332f xmlns="50b1b30f-5915-4e73-9ca9-3fc165d457ec">
      <Terms xmlns="http://schemas.microsoft.com/office/infopath/2007/PartnerControls"/>
    </lcf76f155ced4ddcb4097134ff3c332f>
    <TaxCatchAll xmlns="01851b8e-8fb1-4ce0-bc45-fd0ef3a343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ée un document." ma:contentTypeScope="" ma:versionID="1d1d383e2455a036eed8313b02f13e5b">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bd552c1624792ab45786bbee5fbe090b"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BBF2F-7779-44C7-8657-F9827701D33F}">
  <ds:schemaRefs>
    <ds:schemaRef ds:uri="http://schemas.openxmlformats.org/officeDocument/2006/bibliography"/>
  </ds:schemaRefs>
</ds:datastoreItem>
</file>

<file path=customXml/itemProps2.xml><?xml version="1.0" encoding="utf-8"?>
<ds:datastoreItem xmlns:ds="http://schemas.openxmlformats.org/officeDocument/2006/customXml" ds:itemID="{BA2EB37D-D40B-43E0-9D09-BD15425ED54D}">
  <ds:schemaRefs>
    <ds:schemaRef ds:uri="http://schemas.microsoft.com/office/2006/metadata/properties"/>
    <ds:schemaRef ds:uri="http://schemas.microsoft.com/office/infopath/2007/PartnerControls"/>
    <ds:schemaRef ds:uri="50b1b30f-5915-4e73-9ca9-3fc165d457ec"/>
    <ds:schemaRef ds:uri="http://schemas.microsoft.com/sharepoint/v3"/>
    <ds:schemaRef ds:uri="01851b8e-8fb1-4ce0-bc45-fd0ef3a34381"/>
  </ds:schemaRefs>
</ds:datastoreItem>
</file>

<file path=customXml/itemProps3.xml><?xml version="1.0" encoding="utf-8"?>
<ds:datastoreItem xmlns:ds="http://schemas.openxmlformats.org/officeDocument/2006/customXml" ds:itemID="{2B28B1DB-CA2A-4BC2-BE61-8F3B4ED4F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0806B-F4DC-4210-880A-AA3E0637E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Rayner</dc:creator>
  <cp:keywords/>
  <dc:description/>
  <cp:lastModifiedBy>María José García</cp:lastModifiedBy>
  <cp:revision>2</cp:revision>
  <dcterms:created xsi:type="dcterms:W3CDTF">2025-11-13T14:35:00Z</dcterms:created>
  <dcterms:modified xsi:type="dcterms:W3CDTF">2025-11-13T14:35:00Z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4de48164,e2117f8,4042f773</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2025-09-16T14:49:14Z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a7df2d20-bdf6-4a1b-97a4-319892467ff9</vt:lpwstr>
  </property>
  <property fmtid="{D5CDD505-2E9C-101B-9397-08002B2CF9AE}" pid="11" name="MSIP_Label_4e6cdb53-fd15-486d-84de-c510e3a62203_ContentBits">
    <vt:lpwstr>1</vt:lpwstr>
  </property>
  <property fmtid="{D5CDD505-2E9C-101B-9397-08002B2CF9AE}" pid="12" name="MediaServiceImageTags">
    <vt:lpwstr/>
  </property>
  <property fmtid="{D5CDD505-2E9C-101B-9397-08002B2CF9AE}" pid="13" name="ContentTypeId">
    <vt:lpwstr>0x01010095B8999713FA164FBC6C0D1DE7D0D3F1</vt:lpwstr>
  </property>
</Properties>
</file>