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5D2E" w14:textId="77777777" w:rsidR="00BA26E0" w:rsidRPr="00660BDA" w:rsidRDefault="00BA26E0" w:rsidP="00732301">
      <w:pPr>
        <w:widowControl w:val="0"/>
        <w:autoSpaceDE w:val="0"/>
        <w:autoSpaceDN w:val="0"/>
        <w:spacing w:after="0" w:line="240" w:lineRule="auto"/>
        <w:jc w:val="center"/>
        <w:rPr>
          <w:rFonts w:ascii="Cambria" w:eastAsia="Cambria" w:hAnsi="Cambria" w:cs="Cambria"/>
          <w:b/>
          <w:kern w:val="0"/>
          <w:sz w:val="20"/>
          <w:szCs w:val="20"/>
          <w14:ligatures w14:val="none"/>
        </w:rPr>
      </w:pPr>
      <w:r w:rsidRPr="00660BDA">
        <w:rPr>
          <w:rFonts w:ascii="Cambria" w:hAnsi="Cambria"/>
          <w:b/>
          <w:sz w:val="20"/>
          <w:szCs w:val="20"/>
        </w:rPr>
        <w:t>Page de garde accompagnant les nouvelles propositions</w:t>
      </w:r>
    </w:p>
    <w:p w14:paraId="37CC7724" w14:textId="77777777" w:rsidR="00BA26E0" w:rsidRPr="00660BDA" w:rsidRDefault="00BA26E0" w:rsidP="00BA26E0">
      <w:pPr>
        <w:widowControl w:val="0"/>
        <w:autoSpaceDE w:val="0"/>
        <w:autoSpaceDN w:val="0"/>
        <w:spacing w:before="63" w:after="0" w:line="240" w:lineRule="auto"/>
        <w:rPr>
          <w:rFonts w:ascii="Cambria" w:eastAsia="Cambria" w:hAnsi="Cambria" w:cs="Cambria"/>
          <w:b/>
          <w:kern w:val="0"/>
          <w:sz w:val="20"/>
          <w:szCs w:val="20"/>
          <w14:ligatures w14:val="none"/>
        </w:rPr>
      </w:pPr>
    </w:p>
    <w:p w14:paraId="3A037A38" w14:textId="6BFA8B3C" w:rsidR="00BA26E0" w:rsidRPr="00660BDA" w:rsidRDefault="00BA26E0" w:rsidP="00BA26E0">
      <w:pPr>
        <w:widowControl w:val="0"/>
        <w:autoSpaceDE w:val="0"/>
        <w:autoSpaceDN w:val="0"/>
        <w:spacing w:after="0" w:line="234" w:lineRule="exact"/>
        <w:ind w:left="281" w:right="201"/>
        <w:jc w:val="center"/>
        <w:rPr>
          <w:rFonts w:ascii="Cambria" w:eastAsia="Cambria" w:hAnsi="Cambria" w:cs="Cambria"/>
          <w:i/>
          <w:kern w:val="0"/>
          <w:sz w:val="20"/>
          <w:szCs w:val="20"/>
          <w14:ligatures w14:val="none"/>
        </w:rPr>
      </w:pPr>
      <w:r w:rsidRPr="00660BDA">
        <w:rPr>
          <w:rFonts w:ascii="Cambria" w:hAnsi="Cambria"/>
          <w:i/>
          <w:sz w:val="20"/>
          <w:szCs w:val="20"/>
        </w:rPr>
        <w:t>(Document soumis par le Canada)</w:t>
      </w:r>
    </w:p>
    <w:p w14:paraId="24B3D7FF" w14:textId="77777777" w:rsidR="00730F2B" w:rsidRPr="00660BDA" w:rsidRDefault="00730F2B" w:rsidP="00715287">
      <w:pPr>
        <w:widowControl w:val="0"/>
        <w:autoSpaceDE w:val="0"/>
        <w:autoSpaceDN w:val="0"/>
        <w:spacing w:after="0" w:line="240" w:lineRule="auto"/>
        <w:jc w:val="both"/>
        <w:rPr>
          <w:rFonts w:ascii="Cambria" w:eastAsia="Cambria" w:hAnsi="Cambria" w:cs="Cambria"/>
          <w:b/>
          <w:bCs/>
          <w:kern w:val="0"/>
          <w:sz w:val="20"/>
          <w:szCs w:val="20"/>
          <w14:ligatures w14:val="none"/>
        </w:rPr>
      </w:pPr>
    </w:p>
    <w:p w14:paraId="10CCBB11" w14:textId="77777777" w:rsidR="00730F2B" w:rsidRPr="00660BDA" w:rsidRDefault="00730F2B" w:rsidP="00715287">
      <w:pPr>
        <w:widowControl w:val="0"/>
        <w:autoSpaceDE w:val="0"/>
        <w:autoSpaceDN w:val="0"/>
        <w:spacing w:after="0" w:line="240" w:lineRule="auto"/>
        <w:jc w:val="both"/>
        <w:rPr>
          <w:rFonts w:ascii="Cambria" w:eastAsia="Cambria" w:hAnsi="Cambria" w:cs="Cambria"/>
          <w:b/>
          <w:bCs/>
          <w:kern w:val="0"/>
          <w:sz w:val="20"/>
          <w:szCs w:val="20"/>
          <w14:ligatures w14:val="none"/>
        </w:rPr>
      </w:pPr>
    </w:p>
    <w:p w14:paraId="226DCC25" w14:textId="756D82B0" w:rsidR="00715287" w:rsidRPr="00660BDA" w:rsidRDefault="00BA26E0" w:rsidP="00715287">
      <w:pPr>
        <w:widowControl w:val="0"/>
        <w:autoSpaceDE w:val="0"/>
        <w:autoSpaceDN w:val="0"/>
        <w:spacing w:after="0" w:line="240" w:lineRule="auto"/>
        <w:jc w:val="both"/>
        <w:rPr>
          <w:rFonts w:ascii="Cambria" w:eastAsia="Cambria" w:hAnsi="Cambria" w:cs="Cambria"/>
          <w:i/>
          <w:color w:val="FF0000"/>
          <w:kern w:val="0"/>
          <w:sz w:val="20"/>
          <w:szCs w:val="20"/>
          <w14:ligatures w14:val="none"/>
        </w:rPr>
      </w:pPr>
      <w:r w:rsidRPr="00660BDA">
        <w:rPr>
          <w:rFonts w:ascii="Cambria" w:hAnsi="Cambria"/>
          <w:b/>
          <w:bCs/>
          <w:sz w:val="20"/>
          <w:szCs w:val="20"/>
        </w:rPr>
        <w:t xml:space="preserve">Titre de la proposition de projet de Recommandation/Résolution : </w:t>
      </w:r>
      <w:r w:rsidRPr="00660BDA">
        <w:rPr>
          <w:rFonts w:ascii="Cambria" w:hAnsi="Cambria"/>
          <w:i/>
          <w:color w:val="FF0000"/>
          <w:sz w:val="20"/>
          <w:szCs w:val="20"/>
        </w:rPr>
        <w:t>Document de discussion sur une proposition de protocole d’entente entre l’ICCAT et la NAFO</w:t>
      </w:r>
    </w:p>
    <w:p w14:paraId="693D68ED" w14:textId="77777777" w:rsidR="00715287" w:rsidRPr="00660BDA" w:rsidRDefault="00715287" w:rsidP="00715287">
      <w:pPr>
        <w:widowControl w:val="0"/>
        <w:autoSpaceDE w:val="0"/>
        <w:autoSpaceDN w:val="0"/>
        <w:spacing w:after="0" w:line="240" w:lineRule="auto"/>
        <w:jc w:val="both"/>
        <w:rPr>
          <w:rFonts w:ascii="Cambria" w:eastAsia="Cambria" w:hAnsi="Cambria" w:cs="Cambria"/>
          <w:kern w:val="0"/>
          <w:sz w:val="20"/>
          <w:szCs w:val="20"/>
          <w14:ligatures w14:val="none"/>
        </w:rPr>
      </w:pPr>
    </w:p>
    <w:p w14:paraId="73EF42DB" w14:textId="77777777" w:rsidR="00715287" w:rsidRPr="00660BDA" w:rsidRDefault="00715287" w:rsidP="00715287">
      <w:pPr>
        <w:widowControl w:val="0"/>
        <w:autoSpaceDE w:val="0"/>
        <w:autoSpaceDN w:val="0"/>
        <w:spacing w:after="0" w:line="240" w:lineRule="auto"/>
        <w:jc w:val="both"/>
        <w:rPr>
          <w:rFonts w:ascii="Cambria" w:eastAsia="Cambria" w:hAnsi="Cambria" w:cs="Cambria"/>
          <w:i/>
          <w:color w:val="FF0000"/>
          <w:kern w:val="0"/>
          <w:sz w:val="20"/>
          <w:szCs w:val="20"/>
          <w14:ligatures w14:val="none"/>
        </w:rPr>
      </w:pPr>
      <w:r w:rsidRPr="00660BDA">
        <w:rPr>
          <w:rFonts w:ascii="Cambria" w:hAnsi="Cambria"/>
          <w:b/>
          <w:sz w:val="20"/>
          <w:szCs w:val="20"/>
        </w:rPr>
        <w:t>Titre de la ou des Recommandations ou Résolutions en vigueur traitant des mêmes questions ou de questions connexes :</w:t>
      </w:r>
      <w:r w:rsidRPr="00660BDA">
        <w:rPr>
          <w:rFonts w:ascii="Cambria" w:hAnsi="Cambria"/>
          <w:i/>
          <w:color w:val="FF0000"/>
          <w:sz w:val="20"/>
          <w:szCs w:val="20"/>
        </w:rPr>
        <w:t xml:space="preserve"> N/A</w:t>
      </w:r>
    </w:p>
    <w:p w14:paraId="3CE4C7F1" w14:textId="77777777" w:rsidR="00715287" w:rsidRPr="00660BDA" w:rsidRDefault="00715287" w:rsidP="007152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2FD7301C" w14:textId="77777777" w:rsidR="00715287" w:rsidRPr="00660BDA" w:rsidRDefault="00715287" w:rsidP="007152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0CDCF7E9" w14:textId="77777777" w:rsidR="00750E3C" w:rsidRPr="00660BDA" w:rsidRDefault="00715287" w:rsidP="00F750A4">
      <w:pPr>
        <w:pStyle w:val="ListParagraph"/>
        <w:widowControl w:val="0"/>
        <w:numPr>
          <w:ilvl w:val="0"/>
          <w:numId w:val="3"/>
        </w:numPr>
        <w:tabs>
          <w:tab w:val="left" w:pos="620"/>
        </w:tabs>
        <w:autoSpaceDE w:val="0"/>
        <w:autoSpaceDN w:val="0"/>
        <w:spacing w:after="0" w:line="240" w:lineRule="auto"/>
        <w:ind w:left="426" w:hanging="426"/>
        <w:contextualSpacing w:val="0"/>
        <w:rPr>
          <w:rFonts w:ascii="Cambria" w:eastAsia="Cambria" w:hAnsi="Cambria" w:cs="Cambria"/>
          <w:color w:val="FF0000"/>
          <w:kern w:val="0"/>
          <w:sz w:val="20"/>
          <w:szCs w:val="20"/>
          <w14:ligatures w14:val="none"/>
        </w:rPr>
      </w:pPr>
      <w:r w:rsidRPr="00660BDA">
        <w:rPr>
          <w:rFonts w:ascii="Cambria" w:hAnsi="Cambria"/>
          <w:sz w:val="20"/>
          <w:szCs w:val="20"/>
        </w:rPr>
        <w:t xml:space="preserve">Cela crée-t-il de nouvelles </w:t>
      </w:r>
      <w:r w:rsidRPr="00660BDA">
        <w:rPr>
          <w:rFonts w:ascii="Cambria" w:hAnsi="Cambria"/>
          <w:b/>
          <w:bCs/>
          <w:sz w:val="20"/>
          <w:szCs w:val="20"/>
        </w:rPr>
        <w:t xml:space="preserve">obligations de déclaration </w:t>
      </w:r>
      <w:r w:rsidRPr="00660BDA">
        <w:rPr>
          <w:rFonts w:ascii="Cambria" w:hAnsi="Cambria"/>
          <w:sz w:val="20"/>
          <w:szCs w:val="20"/>
        </w:rPr>
        <w:t xml:space="preserve">pour les CPC ?     </w:t>
      </w:r>
      <w:bookmarkStart w:id="0" w:name="_Hlk211848521"/>
      <w:r w:rsidRPr="00660BDA">
        <w:rPr>
          <w:rFonts w:ascii="Cambria" w:hAnsi="Cambria"/>
          <w:sz w:val="20"/>
          <w:szCs w:val="20"/>
        </w:rPr>
        <w:t xml:space="preserve">Oui </w:t>
      </w:r>
      <w:r w:rsidRPr="00660BDA">
        <w:rPr>
          <w:rFonts w:ascii="Segoe UI Symbol" w:hAnsi="Segoe UI Symbol" w:cs="Segoe UI Symbol"/>
          <w:sz w:val="20"/>
          <w:szCs w:val="20"/>
        </w:rPr>
        <w:t>☐</w:t>
      </w:r>
      <w:r w:rsidRPr="00660BDA">
        <w:rPr>
          <w:rFonts w:ascii="Cambria" w:hAnsi="Cambria"/>
          <w:sz w:val="20"/>
          <w:szCs w:val="20"/>
        </w:rPr>
        <w:t xml:space="preserve">  </w:t>
      </w:r>
      <w:r w:rsidRPr="00660BDA">
        <w:rPr>
          <w:rFonts w:ascii="Cambria" w:hAnsi="Cambria"/>
          <w:color w:val="FF0000"/>
          <w:sz w:val="20"/>
          <w:szCs w:val="20"/>
        </w:rPr>
        <w:t xml:space="preserve">Non </w:t>
      </w:r>
      <w:r w:rsidRPr="00660BDA">
        <w:rPr>
          <w:rFonts w:ascii="Segoe UI Symbol" w:hAnsi="Segoe UI Symbol" w:cs="Segoe UI Symbol"/>
          <w:color w:val="FF0000"/>
          <w:sz w:val="20"/>
          <w:szCs w:val="20"/>
        </w:rPr>
        <w:t>☒</w:t>
      </w:r>
    </w:p>
    <w:bookmarkEnd w:id="0"/>
    <w:p w14:paraId="335A9412" w14:textId="77777777" w:rsidR="00715287" w:rsidRPr="00660BDA" w:rsidRDefault="00715287" w:rsidP="00715287">
      <w:pPr>
        <w:widowControl w:val="0"/>
        <w:autoSpaceDE w:val="0"/>
        <w:autoSpaceDN w:val="0"/>
        <w:spacing w:after="0" w:line="240" w:lineRule="auto"/>
        <w:rPr>
          <w:rFonts w:ascii="Cambria" w:eastAsia="Cambria" w:hAnsi="Cambria" w:cs="Cambria"/>
          <w:kern w:val="0"/>
          <w:sz w:val="20"/>
          <w:szCs w:val="20"/>
          <w14:ligatures w14:val="none"/>
        </w:rPr>
      </w:pPr>
    </w:p>
    <w:p w14:paraId="7DC3EC91" w14:textId="77777777" w:rsidR="00AE247E" w:rsidRPr="00660BDA" w:rsidRDefault="00715287" w:rsidP="00F750A4">
      <w:pPr>
        <w:spacing w:before="1"/>
        <w:ind w:left="426"/>
        <w:rPr>
          <w:rFonts w:ascii="Cambria" w:eastAsia="Cambria" w:hAnsi="Cambria" w:cs="Cambria"/>
          <w:i/>
          <w:kern w:val="0"/>
          <w:sz w:val="20"/>
          <w:szCs w:val="20"/>
          <w14:ligatures w14:val="none"/>
        </w:rPr>
      </w:pPr>
      <w:r w:rsidRPr="00660BDA">
        <w:rPr>
          <w:rFonts w:ascii="Cambria" w:hAnsi="Cambria"/>
          <w:sz w:val="20"/>
          <w:szCs w:val="20"/>
        </w:rPr>
        <w:t xml:space="preserve">Brève description de la ou des nouvelle(s) obligation(s) de déclaration : </w:t>
      </w:r>
      <w:r w:rsidRPr="00660BDA">
        <w:rPr>
          <w:rFonts w:ascii="Cambria" w:hAnsi="Cambria"/>
          <w:i/>
          <w:color w:val="FF0000"/>
          <w:sz w:val="20"/>
          <w:szCs w:val="20"/>
        </w:rPr>
        <w:t>Aucune.</w:t>
      </w:r>
    </w:p>
    <w:p w14:paraId="1F42EE87" w14:textId="77777777" w:rsidR="00715287" w:rsidRPr="00660BDA" w:rsidRDefault="00715287" w:rsidP="00715287">
      <w:pPr>
        <w:widowControl w:val="0"/>
        <w:autoSpaceDE w:val="0"/>
        <w:autoSpaceDN w:val="0"/>
        <w:spacing w:after="0" w:line="240" w:lineRule="auto"/>
        <w:ind w:left="318"/>
        <w:rPr>
          <w:rFonts w:ascii="Cambria" w:eastAsia="Cambria" w:hAnsi="Cambria" w:cs="Cambria"/>
          <w:kern w:val="0"/>
          <w:sz w:val="20"/>
          <w:szCs w:val="20"/>
          <w14:ligatures w14:val="none"/>
        </w:rPr>
      </w:pPr>
    </w:p>
    <w:p w14:paraId="51077C31" w14:textId="77777777" w:rsidR="007517E0" w:rsidRPr="00660BDA" w:rsidRDefault="00715287" w:rsidP="000A0E84">
      <w:pPr>
        <w:pStyle w:val="ListParagraph"/>
        <w:numPr>
          <w:ilvl w:val="0"/>
          <w:numId w:val="3"/>
        </w:numPr>
        <w:ind w:left="426" w:hanging="426"/>
        <w:rPr>
          <w:rFonts w:ascii="Cambria" w:eastAsia="Cambria" w:hAnsi="Cambria" w:cs="Cambria"/>
          <w:color w:val="EE0000"/>
          <w:spacing w:val="-2"/>
          <w:kern w:val="0"/>
          <w:sz w:val="20"/>
          <w:szCs w:val="20"/>
          <w14:ligatures w14:val="none"/>
        </w:rPr>
      </w:pPr>
      <w:r w:rsidRPr="00660BDA">
        <w:rPr>
          <w:rFonts w:ascii="Cambria" w:hAnsi="Cambria"/>
          <w:sz w:val="20"/>
          <w:szCs w:val="20"/>
        </w:rPr>
        <w:t xml:space="preserve">Cela nécessite-t-il une contribution ou un </w:t>
      </w:r>
      <w:r w:rsidRPr="00660BDA">
        <w:rPr>
          <w:rFonts w:ascii="Cambria" w:hAnsi="Cambria"/>
          <w:b/>
          <w:sz w:val="20"/>
          <w:szCs w:val="20"/>
        </w:rPr>
        <w:t>travail supplémentaire de la part du SCRS</w:t>
      </w:r>
      <w:r w:rsidRPr="00660BDA">
        <w:rPr>
          <w:rFonts w:ascii="Cambria" w:hAnsi="Cambria"/>
          <w:sz w:val="20"/>
          <w:szCs w:val="20"/>
        </w:rPr>
        <w:t xml:space="preserve"> ? </w:t>
      </w:r>
      <w:bookmarkStart w:id="1" w:name="_Hlk211848621"/>
    </w:p>
    <w:p w14:paraId="4F621488" w14:textId="6351B7DD" w:rsidR="000A0E84" w:rsidRPr="00660BDA" w:rsidRDefault="00715287" w:rsidP="007517E0">
      <w:pPr>
        <w:pStyle w:val="ListParagraph"/>
        <w:ind w:left="426"/>
        <w:rPr>
          <w:rFonts w:ascii="Cambria" w:eastAsia="Cambria" w:hAnsi="Cambria" w:cs="Cambria"/>
          <w:color w:val="EE0000"/>
          <w:spacing w:val="-2"/>
          <w:kern w:val="0"/>
          <w:sz w:val="20"/>
          <w:szCs w:val="20"/>
          <w14:ligatures w14:val="none"/>
        </w:rPr>
      </w:pPr>
      <w:r w:rsidRPr="00660BDA">
        <w:rPr>
          <w:rFonts w:ascii="Cambria" w:hAnsi="Cambria"/>
          <w:sz w:val="20"/>
          <w:szCs w:val="20"/>
        </w:rPr>
        <w:t xml:space="preserve">Oui </w:t>
      </w:r>
      <w:r w:rsidRPr="00660BDA">
        <w:rPr>
          <w:rFonts w:ascii="Segoe UI Symbol" w:hAnsi="Segoe UI Symbol" w:cs="Segoe UI Symbol"/>
          <w:sz w:val="20"/>
          <w:szCs w:val="20"/>
        </w:rPr>
        <w:t>☐</w:t>
      </w:r>
      <w:r w:rsidRPr="00660BDA">
        <w:rPr>
          <w:rFonts w:ascii="Cambria" w:hAnsi="Cambria"/>
          <w:sz w:val="20"/>
          <w:szCs w:val="20"/>
        </w:rPr>
        <w:t xml:space="preserve">  </w:t>
      </w:r>
      <w:r w:rsidRPr="00660BDA">
        <w:rPr>
          <w:rFonts w:ascii="Cambria" w:hAnsi="Cambria"/>
          <w:color w:val="FF0000"/>
          <w:sz w:val="20"/>
          <w:szCs w:val="20"/>
        </w:rPr>
        <w:t xml:space="preserve">Non </w:t>
      </w:r>
      <w:r w:rsidRPr="00660BDA">
        <w:rPr>
          <w:rFonts w:ascii="Segoe UI Symbol" w:hAnsi="Segoe UI Symbol" w:cs="Segoe UI Symbol"/>
          <w:color w:val="FF0000"/>
          <w:sz w:val="20"/>
          <w:szCs w:val="20"/>
        </w:rPr>
        <w:t>☒</w:t>
      </w:r>
    </w:p>
    <w:bookmarkEnd w:id="1"/>
    <w:p w14:paraId="30A0F2E0" w14:textId="77777777" w:rsidR="000A0E84" w:rsidRPr="00660BDA" w:rsidRDefault="000A0E84" w:rsidP="000A0E84">
      <w:pPr>
        <w:pStyle w:val="ListParagraph"/>
        <w:widowControl w:val="0"/>
        <w:tabs>
          <w:tab w:val="left" w:pos="620"/>
        </w:tabs>
        <w:autoSpaceDE w:val="0"/>
        <w:autoSpaceDN w:val="0"/>
        <w:spacing w:after="0" w:line="240" w:lineRule="auto"/>
        <w:ind w:left="360"/>
        <w:contextualSpacing w:val="0"/>
        <w:rPr>
          <w:rFonts w:ascii="Cambria" w:eastAsia="Cambria" w:hAnsi="Cambria" w:cs="Cambria"/>
          <w:kern w:val="0"/>
          <w:sz w:val="20"/>
          <w:szCs w:val="20"/>
          <w14:ligatures w14:val="none"/>
        </w:rPr>
      </w:pPr>
    </w:p>
    <w:p w14:paraId="1086FBA9" w14:textId="30D335D0" w:rsidR="00715287" w:rsidRPr="00660BDA" w:rsidRDefault="00715287" w:rsidP="00CD7913">
      <w:pPr>
        <w:pStyle w:val="ListParagraph"/>
        <w:widowControl w:val="0"/>
        <w:tabs>
          <w:tab w:val="left" w:pos="620"/>
        </w:tabs>
        <w:autoSpaceDE w:val="0"/>
        <w:autoSpaceDN w:val="0"/>
        <w:spacing w:after="0" w:line="240" w:lineRule="auto"/>
        <w:ind w:left="426"/>
        <w:contextualSpacing w:val="0"/>
        <w:rPr>
          <w:rFonts w:ascii="Cambria" w:eastAsia="Cambria" w:hAnsi="Cambria" w:cs="Cambria"/>
          <w:color w:val="EE0000"/>
          <w:kern w:val="0"/>
          <w:sz w:val="20"/>
          <w:szCs w:val="20"/>
          <w14:ligatures w14:val="none"/>
        </w:rPr>
      </w:pPr>
      <w:r w:rsidRPr="00660BDA">
        <w:rPr>
          <w:rFonts w:ascii="Cambria" w:hAnsi="Cambria"/>
          <w:sz w:val="20"/>
          <w:szCs w:val="20"/>
        </w:rPr>
        <w:t xml:space="preserve">Ce travail est-il déjà inclus dans le plan de travail actuel du SCRS ?     Oui </w:t>
      </w:r>
      <w:r w:rsidRPr="00660BDA">
        <w:rPr>
          <w:rFonts w:ascii="Segoe UI Symbol" w:hAnsi="Segoe UI Symbol" w:cs="Segoe UI Symbol"/>
          <w:sz w:val="20"/>
          <w:szCs w:val="20"/>
        </w:rPr>
        <w:t>☐</w:t>
      </w:r>
      <w:r w:rsidRPr="00660BDA">
        <w:rPr>
          <w:rFonts w:ascii="Cambria" w:hAnsi="Cambria"/>
          <w:sz w:val="20"/>
          <w:szCs w:val="20"/>
        </w:rPr>
        <w:t xml:space="preserve">  </w:t>
      </w:r>
      <w:r w:rsidRPr="00660BDA">
        <w:rPr>
          <w:rFonts w:ascii="Cambria" w:hAnsi="Cambria"/>
          <w:color w:val="EE0000"/>
          <w:sz w:val="20"/>
          <w:szCs w:val="20"/>
        </w:rPr>
        <w:t xml:space="preserve">Non </w:t>
      </w:r>
      <w:r w:rsidRPr="00660BDA">
        <w:rPr>
          <w:rFonts w:ascii="Segoe UI Symbol" w:hAnsi="Segoe UI Symbol" w:cs="Segoe UI Symbol"/>
          <w:color w:val="EE0000"/>
          <w:sz w:val="20"/>
          <w:szCs w:val="20"/>
        </w:rPr>
        <w:t>☒</w:t>
      </w:r>
    </w:p>
    <w:p w14:paraId="25714947" w14:textId="77777777" w:rsidR="00715287" w:rsidRPr="00660BDA" w:rsidRDefault="00715287" w:rsidP="00715287">
      <w:pPr>
        <w:widowControl w:val="0"/>
        <w:autoSpaceDE w:val="0"/>
        <w:autoSpaceDN w:val="0"/>
        <w:spacing w:after="0" w:line="240" w:lineRule="auto"/>
        <w:ind w:left="360"/>
        <w:rPr>
          <w:rFonts w:ascii="Cambria" w:eastAsia="Cambria" w:hAnsi="Cambria" w:cs="Cambria"/>
          <w:kern w:val="0"/>
          <w:sz w:val="20"/>
          <w:szCs w:val="20"/>
          <w14:ligatures w14:val="none"/>
        </w:rPr>
      </w:pPr>
    </w:p>
    <w:p w14:paraId="0614FC31" w14:textId="1B8A0CDA" w:rsidR="00715287" w:rsidRPr="00660BDA" w:rsidRDefault="00715287" w:rsidP="00CD7913">
      <w:pPr>
        <w:pStyle w:val="ListParagraph"/>
        <w:widowControl w:val="0"/>
        <w:tabs>
          <w:tab w:val="left" w:pos="620"/>
        </w:tabs>
        <w:autoSpaceDE w:val="0"/>
        <w:autoSpaceDN w:val="0"/>
        <w:spacing w:after="0" w:line="240" w:lineRule="auto"/>
        <w:ind w:left="426"/>
        <w:contextualSpacing w:val="0"/>
        <w:rPr>
          <w:rFonts w:ascii="Cambria" w:eastAsia="Cambria" w:hAnsi="Cambria" w:cs="Cambria"/>
          <w:kern w:val="0"/>
          <w:sz w:val="20"/>
          <w:szCs w:val="20"/>
          <w14:ligatures w14:val="none"/>
        </w:rPr>
      </w:pPr>
      <w:r w:rsidRPr="00660BDA">
        <w:rPr>
          <w:rFonts w:ascii="Cambria" w:hAnsi="Cambria"/>
          <w:sz w:val="20"/>
          <w:szCs w:val="20"/>
        </w:rPr>
        <w:t xml:space="preserve">Brève description des nouveaux travaux scientifiques requis (évaluation des stocks, analyse, consultant externe) : </w:t>
      </w:r>
      <w:r w:rsidRPr="00660BDA">
        <w:rPr>
          <w:rFonts w:ascii="Cambria" w:hAnsi="Cambria"/>
          <w:i/>
          <w:iCs/>
          <w:color w:val="EE0000"/>
          <w:sz w:val="20"/>
          <w:szCs w:val="20"/>
        </w:rPr>
        <w:t>N/A</w:t>
      </w:r>
    </w:p>
    <w:p w14:paraId="0687E768" w14:textId="77777777" w:rsidR="00715287" w:rsidRPr="00660BDA" w:rsidRDefault="00715287" w:rsidP="00715287">
      <w:pPr>
        <w:widowControl w:val="0"/>
        <w:autoSpaceDE w:val="0"/>
        <w:autoSpaceDN w:val="0"/>
        <w:spacing w:after="0" w:line="240" w:lineRule="auto"/>
        <w:ind w:left="318"/>
        <w:rPr>
          <w:rFonts w:ascii="Cambria" w:eastAsia="Cambria" w:hAnsi="Cambria" w:cs="Cambria"/>
          <w:kern w:val="0"/>
          <w:sz w:val="20"/>
          <w:szCs w:val="20"/>
          <w14:ligatures w14:val="none"/>
        </w:rPr>
      </w:pPr>
    </w:p>
    <w:p w14:paraId="221962D3" w14:textId="77777777" w:rsidR="00FD18B4" w:rsidRPr="00660BDA" w:rsidRDefault="00FD18B4" w:rsidP="00715287">
      <w:pPr>
        <w:widowControl w:val="0"/>
        <w:autoSpaceDE w:val="0"/>
        <w:autoSpaceDN w:val="0"/>
        <w:spacing w:after="0" w:line="240" w:lineRule="auto"/>
        <w:ind w:left="318"/>
        <w:rPr>
          <w:rFonts w:ascii="Cambria" w:eastAsia="Cambria" w:hAnsi="Cambria" w:cs="Cambria"/>
          <w:kern w:val="0"/>
          <w:sz w:val="20"/>
          <w:szCs w:val="20"/>
          <w14:ligatures w14:val="none"/>
        </w:rPr>
      </w:pPr>
    </w:p>
    <w:p w14:paraId="57EDC1BA" w14:textId="77777777" w:rsidR="003B15E9" w:rsidRPr="00660BDA" w:rsidRDefault="00715287" w:rsidP="003B15E9">
      <w:pPr>
        <w:pStyle w:val="ListParagraph"/>
        <w:numPr>
          <w:ilvl w:val="0"/>
          <w:numId w:val="3"/>
        </w:numPr>
        <w:ind w:left="426" w:hanging="426"/>
        <w:rPr>
          <w:rFonts w:ascii="Cambria" w:eastAsia="Cambria" w:hAnsi="Cambria" w:cs="Cambria"/>
          <w:color w:val="EE0000"/>
          <w:spacing w:val="-2"/>
          <w:kern w:val="0"/>
          <w:sz w:val="20"/>
          <w:szCs w:val="20"/>
          <w14:ligatures w14:val="none"/>
        </w:rPr>
      </w:pPr>
      <w:r w:rsidRPr="00660BDA">
        <w:rPr>
          <w:rFonts w:ascii="Cambria" w:hAnsi="Cambria"/>
          <w:sz w:val="20"/>
          <w:szCs w:val="20"/>
        </w:rPr>
        <w:t xml:space="preserve">Cela implique-t-il la création d'un </w:t>
      </w:r>
      <w:r w:rsidRPr="00660BDA">
        <w:rPr>
          <w:rFonts w:ascii="Cambria" w:hAnsi="Cambria"/>
          <w:b/>
          <w:bCs/>
          <w:sz w:val="20"/>
          <w:szCs w:val="20"/>
        </w:rPr>
        <w:t xml:space="preserve">nouveau groupe de travail ou d'un processus intersessions </w:t>
      </w:r>
      <w:r w:rsidRPr="00660BDA">
        <w:rPr>
          <w:rFonts w:ascii="Cambria" w:hAnsi="Cambria"/>
          <w:sz w:val="20"/>
          <w:szCs w:val="20"/>
        </w:rPr>
        <w:t xml:space="preserve">?    Oui </w:t>
      </w:r>
      <w:r w:rsidRPr="00660BDA">
        <w:rPr>
          <w:rFonts w:ascii="Segoe UI Symbol" w:hAnsi="Segoe UI Symbol" w:cs="Segoe UI Symbol"/>
          <w:sz w:val="20"/>
          <w:szCs w:val="20"/>
        </w:rPr>
        <w:t>☐</w:t>
      </w:r>
      <w:r w:rsidRPr="00660BDA">
        <w:rPr>
          <w:rFonts w:ascii="Cambria" w:hAnsi="Cambria"/>
          <w:sz w:val="20"/>
          <w:szCs w:val="20"/>
        </w:rPr>
        <w:t xml:space="preserve">  </w:t>
      </w:r>
      <w:r w:rsidRPr="00660BDA">
        <w:rPr>
          <w:rFonts w:ascii="Cambria" w:hAnsi="Cambria"/>
          <w:color w:val="EE0000"/>
          <w:sz w:val="20"/>
          <w:szCs w:val="20"/>
        </w:rPr>
        <w:t xml:space="preserve">Non </w:t>
      </w:r>
      <w:r w:rsidRPr="00660BDA">
        <w:rPr>
          <w:rFonts w:ascii="Segoe UI Symbol" w:hAnsi="Segoe UI Symbol" w:cs="Segoe UI Symbol"/>
          <w:color w:val="EE0000"/>
          <w:sz w:val="20"/>
          <w:szCs w:val="20"/>
        </w:rPr>
        <w:t>☒</w:t>
      </w:r>
    </w:p>
    <w:p w14:paraId="74C64CEA" w14:textId="572DEE9C" w:rsidR="00715287" w:rsidRPr="00660BDA" w:rsidRDefault="00715287" w:rsidP="003B15E9">
      <w:pPr>
        <w:pStyle w:val="ListParagraph"/>
        <w:widowControl w:val="0"/>
        <w:autoSpaceDE w:val="0"/>
        <w:autoSpaceDN w:val="0"/>
        <w:spacing w:after="0" w:line="240" w:lineRule="auto"/>
        <w:ind w:left="318"/>
        <w:rPr>
          <w:rFonts w:ascii="Cambria" w:eastAsia="Cambria" w:hAnsi="Cambria" w:cs="Cambria"/>
          <w:kern w:val="0"/>
          <w:sz w:val="20"/>
          <w:szCs w:val="20"/>
          <w14:ligatures w14:val="none"/>
        </w:rPr>
      </w:pPr>
    </w:p>
    <w:p w14:paraId="7681ACFB" w14:textId="77777777" w:rsidR="00715287" w:rsidRPr="00660BDA" w:rsidRDefault="00715287" w:rsidP="00715287">
      <w:pPr>
        <w:widowControl w:val="0"/>
        <w:autoSpaceDE w:val="0"/>
        <w:autoSpaceDN w:val="0"/>
        <w:spacing w:after="0" w:line="240" w:lineRule="auto"/>
        <w:ind w:left="318"/>
        <w:rPr>
          <w:rFonts w:ascii="Cambria" w:eastAsia="Cambria" w:hAnsi="Cambria" w:cs="Cambria"/>
          <w:kern w:val="0"/>
          <w:sz w:val="20"/>
          <w:szCs w:val="20"/>
          <w14:ligatures w14:val="none"/>
        </w:rPr>
      </w:pPr>
    </w:p>
    <w:p w14:paraId="67D622AD" w14:textId="77777777" w:rsidR="00715287" w:rsidRPr="00660BDA" w:rsidRDefault="00715287" w:rsidP="003B15E9">
      <w:pPr>
        <w:pStyle w:val="ListParagraph"/>
        <w:numPr>
          <w:ilvl w:val="0"/>
          <w:numId w:val="3"/>
        </w:numPr>
        <w:ind w:left="426" w:hanging="426"/>
        <w:rPr>
          <w:rFonts w:ascii="Cambria" w:eastAsia="Cambria" w:hAnsi="Cambria" w:cs="Cambria"/>
          <w:kern w:val="0"/>
          <w:sz w:val="20"/>
          <w:szCs w:val="20"/>
          <w14:ligatures w14:val="none"/>
        </w:rPr>
      </w:pPr>
      <w:r w:rsidRPr="00660BDA">
        <w:rPr>
          <w:rFonts w:ascii="Cambria" w:hAnsi="Cambria"/>
          <w:sz w:val="20"/>
          <w:szCs w:val="20"/>
        </w:rPr>
        <w:t xml:space="preserve">Cela nécessite-t-il un nouveau </w:t>
      </w:r>
      <w:r w:rsidRPr="00660BDA">
        <w:rPr>
          <w:rFonts w:ascii="Cambria" w:hAnsi="Cambria"/>
          <w:b/>
          <w:bCs/>
          <w:sz w:val="20"/>
          <w:szCs w:val="20"/>
        </w:rPr>
        <w:t xml:space="preserve">programme ou des activités supplémentaires à gérer par le Secrétariat </w:t>
      </w:r>
      <w:r w:rsidRPr="00660BDA">
        <w:rPr>
          <w:rFonts w:ascii="Cambria" w:hAnsi="Cambria"/>
          <w:sz w:val="20"/>
          <w:szCs w:val="20"/>
        </w:rPr>
        <w:t xml:space="preserve">?  </w:t>
      </w:r>
    </w:p>
    <w:p w14:paraId="39075591" w14:textId="47B79BF4" w:rsidR="00715287" w:rsidRPr="00660BDA" w:rsidRDefault="00C74329" w:rsidP="00C74329">
      <w:pPr>
        <w:widowControl w:val="0"/>
        <w:autoSpaceDE w:val="0"/>
        <w:autoSpaceDN w:val="0"/>
        <w:spacing w:after="0" w:line="240" w:lineRule="auto"/>
        <w:ind w:left="318" w:firstLine="108"/>
        <w:rPr>
          <w:rFonts w:ascii="Cambria" w:eastAsia="Cambria" w:hAnsi="Cambria" w:cs="Segoe UI Symbol"/>
          <w:color w:val="EE0000"/>
          <w:kern w:val="0"/>
          <w:sz w:val="20"/>
          <w:szCs w:val="20"/>
          <w14:ligatures w14:val="none"/>
        </w:rPr>
      </w:pPr>
      <w:r w:rsidRPr="00660BDA">
        <w:rPr>
          <w:rFonts w:ascii="Cambria" w:hAnsi="Cambria"/>
          <w:sz w:val="20"/>
          <w:szCs w:val="20"/>
        </w:rPr>
        <w:t xml:space="preserve">Oui </w:t>
      </w:r>
      <w:r w:rsidRPr="00660BDA">
        <w:rPr>
          <w:rFonts w:ascii="Segoe UI Symbol" w:hAnsi="Segoe UI Symbol" w:cs="Segoe UI Symbol"/>
          <w:sz w:val="20"/>
          <w:szCs w:val="20"/>
        </w:rPr>
        <w:t>☐</w:t>
      </w:r>
      <w:r w:rsidRPr="00660BDA">
        <w:rPr>
          <w:rFonts w:ascii="Cambria" w:hAnsi="Cambria"/>
          <w:sz w:val="20"/>
          <w:szCs w:val="20"/>
        </w:rPr>
        <w:t xml:space="preserve">  </w:t>
      </w:r>
      <w:r w:rsidRPr="00660BDA">
        <w:rPr>
          <w:rFonts w:ascii="Cambria" w:hAnsi="Cambria"/>
          <w:color w:val="EE0000"/>
          <w:sz w:val="20"/>
          <w:szCs w:val="20"/>
        </w:rPr>
        <w:t xml:space="preserve">Non </w:t>
      </w:r>
      <w:r w:rsidRPr="00660BDA">
        <w:rPr>
          <w:rFonts w:ascii="Segoe UI Symbol" w:hAnsi="Segoe UI Symbol" w:cs="Segoe UI Symbol"/>
          <w:color w:val="EE0000"/>
          <w:sz w:val="20"/>
          <w:szCs w:val="20"/>
        </w:rPr>
        <w:t>☒</w:t>
      </w:r>
    </w:p>
    <w:p w14:paraId="59847E1C" w14:textId="77777777" w:rsidR="00C74329" w:rsidRPr="00660BDA" w:rsidRDefault="00C74329" w:rsidP="00C74329">
      <w:pPr>
        <w:widowControl w:val="0"/>
        <w:autoSpaceDE w:val="0"/>
        <w:autoSpaceDN w:val="0"/>
        <w:spacing w:after="0" w:line="240" w:lineRule="auto"/>
        <w:ind w:left="318" w:firstLine="108"/>
        <w:rPr>
          <w:rFonts w:ascii="Cambria" w:eastAsia="Cambria" w:hAnsi="Cambria" w:cs="Cambria"/>
          <w:kern w:val="0"/>
          <w:sz w:val="20"/>
          <w:szCs w:val="20"/>
          <w14:ligatures w14:val="none"/>
        </w:rPr>
      </w:pPr>
    </w:p>
    <w:p w14:paraId="696A7F7A" w14:textId="322BD95E" w:rsidR="00715287" w:rsidRPr="00660BDA" w:rsidRDefault="00715287" w:rsidP="00715287">
      <w:pPr>
        <w:widowControl w:val="0"/>
        <w:autoSpaceDE w:val="0"/>
        <w:autoSpaceDN w:val="0"/>
        <w:spacing w:after="0" w:line="240" w:lineRule="auto"/>
        <w:ind w:left="360" w:firstLine="66"/>
        <w:jc w:val="both"/>
        <w:rPr>
          <w:rFonts w:ascii="Cambria" w:eastAsia="Cambria" w:hAnsi="Cambria" w:cs="Cambria"/>
          <w:i/>
          <w:iCs/>
          <w:color w:val="EE0000"/>
          <w:spacing w:val="-2"/>
          <w:kern w:val="0"/>
          <w:sz w:val="20"/>
          <w:szCs w:val="20"/>
          <w14:ligatures w14:val="none"/>
        </w:rPr>
      </w:pPr>
      <w:r w:rsidRPr="00660BDA">
        <w:rPr>
          <w:rFonts w:ascii="Cambria" w:hAnsi="Cambria"/>
          <w:sz w:val="20"/>
          <w:szCs w:val="20"/>
        </w:rPr>
        <w:t xml:space="preserve">Brève description du nouveau travail requis pour le Secrétariat : </w:t>
      </w:r>
    </w:p>
    <w:p w14:paraId="35A9696D" w14:textId="77777777" w:rsidR="00715287" w:rsidRPr="00660BDA" w:rsidRDefault="00715287" w:rsidP="00715287">
      <w:pPr>
        <w:widowControl w:val="0"/>
        <w:autoSpaceDE w:val="0"/>
        <w:autoSpaceDN w:val="0"/>
        <w:spacing w:after="0" w:line="240" w:lineRule="auto"/>
        <w:rPr>
          <w:rFonts w:ascii="Cambria" w:eastAsia="Cambria" w:hAnsi="Cambria" w:cs="Cambria"/>
          <w:spacing w:val="-2"/>
          <w:kern w:val="0"/>
          <w:sz w:val="20"/>
          <w:szCs w:val="20"/>
          <w14:ligatures w14:val="none"/>
        </w:rPr>
      </w:pPr>
    </w:p>
    <w:p w14:paraId="3F3E48F9" w14:textId="365DED5C" w:rsidR="00715287" w:rsidRPr="00ED1303" w:rsidRDefault="00715287" w:rsidP="004203A2">
      <w:pPr>
        <w:widowControl w:val="0"/>
        <w:autoSpaceDE w:val="0"/>
        <w:autoSpaceDN w:val="0"/>
        <w:spacing w:after="0" w:line="240" w:lineRule="auto"/>
        <w:ind w:left="426"/>
        <w:jc w:val="both"/>
        <w:rPr>
          <w:rFonts w:ascii="Cambria" w:eastAsia="Cambria" w:hAnsi="Cambria" w:cs="Cambria"/>
          <w:color w:val="EE0000"/>
          <w:spacing w:val="-2"/>
          <w:kern w:val="0"/>
          <w:sz w:val="20"/>
          <w:szCs w:val="20"/>
          <w14:ligatures w14:val="none"/>
        </w:rPr>
      </w:pPr>
      <w:r w:rsidRPr="00ED1303">
        <w:rPr>
          <w:rFonts w:ascii="Cambria" w:hAnsi="Cambria"/>
          <w:color w:val="EE0000"/>
          <w:sz w:val="20"/>
          <w:szCs w:val="20"/>
        </w:rPr>
        <w:t xml:space="preserve">Le Secrétariat de l’ICCAT serait chargé d’engager des consultations informelles avec le Secrétariat de la NAFO pour évaluer l’intérêt mutuel et la faisabilité d’élaborer un </w:t>
      </w:r>
      <w:r w:rsidR="00617690">
        <w:rPr>
          <w:rFonts w:ascii="Cambria" w:hAnsi="Cambria"/>
          <w:color w:val="EE0000"/>
          <w:sz w:val="20"/>
          <w:szCs w:val="20"/>
        </w:rPr>
        <w:t>protocole d’entente</w:t>
      </w:r>
      <w:r w:rsidRPr="00ED1303">
        <w:rPr>
          <w:rFonts w:ascii="Cambria" w:hAnsi="Cambria"/>
          <w:color w:val="EE0000"/>
          <w:sz w:val="20"/>
          <w:szCs w:val="20"/>
        </w:rPr>
        <w:t>, et d’en faire rapport à la Commission avant sa réunion de 2026.</w:t>
      </w:r>
    </w:p>
    <w:p w14:paraId="53825225" w14:textId="77777777" w:rsidR="00715287" w:rsidRPr="00660BDA" w:rsidRDefault="00715287" w:rsidP="00715287">
      <w:pPr>
        <w:widowControl w:val="0"/>
        <w:autoSpaceDE w:val="0"/>
        <w:autoSpaceDN w:val="0"/>
        <w:spacing w:after="0" w:line="240" w:lineRule="auto"/>
        <w:rPr>
          <w:rFonts w:ascii="Cambria" w:eastAsia="Cambria" w:hAnsi="Cambria" w:cs="Cambria"/>
          <w:spacing w:val="-2"/>
          <w:kern w:val="0"/>
          <w:sz w:val="20"/>
          <w:szCs w:val="20"/>
          <w14:ligatures w14:val="none"/>
        </w:rPr>
      </w:pPr>
    </w:p>
    <w:p w14:paraId="34F4E23B" w14:textId="77777777" w:rsidR="00FD18B4" w:rsidRPr="00660BDA" w:rsidRDefault="00FD18B4" w:rsidP="00715287">
      <w:pPr>
        <w:widowControl w:val="0"/>
        <w:autoSpaceDE w:val="0"/>
        <w:autoSpaceDN w:val="0"/>
        <w:spacing w:after="0" w:line="240" w:lineRule="auto"/>
        <w:rPr>
          <w:rFonts w:ascii="Cambria" w:eastAsia="Cambria" w:hAnsi="Cambria" w:cs="Cambria"/>
          <w:spacing w:val="-2"/>
          <w:kern w:val="0"/>
          <w:sz w:val="20"/>
          <w:szCs w:val="20"/>
          <w14:ligatures w14:val="none"/>
        </w:rPr>
      </w:pPr>
    </w:p>
    <w:p w14:paraId="49963F8A" w14:textId="77777777" w:rsidR="00715287" w:rsidRPr="00660BDA" w:rsidRDefault="00715287" w:rsidP="00FD18B4">
      <w:pPr>
        <w:pStyle w:val="ListParagraph"/>
        <w:numPr>
          <w:ilvl w:val="0"/>
          <w:numId w:val="3"/>
        </w:numPr>
        <w:ind w:left="426" w:hanging="426"/>
        <w:rPr>
          <w:rFonts w:ascii="Cambria" w:eastAsia="Cambria" w:hAnsi="Cambria" w:cs="Cambria"/>
          <w:spacing w:val="-2"/>
          <w:kern w:val="0"/>
          <w:sz w:val="20"/>
          <w:szCs w:val="20"/>
          <w14:ligatures w14:val="none"/>
        </w:rPr>
      </w:pPr>
      <w:r w:rsidRPr="00660BDA">
        <w:rPr>
          <w:rFonts w:ascii="Cambria" w:hAnsi="Cambria"/>
          <w:sz w:val="20"/>
          <w:szCs w:val="20"/>
        </w:rPr>
        <w:t>Quel est le calendrier proposé pour la mise en œuvre, et existe-t-il des calendriers spécifiques différents pour certaines CPC, pêcheries, régions, etc. ?</w:t>
      </w:r>
    </w:p>
    <w:p w14:paraId="260F96AE" w14:textId="77777777" w:rsidR="00715287" w:rsidRPr="00617690" w:rsidRDefault="00715287" w:rsidP="00FD18B4">
      <w:pPr>
        <w:widowControl w:val="0"/>
        <w:autoSpaceDE w:val="0"/>
        <w:autoSpaceDN w:val="0"/>
        <w:spacing w:after="0" w:line="240" w:lineRule="auto"/>
        <w:ind w:left="426"/>
        <w:jc w:val="both"/>
        <w:rPr>
          <w:rFonts w:ascii="Cambria" w:eastAsia="Cambria" w:hAnsi="Cambria" w:cs="Cambria"/>
          <w:color w:val="EE0000"/>
          <w:spacing w:val="-2"/>
          <w:kern w:val="0"/>
          <w:sz w:val="20"/>
          <w:szCs w:val="20"/>
          <w14:ligatures w14:val="none"/>
        </w:rPr>
      </w:pPr>
      <w:r w:rsidRPr="00617690">
        <w:rPr>
          <w:rFonts w:ascii="Cambria" w:hAnsi="Cambria"/>
          <w:color w:val="EE0000"/>
          <w:sz w:val="20"/>
          <w:szCs w:val="20"/>
        </w:rPr>
        <w:t>Ces consultations informelles auraient lieu tout au long de 2026, en vue de présenter les conclusions à la réunion de la Commission en novembre 2026.</w:t>
      </w:r>
    </w:p>
    <w:p w14:paraId="0C4D6F8E" w14:textId="77777777" w:rsidR="00715287" w:rsidRPr="00660BDA" w:rsidRDefault="00715287" w:rsidP="00715287">
      <w:pPr>
        <w:widowControl w:val="0"/>
        <w:autoSpaceDE w:val="0"/>
        <w:autoSpaceDN w:val="0"/>
        <w:spacing w:after="0" w:line="240" w:lineRule="auto"/>
        <w:rPr>
          <w:rFonts w:ascii="Cambria" w:eastAsia="Cambria" w:hAnsi="Cambria" w:cs="Cambria"/>
          <w:spacing w:val="-2"/>
          <w:kern w:val="0"/>
          <w:sz w:val="20"/>
          <w:szCs w:val="20"/>
          <w14:ligatures w14:val="none"/>
        </w:rPr>
      </w:pPr>
    </w:p>
    <w:p w14:paraId="27277090" w14:textId="77777777" w:rsidR="00FD18B4" w:rsidRPr="00660BDA" w:rsidRDefault="00FD18B4" w:rsidP="00715287">
      <w:pPr>
        <w:widowControl w:val="0"/>
        <w:autoSpaceDE w:val="0"/>
        <w:autoSpaceDN w:val="0"/>
        <w:spacing w:after="0" w:line="240" w:lineRule="auto"/>
        <w:rPr>
          <w:rFonts w:ascii="Cambria" w:eastAsia="Cambria" w:hAnsi="Cambria" w:cs="Cambria"/>
          <w:spacing w:val="-2"/>
          <w:kern w:val="0"/>
          <w:sz w:val="20"/>
          <w:szCs w:val="20"/>
          <w14:ligatures w14:val="none"/>
        </w:rPr>
      </w:pPr>
    </w:p>
    <w:p w14:paraId="11BD515D" w14:textId="77777777" w:rsidR="00715287" w:rsidRPr="00660BDA" w:rsidRDefault="00715287" w:rsidP="00FD18B4">
      <w:pPr>
        <w:pStyle w:val="ListParagraph"/>
        <w:numPr>
          <w:ilvl w:val="0"/>
          <w:numId w:val="3"/>
        </w:numPr>
        <w:ind w:left="426" w:hanging="426"/>
        <w:rPr>
          <w:rFonts w:ascii="Cambria" w:eastAsia="Cambria" w:hAnsi="Cambria" w:cs="Cambria"/>
          <w:spacing w:val="-2"/>
          <w:kern w:val="0"/>
          <w:sz w:val="20"/>
          <w:szCs w:val="20"/>
          <w14:ligatures w14:val="none"/>
        </w:rPr>
      </w:pPr>
      <w:r w:rsidRPr="00660BDA">
        <w:rPr>
          <w:rFonts w:ascii="Cambria" w:hAnsi="Cambria"/>
          <w:sz w:val="20"/>
          <w:szCs w:val="20"/>
        </w:rPr>
        <w:t>Existe-t-il d'autres informations pertinentes concernant les implications de la proposition en termes de ressources et de charge de travail ?</w:t>
      </w:r>
    </w:p>
    <w:p w14:paraId="0822DAA1" w14:textId="77777777" w:rsidR="00715287" w:rsidRPr="00617690" w:rsidRDefault="00715287" w:rsidP="00FD18B4">
      <w:pPr>
        <w:widowControl w:val="0"/>
        <w:autoSpaceDE w:val="0"/>
        <w:autoSpaceDN w:val="0"/>
        <w:spacing w:after="0" w:line="240" w:lineRule="auto"/>
        <w:ind w:left="426"/>
        <w:jc w:val="both"/>
        <w:rPr>
          <w:rFonts w:ascii="Cambria" w:eastAsia="Cambria" w:hAnsi="Cambria" w:cs="Cambria"/>
          <w:color w:val="EE0000"/>
          <w:spacing w:val="-2"/>
          <w:kern w:val="0"/>
          <w:sz w:val="20"/>
          <w:szCs w:val="20"/>
          <w14:ligatures w14:val="none"/>
        </w:rPr>
      </w:pPr>
      <w:r w:rsidRPr="00617690">
        <w:rPr>
          <w:rFonts w:ascii="Cambria" w:hAnsi="Cambria"/>
          <w:color w:val="EE0000"/>
          <w:sz w:val="20"/>
          <w:szCs w:val="20"/>
        </w:rPr>
        <w:t>S’il est mis en œuvre, les deux Secrétariats devraient amorcer le partage d’informations et de données.</w:t>
      </w:r>
    </w:p>
    <w:p w14:paraId="6DCD0CD7" w14:textId="77777777" w:rsidR="00715287" w:rsidRPr="00660BDA" w:rsidRDefault="00715287">
      <w:pPr>
        <w:rPr>
          <w:rFonts w:ascii="Cambria" w:eastAsia="Times New Roman" w:hAnsi="Cambria" w:cs="Open Sans"/>
          <w:b/>
          <w:bCs/>
          <w:color w:val="000000"/>
          <w:kern w:val="0"/>
          <w:sz w:val="20"/>
          <w:szCs w:val="20"/>
          <w14:ligatures w14:val="none"/>
        </w:rPr>
      </w:pPr>
      <w:r w:rsidRPr="00660BDA">
        <w:rPr>
          <w:rFonts w:ascii="Cambria" w:hAnsi="Cambria"/>
          <w:sz w:val="20"/>
          <w:szCs w:val="20"/>
        </w:rPr>
        <w:br w:type="page"/>
      </w:r>
    </w:p>
    <w:p w14:paraId="43ED2DFA" w14:textId="1CF919D0" w:rsidR="008E790A" w:rsidRPr="00660BDA" w:rsidRDefault="008E790A" w:rsidP="008E790A">
      <w:pPr>
        <w:pStyle w:val="NormalWeb"/>
        <w:spacing w:before="0" w:beforeAutospacing="0" w:after="0" w:afterAutospacing="0"/>
        <w:jc w:val="right"/>
        <w:rPr>
          <w:rFonts w:ascii="Cambria" w:hAnsi="Cambria" w:cs="Open Sans"/>
          <w:b/>
          <w:bCs/>
          <w:color w:val="000000"/>
          <w:sz w:val="20"/>
          <w:szCs w:val="20"/>
        </w:rPr>
      </w:pPr>
      <w:r w:rsidRPr="00660BDA">
        <w:rPr>
          <w:rFonts w:ascii="Cambria" w:hAnsi="Cambria"/>
          <w:b/>
          <w:bCs/>
          <w:color w:val="000000"/>
          <w:sz w:val="20"/>
          <w:szCs w:val="20"/>
        </w:rPr>
        <w:t>Original: anglais</w:t>
      </w:r>
    </w:p>
    <w:p w14:paraId="4B10B615" w14:textId="77777777" w:rsidR="008E790A" w:rsidRPr="00660BDA" w:rsidRDefault="008E790A" w:rsidP="008E790A">
      <w:pPr>
        <w:pStyle w:val="NormalWeb"/>
        <w:spacing w:before="0" w:beforeAutospacing="0" w:after="0" w:afterAutospacing="0"/>
        <w:jc w:val="right"/>
        <w:rPr>
          <w:rFonts w:ascii="Cambria" w:hAnsi="Cambria" w:cs="Open Sans"/>
          <w:b/>
          <w:bCs/>
          <w:color w:val="000000"/>
          <w:sz w:val="20"/>
          <w:szCs w:val="20"/>
        </w:rPr>
      </w:pPr>
    </w:p>
    <w:p w14:paraId="59A9E544" w14:textId="22737F73" w:rsidR="00B91831" w:rsidRPr="00660BDA" w:rsidRDefault="00B91831" w:rsidP="006A0192">
      <w:pPr>
        <w:pStyle w:val="NormalWeb"/>
        <w:spacing w:before="0" w:beforeAutospacing="0" w:after="0" w:afterAutospacing="0"/>
        <w:jc w:val="center"/>
        <w:rPr>
          <w:rFonts w:ascii="Cambria" w:hAnsi="Cambria" w:cs="Open Sans"/>
          <w:b/>
          <w:bCs/>
          <w:color w:val="000000"/>
          <w:sz w:val="20"/>
          <w:szCs w:val="20"/>
        </w:rPr>
      </w:pPr>
      <w:r w:rsidRPr="00660BDA">
        <w:rPr>
          <w:rFonts w:ascii="Cambria" w:hAnsi="Cambria"/>
          <w:b/>
          <w:bCs/>
          <w:color w:val="000000"/>
          <w:sz w:val="20"/>
          <w:szCs w:val="20"/>
        </w:rPr>
        <w:t>Document de discussion sur une proposition de protocole d’entente entre l’ICCAT et la NAFO</w:t>
      </w:r>
    </w:p>
    <w:p w14:paraId="21645384" w14:textId="0F6F43C0" w:rsidR="00AB5FA6" w:rsidRPr="00660BDA" w:rsidRDefault="00291E67" w:rsidP="006A0192">
      <w:pPr>
        <w:pStyle w:val="NormalWeb"/>
        <w:spacing w:before="0" w:beforeAutospacing="0" w:after="0" w:afterAutospacing="0"/>
        <w:jc w:val="center"/>
        <w:rPr>
          <w:rFonts w:ascii="Cambria" w:hAnsi="Cambria" w:cs="Open Sans"/>
          <w:sz w:val="20"/>
          <w:szCs w:val="20"/>
        </w:rPr>
      </w:pPr>
      <w:r w:rsidRPr="00660BDA">
        <w:rPr>
          <w:rFonts w:ascii="Cambria" w:hAnsi="Cambria"/>
          <w:i/>
          <w:iCs/>
          <w:color w:val="000000"/>
          <w:sz w:val="20"/>
          <w:szCs w:val="20"/>
        </w:rPr>
        <w:t>(Document soumis par le Canada)</w:t>
      </w:r>
    </w:p>
    <w:p w14:paraId="73708FC8" w14:textId="77777777" w:rsidR="006A0192" w:rsidRPr="00660BDA" w:rsidRDefault="006A0192" w:rsidP="006A0192">
      <w:pPr>
        <w:pStyle w:val="NormalWeb"/>
        <w:spacing w:before="0" w:beforeAutospacing="0" w:after="0" w:afterAutospacing="0"/>
        <w:jc w:val="both"/>
        <w:rPr>
          <w:rFonts w:ascii="Cambria" w:hAnsi="Cambria" w:cs="Open Sans"/>
          <w:b/>
          <w:bCs/>
          <w:color w:val="000000"/>
          <w:sz w:val="20"/>
          <w:szCs w:val="20"/>
        </w:rPr>
      </w:pPr>
    </w:p>
    <w:p w14:paraId="0DE51000" w14:textId="5891FBAA" w:rsidR="00B91831" w:rsidRPr="00660BDA" w:rsidRDefault="00B91831" w:rsidP="006A0192">
      <w:pPr>
        <w:pStyle w:val="NormalWeb"/>
        <w:spacing w:before="0" w:beforeAutospacing="0" w:after="0" w:afterAutospacing="0"/>
        <w:jc w:val="both"/>
        <w:rPr>
          <w:rFonts w:ascii="Cambria" w:hAnsi="Cambria" w:cs="Open Sans"/>
          <w:b/>
          <w:bCs/>
          <w:color w:val="000000"/>
          <w:sz w:val="20"/>
          <w:szCs w:val="20"/>
        </w:rPr>
      </w:pPr>
      <w:r w:rsidRPr="00660BDA">
        <w:rPr>
          <w:rFonts w:ascii="Cambria" w:hAnsi="Cambria"/>
          <w:b/>
          <w:bCs/>
          <w:color w:val="000000"/>
          <w:sz w:val="20"/>
          <w:szCs w:val="20"/>
        </w:rPr>
        <w:t>Introduction</w:t>
      </w:r>
    </w:p>
    <w:p w14:paraId="6B5DF690" w14:textId="77777777" w:rsidR="00291E67" w:rsidRPr="00660BDA" w:rsidRDefault="00291E67" w:rsidP="006A0192">
      <w:pPr>
        <w:pStyle w:val="NormalWeb"/>
        <w:spacing w:before="0" w:beforeAutospacing="0" w:after="0" w:afterAutospacing="0"/>
        <w:jc w:val="both"/>
        <w:rPr>
          <w:rFonts w:ascii="Cambria" w:hAnsi="Cambria" w:cs="Open Sans"/>
          <w:b/>
          <w:bCs/>
          <w:sz w:val="20"/>
          <w:szCs w:val="20"/>
        </w:rPr>
      </w:pPr>
    </w:p>
    <w:p w14:paraId="27A377A4" w14:textId="7E99FF9D" w:rsidR="00B91831" w:rsidRPr="00660BDA" w:rsidRDefault="00B91831" w:rsidP="006A0192">
      <w:pPr>
        <w:spacing w:after="0" w:line="240" w:lineRule="auto"/>
        <w:jc w:val="both"/>
        <w:rPr>
          <w:rFonts w:ascii="Cambria" w:eastAsia="Times New Roman" w:hAnsi="Cambria" w:cs="Open Sans"/>
          <w:kern w:val="0"/>
          <w:sz w:val="20"/>
          <w:szCs w:val="20"/>
          <w:shd w:val="clear" w:color="auto" w:fill="FFFFFF"/>
          <w14:ligatures w14:val="none"/>
        </w:rPr>
      </w:pPr>
      <w:r w:rsidRPr="00660BDA">
        <w:rPr>
          <w:rFonts w:ascii="Cambria" w:hAnsi="Cambria"/>
          <w:color w:val="000000"/>
          <w:sz w:val="20"/>
          <w:szCs w:val="20"/>
          <w:shd w:val="clear" w:color="auto" w:fill="FFFFFF"/>
        </w:rPr>
        <w:t xml:space="preserve">Depuis plusieurs années, </w:t>
      </w:r>
      <w:r w:rsidRPr="00660BDA">
        <w:rPr>
          <w:rFonts w:ascii="Cambria" w:hAnsi="Cambria"/>
          <w:color w:val="000000"/>
          <w:sz w:val="20"/>
          <w:szCs w:val="20"/>
        </w:rPr>
        <w:t xml:space="preserve">les organisations régionales de gestion des pêches (ORGP) </w:t>
      </w:r>
      <w:r w:rsidRPr="00660BDA">
        <w:rPr>
          <w:rFonts w:ascii="Cambria" w:hAnsi="Cambria"/>
          <w:color w:val="000000"/>
          <w:sz w:val="20"/>
          <w:szCs w:val="20"/>
          <w:shd w:val="clear" w:color="auto" w:fill="FFFFFF"/>
        </w:rPr>
        <w:t xml:space="preserve">qui ont des zones de Convention qui se chevauchent ou sont adjacentes à travers le monde signent des </w:t>
      </w:r>
      <w:r w:rsidRPr="00660BDA">
        <w:rPr>
          <w:rFonts w:ascii="Cambria" w:hAnsi="Cambria"/>
          <w:color w:val="000000"/>
          <w:sz w:val="20"/>
          <w:szCs w:val="20"/>
        </w:rPr>
        <w:t>Protocoles d’entente (</w:t>
      </w:r>
      <w:proofErr w:type="spellStart"/>
      <w:r w:rsidRPr="00660BDA">
        <w:rPr>
          <w:rFonts w:ascii="Cambria" w:hAnsi="Cambria"/>
          <w:color w:val="000000"/>
          <w:sz w:val="20"/>
          <w:szCs w:val="20"/>
        </w:rPr>
        <w:t>MoU</w:t>
      </w:r>
      <w:proofErr w:type="spellEnd"/>
      <w:r w:rsidRPr="00660BDA">
        <w:rPr>
          <w:rFonts w:ascii="Cambria" w:hAnsi="Cambria"/>
          <w:color w:val="000000"/>
          <w:sz w:val="20"/>
          <w:szCs w:val="20"/>
        </w:rPr>
        <w:t>)</w:t>
      </w:r>
      <w:r w:rsidRPr="00660BDA">
        <w:rPr>
          <w:rFonts w:ascii="Cambria" w:hAnsi="Cambria"/>
          <w:color w:val="000000"/>
          <w:sz w:val="20"/>
          <w:szCs w:val="20"/>
          <w:shd w:val="clear" w:color="auto" w:fill="FFFFFF"/>
        </w:rPr>
        <w:t xml:space="preserve"> pour leur permettre de partager des informations concernant leur gestion de l’activité de pêche dans ces zones.</w:t>
      </w:r>
      <w:r w:rsidR="00A7192F">
        <w:rPr>
          <w:rFonts w:ascii="Cambria" w:hAnsi="Cambria"/>
          <w:color w:val="000000"/>
          <w:sz w:val="20"/>
          <w:szCs w:val="20"/>
          <w:shd w:val="clear" w:color="auto" w:fill="FFFFFF"/>
        </w:rPr>
        <w:t xml:space="preserve"> </w:t>
      </w:r>
      <w:r w:rsidRPr="00660BDA">
        <w:rPr>
          <w:rFonts w:ascii="Cambria" w:hAnsi="Cambria"/>
          <w:sz w:val="20"/>
          <w:szCs w:val="20"/>
        </w:rPr>
        <w:t xml:space="preserve">D’autres ORGP ont démontré l’utilité d’un partage d’informations officiel afin d’améliorer les évaluations scientifiques, l’application et les approches écosystémiques des pêches. Tel est par exemple le cas du </w:t>
      </w:r>
      <w:r w:rsidR="004671DA">
        <w:rPr>
          <w:rFonts w:ascii="Cambria" w:hAnsi="Cambria"/>
          <w:color w:val="000000"/>
          <w:sz w:val="20"/>
          <w:szCs w:val="20"/>
        </w:rPr>
        <w:t>protocole d’entente</w:t>
      </w:r>
      <w:r w:rsidR="004671DA" w:rsidRPr="00660BDA">
        <w:rPr>
          <w:rFonts w:ascii="Cambria" w:hAnsi="Cambria"/>
          <w:sz w:val="20"/>
          <w:szCs w:val="20"/>
        </w:rPr>
        <w:t xml:space="preserve"> </w:t>
      </w:r>
      <w:r w:rsidRPr="00660BDA">
        <w:rPr>
          <w:rFonts w:ascii="Cambria" w:hAnsi="Cambria"/>
          <w:sz w:val="20"/>
          <w:szCs w:val="20"/>
        </w:rPr>
        <w:t xml:space="preserve">entre </w:t>
      </w:r>
      <w:r w:rsidRPr="00660BDA">
        <w:rPr>
          <w:rFonts w:ascii="Cambria" w:hAnsi="Cambria"/>
          <w:sz w:val="20"/>
          <w:szCs w:val="20"/>
          <w:shd w:val="clear" w:color="auto" w:fill="FFFFFF"/>
        </w:rPr>
        <w:t xml:space="preserve">la Commission des pêches pour le Pacifique central et occidental (WCPFC) et la Commission des thons de l’océan Indien (IOTC) (2009), et entre </w:t>
      </w:r>
      <w:r w:rsidRPr="00660BDA">
        <w:rPr>
          <w:rFonts w:ascii="Cambria" w:hAnsi="Cambria"/>
          <w:sz w:val="20"/>
          <w:szCs w:val="20"/>
        </w:rPr>
        <w:t xml:space="preserve">la Commission internationale pour la conservation des thonidés de l’Atlantique </w:t>
      </w:r>
      <w:r w:rsidRPr="00660BDA">
        <w:rPr>
          <w:rFonts w:ascii="Cambria" w:hAnsi="Cambria"/>
          <w:color w:val="000000"/>
          <w:sz w:val="20"/>
          <w:szCs w:val="20"/>
        </w:rPr>
        <w:t>(</w:t>
      </w:r>
      <w:r w:rsidRPr="00660BDA">
        <w:rPr>
          <w:rFonts w:ascii="Cambria" w:hAnsi="Cambria"/>
          <w:sz w:val="20"/>
          <w:szCs w:val="20"/>
          <w:shd w:val="clear" w:color="auto" w:fill="FFFFFF"/>
        </w:rPr>
        <w:t xml:space="preserve">ICCAT) et l’Organisation des pêches de l'Atlantique du Sud-Est (SEAFO) (2020). </w:t>
      </w:r>
    </w:p>
    <w:p w14:paraId="087F8F2B" w14:textId="77777777" w:rsidR="00291E67" w:rsidRPr="00660BDA" w:rsidRDefault="00291E67" w:rsidP="00291E67">
      <w:pPr>
        <w:spacing w:after="0" w:line="240" w:lineRule="auto"/>
        <w:jc w:val="both"/>
        <w:rPr>
          <w:rFonts w:ascii="Cambria" w:eastAsia="Times New Roman" w:hAnsi="Cambria" w:cs="Open Sans"/>
          <w:kern w:val="0"/>
          <w:sz w:val="20"/>
          <w:szCs w:val="20"/>
          <w14:ligatures w14:val="none"/>
        </w:rPr>
      </w:pPr>
    </w:p>
    <w:p w14:paraId="4531856D" w14:textId="2E011F87" w:rsidR="00B91831" w:rsidRPr="00BE6AAF" w:rsidRDefault="00B91831" w:rsidP="00291E67">
      <w:pPr>
        <w:pStyle w:val="NormalWeb"/>
        <w:spacing w:before="0" w:beforeAutospacing="0" w:after="0" w:afterAutospacing="0"/>
        <w:jc w:val="both"/>
        <w:rPr>
          <w:rStyle w:val="Emphasis"/>
          <w:rFonts w:ascii="Cambria" w:eastAsiaTheme="majorEastAsia" w:hAnsi="Cambria" w:cs="Open Sans"/>
          <w:i w:val="0"/>
          <w:iCs w:val="0"/>
          <w:sz w:val="20"/>
          <w:szCs w:val="20"/>
        </w:rPr>
      </w:pPr>
      <w:r w:rsidRPr="00660BDA">
        <w:rPr>
          <w:rFonts w:ascii="Cambria" w:hAnsi="Cambria"/>
          <w:color w:val="000000"/>
          <w:sz w:val="20"/>
          <w:szCs w:val="20"/>
        </w:rPr>
        <w:t xml:space="preserve">Simultanément, les ORGP ont réalisé des progrès vers l’incorporation des approches écosystémiques dans leurs travaux et la prise en compte des impacts du changement climatique sur les espèces relevant de leurs juridictions respectives. </w:t>
      </w:r>
      <w:r w:rsidRPr="00660BDA">
        <w:rPr>
          <w:rFonts w:ascii="Cambria" w:hAnsi="Cambria"/>
          <w:color w:val="000000"/>
          <w:sz w:val="20"/>
          <w:szCs w:val="20"/>
          <w:shd w:val="clear" w:color="auto" w:fill="FFFFFF"/>
        </w:rPr>
        <w:t xml:space="preserve">La </w:t>
      </w:r>
      <w:r w:rsidRPr="00660BDA">
        <w:rPr>
          <w:rFonts w:ascii="Cambria" w:hAnsi="Cambria"/>
          <w:color w:val="000000"/>
          <w:sz w:val="20"/>
          <w:szCs w:val="20"/>
        </w:rPr>
        <w:t>ratification et l’entrée en vigueur prévue de l’</w:t>
      </w:r>
      <w:r w:rsidR="00087CB8">
        <w:rPr>
          <w:rFonts w:ascii="Cambria" w:hAnsi="Cambria"/>
          <w:color w:val="000000"/>
          <w:sz w:val="20"/>
          <w:szCs w:val="20"/>
        </w:rPr>
        <w:t>A</w:t>
      </w:r>
      <w:r w:rsidRPr="00660BDA">
        <w:rPr>
          <w:rFonts w:ascii="Cambria" w:hAnsi="Cambria"/>
          <w:color w:val="000000"/>
          <w:sz w:val="20"/>
          <w:szCs w:val="20"/>
        </w:rPr>
        <w:t xml:space="preserve">ccord se rapportant à la Convention des Nations Unies sur le droit de la mer et portant sur </w:t>
      </w:r>
      <w:r w:rsidRPr="00BE6AAF">
        <w:rPr>
          <w:rFonts w:ascii="Cambria" w:hAnsi="Cambria"/>
          <w:color w:val="000000"/>
          <w:sz w:val="20"/>
          <w:szCs w:val="20"/>
        </w:rPr>
        <w:t xml:space="preserve">la conservation et l’utilisation durable de la diversité biologique marine des zones ne relevant pas de la juridiction nationale (accord BBNJ) devrait créer de nouvelles possibilités d’améliorer la coopération, la transparence et </w:t>
      </w:r>
      <w:r w:rsidRPr="00BE6AAF">
        <w:rPr>
          <w:rFonts w:ascii="Cambria" w:hAnsi="Cambria"/>
          <w:sz w:val="20"/>
          <w:szCs w:val="20"/>
        </w:rPr>
        <w:t>la prise de décision fondée sur la science en lien avec la conservation de la biodiversité. En renforçant la collaboration inter</w:t>
      </w:r>
      <w:r w:rsidRPr="00BE6AAF">
        <w:rPr>
          <w:rFonts w:ascii="Cambria" w:hAnsi="Cambria"/>
          <w:sz w:val="20"/>
          <w:szCs w:val="20"/>
        </w:rPr>
        <w:noBreakHyphen/>
        <w:t xml:space="preserve">ORGP d’une manière proactive, les ORGP, comme l’ICCAT et l’Organisation des pêches de l'Atlantique Nord-Ouest (NAFO), peuvent se positionner de sorte à optimiser ces avantages, exercer un leadership dans la gouvernance des océans et améliorer la qualité et l’efficacité de leurs mesures de conservation et de gestion. Cet engagement est déjà reflété dans la </w:t>
      </w:r>
      <w:r w:rsidRPr="00BE6AAF">
        <w:rPr>
          <w:rStyle w:val="Emphasis"/>
          <w:rFonts w:ascii="Cambria" w:hAnsi="Cambria"/>
          <w:sz w:val="20"/>
          <w:szCs w:val="20"/>
        </w:rPr>
        <w:t>Résolution de l’ICCAT concernant la mise en œuvre d’instruments de conservation de la biodiversité</w:t>
      </w:r>
      <w:r w:rsidRPr="00BE6AAF">
        <w:rPr>
          <w:rStyle w:val="Emphasis"/>
          <w:rFonts w:ascii="Cambria" w:hAnsi="Cambria"/>
          <w:i w:val="0"/>
          <w:iCs w:val="0"/>
          <w:sz w:val="20"/>
          <w:szCs w:val="20"/>
        </w:rPr>
        <w:t xml:space="preserve"> (Rés. 23-23).</w:t>
      </w:r>
    </w:p>
    <w:p w14:paraId="7ADFDD90" w14:textId="77777777" w:rsidR="002C7F05" w:rsidRPr="00BE6AAF" w:rsidRDefault="002C7F05" w:rsidP="00291E67">
      <w:pPr>
        <w:pStyle w:val="NormalWeb"/>
        <w:spacing w:before="0" w:beforeAutospacing="0" w:after="0" w:afterAutospacing="0"/>
        <w:jc w:val="both"/>
        <w:rPr>
          <w:rFonts w:ascii="Cambria" w:hAnsi="Cambria" w:cs="Open Sans"/>
          <w:color w:val="000000"/>
          <w:sz w:val="20"/>
          <w:szCs w:val="20"/>
        </w:rPr>
      </w:pPr>
    </w:p>
    <w:p w14:paraId="007C7355" w14:textId="7EFBB8EA" w:rsidR="00291E67" w:rsidRPr="00BE6AAF" w:rsidRDefault="00B91831" w:rsidP="00291E67">
      <w:pPr>
        <w:pStyle w:val="NormalWeb"/>
        <w:spacing w:before="0" w:beforeAutospacing="0" w:after="0" w:afterAutospacing="0"/>
        <w:jc w:val="both"/>
        <w:rPr>
          <w:rFonts w:ascii="Cambria" w:hAnsi="Cambria" w:cs="Open Sans"/>
          <w:color w:val="000000"/>
          <w:sz w:val="20"/>
          <w:szCs w:val="20"/>
          <w:shd w:val="clear" w:color="auto" w:fill="FFFFFF"/>
        </w:rPr>
      </w:pPr>
      <w:r w:rsidRPr="00BE6AAF">
        <w:rPr>
          <w:rFonts w:ascii="Cambria" w:hAnsi="Cambria"/>
          <w:color w:val="000000"/>
          <w:sz w:val="20"/>
          <w:szCs w:val="20"/>
          <w:shd w:val="clear" w:color="auto" w:fill="FFFFFF"/>
        </w:rPr>
        <w:t xml:space="preserve">L’ICCAT a établi des </w:t>
      </w:r>
      <w:r w:rsidR="00977619">
        <w:rPr>
          <w:rFonts w:ascii="Cambria" w:hAnsi="Cambria"/>
          <w:color w:val="000000"/>
          <w:sz w:val="20"/>
          <w:szCs w:val="20"/>
        </w:rPr>
        <w:t>protocole</w:t>
      </w:r>
      <w:r w:rsidR="00977619">
        <w:rPr>
          <w:rFonts w:ascii="Cambria" w:hAnsi="Cambria"/>
          <w:color w:val="000000"/>
          <w:sz w:val="20"/>
          <w:szCs w:val="20"/>
        </w:rPr>
        <w:t>s</w:t>
      </w:r>
      <w:r w:rsidR="00977619">
        <w:rPr>
          <w:rFonts w:ascii="Cambria" w:hAnsi="Cambria"/>
          <w:color w:val="000000"/>
          <w:sz w:val="20"/>
          <w:szCs w:val="20"/>
        </w:rPr>
        <w:t xml:space="preserve"> d’entente</w:t>
      </w:r>
      <w:r w:rsidR="00977619" w:rsidRPr="00BE6AAF">
        <w:rPr>
          <w:rFonts w:ascii="Cambria" w:hAnsi="Cambria"/>
          <w:color w:val="000000"/>
          <w:sz w:val="20"/>
          <w:szCs w:val="20"/>
          <w:shd w:val="clear" w:color="auto" w:fill="FFFFFF"/>
        </w:rPr>
        <w:t xml:space="preserve"> </w:t>
      </w:r>
      <w:r w:rsidRPr="00BE6AAF">
        <w:rPr>
          <w:rFonts w:ascii="Cambria" w:hAnsi="Cambria"/>
          <w:color w:val="000000"/>
          <w:sz w:val="20"/>
          <w:szCs w:val="20"/>
          <w:shd w:val="clear" w:color="auto" w:fill="FFFFFF"/>
        </w:rPr>
        <w:t xml:space="preserve">avec diverses organisations, dont la Commission de la mer des Sargasses (SSC), la Commission des pêches pour l'Atlantique Centre-Ouest, le Conseil international pour l'exploration de la mer, la Commission pour la conservation du thon rouge du </w:t>
      </w:r>
      <w:r w:rsidR="00D628DC" w:rsidRPr="00BE6AAF">
        <w:rPr>
          <w:rFonts w:ascii="Cambria" w:hAnsi="Cambria"/>
          <w:color w:val="000000"/>
          <w:sz w:val="20"/>
          <w:szCs w:val="20"/>
          <w:shd w:val="clear" w:color="auto" w:fill="FFFFFF"/>
        </w:rPr>
        <w:t>Sud</w:t>
      </w:r>
      <w:r w:rsidRPr="00BE6AAF">
        <w:rPr>
          <w:rFonts w:ascii="Cambria" w:hAnsi="Cambria"/>
          <w:color w:val="000000"/>
          <w:sz w:val="20"/>
          <w:szCs w:val="20"/>
          <w:shd w:val="clear" w:color="auto" w:fill="FFFFFF"/>
        </w:rPr>
        <w:t xml:space="preserve">, la Commission générale des pêches pour la Méditerranée, l’Accord sur la conservation des albatros et des pétrels, la Convention interaméricaine pour la protection et la conservation des tortues marines et la Commission des thons de l’océan Indien. Ces </w:t>
      </w:r>
      <w:r w:rsidR="00977619">
        <w:rPr>
          <w:rFonts w:ascii="Cambria" w:hAnsi="Cambria"/>
          <w:color w:val="000000"/>
          <w:sz w:val="20"/>
          <w:szCs w:val="20"/>
        </w:rPr>
        <w:t>protocole</w:t>
      </w:r>
      <w:r w:rsidR="00977619">
        <w:rPr>
          <w:rFonts w:ascii="Cambria" w:hAnsi="Cambria"/>
          <w:color w:val="000000"/>
          <w:sz w:val="20"/>
          <w:szCs w:val="20"/>
        </w:rPr>
        <w:t>s</w:t>
      </w:r>
      <w:r w:rsidR="00977619">
        <w:rPr>
          <w:rFonts w:ascii="Cambria" w:hAnsi="Cambria"/>
          <w:color w:val="000000"/>
          <w:sz w:val="20"/>
          <w:szCs w:val="20"/>
        </w:rPr>
        <w:t xml:space="preserve"> d’entente</w:t>
      </w:r>
      <w:r w:rsidR="00977619" w:rsidRPr="00BE6AAF">
        <w:rPr>
          <w:rFonts w:ascii="Cambria" w:hAnsi="Cambria"/>
          <w:color w:val="000000"/>
          <w:sz w:val="20"/>
          <w:szCs w:val="20"/>
          <w:shd w:val="clear" w:color="auto" w:fill="FFFFFF"/>
        </w:rPr>
        <w:t xml:space="preserve"> </w:t>
      </w:r>
      <w:r w:rsidRPr="00BE6AAF">
        <w:rPr>
          <w:rFonts w:ascii="Cambria" w:hAnsi="Cambria"/>
          <w:color w:val="000000"/>
          <w:sz w:val="20"/>
          <w:szCs w:val="20"/>
          <w:shd w:val="clear" w:color="auto" w:fill="FFFFFF"/>
        </w:rPr>
        <w:t>couvrent des domaines tels que les approches écosystémiques de la gestion des pêches, la collaboration scientifique et les priorités de conservation communes.</w:t>
      </w:r>
    </w:p>
    <w:p w14:paraId="1B9FD4AC" w14:textId="77777777" w:rsidR="009154B8" w:rsidRPr="00BE6AAF" w:rsidRDefault="009154B8" w:rsidP="00291E67">
      <w:pPr>
        <w:pStyle w:val="NormalWeb"/>
        <w:spacing w:before="0" w:beforeAutospacing="0" w:after="0" w:afterAutospacing="0"/>
        <w:jc w:val="both"/>
        <w:rPr>
          <w:rFonts w:ascii="Cambria" w:hAnsi="Cambria"/>
          <w:sz w:val="20"/>
          <w:szCs w:val="20"/>
        </w:rPr>
      </w:pPr>
    </w:p>
    <w:p w14:paraId="17D87EF1" w14:textId="5049EFDC" w:rsidR="00B91831" w:rsidRPr="00660BDA" w:rsidRDefault="00AD501E" w:rsidP="00291E67">
      <w:pPr>
        <w:pStyle w:val="NormalWeb"/>
        <w:spacing w:before="0" w:beforeAutospacing="0" w:after="0" w:afterAutospacing="0"/>
        <w:jc w:val="both"/>
        <w:rPr>
          <w:rFonts w:ascii="Cambria" w:hAnsi="Cambria" w:cs="Open Sans"/>
          <w:color w:val="000000" w:themeColor="text1"/>
          <w:sz w:val="20"/>
          <w:szCs w:val="20"/>
        </w:rPr>
      </w:pPr>
      <w:r w:rsidRPr="00BE6AAF">
        <w:rPr>
          <w:rFonts w:ascii="Cambria" w:hAnsi="Cambria"/>
          <w:sz w:val="20"/>
          <w:szCs w:val="20"/>
        </w:rPr>
        <w:t xml:space="preserve">La NAFO possède déjà une expérience pertinente à cet égard, </w:t>
      </w:r>
      <w:r w:rsidR="009154B8" w:rsidRPr="00BE6AAF">
        <w:rPr>
          <w:rFonts w:ascii="Cambria" w:hAnsi="Cambria"/>
          <w:sz w:val="20"/>
          <w:szCs w:val="20"/>
        </w:rPr>
        <w:t xml:space="preserve">dont </w:t>
      </w:r>
      <w:r w:rsidRPr="00BE6AAF">
        <w:rPr>
          <w:rFonts w:ascii="Cambria" w:hAnsi="Cambria"/>
          <w:sz w:val="20"/>
          <w:szCs w:val="20"/>
        </w:rPr>
        <w:t xml:space="preserve">son </w:t>
      </w:r>
      <w:r w:rsidR="00977619">
        <w:rPr>
          <w:rFonts w:ascii="Cambria" w:hAnsi="Cambria"/>
          <w:color w:val="000000"/>
          <w:sz w:val="20"/>
          <w:szCs w:val="20"/>
        </w:rPr>
        <w:t>protocole d’entente</w:t>
      </w:r>
      <w:r w:rsidR="00977619" w:rsidRPr="00BE6AAF">
        <w:rPr>
          <w:rFonts w:ascii="Cambria" w:hAnsi="Cambria"/>
          <w:sz w:val="20"/>
          <w:szCs w:val="20"/>
        </w:rPr>
        <w:t xml:space="preserve"> </w:t>
      </w:r>
      <w:r w:rsidRPr="00BE6AAF">
        <w:rPr>
          <w:rFonts w:ascii="Cambria" w:hAnsi="Cambria"/>
          <w:sz w:val="20"/>
          <w:szCs w:val="20"/>
        </w:rPr>
        <w:t xml:space="preserve">avec la SSC qui </w:t>
      </w:r>
      <w:r w:rsidR="009154B8" w:rsidRPr="00BE6AAF">
        <w:rPr>
          <w:rFonts w:ascii="Cambria" w:hAnsi="Cambria"/>
          <w:sz w:val="20"/>
          <w:szCs w:val="20"/>
        </w:rPr>
        <w:t xml:space="preserve">est </w:t>
      </w:r>
      <w:r w:rsidRPr="00BE6AAF">
        <w:rPr>
          <w:rFonts w:ascii="Cambria" w:hAnsi="Cambria"/>
          <w:sz w:val="20"/>
          <w:szCs w:val="20"/>
        </w:rPr>
        <w:t>axé sur le partage d’informations à même de soutenir les approches écosystémiques dans l’Atlantique Nord-Ouest. En outre, la NAFO a collaboré de manière informelle avec d’autres ORGP et organismes scientifiques, comme la Commission des pêches de l'Atlantique Nord-Est (</w:t>
      </w:r>
      <w:r w:rsidRPr="00BE6AAF">
        <w:rPr>
          <w:rFonts w:ascii="Cambria" w:hAnsi="Cambria"/>
          <w:color w:val="000000" w:themeColor="text1"/>
          <w:sz w:val="20"/>
          <w:szCs w:val="20"/>
        </w:rPr>
        <w:t xml:space="preserve">NEAFC) et le </w:t>
      </w:r>
      <w:r w:rsidRPr="00BE6AAF">
        <w:rPr>
          <w:rFonts w:ascii="Cambria" w:hAnsi="Cambria"/>
          <w:color w:val="000000" w:themeColor="text1"/>
          <w:sz w:val="20"/>
          <w:szCs w:val="20"/>
          <w:shd w:val="clear" w:color="auto" w:fill="FFFFFF"/>
        </w:rPr>
        <w:t>Conseil</w:t>
      </w:r>
      <w:r w:rsidRPr="00BE6AAF">
        <w:rPr>
          <w:rFonts w:ascii="Cambria" w:hAnsi="Cambria"/>
          <w:color w:val="000000" w:themeColor="text1"/>
          <w:sz w:val="20"/>
          <w:szCs w:val="20"/>
        </w:rPr>
        <w:t xml:space="preserve"> international pour l'exploration de la mer</w:t>
      </w:r>
      <w:r w:rsidRPr="00BE6AAF">
        <w:rPr>
          <w:rFonts w:ascii="Cambria" w:hAnsi="Cambria"/>
          <w:color w:val="000000" w:themeColor="text1"/>
          <w:sz w:val="20"/>
          <w:szCs w:val="20"/>
          <w:shd w:val="clear" w:color="auto" w:fill="FFFFFF"/>
        </w:rPr>
        <w:t> (</w:t>
      </w:r>
      <w:r w:rsidR="00D628DC" w:rsidRPr="00BE6AAF">
        <w:rPr>
          <w:rFonts w:ascii="Cambria" w:hAnsi="Cambria"/>
          <w:color w:val="000000" w:themeColor="text1"/>
          <w:sz w:val="20"/>
          <w:szCs w:val="20"/>
        </w:rPr>
        <w:t>CIEM</w:t>
      </w:r>
      <w:r w:rsidRPr="00BE6AAF">
        <w:rPr>
          <w:rFonts w:ascii="Cambria" w:hAnsi="Cambria"/>
          <w:color w:val="000000" w:themeColor="text1"/>
          <w:sz w:val="20"/>
          <w:szCs w:val="20"/>
        </w:rPr>
        <w:t>) sur le partage de données et la cartographie de l’habitat des écosystèmes marins vulnérables (VME). Cette expérience actuelle démontre la capacité de la NAFO à s’engager dans des cadres de coopération mutuellement bénéfiques qui pourraient être élargis par le biais d’un accord officiel avec l’ICCAT.</w:t>
      </w:r>
      <w:r w:rsidRPr="00660BDA">
        <w:rPr>
          <w:rFonts w:ascii="Cambria" w:hAnsi="Cambria"/>
          <w:color w:val="000000" w:themeColor="text1"/>
          <w:sz w:val="20"/>
          <w:szCs w:val="20"/>
        </w:rPr>
        <w:t xml:space="preserve"> </w:t>
      </w:r>
    </w:p>
    <w:p w14:paraId="3BC83F65" w14:textId="77777777" w:rsidR="00770D35" w:rsidRPr="00660BDA" w:rsidRDefault="00770D35" w:rsidP="00291E67">
      <w:pPr>
        <w:pStyle w:val="NormalWeb"/>
        <w:spacing w:before="0" w:beforeAutospacing="0" w:after="0" w:afterAutospacing="0"/>
        <w:jc w:val="both"/>
        <w:rPr>
          <w:rFonts w:ascii="Cambria" w:hAnsi="Cambria" w:cs="Open Sans"/>
          <w:sz w:val="20"/>
          <w:szCs w:val="20"/>
        </w:rPr>
      </w:pPr>
    </w:p>
    <w:p w14:paraId="4BB3CEFF" w14:textId="1FA46DB3" w:rsidR="00B91831" w:rsidRPr="00660BDA" w:rsidRDefault="00B91831" w:rsidP="00291E67">
      <w:pPr>
        <w:pStyle w:val="NormalWeb"/>
        <w:spacing w:before="0" w:beforeAutospacing="0" w:after="0" w:afterAutospacing="0"/>
        <w:jc w:val="both"/>
        <w:rPr>
          <w:rFonts w:ascii="Cambria" w:hAnsi="Cambria" w:cs="Open Sans"/>
          <w:color w:val="000000"/>
          <w:sz w:val="20"/>
          <w:szCs w:val="20"/>
        </w:rPr>
      </w:pPr>
      <w:r w:rsidRPr="00660BDA">
        <w:rPr>
          <w:rFonts w:ascii="Cambria" w:hAnsi="Cambria"/>
          <w:color w:val="000000"/>
          <w:sz w:val="20"/>
          <w:szCs w:val="20"/>
          <w:shd w:val="clear" w:color="auto" w:fill="FFFFFF"/>
        </w:rPr>
        <w:t xml:space="preserve">Cependant, aucun </w:t>
      </w:r>
      <w:r w:rsidR="00977619">
        <w:rPr>
          <w:rFonts w:ascii="Cambria" w:hAnsi="Cambria"/>
          <w:color w:val="000000"/>
          <w:sz w:val="20"/>
          <w:szCs w:val="20"/>
        </w:rPr>
        <w:t>protocole d’entente</w:t>
      </w:r>
      <w:r w:rsidR="00977619" w:rsidRPr="00660BDA">
        <w:rPr>
          <w:rFonts w:ascii="Cambria" w:hAnsi="Cambria"/>
          <w:color w:val="000000"/>
          <w:sz w:val="20"/>
          <w:szCs w:val="20"/>
          <w:shd w:val="clear" w:color="auto" w:fill="FFFFFF"/>
        </w:rPr>
        <w:t xml:space="preserve"> </w:t>
      </w:r>
      <w:r w:rsidRPr="00660BDA">
        <w:rPr>
          <w:rFonts w:ascii="Cambria" w:hAnsi="Cambria"/>
          <w:color w:val="000000"/>
          <w:sz w:val="20"/>
          <w:szCs w:val="20"/>
          <w:shd w:val="clear" w:color="auto" w:fill="FFFFFF"/>
        </w:rPr>
        <w:t>n’est actuellement mis en place entre l’ICCAT et la NAFO, malgré le chevauchement de leurs zones de Convention et les interactions documentées entre des espèces gérées par l’ICCAT et les pêcheries de la NAFO, notamment dans le contexte des impacts des engins et des prises accessoires. </w:t>
      </w:r>
      <w:r w:rsidRPr="00660BDA">
        <w:rPr>
          <w:rFonts w:ascii="Cambria" w:hAnsi="Cambria"/>
          <w:color w:val="000000"/>
          <w:sz w:val="20"/>
          <w:szCs w:val="20"/>
        </w:rPr>
        <w:t xml:space="preserve">À cet égard, le Canada propose que l’ICCAT étudie le développement d’un </w:t>
      </w:r>
      <w:r w:rsidR="00977619">
        <w:rPr>
          <w:rFonts w:ascii="Cambria" w:hAnsi="Cambria"/>
          <w:color w:val="000000"/>
          <w:sz w:val="20"/>
          <w:szCs w:val="20"/>
        </w:rPr>
        <w:t>protocole d’entente</w:t>
      </w:r>
      <w:r w:rsidR="00977619" w:rsidRPr="00660BDA">
        <w:rPr>
          <w:rFonts w:ascii="Cambria" w:hAnsi="Cambria"/>
          <w:color w:val="000000"/>
          <w:sz w:val="20"/>
          <w:szCs w:val="20"/>
        </w:rPr>
        <w:t xml:space="preserve"> </w:t>
      </w:r>
      <w:r w:rsidRPr="00660BDA">
        <w:rPr>
          <w:rFonts w:ascii="Cambria" w:hAnsi="Cambria"/>
          <w:color w:val="000000"/>
          <w:sz w:val="20"/>
          <w:szCs w:val="20"/>
        </w:rPr>
        <w:t xml:space="preserve">avec la NAFO. Ce </w:t>
      </w:r>
      <w:r w:rsidR="00977619">
        <w:rPr>
          <w:rFonts w:ascii="Cambria" w:hAnsi="Cambria"/>
          <w:color w:val="000000"/>
          <w:sz w:val="20"/>
          <w:szCs w:val="20"/>
        </w:rPr>
        <w:t>protocole d’entente</w:t>
      </w:r>
      <w:r w:rsidR="00977619" w:rsidRPr="00660BDA">
        <w:rPr>
          <w:rFonts w:ascii="Cambria" w:hAnsi="Cambria"/>
          <w:color w:val="000000"/>
          <w:sz w:val="20"/>
          <w:szCs w:val="20"/>
        </w:rPr>
        <w:t xml:space="preserve"> </w:t>
      </w:r>
      <w:r w:rsidRPr="00660BDA">
        <w:rPr>
          <w:rFonts w:ascii="Cambria" w:hAnsi="Cambria"/>
          <w:color w:val="000000"/>
          <w:sz w:val="20"/>
          <w:szCs w:val="20"/>
        </w:rPr>
        <w:t>pourrait faciliter et officialiser le partage d’informations sur des questions d’intérêt mutuel.</w:t>
      </w:r>
    </w:p>
    <w:p w14:paraId="340E3C92" w14:textId="77777777" w:rsidR="001C37A4" w:rsidRPr="00660BDA" w:rsidRDefault="001C37A4" w:rsidP="00291E67">
      <w:pPr>
        <w:pStyle w:val="NormalWeb"/>
        <w:spacing w:before="0" w:beforeAutospacing="0" w:after="0" w:afterAutospacing="0"/>
        <w:jc w:val="both"/>
        <w:rPr>
          <w:rFonts w:ascii="Cambria" w:hAnsi="Cambria" w:cs="Open Sans"/>
          <w:b/>
          <w:bCs/>
          <w:sz w:val="20"/>
          <w:szCs w:val="20"/>
        </w:rPr>
      </w:pPr>
    </w:p>
    <w:p w14:paraId="4472B7F7" w14:textId="77777777" w:rsidR="00BE6AAF" w:rsidRDefault="00BE6AAF">
      <w:pPr>
        <w:rPr>
          <w:rFonts w:ascii="Cambria" w:eastAsia="Times New Roman" w:hAnsi="Cambria" w:cs="Times New Roman"/>
          <w:b/>
          <w:bCs/>
          <w:color w:val="000000"/>
          <w:kern w:val="0"/>
          <w:sz w:val="20"/>
          <w:szCs w:val="20"/>
          <w14:ligatures w14:val="none"/>
        </w:rPr>
      </w:pPr>
      <w:r>
        <w:rPr>
          <w:rFonts w:ascii="Cambria" w:hAnsi="Cambria"/>
          <w:b/>
          <w:bCs/>
          <w:color w:val="000000"/>
          <w:sz w:val="20"/>
          <w:szCs w:val="20"/>
        </w:rPr>
        <w:br w:type="page"/>
      </w:r>
    </w:p>
    <w:p w14:paraId="4C18F9BB" w14:textId="30839EE0" w:rsidR="00B91831" w:rsidRPr="00660BDA" w:rsidRDefault="00B91831" w:rsidP="00291E67">
      <w:pPr>
        <w:pStyle w:val="NormalWeb"/>
        <w:spacing w:before="0" w:beforeAutospacing="0" w:after="0" w:afterAutospacing="0"/>
        <w:jc w:val="both"/>
        <w:rPr>
          <w:rFonts w:ascii="Cambria" w:hAnsi="Cambria" w:cs="Open Sans"/>
          <w:b/>
          <w:bCs/>
          <w:color w:val="000000"/>
          <w:sz w:val="20"/>
          <w:szCs w:val="20"/>
        </w:rPr>
      </w:pPr>
      <w:r w:rsidRPr="00660BDA">
        <w:rPr>
          <w:rFonts w:ascii="Cambria" w:hAnsi="Cambria"/>
          <w:b/>
          <w:bCs/>
          <w:color w:val="000000"/>
          <w:sz w:val="20"/>
          <w:szCs w:val="20"/>
        </w:rPr>
        <w:t>Contexte</w:t>
      </w:r>
    </w:p>
    <w:p w14:paraId="43D2D80F" w14:textId="77777777" w:rsidR="001C37A4" w:rsidRPr="00660BDA" w:rsidRDefault="001C37A4" w:rsidP="00291E67">
      <w:pPr>
        <w:pStyle w:val="NormalWeb"/>
        <w:spacing w:before="0" w:beforeAutospacing="0" w:after="0" w:afterAutospacing="0"/>
        <w:jc w:val="both"/>
        <w:rPr>
          <w:rFonts w:ascii="Cambria" w:hAnsi="Cambria" w:cs="Open Sans"/>
          <w:sz w:val="20"/>
          <w:szCs w:val="20"/>
        </w:rPr>
      </w:pPr>
    </w:p>
    <w:p w14:paraId="753166C1" w14:textId="2AA76202" w:rsidR="00B91831" w:rsidRPr="00660BDA" w:rsidRDefault="00B91831" w:rsidP="00291E67">
      <w:pPr>
        <w:pStyle w:val="NormalWeb"/>
        <w:spacing w:before="0" w:beforeAutospacing="0" w:after="0" w:afterAutospacing="0"/>
        <w:jc w:val="both"/>
        <w:rPr>
          <w:rFonts w:ascii="Cambria" w:hAnsi="Cambria" w:cs="Open Sans"/>
          <w:color w:val="000000"/>
          <w:sz w:val="20"/>
          <w:szCs w:val="20"/>
        </w:rPr>
      </w:pPr>
      <w:r w:rsidRPr="00660BDA">
        <w:rPr>
          <w:rFonts w:ascii="Cambria" w:hAnsi="Cambria"/>
          <w:color w:val="000000"/>
          <w:sz w:val="20"/>
          <w:szCs w:val="20"/>
        </w:rPr>
        <w:t xml:space="preserve">L’ICCAT et la NAFO sont deux ORGP opérant dans l’Atlantique Nord avec des zones de juridiction qui se chevauchent ou qui sont adjacentes. Alors que l’ICCAT porte sur la conservation des thonidés et des espèces apparentées, y compris des requins pélagiques, la NAFO gère principalement des stocks de poissons </w:t>
      </w:r>
      <w:r w:rsidRPr="00660BDA">
        <w:rPr>
          <w:rFonts w:ascii="Cambria" w:hAnsi="Cambria"/>
          <w:color w:val="000000"/>
          <w:sz w:val="20"/>
          <w:szCs w:val="20"/>
        </w:rPr>
        <w:lastRenderedPageBreak/>
        <w:t>démersaux et détermine et surveille des VME. Ces deux organisations s’attachent à mettre en œuvre des approches écosystémiques de la gestion des pêches.</w:t>
      </w:r>
    </w:p>
    <w:p w14:paraId="710AC0A9" w14:textId="77777777" w:rsidR="00507EEE" w:rsidRPr="00660BDA" w:rsidRDefault="00507EEE" w:rsidP="00291E67">
      <w:pPr>
        <w:pStyle w:val="NormalWeb"/>
        <w:spacing w:before="0" w:beforeAutospacing="0" w:after="0" w:afterAutospacing="0"/>
        <w:jc w:val="both"/>
        <w:rPr>
          <w:rFonts w:ascii="Cambria" w:hAnsi="Cambria" w:cs="Open Sans"/>
          <w:color w:val="000000"/>
          <w:sz w:val="20"/>
          <w:szCs w:val="20"/>
        </w:rPr>
      </w:pPr>
    </w:p>
    <w:p w14:paraId="033FE291" w14:textId="052FFC87" w:rsidR="00B91831" w:rsidRPr="009D1539" w:rsidRDefault="00B91831" w:rsidP="00291E67">
      <w:pPr>
        <w:pStyle w:val="NormalWeb"/>
        <w:spacing w:before="0" w:beforeAutospacing="0" w:after="0" w:afterAutospacing="0"/>
        <w:jc w:val="both"/>
        <w:rPr>
          <w:rFonts w:ascii="Cambria" w:hAnsi="Cambria" w:cs="Open Sans"/>
          <w:color w:val="000000"/>
          <w:sz w:val="20"/>
          <w:szCs w:val="20"/>
        </w:rPr>
      </w:pPr>
      <w:r w:rsidRPr="009D1539">
        <w:rPr>
          <w:rFonts w:ascii="Cambria" w:hAnsi="Cambria"/>
          <w:color w:val="000000"/>
          <w:sz w:val="20"/>
          <w:szCs w:val="20"/>
        </w:rPr>
        <w:t>L’</w:t>
      </w:r>
      <w:hyperlink r:id="rId11" w:history="1">
        <w:r w:rsidR="00926930" w:rsidRPr="009D1539">
          <w:rPr>
            <w:rStyle w:val="Hyperlink"/>
            <w:rFonts w:ascii="Cambria" w:hAnsi="Cambria"/>
            <w:sz w:val="20"/>
            <w:szCs w:val="20"/>
            <w:u w:val="none"/>
          </w:rPr>
          <w:t>A</w:t>
        </w:r>
        <w:r w:rsidRPr="009D1539">
          <w:rPr>
            <w:rStyle w:val="Hyperlink"/>
            <w:rFonts w:ascii="Cambria" w:hAnsi="Cambria"/>
            <w:sz w:val="20"/>
            <w:szCs w:val="20"/>
            <w:u w:val="none"/>
          </w:rPr>
          <w:t xml:space="preserve">ccord </w:t>
        </w:r>
        <w:r w:rsidRPr="009D1539">
          <w:rPr>
            <w:rStyle w:val="Hyperlink"/>
            <w:rFonts w:ascii="Cambria" w:hAnsi="Cambria"/>
            <w:sz w:val="20"/>
            <w:szCs w:val="20"/>
            <w:u w:val="none"/>
          </w:rPr>
          <w:t>BBNJ</w:t>
        </w:r>
      </w:hyperlink>
      <w:r w:rsidRPr="009D1539">
        <w:rPr>
          <w:rFonts w:ascii="Cambria" w:hAnsi="Cambria"/>
          <w:color w:val="000000"/>
          <w:sz w:val="20"/>
          <w:szCs w:val="20"/>
        </w:rPr>
        <w:t xml:space="preserve"> souligne l’importance du renforcement de la coopération entre les organisations compétentes opérant dans les zones ne relevant pas de la juridiction nationale. Il demande de mettre en œuvre des outils de gestion par zone, y compris mais sans s’y limiter les aires marines protégées, comme principaux instruments de conservation de la biodiversité. L’accord encourage également le partage des données scientifiques, l’amélioration de la transparence dans les processus de prise de décisions et le renforcement des capacités, en particulier pour les </w:t>
      </w:r>
      <w:r w:rsidR="009D1539">
        <w:rPr>
          <w:rFonts w:ascii="Cambria" w:hAnsi="Cambria"/>
          <w:color w:val="000000"/>
          <w:sz w:val="20"/>
          <w:szCs w:val="20"/>
        </w:rPr>
        <w:t>É</w:t>
      </w:r>
      <w:r w:rsidRPr="009D1539">
        <w:rPr>
          <w:rFonts w:ascii="Cambria" w:hAnsi="Cambria"/>
          <w:color w:val="000000"/>
          <w:sz w:val="20"/>
          <w:szCs w:val="20"/>
        </w:rPr>
        <w:t>tats en développement. L’accord reconnaît explicitement le rôle des ORGP et des autres organismes sectoriels et régionaux compétents et encourage des accords de coopération afin de garantir la cohérence et l’efficacité d</w:t>
      </w:r>
      <w:r w:rsidR="00E05564" w:rsidRPr="009D1539">
        <w:rPr>
          <w:rFonts w:ascii="Cambria" w:hAnsi="Cambria"/>
          <w:color w:val="000000"/>
          <w:sz w:val="20"/>
          <w:szCs w:val="20"/>
        </w:rPr>
        <w:t>e</w:t>
      </w:r>
      <w:r w:rsidRPr="009D1539">
        <w:rPr>
          <w:rFonts w:ascii="Cambria" w:hAnsi="Cambria"/>
          <w:color w:val="000000"/>
          <w:sz w:val="20"/>
          <w:szCs w:val="20"/>
        </w:rPr>
        <w:t xml:space="preserve"> la gouvernance de la biodiversité.</w:t>
      </w:r>
    </w:p>
    <w:p w14:paraId="7171692C" w14:textId="77777777" w:rsidR="00836FFE" w:rsidRPr="00660BDA" w:rsidRDefault="00836FFE" w:rsidP="00291E67">
      <w:pPr>
        <w:pStyle w:val="NormalWeb"/>
        <w:spacing w:before="0" w:beforeAutospacing="0" w:after="0" w:afterAutospacing="0"/>
        <w:jc w:val="both"/>
        <w:rPr>
          <w:rFonts w:ascii="Cambria" w:hAnsi="Cambria" w:cs="Open Sans"/>
          <w:color w:val="000000"/>
          <w:sz w:val="20"/>
          <w:szCs w:val="20"/>
        </w:rPr>
      </w:pPr>
    </w:p>
    <w:p w14:paraId="1CF1ACCC" w14:textId="01918351" w:rsidR="00253D63" w:rsidRPr="00660BDA" w:rsidRDefault="00253D63" w:rsidP="00291E67">
      <w:pPr>
        <w:pStyle w:val="NormalWeb"/>
        <w:spacing w:before="0" w:beforeAutospacing="0" w:after="0" w:afterAutospacing="0"/>
        <w:jc w:val="both"/>
        <w:rPr>
          <w:rFonts w:ascii="Cambria" w:hAnsi="Cambria" w:cs="Open Sans"/>
          <w:sz w:val="20"/>
          <w:szCs w:val="20"/>
        </w:rPr>
      </w:pPr>
      <w:r w:rsidRPr="00660BDA">
        <w:rPr>
          <w:rFonts w:ascii="Cambria" w:hAnsi="Cambria"/>
          <w:color w:val="000000"/>
          <w:sz w:val="20"/>
          <w:szCs w:val="20"/>
        </w:rPr>
        <w:t xml:space="preserve">Les ORGP ont convenu entre elles de l’importance de ce partage d’informations </w:t>
      </w:r>
      <w:r w:rsidR="00184A96" w:rsidRPr="00660BDA">
        <w:rPr>
          <w:rFonts w:ascii="Cambria" w:hAnsi="Cambria"/>
          <w:color w:val="000000"/>
          <w:sz w:val="20"/>
          <w:szCs w:val="20"/>
        </w:rPr>
        <w:t xml:space="preserve">ainsi que </w:t>
      </w:r>
      <w:r w:rsidRPr="00660BDA">
        <w:rPr>
          <w:rFonts w:ascii="Cambria" w:hAnsi="Cambria"/>
          <w:color w:val="000000"/>
          <w:sz w:val="20"/>
          <w:szCs w:val="20"/>
        </w:rPr>
        <w:t xml:space="preserve">de cette collaboration. </w:t>
      </w:r>
      <w:r w:rsidRPr="00660BDA">
        <w:rPr>
          <w:rFonts w:ascii="Cambria" w:hAnsi="Cambria"/>
          <w:sz w:val="20"/>
          <w:szCs w:val="20"/>
        </w:rPr>
        <w:t>À titre d’exemple</w:t>
      </w:r>
      <w:r w:rsidRPr="00660BDA">
        <w:rPr>
          <w:rFonts w:ascii="Cambria" w:hAnsi="Cambria"/>
          <w:color w:val="000000"/>
          <w:sz w:val="20"/>
          <w:szCs w:val="20"/>
        </w:rPr>
        <w:t>, lors de la réunion</w:t>
      </w:r>
      <w:r w:rsidRPr="00660BDA">
        <w:rPr>
          <w:rFonts w:ascii="Cambria" w:hAnsi="Cambria"/>
          <w:sz w:val="20"/>
          <w:szCs w:val="20"/>
        </w:rPr>
        <w:t xml:space="preserve"> intitulée </w:t>
      </w:r>
      <w:r w:rsidRPr="00660BDA">
        <w:rPr>
          <w:rStyle w:val="Emphasis"/>
          <w:rFonts w:ascii="Cambria" w:hAnsi="Cambria"/>
          <w:i w:val="0"/>
          <w:iCs w:val="0"/>
          <w:sz w:val="20"/>
          <w:szCs w:val="20"/>
        </w:rPr>
        <w:t>« Application de l'approche écosystémique de la gestion des pêches dans les ABJN »</w:t>
      </w:r>
      <w:r w:rsidRPr="00660BDA">
        <w:rPr>
          <w:rFonts w:ascii="Cambria" w:hAnsi="Cambria"/>
          <w:sz w:val="20"/>
          <w:szCs w:val="20"/>
        </w:rPr>
        <w:t xml:space="preserve"> convoquée par l’Organisation des Nations Unies pour l’alimentation et l’agriculture (FAO), la NAFO et l</w:t>
      </w:r>
      <w:r w:rsidR="00B51260">
        <w:rPr>
          <w:rFonts w:ascii="Cambria" w:hAnsi="Cambria"/>
          <w:sz w:val="20"/>
          <w:szCs w:val="20"/>
        </w:rPr>
        <w:t>e CIEM</w:t>
      </w:r>
      <w:r w:rsidRPr="00660BDA">
        <w:rPr>
          <w:rFonts w:ascii="Cambria" w:hAnsi="Cambria"/>
          <w:sz w:val="20"/>
          <w:szCs w:val="20"/>
        </w:rPr>
        <w:t xml:space="preserve"> à Rome en mars 2025, les participants ont convenu de poursuivre des dialogues de cette nature.</w:t>
      </w:r>
    </w:p>
    <w:p w14:paraId="1E8446C7" w14:textId="77777777" w:rsidR="007D1240" w:rsidRPr="00660BDA" w:rsidRDefault="007D1240" w:rsidP="00291E67">
      <w:pPr>
        <w:pStyle w:val="NormalWeb"/>
        <w:spacing w:before="0" w:beforeAutospacing="0" w:after="0" w:afterAutospacing="0"/>
        <w:jc w:val="both"/>
        <w:rPr>
          <w:rFonts w:ascii="Cambria" w:hAnsi="Cambria" w:cs="Open Sans"/>
          <w:sz w:val="20"/>
          <w:szCs w:val="20"/>
        </w:rPr>
      </w:pPr>
    </w:p>
    <w:p w14:paraId="44E39018" w14:textId="05BC34FF" w:rsidR="00B91831" w:rsidRPr="00660BDA" w:rsidRDefault="00FA59F5" w:rsidP="00291E67">
      <w:pPr>
        <w:pStyle w:val="NormalWeb"/>
        <w:spacing w:before="0" w:beforeAutospacing="0" w:after="0" w:afterAutospacing="0"/>
        <w:jc w:val="both"/>
        <w:rPr>
          <w:rFonts w:ascii="Cambria" w:hAnsi="Cambria" w:cs="Open Sans"/>
          <w:b/>
          <w:bCs/>
          <w:color w:val="000000"/>
          <w:sz w:val="20"/>
          <w:szCs w:val="20"/>
        </w:rPr>
      </w:pPr>
      <w:r w:rsidRPr="00660BDA">
        <w:rPr>
          <w:rFonts w:ascii="Cambria" w:hAnsi="Cambria"/>
          <w:b/>
          <w:bCs/>
          <w:color w:val="000000"/>
          <w:sz w:val="20"/>
          <w:szCs w:val="20"/>
        </w:rPr>
        <w:t>Bien-fondé</w:t>
      </w:r>
      <w:r w:rsidR="00B91831" w:rsidRPr="00660BDA">
        <w:rPr>
          <w:rFonts w:ascii="Cambria" w:hAnsi="Cambria"/>
          <w:b/>
          <w:bCs/>
          <w:color w:val="000000"/>
          <w:sz w:val="20"/>
          <w:szCs w:val="20"/>
        </w:rPr>
        <w:t xml:space="preserve"> d’un </w:t>
      </w:r>
      <w:r w:rsidR="00B51260" w:rsidRPr="00B51260">
        <w:rPr>
          <w:rFonts w:ascii="Cambria" w:hAnsi="Cambria"/>
          <w:b/>
          <w:bCs/>
          <w:color w:val="000000"/>
          <w:sz w:val="20"/>
          <w:szCs w:val="20"/>
        </w:rPr>
        <w:t>protocole d’entente</w:t>
      </w:r>
      <w:r w:rsidR="00B51260" w:rsidRPr="00B51260">
        <w:rPr>
          <w:rFonts w:ascii="Cambria" w:hAnsi="Cambria"/>
          <w:b/>
          <w:bCs/>
          <w:color w:val="000000"/>
          <w:sz w:val="20"/>
          <w:szCs w:val="20"/>
        </w:rPr>
        <w:t xml:space="preserve"> </w:t>
      </w:r>
      <w:r w:rsidR="00B91831" w:rsidRPr="00660BDA">
        <w:rPr>
          <w:rFonts w:ascii="Cambria" w:hAnsi="Cambria"/>
          <w:b/>
          <w:bCs/>
          <w:color w:val="000000"/>
          <w:sz w:val="20"/>
          <w:szCs w:val="20"/>
        </w:rPr>
        <w:t>entre l’ICCAT et la NAFO</w:t>
      </w:r>
    </w:p>
    <w:p w14:paraId="240E39C5" w14:textId="77777777" w:rsidR="007D1240" w:rsidRPr="00660BDA" w:rsidRDefault="007D1240" w:rsidP="00291E67">
      <w:pPr>
        <w:pStyle w:val="NormalWeb"/>
        <w:spacing w:before="0" w:beforeAutospacing="0" w:after="0" w:afterAutospacing="0"/>
        <w:jc w:val="both"/>
        <w:rPr>
          <w:rFonts w:ascii="Cambria" w:hAnsi="Cambria" w:cs="Open Sans"/>
          <w:sz w:val="20"/>
          <w:szCs w:val="20"/>
        </w:rPr>
      </w:pPr>
    </w:p>
    <w:p w14:paraId="69402DE8" w14:textId="53BF0231" w:rsidR="00B91831" w:rsidRPr="00660BDA" w:rsidRDefault="00B91831" w:rsidP="00291E67">
      <w:pPr>
        <w:pStyle w:val="NormalWeb"/>
        <w:spacing w:before="0" w:beforeAutospacing="0" w:after="0" w:afterAutospacing="0"/>
        <w:jc w:val="both"/>
        <w:rPr>
          <w:rFonts w:ascii="Cambria" w:hAnsi="Cambria" w:cs="Open Sans"/>
          <w:color w:val="000000"/>
          <w:sz w:val="20"/>
          <w:szCs w:val="20"/>
        </w:rPr>
      </w:pPr>
      <w:r w:rsidRPr="00660BDA">
        <w:rPr>
          <w:rFonts w:ascii="Cambria" w:hAnsi="Cambria"/>
          <w:color w:val="000000"/>
          <w:sz w:val="20"/>
          <w:szCs w:val="20"/>
        </w:rPr>
        <w:t xml:space="preserve">Un </w:t>
      </w:r>
      <w:r w:rsidR="00B51260">
        <w:rPr>
          <w:rFonts w:ascii="Cambria" w:hAnsi="Cambria"/>
          <w:color w:val="000000"/>
          <w:sz w:val="20"/>
          <w:szCs w:val="20"/>
        </w:rPr>
        <w:t>protocole d’entente</w:t>
      </w:r>
      <w:r w:rsidRPr="00660BDA">
        <w:rPr>
          <w:rFonts w:ascii="Cambria" w:hAnsi="Cambria"/>
          <w:color w:val="000000"/>
          <w:sz w:val="20"/>
          <w:szCs w:val="20"/>
        </w:rPr>
        <w:t xml:space="preserve"> entre l’ICCAT et la NAFO pourrait offrir un cadre officiel, sans être </w:t>
      </w:r>
      <w:r w:rsidR="00981949" w:rsidRPr="00660BDA">
        <w:rPr>
          <w:rFonts w:ascii="Cambria" w:hAnsi="Cambria"/>
          <w:color w:val="000000"/>
          <w:sz w:val="20"/>
          <w:szCs w:val="20"/>
        </w:rPr>
        <w:t xml:space="preserve">toutefois </w:t>
      </w:r>
      <w:r w:rsidRPr="00660BDA">
        <w:rPr>
          <w:rFonts w:ascii="Cambria" w:hAnsi="Cambria"/>
          <w:color w:val="000000"/>
          <w:sz w:val="20"/>
          <w:szCs w:val="20"/>
        </w:rPr>
        <w:t xml:space="preserve">juridiquement contraignant, permettant de renforcer la coopération dans des domaines d’intérêt commun. </w:t>
      </w:r>
    </w:p>
    <w:p w14:paraId="181A3FA1" w14:textId="77777777" w:rsidR="007D1240" w:rsidRPr="00660BDA" w:rsidRDefault="007D1240" w:rsidP="00291E67">
      <w:pPr>
        <w:pStyle w:val="NormalWeb"/>
        <w:spacing w:before="0" w:beforeAutospacing="0" w:after="0" w:afterAutospacing="0"/>
        <w:jc w:val="both"/>
        <w:rPr>
          <w:rFonts w:ascii="Cambria" w:hAnsi="Cambria" w:cs="Open Sans"/>
          <w:sz w:val="20"/>
          <w:szCs w:val="20"/>
        </w:rPr>
      </w:pPr>
    </w:p>
    <w:p w14:paraId="5E2E0A27" w14:textId="0C6BA0A6" w:rsidR="00B91831" w:rsidRPr="00660BDA" w:rsidRDefault="00B91831" w:rsidP="00291E67">
      <w:pPr>
        <w:pStyle w:val="NormalWeb"/>
        <w:spacing w:before="0" w:beforeAutospacing="0" w:after="0" w:afterAutospacing="0"/>
        <w:jc w:val="both"/>
        <w:rPr>
          <w:rFonts w:ascii="Cambria" w:hAnsi="Cambria" w:cs="Open Sans"/>
          <w:color w:val="000000"/>
          <w:sz w:val="20"/>
          <w:szCs w:val="20"/>
        </w:rPr>
      </w:pPr>
      <w:r w:rsidRPr="00660BDA">
        <w:rPr>
          <w:rFonts w:ascii="Cambria" w:hAnsi="Cambria"/>
          <w:color w:val="000000"/>
          <w:sz w:val="20"/>
          <w:szCs w:val="20"/>
        </w:rPr>
        <w:t xml:space="preserve">Un </w:t>
      </w:r>
      <w:r w:rsidR="00B51260">
        <w:rPr>
          <w:rFonts w:ascii="Cambria" w:hAnsi="Cambria"/>
          <w:color w:val="000000"/>
          <w:sz w:val="20"/>
          <w:szCs w:val="20"/>
        </w:rPr>
        <w:t>protocole d’entente</w:t>
      </w:r>
      <w:r w:rsidR="00B51260" w:rsidRPr="00660BDA">
        <w:rPr>
          <w:rFonts w:ascii="Cambria" w:hAnsi="Cambria"/>
          <w:color w:val="000000"/>
          <w:sz w:val="20"/>
          <w:szCs w:val="20"/>
        </w:rPr>
        <w:t xml:space="preserve"> </w:t>
      </w:r>
      <w:r w:rsidRPr="00660BDA">
        <w:rPr>
          <w:rFonts w:ascii="Cambria" w:hAnsi="Cambria"/>
          <w:color w:val="000000"/>
          <w:sz w:val="20"/>
          <w:szCs w:val="20"/>
        </w:rPr>
        <w:t>pourrait faciliter une participation plus coordonnée aux réunions et groupes de travail pertinents, renforçant les liens institutionnels et l’échange d’informations. Il pourrait également être un moyen de partager des informations sur les transbordements ou d’autres activités similaires, l’identification de navires pêchant de façon illicite ou d’autres problèmes opérationnels. Qui plus est, cette collaboration démontrerait l’alignement proactif de l’ICCAT sur les principes de l’accord BBNJ, dont la transparence, l’approche écosystémique et l’application d’outils de gestion par zone.</w:t>
      </w:r>
    </w:p>
    <w:p w14:paraId="371A263A" w14:textId="77777777" w:rsidR="00425BDA" w:rsidRPr="00660BDA" w:rsidRDefault="00425BDA" w:rsidP="00291E67">
      <w:pPr>
        <w:pStyle w:val="NormalWeb"/>
        <w:spacing w:before="0" w:beforeAutospacing="0" w:after="0" w:afterAutospacing="0"/>
        <w:jc w:val="both"/>
        <w:rPr>
          <w:rFonts w:ascii="Cambria" w:hAnsi="Cambria" w:cs="Open Sans"/>
          <w:sz w:val="20"/>
          <w:szCs w:val="20"/>
        </w:rPr>
      </w:pPr>
    </w:p>
    <w:p w14:paraId="020C4695" w14:textId="2D240598" w:rsidR="00BA60BE" w:rsidRPr="00660BDA" w:rsidRDefault="00B91831" w:rsidP="00291E67">
      <w:pPr>
        <w:pStyle w:val="NormalWeb"/>
        <w:spacing w:before="0" w:beforeAutospacing="0" w:after="0" w:afterAutospacing="0"/>
        <w:jc w:val="both"/>
        <w:rPr>
          <w:rFonts w:ascii="Cambria" w:hAnsi="Cambria" w:cs="Open Sans"/>
          <w:color w:val="000000"/>
          <w:sz w:val="20"/>
          <w:szCs w:val="20"/>
        </w:rPr>
      </w:pPr>
      <w:r w:rsidRPr="00660BDA">
        <w:rPr>
          <w:rFonts w:ascii="Cambria" w:hAnsi="Cambria"/>
          <w:color w:val="000000"/>
          <w:sz w:val="20"/>
          <w:szCs w:val="20"/>
        </w:rPr>
        <w:t xml:space="preserve">Ce </w:t>
      </w:r>
      <w:r w:rsidR="00B51260">
        <w:rPr>
          <w:rFonts w:ascii="Cambria" w:hAnsi="Cambria"/>
          <w:color w:val="000000"/>
          <w:sz w:val="20"/>
          <w:szCs w:val="20"/>
        </w:rPr>
        <w:t>protocole d’entente</w:t>
      </w:r>
      <w:r w:rsidR="00B51260" w:rsidRPr="00660BDA">
        <w:rPr>
          <w:rFonts w:ascii="Cambria" w:hAnsi="Cambria"/>
          <w:color w:val="000000"/>
          <w:sz w:val="20"/>
          <w:szCs w:val="20"/>
        </w:rPr>
        <w:t xml:space="preserve"> </w:t>
      </w:r>
      <w:r w:rsidRPr="00660BDA">
        <w:rPr>
          <w:rFonts w:ascii="Cambria" w:hAnsi="Cambria"/>
          <w:color w:val="000000"/>
          <w:sz w:val="20"/>
          <w:szCs w:val="20"/>
        </w:rPr>
        <w:t>pourrait permettre un partage d’informations structuré sur la répartition des espèces, les prises accessoires et les interactions avec les autres mesures de conservation efficaces par zone (OECM) et pourrait soutenir des évaluations scientifiques conjointes des impacts cumulés sur une biodiversité marine particulièrement sensible.</w:t>
      </w:r>
    </w:p>
    <w:p w14:paraId="0C7CDDB4" w14:textId="77777777" w:rsidR="00425BDA" w:rsidRPr="00660BDA" w:rsidRDefault="00425BDA" w:rsidP="00291E67">
      <w:pPr>
        <w:pStyle w:val="NormalWeb"/>
        <w:spacing w:before="0" w:beforeAutospacing="0" w:after="0" w:afterAutospacing="0"/>
        <w:jc w:val="both"/>
        <w:rPr>
          <w:rFonts w:ascii="Cambria" w:hAnsi="Cambria" w:cs="Open Sans"/>
          <w:sz w:val="20"/>
          <w:szCs w:val="20"/>
        </w:rPr>
      </w:pPr>
    </w:p>
    <w:p w14:paraId="7E67DAB4" w14:textId="332E21B5" w:rsidR="00B91831" w:rsidRPr="00660BDA" w:rsidRDefault="00425BDA" w:rsidP="00291E67">
      <w:pPr>
        <w:pStyle w:val="NormalWeb"/>
        <w:spacing w:before="0" w:beforeAutospacing="0" w:after="0" w:afterAutospacing="0"/>
        <w:jc w:val="both"/>
        <w:rPr>
          <w:rFonts w:ascii="Cambria" w:hAnsi="Cambria" w:cs="Open Sans"/>
          <w:b/>
          <w:bCs/>
          <w:color w:val="000000"/>
          <w:sz w:val="20"/>
          <w:szCs w:val="20"/>
        </w:rPr>
      </w:pPr>
      <w:r w:rsidRPr="00660BDA">
        <w:rPr>
          <w:rFonts w:ascii="Cambria" w:hAnsi="Cambria"/>
          <w:b/>
          <w:bCs/>
          <w:color w:val="000000"/>
          <w:sz w:val="20"/>
          <w:szCs w:val="20"/>
        </w:rPr>
        <w:t>Domaines de coopération potentiels</w:t>
      </w:r>
    </w:p>
    <w:p w14:paraId="3E68CAC5" w14:textId="77777777" w:rsidR="00425BDA" w:rsidRPr="00660BDA" w:rsidRDefault="00425BDA" w:rsidP="00291E67">
      <w:pPr>
        <w:pStyle w:val="NormalWeb"/>
        <w:spacing w:before="0" w:beforeAutospacing="0" w:after="0" w:afterAutospacing="0"/>
        <w:jc w:val="both"/>
        <w:rPr>
          <w:rFonts w:ascii="Cambria" w:hAnsi="Cambria" w:cs="Open Sans"/>
          <w:sz w:val="20"/>
          <w:szCs w:val="20"/>
        </w:rPr>
      </w:pPr>
    </w:p>
    <w:p w14:paraId="1657CA7E" w14:textId="3AD000AB" w:rsidR="008F0145" w:rsidRPr="00660BDA" w:rsidRDefault="008F0145" w:rsidP="00291E67">
      <w:pPr>
        <w:pStyle w:val="NormalWeb"/>
        <w:spacing w:before="0" w:beforeAutospacing="0" w:after="0" w:afterAutospacing="0"/>
        <w:jc w:val="both"/>
        <w:rPr>
          <w:rFonts w:ascii="Cambria" w:hAnsi="Cambria" w:cs="Open Sans"/>
          <w:color w:val="000000"/>
          <w:sz w:val="20"/>
          <w:szCs w:val="20"/>
        </w:rPr>
      </w:pPr>
      <w:r w:rsidRPr="00660BDA">
        <w:rPr>
          <w:rFonts w:ascii="Cambria" w:hAnsi="Cambria"/>
          <w:color w:val="000000"/>
          <w:sz w:val="20"/>
          <w:szCs w:val="20"/>
        </w:rPr>
        <w:t>Les Secrétariats, les Commissions et les organes scientifiques de ces deux ORGP devraient tenir une discussion sur les domaines de coopération mais les domaines potentiels suivants pourraient soutenir l’exécution du mandat des deux organisations. Nous proposons ces domaines de coopération uniquement qu’en tant options à étudier sans préjuger des domaines définitifs qui seront inclus.</w:t>
      </w:r>
    </w:p>
    <w:p w14:paraId="2F8CFD5C" w14:textId="77777777" w:rsidR="00900170" w:rsidRPr="00660BDA" w:rsidRDefault="00900170" w:rsidP="00291E67">
      <w:pPr>
        <w:pStyle w:val="NormalWeb"/>
        <w:spacing w:before="0" w:beforeAutospacing="0" w:after="0" w:afterAutospacing="0"/>
        <w:jc w:val="both"/>
        <w:rPr>
          <w:rFonts w:ascii="Cambria" w:hAnsi="Cambria" w:cs="Open Sans"/>
          <w:sz w:val="20"/>
          <w:szCs w:val="20"/>
        </w:rPr>
      </w:pPr>
    </w:p>
    <w:p w14:paraId="7ABA3E12" w14:textId="5BE95E80" w:rsidR="00900170" w:rsidRPr="00660BDA" w:rsidRDefault="00B91831" w:rsidP="00291E67">
      <w:pPr>
        <w:pStyle w:val="NormalWeb"/>
        <w:spacing w:before="0" w:beforeAutospacing="0" w:after="0" w:afterAutospacing="0"/>
        <w:jc w:val="both"/>
        <w:rPr>
          <w:rFonts w:ascii="Cambria" w:hAnsi="Cambria" w:cs="Open Sans"/>
          <w:b/>
          <w:bCs/>
          <w:i/>
          <w:iCs/>
          <w:color w:val="000000"/>
          <w:sz w:val="20"/>
          <w:szCs w:val="20"/>
        </w:rPr>
      </w:pPr>
      <w:r w:rsidRPr="00660BDA">
        <w:rPr>
          <w:rFonts w:ascii="Cambria" w:hAnsi="Cambria"/>
          <w:b/>
          <w:bCs/>
          <w:i/>
          <w:iCs/>
          <w:color w:val="000000"/>
          <w:sz w:val="20"/>
          <w:szCs w:val="20"/>
        </w:rPr>
        <w:t>Partage d’informations</w:t>
      </w:r>
    </w:p>
    <w:p w14:paraId="61C848AA" w14:textId="77777777" w:rsidR="00900170" w:rsidRPr="00660BDA" w:rsidRDefault="00900170" w:rsidP="00291E67">
      <w:pPr>
        <w:pStyle w:val="NormalWeb"/>
        <w:spacing w:before="0" w:beforeAutospacing="0" w:after="0" w:afterAutospacing="0"/>
        <w:jc w:val="both"/>
        <w:rPr>
          <w:rFonts w:ascii="Cambria" w:hAnsi="Cambria" w:cs="Open Sans"/>
          <w:i/>
          <w:iCs/>
          <w:color w:val="000000"/>
          <w:sz w:val="20"/>
          <w:szCs w:val="20"/>
        </w:rPr>
      </w:pPr>
    </w:p>
    <w:p w14:paraId="713E37BB" w14:textId="7E12EC89" w:rsidR="00B91831" w:rsidRPr="00660BDA" w:rsidRDefault="00B91831" w:rsidP="00291E67">
      <w:pPr>
        <w:pStyle w:val="NormalWeb"/>
        <w:spacing w:before="0" w:beforeAutospacing="0" w:after="0" w:afterAutospacing="0"/>
        <w:jc w:val="both"/>
        <w:rPr>
          <w:rFonts w:ascii="Cambria" w:hAnsi="Cambria" w:cs="Open Sans"/>
          <w:color w:val="000000"/>
          <w:sz w:val="20"/>
          <w:szCs w:val="20"/>
        </w:rPr>
      </w:pPr>
      <w:r w:rsidRPr="00660BDA">
        <w:rPr>
          <w:rFonts w:ascii="Cambria" w:hAnsi="Cambria"/>
          <w:color w:val="000000"/>
          <w:sz w:val="20"/>
          <w:szCs w:val="20"/>
        </w:rPr>
        <w:t>Un élément important est probablement l’échange d’informations, y compris les informations concernant la conservation de la biodiversité et des écosystèmes, les chevauchements de la répartition des espèces, les données sur les captures et les prises accessoires ainsi que les informations sur les navires, comme les navires de pêche autorisés et les listes de navires IUU. La coordination en matière de protocoles de déclaration pourrait garantir la transparence et l’harmonisation avec les exigences de l’</w:t>
      </w:r>
      <w:r w:rsidR="006276C5">
        <w:rPr>
          <w:rFonts w:ascii="Cambria" w:hAnsi="Cambria"/>
          <w:color w:val="000000"/>
          <w:sz w:val="20"/>
          <w:szCs w:val="20"/>
        </w:rPr>
        <w:t>A</w:t>
      </w:r>
      <w:r w:rsidRPr="00660BDA">
        <w:rPr>
          <w:rFonts w:ascii="Cambria" w:hAnsi="Cambria"/>
          <w:color w:val="000000"/>
          <w:sz w:val="20"/>
          <w:szCs w:val="20"/>
        </w:rPr>
        <w:t>ccord BBNJ.</w:t>
      </w:r>
    </w:p>
    <w:p w14:paraId="41CCFBAF" w14:textId="77777777" w:rsidR="00AA25C3" w:rsidRPr="00660BDA" w:rsidRDefault="00AA25C3" w:rsidP="00291E67">
      <w:pPr>
        <w:pStyle w:val="NormalWeb"/>
        <w:spacing w:before="0" w:beforeAutospacing="0" w:after="0" w:afterAutospacing="0"/>
        <w:jc w:val="both"/>
        <w:rPr>
          <w:rFonts w:ascii="Cambria" w:hAnsi="Cambria" w:cs="Open Sans"/>
          <w:sz w:val="20"/>
          <w:szCs w:val="20"/>
        </w:rPr>
      </w:pPr>
    </w:p>
    <w:p w14:paraId="7634B050" w14:textId="77777777" w:rsidR="002E1C24" w:rsidRDefault="002E1C24">
      <w:pPr>
        <w:rPr>
          <w:rFonts w:ascii="Cambria" w:eastAsia="Times New Roman" w:hAnsi="Cambria" w:cs="Times New Roman"/>
          <w:b/>
          <w:bCs/>
          <w:i/>
          <w:iCs/>
          <w:color w:val="000000"/>
          <w:kern w:val="0"/>
          <w:sz w:val="20"/>
          <w:szCs w:val="20"/>
          <w14:ligatures w14:val="none"/>
        </w:rPr>
      </w:pPr>
      <w:r>
        <w:rPr>
          <w:rFonts w:ascii="Cambria" w:hAnsi="Cambria"/>
          <w:b/>
          <w:bCs/>
          <w:i/>
          <w:iCs/>
          <w:color w:val="000000"/>
          <w:sz w:val="20"/>
          <w:szCs w:val="20"/>
        </w:rPr>
        <w:br w:type="page"/>
      </w:r>
    </w:p>
    <w:p w14:paraId="06DCCB27" w14:textId="4F6BD0C3" w:rsidR="00AA25C3" w:rsidRPr="00660BDA" w:rsidRDefault="00B91831" w:rsidP="00291E67">
      <w:pPr>
        <w:pStyle w:val="NormalWeb"/>
        <w:spacing w:before="0" w:beforeAutospacing="0" w:after="0" w:afterAutospacing="0"/>
        <w:jc w:val="both"/>
        <w:rPr>
          <w:rFonts w:ascii="Cambria" w:hAnsi="Cambria" w:cs="Open Sans"/>
          <w:b/>
          <w:bCs/>
          <w:i/>
          <w:iCs/>
          <w:color w:val="000000"/>
          <w:sz w:val="20"/>
          <w:szCs w:val="20"/>
        </w:rPr>
      </w:pPr>
      <w:r w:rsidRPr="00660BDA">
        <w:rPr>
          <w:rFonts w:ascii="Cambria" w:hAnsi="Cambria"/>
          <w:b/>
          <w:bCs/>
          <w:i/>
          <w:iCs/>
          <w:color w:val="000000"/>
          <w:sz w:val="20"/>
          <w:szCs w:val="20"/>
        </w:rPr>
        <w:t>Échange scientifique et technique</w:t>
      </w:r>
    </w:p>
    <w:p w14:paraId="0EB1C805" w14:textId="77777777" w:rsidR="00FA59F5" w:rsidRPr="00660BDA" w:rsidRDefault="00FA59F5" w:rsidP="00291E67">
      <w:pPr>
        <w:pStyle w:val="NormalWeb"/>
        <w:spacing w:before="0" w:beforeAutospacing="0" w:after="0" w:afterAutospacing="0"/>
        <w:jc w:val="both"/>
        <w:rPr>
          <w:rFonts w:ascii="Cambria" w:hAnsi="Cambria"/>
          <w:color w:val="000000"/>
          <w:sz w:val="20"/>
          <w:szCs w:val="20"/>
        </w:rPr>
      </w:pPr>
    </w:p>
    <w:p w14:paraId="7AECE303" w14:textId="0E708BD9" w:rsidR="00B91831" w:rsidRPr="00660BDA" w:rsidRDefault="00B91831" w:rsidP="00291E67">
      <w:pPr>
        <w:pStyle w:val="NormalWeb"/>
        <w:spacing w:before="0" w:beforeAutospacing="0" w:after="0" w:afterAutospacing="0"/>
        <w:jc w:val="both"/>
        <w:rPr>
          <w:rFonts w:ascii="Cambria" w:hAnsi="Cambria" w:cs="Open Sans"/>
          <w:color w:val="000000"/>
          <w:sz w:val="20"/>
          <w:szCs w:val="20"/>
        </w:rPr>
      </w:pPr>
      <w:r w:rsidRPr="00660BDA">
        <w:rPr>
          <w:rFonts w:ascii="Cambria" w:hAnsi="Cambria"/>
          <w:color w:val="000000"/>
          <w:sz w:val="20"/>
          <w:szCs w:val="20"/>
        </w:rPr>
        <w:t>Les deux organisations pourraient échanger des rapports de réunions, des documents et des publications, conformément à leurs politiques de partage des informations. La collaboration pourrait également s’étendre aux analyses et recherches conjointes sur des espèces d’intérêt mutuel.</w:t>
      </w:r>
    </w:p>
    <w:p w14:paraId="0E59D266" w14:textId="77777777" w:rsidR="00885301" w:rsidRDefault="00885301" w:rsidP="00291E67">
      <w:pPr>
        <w:pStyle w:val="NormalWeb"/>
        <w:spacing w:before="0" w:beforeAutospacing="0" w:after="0" w:afterAutospacing="0"/>
        <w:jc w:val="both"/>
        <w:rPr>
          <w:rFonts w:ascii="Cambria" w:hAnsi="Cambria"/>
          <w:b/>
          <w:bCs/>
          <w:i/>
          <w:iCs/>
          <w:color w:val="000000"/>
          <w:sz w:val="20"/>
          <w:szCs w:val="20"/>
        </w:rPr>
      </w:pPr>
    </w:p>
    <w:p w14:paraId="6FE821C9" w14:textId="64B4FCF9" w:rsidR="00AA25C3" w:rsidRPr="00660BDA" w:rsidRDefault="00B91831" w:rsidP="00291E67">
      <w:pPr>
        <w:pStyle w:val="NormalWeb"/>
        <w:spacing w:before="0" w:beforeAutospacing="0" w:after="0" w:afterAutospacing="0"/>
        <w:jc w:val="both"/>
        <w:rPr>
          <w:rFonts w:ascii="Cambria" w:hAnsi="Cambria" w:cs="Open Sans"/>
          <w:b/>
          <w:bCs/>
          <w:i/>
          <w:iCs/>
          <w:color w:val="000000"/>
          <w:sz w:val="20"/>
          <w:szCs w:val="20"/>
        </w:rPr>
      </w:pPr>
      <w:r w:rsidRPr="00660BDA">
        <w:rPr>
          <w:rFonts w:ascii="Cambria" w:hAnsi="Cambria"/>
          <w:b/>
          <w:bCs/>
          <w:i/>
          <w:iCs/>
          <w:color w:val="000000"/>
          <w:sz w:val="20"/>
          <w:szCs w:val="20"/>
        </w:rPr>
        <w:t>Consultation sur les politiques</w:t>
      </w:r>
    </w:p>
    <w:p w14:paraId="3249D526" w14:textId="77777777" w:rsidR="00FA59F5" w:rsidRPr="00660BDA" w:rsidRDefault="00FA59F5" w:rsidP="00291E67">
      <w:pPr>
        <w:pStyle w:val="NormalWeb"/>
        <w:spacing w:before="0" w:beforeAutospacing="0" w:after="0" w:afterAutospacing="0"/>
        <w:jc w:val="both"/>
        <w:rPr>
          <w:rFonts w:ascii="Cambria" w:hAnsi="Cambria"/>
          <w:color w:val="000000"/>
          <w:sz w:val="20"/>
          <w:szCs w:val="20"/>
        </w:rPr>
      </w:pPr>
    </w:p>
    <w:p w14:paraId="6CCDE173" w14:textId="5A760557" w:rsidR="00B91831" w:rsidRPr="00660BDA" w:rsidRDefault="00B91831" w:rsidP="00291E67">
      <w:pPr>
        <w:pStyle w:val="NormalWeb"/>
        <w:spacing w:before="0" w:beforeAutospacing="0" w:after="0" w:afterAutospacing="0"/>
        <w:jc w:val="both"/>
        <w:rPr>
          <w:rFonts w:ascii="Cambria" w:hAnsi="Cambria" w:cs="Open Sans"/>
          <w:color w:val="000000"/>
          <w:sz w:val="20"/>
          <w:szCs w:val="20"/>
        </w:rPr>
      </w:pPr>
      <w:r w:rsidRPr="00660BDA">
        <w:rPr>
          <w:rFonts w:ascii="Cambria" w:hAnsi="Cambria"/>
          <w:color w:val="000000"/>
          <w:sz w:val="20"/>
          <w:szCs w:val="20"/>
        </w:rPr>
        <w:t xml:space="preserve">Le </w:t>
      </w:r>
      <w:r w:rsidR="006276C5">
        <w:rPr>
          <w:rFonts w:ascii="Cambria" w:hAnsi="Cambria"/>
          <w:color w:val="000000"/>
          <w:sz w:val="20"/>
          <w:szCs w:val="20"/>
        </w:rPr>
        <w:t>protocole d’entente</w:t>
      </w:r>
      <w:r w:rsidR="006276C5" w:rsidRPr="00660BDA">
        <w:rPr>
          <w:rFonts w:ascii="Cambria" w:hAnsi="Cambria"/>
          <w:color w:val="000000"/>
          <w:sz w:val="20"/>
          <w:szCs w:val="20"/>
        </w:rPr>
        <w:t xml:space="preserve"> </w:t>
      </w:r>
      <w:r w:rsidRPr="00660BDA">
        <w:rPr>
          <w:rFonts w:ascii="Cambria" w:hAnsi="Cambria"/>
          <w:color w:val="000000"/>
          <w:sz w:val="20"/>
          <w:szCs w:val="20"/>
        </w:rPr>
        <w:t>pourrait instituer un cadre de consultation sur des outils de gestion spatiale comme des zones de fermeture, des restrictions d’engins et la surveillance de la conformité dans les zones de chevauchement des juridictions ou des écosystèmes. Il pourrait aussi favoriser la collaboration dans le partage d’informations sur les mesures de conservation et de gestion et, le cas échéant, dans l’harmonisation desdites mesures, et promouvoir un dialogue sur l’élaboration de politiques (par exemple, dans le cadre de l’</w:t>
      </w:r>
      <w:r w:rsidR="00563F57">
        <w:rPr>
          <w:rFonts w:ascii="Cambria" w:hAnsi="Cambria"/>
          <w:color w:val="000000"/>
          <w:sz w:val="20"/>
          <w:szCs w:val="20"/>
        </w:rPr>
        <w:t>A</w:t>
      </w:r>
      <w:r w:rsidRPr="00660BDA">
        <w:rPr>
          <w:rFonts w:ascii="Cambria" w:hAnsi="Cambria"/>
          <w:color w:val="000000"/>
          <w:sz w:val="20"/>
          <w:szCs w:val="20"/>
        </w:rPr>
        <w:t>ccord BBNJ, en vue de garantir une gestion par zone et une protection de la biodiversité uniformes et cohérentes).</w:t>
      </w:r>
    </w:p>
    <w:p w14:paraId="6F60FCE3" w14:textId="77777777" w:rsidR="009F3187" w:rsidRPr="00660BDA" w:rsidRDefault="009F3187" w:rsidP="00291E67">
      <w:pPr>
        <w:pStyle w:val="NormalWeb"/>
        <w:spacing w:before="0" w:beforeAutospacing="0" w:after="0" w:afterAutospacing="0"/>
        <w:jc w:val="both"/>
        <w:rPr>
          <w:rFonts w:ascii="Cambria" w:hAnsi="Cambria" w:cs="Open Sans"/>
          <w:sz w:val="20"/>
          <w:szCs w:val="20"/>
        </w:rPr>
      </w:pPr>
    </w:p>
    <w:p w14:paraId="37506F09" w14:textId="0A5C6C2B" w:rsidR="009F3187" w:rsidRPr="00660BDA" w:rsidRDefault="00B91831" w:rsidP="00291E67">
      <w:pPr>
        <w:pStyle w:val="NormalWeb"/>
        <w:spacing w:before="0" w:beforeAutospacing="0" w:after="0" w:afterAutospacing="0"/>
        <w:jc w:val="both"/>
        <w:rPr>
          <w:rFonts w:ascii="Cambria" w:hAnsi="Cambria" w:cs="Open Sans"/>
          <w:b/>
          <w:bCs/>
          <w:i/>
          <w:iCs/>
          <w:color w:val="000000"/>
          <w:sz w:val="20"/>
          <w:szCs w:val="20"/>
        </w:rPr>
      </w:pPr>
      <w:r w:rsidRPr="00660BDA">
        <w:rPr>
          <w:rFonts w:ascii="Cambria" w:hAnsi="Cambria"/>
          <w:b/>
          <w:bCs/>
          <w:i/>
          <w:iCs/>
          <w:color w:val="000000"/>
          <w:sz w:val="20"/>
          <w:szCs w:val="20"/>
        </w:rPr>
        <w:t>Renforcement des capacités</w:t>
      </w:r>
    </w:p>
    <w:p w14:paraId="6222EA23" w14:textId="77777777" w:rsidR="009F3187" w:rsidRPr="00660BDA" w:rsidRDefault="009F3187" w:rsidP="00291E67">
      <w:pPr>
        <w:pStyle w:val="NormalWeb"/>
        <w:spacing w:before="0" w:beforeAutospacing="0" w:after="0" w:afterAutospacing="0"/>
        <w:jc w:val="both"/>
        <w:rPr>
          <w:rFonts w:ascii="Cambria" w:hAnsi="Cambria" w:cs="Open Sans"/>
          <w:i/>
          <w:iCs/>
          <w:color w:val="000000"/>
          <w:sz w:val="20"/>
          <w:szCs w:val="20"/>
        </w:rPr>
      </w:pPr>
    </w:p>
    <w:p w14:paraId="314EE041" w14:textId="7D00768E" w:rsidR="00B91831" w:rsidRPr="00660BDA" w:rsidRDefault="00B91831" w:rsidP="00291E67">
      <w:pPr>
        <w:pStyle w:val="NormalWeb"/>
        <w:spacing w:before="0" w:beforeAutospacing="0" w:after="0" w:afterAutospacing="0"/>
        <w:jc w:val="both"/>
        <w:rPr>
          <w:rFonts w:ascii="Cambria" w:hAnsi="Cambria" w:cs="Open Sans"/>
          <w:color w:val="000000"/>
          <w:sz w:val="20"/>
          <w:szCs w:val="20"/>
        </w:rPr>
      </w:pPr>
      <w:r w:rsidRPr="00660BDA">
        <w:rPr>
          <w:rFonts w:ascii="Cambria" w:hAnsi="Cambria"/>
          <w:color w:val="000000"/>
          <w:sz w:val="20"/>
          <w:szCs w:val="20"/>
        </w:rPr>
        <w:t>La coopération pourrait inclure des programmes de formation conjoints sur les techniques d’évaluation, la sélectivité des engins, la modélisation des écosystèmes et l’évaluation de l</w:t>
      </w:r>
      <w:r w:rsidR="00563F57">
        <w:rPr>
          <w:rFonts w:ascii="Cambria" w:hAnsi="Cambria"/>
          <w:color w:val="000000"/>
          <w:sz w:val="20"/>
          <w:szCs w:val="20"/>
        </w:rPr>
        <w:t xml:space="preserve">’application </w:t>
      </w:r>
      <w:r w:rsidRPr="00660BDA">
        <w:rPr>
          <w:rFonts w:ascii="Cambria" w:hAnsi="Cambria"/>
          <w:color w:val="000000"/>
          <w:sz w:val="20"/>
          <w:szCs w:val="20"/>
        </w:rPr>
        <w:t>pour créer des compétences institutionnelles et soutenir des objectifs communs.</w:t>
      </w:r>
    </w:p>
    <w:p w14:paraId="39545ED3" w14:textId="77777777" w:rsidR="009F3187" w:rsidRPr="00660BDA" w:rsidRDefault="009F3187" w:rsidP="00291E67">
      <w:pPr>
        <w:pStyle w:val="NormalWeb"/>
        <w:spacing w:before="0" w:beforeAutospacing="0" w:after="0" w:afterAutospacing="0"/>
        <w:jc w:val="both"/>
        <w:rPr>
          <w:rFonts w:ascii="Cambria" w:hAnsi="Cambria" w:cs="Open Sans"/>
          <w:sz w:val="20"/>
          <w:szCs w:val="20"/>
        </w:rPr>
      </w:pPr>
    </w:p>
    <w:p w14:paraId="03B24E54" w14:textId="6F5DB57F" w:rsidR="009F3187" w:rsidRPr="00660BDA" w:rsidRDefault="00B91831" w:rsidP="00291E67">
      <w:pPr>
        <w:pStyle w:val="NormalWeb"/>
        <w:spacing w:before="0" w:beforeAutospacing="0" w:after="0" w:afterAutospacing="0"/>
        <w:jc w:val="both"/>
        <w:rPr>
          <w:rFonts w:ascii="Cambria" w:hAnsi="Cambria" w:cs="Open Sans"/>
          <w:b/>
          <w:bCs/>
          <w:i/>
          <w:iCs/>
          <w:color w:val="000000"/>
          <w:sz w:val="20"/>
          <w:szCs w:val="20"/>
        </w:rPr>
      </w:pPr>
      <w:r w:rsidRPr="00660BDA">
        <w:rPr>
          <w:rFonts w:ascii="Cambria" w:hAnsi="Cambria"/>
          <w:b/>
          <w:bCs/>
          <w:i/>
          <w:iCs/>
          <w:color w:val="000000"/>
          <w:sz w:val="20"/>
          <w:szCs w:val="20"/>
        </w:rPr>
        <w:t>Mécanismes de mise en œuvre</w:t>
      </w:r>
    </w:p>
    <w:p w14:paraId="297DB965" w14:textId="77777777" w:rsidR="00FA59F5" w:rsidRPr="00660BDA" w:rsidRDefault="00FA59F5" w:rsidP="00291E67">
      <w:pPr>
        <w:pStyle w:val="NormalWeb"/>
        <w:spacing w:before="0" w:beforeAutospacing="0" w:after="0" w:afterAutospacing="0"/>
        <w:jc w:val="both"/>
        <w:rPr>
          <w:rFonts w:ascii="Cambria" w:hAnsi="Cambria"/>
          <w:color w:val="000000"/>
          <w:sz w:val="20"/>
          <w:szCs w:val="20"/>
        </w:rPr>
      </w:pPr>
    </w:p>
    <w:p w14:paraId="39FDF19C" w14:textId="1A8989F2" w:rsidR="00B91831" w:rsidRPr="00660BDA" w:rsidRDefault="00B91831" w:rsidP="00291E67">
      <w:pPr>
        <w:pStyle w:val="NormalWeb"/>
        <w:spacing w:before="0" w:beforeAutospacing="0" w:after="0" w:afterAutospacing="0"/>
        <w:jc w:val="both"/>
        <w:rPr>
          <w:rFonts w:ascii="Cambria" w:hAnsi="Cambria" w:cs="Open Sans"/>
          <w:color w:val="000000"/>
          <w:sz w:val="20"/>
          <w:szCs w:val="20"/>
        </w:rPr>
      </w:pPr>
      <w:r w:rsidRPr="00660BDA">
        <w:rPr>
          <w:rFonts w:ascii="Cambria" w:hAnsi="Cambria"/>
          <w:color w:val="000000"/>
          <w:sz w:val="20"/>
          <w:szCs w:val="20"/>
        </w:rPr>
        <w:t>Afin de soutenir la collaboration, chaque organisation pourrait désigner des points de contact et encourager la communication et des rapports d’avancement réguliers. De surcroît, conformément aux normes de procédures et de confidentialité, les représentants bénéficieraient du statut d’observateur réciproque aux réunions pertinentes afin de renforcer la transparence et la coopération.</w:t>
      </w:r>
    </w:p>
    <w:p w14:paraId="2F499C7A" w14:textId="77777777" w:rsidR="008E7AA0" w:rsidRPr="00660BDA" w:rsidRDefault="008E7AA0" w:rsidP="00291E67">
      <w:pPr>
        <w:pStyle w:val="NormalWeb"/>
        <w:spacing w:before="0" w:beforeAutospacing="0" w:after="0" w:afterAutospacing="0"/>
        <w:jc w:val="both"/>
        <w:rPr>
          <w:rFonts w:ascii="Cambria" w:hAnsi="Cambria" w:cs="Open Sans"/>
          <w:sz w:val="20"/>
          <w:szCs w:val="20"/>
        </w:rPr>
      </w:pPr>
    </w:p>
    <w:p w14:paraId="5E2AB8E6" w14:textId="0180DD81" w:rsidR="00B91831" w:rsidRPr="00660BDA" w:rsidRDefault="00B91831" w:rsidP="00291E67">
      <w:pPr>
        <w:pStyle w:val="NormalWeb"/>
        <w:spacing w:before="0" w:beforeAutospacing="0" w:after="0" w:afterAutospacing="0"/>
        <w:jc w:val="both"/>
        <w:rPr>
          <w:rFonts w:ascii="Cambria" w:hAnsi="Cambria" w:cs="Open Sans"/>
          <w:color w:val="000000"/>
          <w:sz w:val="20"/>
          <w:szCs w:val="20"/>
        </w:rPr>
      </w:pPr>
      <w:r w:rsidRPr="00660BDA">
        <w:rPr>
          <w:rFonts w:ascii="Cambria" w:hAnsi="Cambria"/>
          <w:color w:val="000000"/>
          <w:sz w:val="20"/>
          <w:szCs w:val="20"/>
        </w:rPr>
        <w:t xml:space="preserve">Le </w:t>
      </w:r>
      <w:r w:rsidR="00B11696">
        <w:rPr>
          <w:rFonts w:ascii="Cambria" w:hAnsi="Cambria"/>
          <w:color w:val="000000"/>
          <w:sz w:val="20"/>
          <w:szCs w:val="20"/>
        </w:rPr>
        <w:t>protocole d’entente</w:t>
      </w:r>
      <w:r w:rsidR="00B11696" w:rsidRPr="00660BDA">
        <w:rPr>
          <w:rFonts w:ascii="Cambria" w:hAnsi="Cambria"/>
          <w:color w:val="000000"/>
          <w:sz w:val="20"/>
          <w:szCs w:val="20"/>
        </w:rPr>
        <w:t xml:space="preserve"> </w:t>
      </w:r>
      <w:r w:rsidRPr="00660BDA">
        <w:rPr>
          <w:rFonts w:ascii="Cambria" w:hAnsi="Cambria"/>
          <w:color w:val="000000"/>
          <w:sz w:val="20"/>
          <w:szCs w:val="20"/>
        </w:rPr>
        <w:t>pourrait continuer à être non contraignant et à titre volontaire, tout respectant le mandat et le cadre juridique de chaque organisation, les considérations relatives à la confidentialité des données de chaque Partie contractante, et en conformité avec des accords similaires conclus parmi les ORGP.</w:t>
      </w:r>
    </w:p>
    <w:p w14:paraId="7106F0D5" w14:textId="77777777" w:rsidR="008E7AA0" w:rsidRPr="00660BDA" w:rsidRDefault="008E7AA0" w:rsidP="00291E67">
      <w:pPr>
        <w:pStyle w:val="NormalWeb"/>
        <w:spacing w:before="0" w:beforeAutospacing="0" w:after="0" w:afterAutospacing="0"/>
        <w:jc w:val="both"/>
        <w:rPr>
          <w:rFonts w:ascii="Cambria" w:hAnsi="Cambria" w:cs="Open Sans"/>
          <w:sz w:val="20"/>
          <w:szCs w:val="20"/>
        </w:rPr>
      </w:pPr>
    </w:p>
    <w:p w14:paraId="2804377B" w14:textId="4B1C431B" w:rsidR="00B91831" w:rsidRPr="00660BDA" w:rsidRDefault="00B91831" w:rsidP="00291E67">
      <w:pPr>
        <w:pStyle w:val="NormalWeb"/>
        <w:spacing w:before="0" w:beforeAutospacing="0" w:after="0" w:afterAutospacing="0"/>
        <w:jc w:val="both"/>
        <w:rPr>
          <w:rFonts w:ascii="Cambria" w:hAnsi="Cambria" w:cs="Open Sans"/>
          <w:b/>
          <w:bCs/>
          <w:color w:val="000000"/>
          <w:sz w:val="20"/>
          <w:szCs w:val="20"/>
        </w:rPr>
      </w:pPr>
      <w:r w:rsidRPr="00660BDA">
        <w:rPr>
          <w:rFonts w:ascii="Cambria" w:hAnsi="Cambria"/>
          <w:b/>
          <w:bCs/>
          <w:color w:val="000000"/>
          <w:sz w:val="20"/>
          <w:szCs w:val="20"/>
        </w:rPr>
        <w:t>Harmonisation avec l’approche écosystémique des pêches de l’ICCAT</w:t>
      </w:r>
    </w:p>
    <w:p w14:paraId="1049F3B6" w14:textId="77777777" w:rsidR="008E7AA0" w:rsidRPr="00660BDA" w:rsidRDefault="008E7AA0" w:rsidP="00291E67">
      <w:pPr>
        <w:pStyle w:val="NormalWeb"/>
        <w:spacing w:before="0" w:beforeAutospacing="0" w:after="0" w:afterAutospacing="0"/>
        <w:jc w:val="both"/>
        <w:rPr>
          <w:rFonts w:ascii="Cambria" w:hAnsi="Cambria" w:cs="Open Sans"/>
          <w:b/>
          <w:bCs/>
          <w:sz w:val="20"/>
          <w:szCs w:val="20"/>
        </w:rPr>
      </w:pPr>
    </w:p>
    <w:p w14:paraId="44D1410D" w14:textId="696A0209" w:rsidR="00B91831" w:rsidRPr="00660BDA" w:rsidRDefault="006172C6" w:rsidP="00291E67">
      <w:pPr>
        <w:pStyle w:val="NormalWeb"/>
        <w:spacing w:before="0" w:beforeAutospacing="0" w:after="0" w:afterAutospacing="0"/>
        <w:jc w:val="both"/>
        <w:rPr>
          <w:rFonts w:ascii="Cambria" w:hAnsi="Cambria" w:cs="Open Sans"/>
          <w:color w:val="000000"/>
          <w:sz w:val="20"/>
          <w:szCs w:val="20"/>
        </w:rPr>
      </w:pPr>
      <w:r w:rsidRPr="00660BDA">
        <w:rPr>
          <w:rFonts w:ascii="Cambria" w:hAnsi="Cambria"/>
          <w:color w:val="000000"/>
          <w:sz w:val="20"/>
          <w:szCs w:val="20"/>
        </w:rPr>
        <w:t xml:space="preserve">Ce </w:t>
      </w:r>
      <w:r w:rsidR="00131341">
        <w:rPr>
          <w:rFonts w:ascii="Cambria" w:hAnsi="Cambria"/>
          <w:color w:val="000000"/>
          <w:sz w:val="20"/>
          <w:szCs w:val="20"/>
        </w:rPr>
        <w:t>protocole d’entente</w:t>
      </w:r>
      <w:r w:rsidR="00131341" w:rsidRPr="00660BDA">
        <w:rPr>
          <w:rFonts w:ascii="Cambria" w:hAnsi="Cambria"/>
          <w:color w:val="000000"/>
          <w:sz w:val="20"/>
          <w:szCs w:val="20"/>
        </w:rPr>
        <w:t xml:space="preserve"> </w:t>
      </w:r>
      <w:r w:rsidRPr="00660BDA">
        <w:rPr>
          <w:rFonts w:ascii="Cambria" w:hAnsi="Cambria"/>
          <w:color w:val="000000"/>
          <w:sz w:val="20"/>
          <w:szCs w:val="20"/>
        </w:rPr>
        <w:t>pourrait soutenir des efforts actuellement déployés au sein du Sous-comité des écosystèmes et des prises accessoires en vue de développer l’</w:t>
      </w:r>
      <w:proofErr w:type="spellStart"/>
      <w:r w:rsidRPr="00660BDA">
        <w:rPr>
          <w:rFonts w:ascii="Cambria" w:hAnsi="Cambria"/>
          <w:color w:val="000000"/>
          <w:sz w:val="20"/>
          <w:szCs w:val="20"/>
        </w:rPr>
        <w:t>EcoCard</w:t>
      </w:r>
      <w:proofErr w:type="spellEnd"/>
      <w:r w:rsidRPr="00660BDA">
        <w:rPr>
          <w:rFonts w:ascii="Cambria" w:hAnsi="Cambria"/>
          <w:color w:val="000000"/>
          <w:sz w:val="20"/>
          <w:szCs w:val="20"/>
        </w:rPr>
        <w:t xml:space="preserve"> pour surveiller les impacts des pêcheries relevant de l’ICCAT sur l’écosystème. Le </w:t>
      </w:r>
      <w:r w:rsidR="00131341">
        <w:rPr>
          <w:rFonts w:ascii="Cambria" w:hAnsi="Cambria"/>
          <w:color w:val="000000"/>
          <w:sz w:val="20"/>
          <w:szCs w:val="20"/>
        </w:rPr>
        <w:t>protocole d’entente</w:t>
      </w:r>
      <w:r w:rsidR="00131341" w:rsidRPr="00660BDA">
        <w:rPr>
          <w:rFonts w:ascii="Cambria" w:hAnsi="Cambria"/>
          <w:color w:val="000000"/>
          <w:sz w:val="20"/>
          <w:szCs w:val="20"/>
        </w:rPr>
        <w:t xml:space="preserve"> </w:t>
      </w:r>
      <w:r w:rsidRPr="00660BDA">
        <w:rPr>
          <w:rFonts w:ascii="Cambria" w:hAnsi="Cambria"/>
          <w:color w:val="000000"/>
          <w:sz w:val="20"/>
          <w:szCs w:val="20"/>
        </w:rPr>
        <w:t>pourrait également soutenir les travaux visant à clarifier les relations entre la pêche ciblée et les prises accessoires. Il permettrait, en outre, de préparer l’ICCAT à répondre aux nouvelles attentes dans le cadre de l’</w:t>
      </w:r>
      <w:r w:rsidR="007A514E">
        <w:rPr>
          <w:rFonts w:ascii="Cambria" w:hAnsi="Cambria"/>
          <w:color w:val="000000"/>
          <w:sz w:val="20"/>
          <w:szCs w:val="20"/>
        </w:rPr>
        <w:t>A</w:t>
      </w:r>
      <w:r w:rsidRPr="00660BDA">
        <w:rPr>
          <w:rFonts w:ascii="Cambria" w:hAnsi="Cambria"/>
          <w:color w:val="000000"/>
          <w:sz w:val="20"/>
          <w:szCs w:val="20"/>
        </w:rPr>
        <w:t>ccord BBNJ, notamment en termes de transparence, de coopération scientifique et de gouvernance coordonnée.</w:t>
      </w:r>
    </w:p>
    <w:p w14:paraId="48E55BD6" w14:textId="77777777" w:rsidR="008E7AA0" w:rsidRPr="00660BDA" w:rsidRDefault="008E7AA0" w:rsidP="00291E67">
      <w:pPr>
        <w:pStyle w:val="NormalWeb"/>
        <w:spacing w:before="0" w:beforeAutospacing="0" w:after="0" w:afterAutospacing="0"/>
        <w:jc w:val="both"/>
        <w:rPr>
          <w:rFonts w:ascii="Cambria" w:hAnsi="Cambria" w:cs="Open Sans"/>
          <w:sz w:val="20"/>
          <w:szCs w:val="20"/>
        </w:rPr>
      </w:pPr>
    </w:p>
    <w:p w14:paraId="2AB9619F" w14:textId="77777777" w:rsidR="00B91831" w:rsidRPr="00660BDA" w:rsidRDefault="00B91831" w:rsidP="00291E67">
      <w:pPr>
        <w:pStyle w:val="NormalWeb"/>
        <w:spacing w:before="0" w:beforeAutospacing="0" w:after="0" w:afterAutospacing="0"/>
        <w:jc w:val="both"/>
        <w:rPr>
          <w:rFonts w:ascii="Cambria" w:hAnsi="Cambria" w:cs="Open Sans"/>
          <w:b/>
          <w:bCs/>
          <w:color w:val="000000"/>
          <w:sz w:val="20"/>
          <w:szCs w:val="20"/>
        </w:rPr>
      </w:pPr>
      <w:r w:rsidRPr="00660BDA">
        <w:rPr>
          <w:rFonts w:ascii="Cambria" w:hAnsi="Cambria"/>
          <w:b/>
          <w:bCs/>
          <w:color w:val="000000"/>
          <w:sz w:val="20"/>
          <w:szCs w:val="20"/>
        </w:rPr>
        <w:t>Recommandations</w:t>
      </w:r>
    </w:p>
    <w:p w14:paraId="1877D060" w14:textId="77777777" w:rsidR="008E7AA0" w:rsidRPr="00660BDA" w:rsidRDefault="008E7AA0" w:rsidP="00291E67">
      <w:pPr>
        <w:pStyle w:val="NormalWeb"/>
        <w:spacing w:before="0" w:beforeAutospacing="0" w:after="0" w:afterAutospacing="0"/>
        <w:jc w:val="both"/>
        <w:rPr>
          <w:rFonts w:ascii="Cambria" w:hAnsi="Cambria" w:cs="Open Sans"/>
          <w:b/>
          <w:bCs/>
          <w:sz w:val="20"/>
          <w:szCs w:val="20"/>
        </w:rPr>
      </w:pPr>
    </w:p>
    <w:p w14:paraId="24E2D8B2" w14:textId="26293DFA" w:rsidR="00B91831" w:rsidRPr="00660BDA" w:rsidRDefault="006D7BA3" w:rsidP="00291E67">
      <w:pPr>
        <w:pStyle w:val="NormalWeb"/>
        <w:spacing w:before="0" w:beforeAutospacing="0" w:after="0" w:afterAutospacing="0"/>
        <w:jc w:val="both"/>
        <w:rPr>
          <w:rFonts w:ascii="Cambria" w:hAnsi="Cambria" w:cs="Open Sans"/>
          <w:color w:val="000000"/>
          <w:sz w:val="20"/>
          <w:szCs w:val="20"/>
        </w:rPr>
      </w:pPr>
      <w:r w:rsidRPr="00660BDA">
        <w:rPr>
          <w:rFonts w:ascii="Cambria" w:hAnsi="Cambria"/>
          <w:color w:val="000000"/>
          <w:sz w:val="20"/>
          <w:szCs w:val="20"/>
        </w:rPr>
        <w:t>Il est recommandé à la Commission</w:t>
      </w:r>
      <w:r w:rsidR="00AD1891" w:rsidRPr="00660BDA">
        <w:rPr>
          <w:rFonts w:ascii="Cambria" w:hAnsi="Cambria"/>
          <w:color w:val="000000"/>
          <w:sz w:val="20"/>
          <w:szCs w:val="20"/>
        </w:rPr>
        <w:t> :</w:t>
      </w:r>
    </w:p>
    <w:p w14:paraId="728295AD" w14:textId="77777777" w:rsidR="00AF373C" w:rsidRPr="00660BDA" w:rsidRDefault="00AF373C" w:rsidP="00291E67">
      <w:pPr>
        <w:pStyle w:val="NormalWeb"/>
        <w:spacing w:before="0" w:beforeAutospacing="0" w:after="0" w:afterAutospacing="0"/>
        <w:jc w:val="both"/>
        <w:rPr>
          <w:rFonts w:ascii="Cambria" w:hAnsi="Cambria" w:cs="Open Sans"/>
          <w:sz w:val="20"/>
          <w:szCs w:val="20"/>
        </w:rPr>
      </w:pPr>
    </w:p>
    <w:p w14:paraId="2D9FE687" w14:textId="752B0E52" w:rsidR="00B91831" w:rsidRPr="00660BDA" w:rsidRDefault="00B91831" w:rsidP="005A636E">
      <w:pPr>
        <w:pStyle w:val="NormalWeb"/>
        <w:numPr>
          <w:ilvl w:val="0"/>
          <w:numId w:val="1"/>
        </w:numPr>
        <w:tabs>
          <w:tab w:val="clear" w:pos="720"/>
        </w:tabs>
        <w:spacing w:before="0" w:beforeAutospacing="0" w:after="0" w:afterAutospacing="0"/>
        <w:ind w:left="851" w:hanging="425"/>
        <w:jc w:val="both"/>
        <w:textAlignment w:val="baseline"/>
        <w:rPr>
          <w:rFonts w:ascii="Cambria" w:hAnsi="Cambria" w:cs="Open Sans"/>
          <w:color w:val="000000"/>
          <w:sz w:val="20"/>
          <w:szCs w:val="20"/>
        </w:rPr>
      </w:pPr>
      <w:r w:rsidRPr="00660BDA">
        <w:rPr>
          <w:rFonts w:ascii="Cambria" w:hAnsi="Cambria"/>
          <w:color w:val="000000"/>
          <w:sz w:val="20"/>
          <w:szCs w:val="20"/>
        </w:rPr>
        <w:t xml:space="preserve">d’envisager d’élaborer un </w:t>
      </w:r>
      <w:r w:rsidR="00131341">
        <w:rPr>
          <w:rFonts w:ascii="Cambria" w:hAnsi="Cambria"/>
          <w:color w:val="000000"/>
          <w:sz w:val="20"/>
          <w:szCs w:val="20"/>
        </w:rPr>
        <w:t>protocole d’entente</w:t>
      </w:r>
      <w:r w:rsidR="00131341" w:rsidRPr="00660BDA">
        <w:rPr>
          <w:rFonts w:ascii="Cambria" w:hAnsi="Cambria"/>
          <w:color w:val="000000"/>
          <w:sz w:val="20"/>
          <w:szCs w:val="20"/>
        </w:rPr>
        <w:t xml:space="preserve"> </w:t>
      </w:r>
      <w:r w:rsidRPr="00660BDA">
        <w:rPr>
          <w:rFonts w:ascii="Cambria" w:hAnsi="Cambria"/>
          <w:color w:val="000000"/>
          <w:sz w:val="20"/>
          <w:szCs w:val="20"/>
        </w:rPr>
        <w:t>entre l’ICCAT et la NAFO en vue de renforcer la coopération dans des domaines d’intérêt commun ; et</w:t>
      </w:r>
    </w:p>
    <w:p w14:paraId="6A5B95EB" w14:textId="25D2F27A" w:rsidR="00B91831" w:rsidRPr="00660BDA" w:rsidRDefault="00B6614C" w:rsidP="00AF373C">
      <w:pPr>
        <w:pStyle w:val="NormalWeb"/>
        <w:numPr>
          <w:ilvl w:val="0"/>
          <w:numId w:val="1"/>
        </w:numPr>
        <w:tabs>
          <w:tab w:val="clear" w:pos="720"/>
          <w:tab w:val="num" w:pos="851"/>
        </w:tabs>
        <w:spacing w:before="0" w:beforeAutospacing="0" w:after="0" w:afterAutospacing="0"/>
        <w:ind w:left="851" w:hanging="425"/>
        <w:jc w:val="both"/>
        <w:textAlignment w:val="baseline"/>
        <w:rPr>
          <w:rFonts w:ascii="Cambria" w:hAnsi="Cambria" w:cs="Open Sans"/>
          <w:color w:val="000000"/>
          <w:sz w:val="20"/>
          <w:szCs w:val="20"/>
        </w:rPr>
      </w:pPr>
      <w:r w:rsidRPr="00660BDA">
        <w:rPr>
          <w:rFonts w:ascii="Cambria" w:hAnsi="Cambria"/>
          <w:color w:val="000000"/>
          <w:sz w:val="20"/>
          <w:szCs w:val="20"/>
        </w:rPr>
        <w:t xml:space="preserve">de demander au Secrétariat de l’ICCAT d’engager des consultations informelles avec le Secrétariat de la NAFO pour évaluer l’intérêt mutuel et la faisabilité d’élaborer un </w:t>
      </w:r>
      <w:r w:rsidR="00131341">
        <w:rPr>
          <w:rFonts w:ascii="Cambria" w:hAnsi="Cambria"/>
          <w:color w:val="000000"/>
          <w:sz w:val="20"/>
          <w:szCs w:val="20"/>
        </w:rPr>
        <w:t>protocole d’entente</w:t>
      </w:r>
      <w:r w:rsidR="00131341" w:rsidRPr="00660BDA">
        <w:rPr>
          <w:rFonts w:ascii="Cambria" w:hAnsi="Cambria"/>
          <w:color w:val="000000"/>
          <w:sz w:val="20"/>
          <w:szCs w:val="20"/>
        </w:rPr>
        <w:t xml:space="preserve"> </w:t>
      </w:r>
      <w:r w:rsidRPr="00660BDA">
        <w:rPr>
          <w:rFonts w:ascii="Cambria" w:hAnsi="Cambria"/>
          <w:color w:val="000000"/>
          <w:sz w:val="20"/>
          <w:szCs w:val="20"/>
        </w:rPr>
        <w:t>de cette nature, et d’en faire rapport à la Commission avant sa réunion de 2026.</w:t>
      </w:r>
    </w:p>
    <w:p w14:paraId="36F50204" w14:textId="77777777" w:rsidR="008E6F27" w:rsidRPr="00660BDA" w:rsidRDefault="008E6F27" w:rsidP="00291E67">
      <w:pPr>
        <w:spacing w:after="0" w:line="240" w:lineRule="auto"/>
        <w:jc w:val="both"/>
        <w:rPr>
          <w:rFonts w:ascii="Cambria" w:hAnsi="Cambria" w:cs="Open Sans"/>
          <w:sz w:val="20"/>
          <w:szCs w:val="20"/>
        </w:rPr>
      </w:pPr>
    </w:p>
    <w:sectPr w:rsidR="008E6F27" w:rsidRPr="00660BDA" w:rsidSect="001C399F">
      <w:headerReference w:type="even" r:id="rId12"/>
      <w:headerReference w:type="default" r:id="rId13"/>
      <w:footerReference w:type="default" r:id="rId14"/>
      <w:headerReference w:type="first" r:id="rId15"/>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8FE75" w14:textId="77777777" w:rsidR="0028242E" w:rsidRPr="00FA59F5" w:rsidRDefault="0028242E" w:rsidP="00C6668A">
      <w:pPr>
        <w:spacing w:after="0" w:line="240" w:lineRule="auto"/>
      </w:pPr>
      <w:r w:rsidRPr="00FA59F5">
        <w:separator/>
      </w:r>
    </w:p>
  </w:endnote>
  <w:endnote w:type="continuationSeparator" w:id="0">
    <w:p w14:paraId="12363A37" w14:textId="77777777" w:rsidR="0028242E" w:rsidRPr="00FA59F5" w:rsidRDefault="0028242E" w:rsidP="00C6668A">
      <w:pPr>
        <w:spacing w:after="0" w:line="240" w:lineRule="auto"/>
      </w:pPr>
      <w:r w:rsidRPr="00FA59F5">
        <w:continuationSeparator/>
      </w:r>
    </w:p>
  </w:endnote>
  <w:endnote w:type="continuationNotice" w:id="1">
    <w:p w14:paraId="286416FF" w14:textId="77777777" w:rsidR="0028242E" w:rsidRPr="00FA59F5" w:rsidRDefault="00282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050D" w14:textId="77777777" w:rsidR="000148C4" w:rsidRPr="00FA59F5" w:rsidRDefault="004671DA" w:rsidP="000148C4">
    <w:pPr>
      <w:tabs>
        <w:tab w:val="center" w:pos="4535"/>
        <w:tab w:val="center" w:pos="4680"/>
        <w:tab w:val="left" w:pos="6150"/>
        <w:tab w:val="right" w:pos="9360"/>
      </w:tabs>
      <w:spacing w:after="0" w:line="240" w:lineRule="auto"/>
      <w:jc w:val="center"/>
      <w:rPr>
        <w:rFonts w:ascii="Cambria" w:eastAsia="Calibri" w:hAnsi="Cambria" w:cs="Calibri"/>
        <w:kern w:val="0"/>
        <w:sz w:val="20"/>
        <w:szCs w:val="22"/>
        <w14:ligatures w14:val="none"/>
      </w:rPr>
    </w:pPr>
    <w:sdt>
      <w:sdtPr>
        <w:rPr>
          <w:rFonts w:ascii="Calibri" w:eastAsia="Calibri" w:hAnsi="Calibri" w:cs="Calibri"/>
          <w:kern w:val="0"/>
          <w:sz w:val="20"/>
          <w:szCs w:val="20"/>
          <w14:ligatures w14:val="none"/>
        </w:rPr>
        <w:id w:val="810910487"/>
        <w:docPartObj>
          <w:docPartGallery w:val="Page Numbers (Top of Page)"/>
          <w:docPartUnique/>
        </w:docPartObj>
      </w:sdtPr>
      <w:sdtEndPr/>
      <w:sdtContent>
        <w:r w:rsidR="000148C4" w:rsidRPr="00FA59F5">
          <w:rPr>
            <w:rFonts w:ascii="Cambria" w:eastAsia="Calibri" w:hAnsi="Cambria" w:cs="Calibri"/>
            <w:sz w:val="20"/>
            <w:szCs w:val="20"/>
          </w:rPr>
          <w:fldChar w:fldCharType="begin"/>
        </w:r>
        <w:r w:rsidR="000148C4" w:rsidRPr="00FA59F5">
          <w:rPr>
            <w:rFonts w:ascii="Cambria" w:eastAsia="Calibri" w:hAnsi="Cambria" w:cs="Calibri"/>
            <w:sz w:val="20"/>
            <w:szCs w:val="20"/>
          </w:rPr>
          <w:instrText xml:space="preserve"> PAGE </w:instrText>
        </w:r>
        <w:r w:rsidR="000148C4" w:rsidRPr="00FA59F5">
          <w:rPr>
            <w:rFonts w:ascii="Cambria" w:eastAsia="Calibri" w:hAnsi="Cambria" w:cs="Calibri"/>
            <w:sz w:val="20"/>
            <w:szCs w:val="20"/>
          </w:rPr>
          <w:fldChar w:fldCharType="separate"/>
        </w:r>
        <w:r w:rsidR="000148C4" w:rsidRPr="00FA59F5">
          <w:rPr>
            <w:rFonts w:ascii="Cambria" w:eastAsia="Calibri" w:hAnsi="Cambria" w:cs="Calibri"/>
            <w:sz w:val="20"/>
            <w:szCs w:val="20"/>
          </w:rPr>
          <w:t>1</w:t>
        </w:r>
        <w:r w:rsidR="000148C4" w:rsidRPr="00FA59F5">
          <w:rPr>
            <w:rFonts w:ascii="Cambria" w:eastAsia="Calibri" w:hAnsi="Cambria" w:cs="Calibri"/>
            <w:sz w:val="20"/>
            <w:szCs w:val="20"/>
          </w:rPr>
          <w:fldChar w:fldCharType="end"/>
        </w:r>
        <w:r w:rsidR="000148C4" w:rsidRPr="00FA59F5">
          <w:rPr>
            <w:rFonts w:ascii="Cambria" w:hAnsi="Cambria"/>
            <w:sz w:val="20"/>
            <w:szCs w:val="20"/>
          </w:rPr>
          <w:t xml:space="preserve"> / </w:t>
        </w:r>
        <w:r w:rsidR="000148C4" w:rsidRPr="00FA59F5">
          <w:rPr>
            <w:rFonts w:ascii="Cambria" w:eastAsia="Calibri" w:hAnsi="Cambria" w:cs="Calibri"/>
            <w:sz w:val="20"/>
            <w:szCs w:val="20"/>
          </w:rPr>
          <w:fldChar w:fldCharType="begin"/>
        </w:r>
        <w:r w:rsidR="000148C4" w:rsidRPr="00FA59F5">
          <w:rPr>
            <w:rFonts w:ascii="Cambria" w:eastAsia="Calibri" w:hAnsi="Cambria" w:cs="Calibri"/>
            <w:sz w:val="20"/>
            <w:szCs w:val="20"/>
          </w:rPr>
          <w:instrText xml:space="preserve"> NUMPAGES  </w:instrText>
        </w:r>
        <w:r w:rsidR="000148C4" w:rsidRPr="00FA59F5">
          <w:rPr>
            <w:rFonts w:ascii="Cambria" w:eastAsia="Calibri" w:hAnsi="Cambria" w:cs="Calibri"/>
            <w:sz w:val="20"/>
            <w:szCs w:val="20"/>
          </w:rPr>
          <w:fldChar w:fldCharType="separate"/>
        </w:r>
        <w:r w:rsidR="000148C4" w:rsidRPr="00FA59F5">
          <w:rPr>
            <w:rFonts w:ascii="Cambria" w:eastAsia="Calibri" w:hAnsi="Cambria" w:cs="Calibri"/>
            <w:sz w:val="20"/>
            <w:szCs w:val="20"/>
          </w:rPr>
          <w:t>1</w:t>
        </w:r>
        <w:r w:rsidR="000148C4" w:rsidRPr="00FA59F5">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8F8A" w14:textId="77777777" w:rsidR="0028242E" w:rsidRPr="00FA59F5" w:rsidRDefault="0028242E" w:rsidP="00C6668A">
      <w:pPr>
        <w:spacing w:after="0" w:line="240" w:lineRule="auto"/>
      </w:pPr>
      <w:r w:rsidRPr="00FA59F5">
        <w:separator/>
      </w:r>
    </w:p>
  </w:footnote>
  <w:footnote w:type="continuationSeparator" w:id="0">
    <w:p w14:paraId="250A2FAD" w14:textId="77777777" w:rsidR="0028242E" w:rsidRPr="00FA59F5" w:rsidRDefault="0028242E" w:rsidP="00C6668A">
      <w:pPr>
        <w:spacing w:after="0" w:line="240" w:lineRule="auto"/>
      </w:pPr>
      <w:r w:rsidRPr="00FA59F5">
        <w:continuationSeparator/>
      </w:r>
    </w:p>
  </w:footnote>
  <w:footnote w:type="continuationNotice" w:id="1">
    <w:p w14:paraId="63926F46" w14:textId="77777777" w:rsidR="0028242E" w:rsidRPr="00FA59F5" w:rsidRDefault="002824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51F0" w14:textId="05AC3B66" w:rsidR="00C6668A" w:rsidRPr="00FA59F5" w:rsidRDefault="00D03342">
    <w:pPr>
      <w:pStyle w:val="Header"/>
    </w:pPr>
    <w:r w:rsidRPr="00FA59F5">
      <w:rPr>
        <w:noProof/>
      </w:rPr>
      <mc:AlternateContent>
        <mc:Choice Requires="wps">
          <w:drawing>
            <wp:anchor distT="0" distB="0" distL="0" distR="0" simplePos="0" relativeHeight="251659264" behindDoc="0" locked="0" layoutInCell="1" allowOverlap="1" wp14:anchorId="36291B54" wp14:editId="4EE75A67">
              <wp:simplePos x="635" y="635"/>
              <wp:positionH relativeFrom="page">
                <wp:align>right</wp:align>
              </wp:positionH>
              <wp:positionV relativeFrom="page">
                <wp:align>top</wp:align>
              </wp:positionV>
              <wp:extent cx="443865" cy="443865"/>
              <wp:effectExtent l="0" t="0" r="0" b="13335"/>
              <wp:wrapNone/>
              <wp:docPr id="237049848"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69E086" w14:textId="21D759C3" w:rsidR="00D03342" w:rsidRPr="00FA59F5" w:rsidRDefault="00D03342" w:rsidP="00D03342">
                          <w:pPr>
                            <w:spacing w:after="0"/>
                            <w:rPr>
                              <w:rFonts w:ascii="Calibri" w:eastAsia="Calibri" w:hAnsi="Calibri" w:cs="Calibri"/>
                              <w:color w:val="000000"/>
                            </w:rPr>
                          </w:pPr>
                          <w:r w:rsidRPr="00FA59F5">
                            <w:rPr>
                              <w:rFonts w:ascii="Calibri" w:hAnsi="Calibri"/>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291B54" id="_x0000_t202" coordsize="21600,21600" o:spt="202" path="m,l,21600r21600,l21600,xe">
              <v:stroke joinstyle="miter"/>
              <v:path gradientshapeok="t" o:connecttype="rect"/>
            </v:shapetype>
            <v:shape id="Text Box 2" o:spid="_x0000_s1026" type="#_x0000_t202" alt="Unclassified - Non-Classifi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D69E086" w14:textId="21D759C3" w:rsidR="00D03342" w:rsidRPr="00FA59F5" w:rsidRDefault="00D03342" w:rsidP="00D03342">
                    <w:pPr>
                      <w:spacing w:after="0"/>
                      <w:rPr>
                        <w:rFonts w:ascii="Calibri" w:eastAsia="Calibri" w:hAnsi="Calibri" w:cs="Calibri"/>
                        <w:color w:val="000000"/>
                      </w:rPr>
                    </w:pPr>
                    <w:r w:rsidRPr="00FA59F5">
                      <w:rPr>
                        <w:rFonts w:ascii="Calibri" w:hAnsi="Calibri"/>
                        <w:color w:val="000000"/>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8DC3" w14:textId="68C1BE3B" w:rsidR="008E790A" w:rsidRPr="00FA59F5" w:rsidRDefault="008E790A" w:rsidP="008E790A">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2" w:name="_Hlk107908354"/>
    <w:bookmarkStart w:id="3" w:name="_Hlk107908355"/>
    <w:bookmarkStart w:id="4" w:name="_Hlk107908359"/>
    <w:bookmarkStart w:id="5" w:name="_Hlk107908360"/>
    <w:bookmarkStart w:id="6" w:name="_Hlk107908361"/>
    <w:bookmarkStart w:id="7" w:name="_Hlk107908362"/>
    <w:r w:rsidRPr="00FA59F5">
      <w:rPr>
        <w:rFonts w:ascii="Cambria" w:hAnsi="Cambria"/>
        <w:b/>
        <w:bCs/>
        <w:sz w:val="20"/>
        <w:szCs w:val="20"/>
      </w:rPr>
      <w:t>PLE_111/2025</w:t>
    </w:r>
  </w:p>
  <w:bookmarkEnd w:id="2"/>
  <w:bookmarkEnd w:id="3"/>
  <w:bookmarkEnd w:id="4"/>
  <w:bookmarkEnd w:id="5"/>
  <w:bookmarkEnd w:id="6"/>
  <w:bookmarkEnd w:id="7"/>
  <w:p w14:paraId="2D12361A" w14:textId="0575EE21" w:rsidR="008E790A" w:rsidRPr="00FA59F5" w:rsidRDefault="008366D0" w:rsidP="008E790A">
    <w:pPr>
      <w:tabs>
        <w:tab w:val="left" w:pos="7320"/>
      </w:tabs>
      <w:spacing w:after="0" w:line="240" w:lineRule="exact"/>
      <w:jc w:val="right"/>
      <w:rPr>
        <w:rFonts w:ascii="Cambria" w:eastAsia="Times New Roman" w:hAnsi="Cambria" w:cs="Times New Roman"/>
        <w:b/>
        <w:bCs/>
        <w:kern w:val="0"/>
        <w:sz w:val="16"/>
        <w:szCs w:val="16"/>
        <w14:ligatures w14:val="none"/>
      </w:rPr>
    </w:pPr>
    <w:r w:rsidRPr="00FA59F5">
      <w:rPr>
        <w:rFonts w:ascii="Cambria" w:eastAsia="Times New Roman" w:hAnsi="Cambria" w:cs="Times New Roman"/>
        <w:b/>
        <w:bCs/>
        <w:sz w:val="16"/>
        <w:szCs w:val="16"/>
      </w:rPr>
      <w:fldChar w:fldCharType="begin"/>
    </w:r>
    <w:r w:rsidRPr="00FA59F5">
      <w:rPr>
        <w:rFonts w:ascii="Cambria" w:eastAsia="Times New Roman" w:hAnsi="Cambria" w:cs="Times New Roman"/>
        <w:b/>
        <w:bCs/>
        <w:sz w:val="16"/>
        <w:szCs w:val="16"/>
      </w:rPr>
      <w:instrText xml:space="preserve"> TIME  \@ "dd/MM/yyyy HH:mm" </w:instrText>
    </w:r>
    <w:r w:rsidRPr="00FA59F5">
      <w:rPr>
        <w:rFonts w:ascii="Cambria" w:eastAsia="Times New Roman" w:hAnsi="Cambria" w:cs="Times New Roman"/>
        <w:b/>
        <w:bCs/>
        <w:sz w:val="16"/>
        <w:szCs w:val="16"/>
      </w:rPr>
      <w:fldChar w:fldCharType="separate"/>
    </w:r>
    <w:r w:rsidR="006D024E">
      <w:rPr>
        <w:rFonts w:ascii="Cambria" w:eastAsia="Times New Roman" w:hAnsi="Cambria" w:cs="Times New Roman"/>
        <w:b/>
        <w:bCs/>
        <w:noProof/>
        <w:sz w:val="16"/>
        <w:szCs w:val="16"/>
      </w:rPr>
      <w:t>13/11/2025 15:01</w:t>
    </w:r>
    <w:r w:rsidRPr="00FA59F5">
      <w:rPr>
        <w:rFonts w:ascii="Cambria" w:eastAsia="Times New Roman" w:hAnsi="Cambria" w:cs="Times New Roman"/>
        <w:b/>
        <w:bCs/>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3216" w14:textId="2D2BD58D" w:rsidR="00C6668A" w:rsidRPr="00FA59F5" w:rsidRDefault="00D03342">
    <w:pPr>
      <w:pStyle w:val="Header"/>
    </w:pPr>
    <w:r w:rsidRPr="00FA59F5">
      <w:rPr>
        <w:noProof/>
      </w:rPr>
      <mc:AlternateContent>
        <mc:Choice Requires="wps">
          <w:drawing>
            <wp:anchor distT="0" distB="0" distL="0" distR="0" simplePos="0" relativeHeight="251658240" behindDoc="0" locked="0" layoutInCell="1" allowOverlap="1" wp14:anchorId="63A339BB" wp14:editId="63E7D92F">
              <wp:simplePos x="635" y="635"/>
              <wp:positionH relativeFrom="page">
                <wp:align>right</wp:align>
              </wp:positionH>
              <wp:positionV relativeFrom="page">
                <wp:align>top</wp:align>
              </wp:positionV>
              <wp:extent cx="443865" cy="443865"/>
              <wp:effectExtent l="0" t="0" r="0" b="13335"/>
              <wp:wrapNone/>
              <wp:docPr id="1306820964"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E1A3B" w14:textId="28411E1B" w:rsidR="00D03342" w:rsidRPr="00FA59F5" w:rsidRDefault="00D03342" w:rsidP="00D03342">
                          <w:pPr>
                            <w:spacing w:after="0"/>
                            <w:rPr>
                              <w:rFonts w:ascii="Calibri" w:eastAsia="Calibri" w:hAnsi="Calibri" w:cs="Calibri"/>
                              <w:color w:val="000000"/>
                            </w:rPr>
                          </w:pPr>
                          <w:r w:rsidRPr="00FA59F5">
                            <w:rPr>
                              <w:rFonts w:ascii="Calibri" w:hAnsi="Calibri"/>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A339BB" id="_x0000_t202" coordsize="21600,21600" o:spt="202" path="m,l,21600r21600,l21600,xe">
              <v:stroke joinstyle="miter"/>
              <v:path gradientshapeok="t" o:connecttype="rect"/>
            </v:shapetype>
            <v:shape id="Text Box 1" o:spid="_x0000_s1027" type="#_x0000_t202" alt="Unclassified - Non-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DFE1A3B" w14:textId="28411E1B" w:rsidR="00D03342" w:rsidRPr="00FA59F5" w:rsidRDefault="00D03342" w:rsidP="00D03342">
                    <w:pPr>
                      <w:spacing w:after="0"/>
                      <w:rPr>
                        <w:rFonts w:ascii="Calibri" w:eastAsia="Calibri" w:hAnsi="Calibri" w:cs="Calibri"/>
                        <w:color w:val="000000"/>
                      </w:rPr>
                    </w:pPr>
                    <w:r w:rsidRPr="00FA59F5">
                      <w:rPr>
                        <w:rFonts w:ascii="Calibri" w:hAnsi="Calibri"/>
                        <w:color w:val="000000"/>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66A68"/>
    <w:multiLevelType w:val="multilevel"/>
    <w:tmpl w:val="C56C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622F1D"/>
    <w:multiLevelType w:val="hybridMultilevel"/>
    <w:tmpl w:val="DD3A81BC"/>
    <w:lvl w:ilvl="0" w:tplc="8324A144">
      <w:start w:val="1"/>
      <w:numFmt w:val="decimal"/>
      <w:lvlText w:val="%1."/>
      <w:lvlJc w:val="left"/>
      <w:pPr>
        <w:ind w:left="620" w:hanging="394"/>
      </w:pPr>
      <w:rPr>
        <w:rFonts w:hint="default"/>
        <w:color w:val="auto"/>
        <w:spacing w:val="0"/>
        <w:w w:val="100"/>
        <w:lang w:val="fr-FR"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abstractNum w:abstractNumId="2"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37943872">
    <w:abstractNumId w:val="0"/>
  </w:num>
  <w:num w:numId="2" w16cid:durableId="37125249">
    <w:abstractNumId w:val="2"/>
  </w:num>
  <w:num w:numId="3" w16cid:durableId="19165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31"/>
    <w:rsid w:val="0000653E"/>
    <w:rsid w:val="000148C4"/>
    <w:rsid w:val="0002561A"/>
    <w:rsid w:val="00036B3B"/>
    <w:rsid w:val="000401E8"/>
    <w:rsid w:val="0004053D"/>
    <w:rsid w:val="000420A6"/>
    <w:rsid w:val="00067994"/>
    <w:rsid w:val="00074E81"/>
    <w:rsid w:val="00080B8E"/>
    <w:rsid w:val="000821BC"/>
    <w:rsid w:val="00087CB8"/>
    <w:rsid w:val="00092B94"/>
    <w:rsid w:val="00097001"/>
    <w:rsid w:val="000A0E84"/>
    <w:rsid w:val="000C5575"/>
    <w:rsid w:val="000F0BFB"/>
    <w:rsid w:val="0010109B"/>
    <w:rsid w:val="00102FA2"/>
    <w:rsid w:val="00126573"/>
    <w:rsid w:val="0012657E"/>
    <w:rsid w:val="00131341"/>
    <w:rsid w:val="00142949"/>
    <w:rsid w:val="00155371"/>
    <w:rsid w:val="0015577D"/>
    <w:rsid w:val="001649C1"/>
    <w:rsid w:val="00166A30"/>
    <w:rsid w:val="001726F6"/>
    <w:rsid w:val="00176582"/>
    <w:rsid w:val="00184A96"/>
    <w:rsid w:val="00194C21"/>
    <w:rsid w:val="001A2BC8"/>
    <w:rsid w:val="001A2EC2"/>
    <w:rsid w:val="001A5DFB"/>
    <w:rsid w:val="001C37A4"/>
    <w:rsid w:val="001C399F"/>
    <w:rsid w:val="001D753C"/>
    <w:rsid w:val="001E00B3"/>
    <w:rsid w:val="001F0E8E"/>
    <w:rsid w:val="00200446"/>
    <w:rsid w:val="0025289B"/>
    <w:rsid w:val="00253D63"/>
    <w:rsid w:val="00256C22"/>
    <w:rsid w:val="0028242E"/>
    <w:rsid w:val="0028340A"/>
    <w:rsid w:val="0028594B"/>
    <w:rsid w:val="00291E67"/>
    <w:rsid w:val="002A27E1"/>
    <w:rsid w:val="002A7990"/>
    <w:rsid w:val="002C4B8D"/>
    <w:rsid w:val="002C7F05"/>
    <w:rsid w:val="002E1C24"/>
    <w:rsid w:val="002F4332"/>
    <w:rsid w:val="00304518"/>
    <w:rsid w:val="0031491D"/>
    <w:rsid w:val="00325A56"/>
    <w:rsid w:val="00344F1A"/>
    <w:rsid w:val="0038309C"/>
    <w:rsid w:val="003849B4"/>
    <w:rsid w:val="00390804"/>
    <w:rsid w:val="003B15E9"/>
    <w:rsid w:val="003C1411"/>
    <w:rsid w:val="003C5641"/>
    <w:rsid w:val="003C6C61"/>
    <w:rsid w:val="003C6E04"/>
    <w:rsid w:val="003C7894"/>
    <w:rsid w:val="003D01F6"/>
    <w:rsid w:val="003D3F8A"/>
    <w:rsid w:val="003E01BF"/>
    <w:rsid w:val="00406F1C"/>
    <w:rsid w:val="004203A2"/>
    <w:rsid w:val="004225B2"/>
    <w:rsid w:val="00425BDA"/>
    <w:rsid w:val="0042667D"/>
    <w:rsid w:val="00431D27"/>
    <w:rsid w:val="00444534"/>
    <w:rsid w:val="004671DA"/>
    <w:rsid w:val="004B5FB1"/>
    <w:rsid w:val="004D3C37"/>
    <w:rsid w:val="00507EEE"/>
    <w:rsid w:val="00512060"/>
    <w:rsid w:val="00525FCE"/>
    <w:rsid w:val="00526455"/>
    <w:rsid w:val="005361A1"/>
    <w:rsid w:val="005566F6"/>
    <w:rsid w:val="00556F89"/>
    <w:rsid w:val="00563F57"/>
    <w:rsid w:val="0056483B"/>
    <w:rsid w:val="00571304"/>
    <w:rsid w:val="00572934"/>
    <w:rsid w:val="00584A2B"/>
    <w:rsid w:val="005A084F"/>
    <w:rsid w:val="005A5AB6"/>
    <w:rsid w:val="005A636E"/>
    <w:rsid w:val="005B1D1A"/>
    <w:rsid w:val="005B69A6"/>
    <w:rsid w:val="005C09E1"/>
    <w:rsid w:val="005C52E6"/>
    <w:rsid w:val="005C75E3"/>
    <w:rsid w:val="005D2756"/>
    <w:rsid w:val="005F2DF2"/>
    <w:rsid w:val="00613F5E"/>
    <w:rsid w:val="006172C6"/>
    <w:rsid w:val="00617690"/>
    <w:rsid w:val="006276C5"/>
    <w:rsid w:val="00635910"/>
    <w:rsid w:val="00660BDA"/>
    <w:rsid w:val="00663249"/>
    <w:rsid w:val="0069120F"/>
    <w:rsid w:val="006A0192"/>
    <w:rsid w:val="006B0234"/>
    <w:rsid w:val="006B54C4"/>
    <w:rsid w:val="006C78F4"/>
    <w:rsid w:val="006D024E"/>
    <w:rsid w:val="006D7BA3"/>
    <w:rsid w:val="006F2ADE"/>
    <w:rsid w:val="007113E3"/>
    <w:rsid w:val="00715287"/>
    <w:rsid w:val="0072168D"/>
    <w:rsid w:val="00722A89"/>
    <w:rsid w:val="007241D2"/>
    <w:rsid w:val="00730F2B"/>
    <w:rsid w:val="00732301"/>
    <w:rsid w:val="00750E3C"/>
    <w:rsid w:val="007517E0"/>
    <w:rsid w:val="00753F05"/>
    <w:rsid w:val="0075444F"/>
    <w:rsid w:val="00770D35"/>
    <w:rsid w:val="00790257"/>
    <w:rsid w:val="0079150B"/>
    <w:rsid w:val="00796C10"/>
    <w:rsid w:val="007A1730"/>
    <w:rsid w:val="007A1DB1"/>
    <w:rsid w:val="007A476B"/>
    <w:rsid w:val="007A514E"/>
    <w:rsid w:val="007D1240"/>
    <w:rsid w:val="007E7EC3"/>
    <w:rsid w:val="00805EF2"/>
    <w:rsid w:val="00815CBE"/>
    <w:rsid w:val="00820CD6"/>
    <w:rsid w:val="00833029"/>
    <w:rsid w:val="008366D0"/>
    <w:rsid w:val="00836FFE"/>
    <w:rsid w:val="00854055"/>
    <w:rsid w:val="00875243"/>
    <w:rsid w:val="008821FB"/>
    <w:rsid w:val="008825F3"/>
    <w:rsid w:val="00885301"/>
    <w:rsid w:val="008A0133"/>
    <w:rsid w:val="008B606E"/>
    <w:rsid w:val="008D50E4"/>
    <w:rsid w:val="008D5EF8"/>
    <w:rsid w:val="008D7365"/>
    <w:rsid w:val="008E6F27"/>
    <w:rsid w:val="008E790A"/>
    <w:rsid w:val="008E7AA0"/>
    <w:rsid w:val="008F0145"/>
    <w:rsid w:val="008F2881"/>
    <w:rsid w:val="00900170"/>
    <w:rsid w:val="009074DE"/>
    <w:rsid w:val="00913596"/>
    <w:rsid w:val="009154B8"/>
    <w:rsid w:val="00924E61"/>
    <w:rsid w:val="00926930"/>
    <w:rsid w:val="00930060"/>
    <w:rsid w:val="00933045"/>
    <w:rsid w:val="00943865"/>
    <w:rsid w:val="00951F5E"/>
    <w:rsid w:val="00957C8A"/>
    <w:rsid w:val="00963DB6"/>
    <w:rsid w:val="00964742"/>
    <w:rsid w:val="00966175"/>
    <w:rsid w:val="00977619"/>
    <w:rsid w:val="00981185"/>
    <w:rsid w:val="00981949"/>
    <w:rsid w:val="00987408"/>
    <w:rsid w:val="009930E3"/>
    <w:rsid w:val="009A2CFD"/>
    <w:rsid w:val="009A35DF"/>
    <w:rsid w:val="009C59C3"/>
    <w:rsid w:val="009D1539"/>
    <w:rsid w:val="009D486A"/>
    <w:rsid w:val="009E5FCD"/>
    <w:rsid w:val="009F3187"/>
    <w:rsid w:val="00A06A30"/>
    <w:rsid w:val="00A11AE2"/>
    <w:rsid w:val="00A132E7"/>
    <w:rsid w:val="00A26506"/>
    <w:rsid w:val="00A2723E"/>
    <w:rsid w:val="00A3216A"/>
    <w:rsid w:val="00A33C52"/>
    <w:rsid w:val="00A37458"/>
    <w:rsid w:val="00A50C84"/>
    <w:rsid w:val="00A53CB9"/>
    <w:rsid w:val="00A61EDC"/>
    <w:rsid w:val="00A64939"/>
    <w:rsid w:val="00A7192F"/>
    <w:rsid w:val="00AA25C3"/>
    <w:rsid w:val="00AB5FA6"/>
    <w:rsid w:val="00AD1891"/>
    <w:rsid w:val="00AD501E"/>
    <w:rsid w:val="00AD6CA6"/>
    <w:rsid w:val="00AE247E"/>
    <w:rsid w:val="00AF1719"/>
    <w:rsid w:val="00AF373C"/>
    <w:rsid w:val="00B11696"/>
    <w:rsid w:val="00B51260"/>
    <w:rsid w:val="00B531A1"/>
    <w:rsid w:val="00B5698A"/>
    <w:rsid w:val="00B6614C"/>
    <w:rsid w:val="00B91831"/>
    <w:rsid w:val="00BA068C"/>
    <w:rsid w:val="00BA26E0"/>
    <w:rsid w:val="00BA3CDC"/>
    <w:rsid w:val="00BA5C7C"/>
    <w:rsid w:val="00BA60BE"/>
    <w:rsid w:val="00BB4082"/>
    <w:rsid w:val="00BC5D39"/>
    <w:rsid w:val="00BE6AAF"/>
    <w:rsid w:val="00BF6E6F"/>
    <w:rsid w:val="00C4007D"/>
    <w:rsid w:val="00C418BA"/>
    <w:rsid w:val="00C4526A"/>
    <w:rsid w:val="00C6668A"/>
    <w:rsid w:val="00C72318"/>
    <w:rsid w:val="00C72BDE"/>
    <w:rsid w:val="00C74329"/>
    <w:rsid w:val="00C8103A"/>
    <w:rsid w:val="00CC01A0"/>
    <w:rsid w:val="00CD1C6A"/>
    <w:rsid w:val="00CD4F50"/>
    <w:rsid w:val="00CD7913"/>
    <w:rsid w:val="00D03342"/>
    <w:rsid w:val="00D5735D"/>
    <w:rsid w:val="00D628DC"/>
    <w:rsid w:val="00D73FCA"/>
    <w:rsid w:val="00D75DED"/>
    <w:rsid w:val="00D77313"/>
    <w:rsid w:val="00D90C09"/>
    <w:rsid w:val="00DA0709"/>
    <w:rsid w:val="00DA7AE5"/>
    <w:rsid w:val="00DB51F3"/>
    <w:rsid w:val="00DC1B6C"/>
    <w:rsid w:val="00DD38ED"/>
    <w:rsid w:val="00DE4AD0"/>
    <w:rsid w:val="00DF1976"/>
    <w:rsid w:val="00DF390C"/>
    <w:rsid w:val="00E05564"/>
    <w:rsid w:val="00E10BF7"/>
    <w:rsid w:val="00E15E69"/>
    <w:rsid w:val="00E21A11"/>
    <w:rsid w:val="00E250A6"/>
    <w:rsid w:val="00E53EDF"/>
    <w:rsid w:val="00E91C7E"/>
    <w:rsid w:val="00E96C3D"/>
    <w:rsid w:val="00EA4291"/>
    <w:rsid w:val="00ED1303"/>
    <w:rsid w:val="00EE2455"/>
    <w:rsid w:val="00EF53A3"/>
    <w:rsid w:val="00F03453"/>
    <w:rsid w:val="00F11316"/>
    <w:rsid w:val="00F13A02"/>
    <w:rsid w:val="00F22521"/>
    <w:rsid w:val="00F53157"/>
    <w:rsid w:val="00F6004C"/>
    <w:rsid w:val="00F652F6"/>
    <w:rsid w:val="00F653C8"/>
    <w:rsid w:val="00F715F7"/>
    <w:rsid w:val="00F750A4"/>
    <w:rsid w:val="00F83FCF"/>
    <w:rsid w:val="00F85659"/>
    <w:rsid w:val="00F85ADB"/>
    <w:rsid w:val="00F935EE"/>
    <w:rsid w:val="00FA59F5"/>
    <w:rsid w:val="00FB253B"/>
    <w:rsid w:val="00FD18B4"/>
    <w:rsid w:val="00FF18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C09D3"/>
  <w15:chartTrackingRefBased/>
  <w15:docId w15:val="{EEE68F27-7C90-234F-A305-1395AD8F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831"/>
    <w:rPr>
      <w:rFonts w:eastAsiaTheme="majorEastAsia" w:cstheme="majorBidi"/>
      <w:color w:val="272727" w:themeColor="text1" w:themeTint="D8"/>
    </w:rPr>
  </w:style>
  <w:style w:type="paragraph" w:styleId="Title">
    <w:name w:val="Title"/>
    <w:basedOn w:val="Normal"/>
    <w:next w:val="Normal"/>
    <w:link w:val="TitleChar"/>
    <w:uiPriority w:val="10"/>
    <w:qFormat/>
    <w:rsid w:val="00B91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831"/>
    <w:pPr>
      <w:spacing w:before="160"/>
      <w:jc w:val="center"/>
    </w:pPr>
    <w:rPr>
      <w:i/>
      <w:iCs/>
      <w:color w:val="404040" w:themeColor="text1" w:themeTint="BF"/>
    </w:rPr>
  </w:style>
  <w:style w:type="character" w:customStyle="1" w:styleId="QuoteChar">
    <w:name w:val="Quote Char"/>
    <w:basedOn w:val="DefaultParagraphFont"/>
    <w:link w:val="Quote"/>
    <w:uiPriority w:val="29"/>
    <w:rsid w:val="00B91831"/>
    <w:rPr>
      <w:i/>
      <w:iCs/>
      <w:color w:val="404040" w:themeColor="text1" w:themeTint="BF"/>
    </w:rPr>
  </w:style>
  <w:style w:type="paragraph" w:styleId="ListParagraph">
    <w:name w:val="List Paragraph"/>
    <w:basedOn w:val="Normal"/>
    <w:uiPriority w:val="1"/>
    <w:qFormat/>
    <w:rsid w:val="00B91831"/>
    <w:pPr>
      <w:ind w:left="720"/>
      <w:contextualSpacing/>
    </w:pPr>
  </w:style>
  <w:style w:type="character" w:styleId="IntenseEmphasis">
    <w:name w:val="Intense Emphasis"/>
    <w:basedOn w:val="DefaultParagraphFont"/>
    <w:uiPriority w:val="21"/>
    <w:qFormat/>
    <w:rsid w:val="00B91831"/>
    <w:rPr>
      <w:i/>
      <w:iCs/>
      <w:color w:val="0F4761" w:themeColor="accent1" w:themeShade="BF"/>
    </w:rPr>
  </w:style>
  <w:style w:type="paragraph" w:styleId="IntenseQuote">
    <w:name w:val="Intense Quote"/>
    <w:basedOn w:val="Normal"/>
    <w:next w:val="Normal"/>
    <w:link w:val="IntenseQuoteChar"/>
    <w:uiPriority w:val="30"/>
    <w:qFormat/>
    <w:rsid w:val="00B91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831"/>
    <w:rPr>
      <w:i/>
      <w:iCs/>
      <w:color w:val="0F4761" w:themeColor="accent1" w:themeShade="BF"/>
    </w:rPr>
  </w:style>
  <w:style w:type="character" w:styleId="IntenseReference">
    <w:name w:val="Intense Reference"/>
    <w:basedOn w:val="DefaultParagraphFont"/>
    <w:uiPriority w:val="32"/>
    <w:qFormat/>
    <w:rsid w:val="00B91831"/>
    <w:rPr>
      <w:b/>
      <w:bCs/>
      <w:smallCaps/>
      <w:color w:val="0F4761" w:themeColor="accent1" w:themeShade="BF"/>
      <w:spacing w:val="5"/>
    </w:rPr>
  </w:style>
  <w:style w:type="paragraph" w:styleId="NormalWeb">
    <w:name w:val="Normal (Web)"/>
    <w:basedOn w:val="Normal"/>
    <w:uiPriority w:val="99"/>
    <w:semiHidden/>
    <w:unhideWhenUsed/>
    <w:rsid w:val="00B9183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91831"/>
    <w:rPr>
      <w:color w:val="0000FF"/>
      <w:u w:val="single"/>
    </w:rPr>
  </w:style>
  <w:style w:type="paragraph" w:styleId="Revision">
    <w:name w:val="Revision"/>
    <w:hidden/>
    <w:uiPriority w:val="99"/>
    <w:semiHidden/>
    <w:rsid w:val="00C6668A"/>
    <w:pPr>
      <w:spacing w:after="0" w:line="240" w:lineRule="auto"/>
    </w:pPr>
  </w:style>
  <w:style w:type="paragraph" w:styleId="Header">
    <w:name w:val="header"/>
    <w:basedOn w:val="Normal"/>
    <w:link w:val="HeaderChar"/>
    <w:uiPriority w:val="99"/>
    <w:unhideWhenUsed/>
    <w:rsid w:val="00C66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68A"/>
  </w:style>
  <w:style w:type="paragraph" w:styleId="Footer">
    <w:name w:val="footer"/>
    <w:basedOn w:val="Normal"/>
    <w:link w:val="FooterChar"/>
    <w:uiPriority w:val="99"/>
    <w:unhideWhenUsed/>
    <w:rsid w:val="00CC0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1A0"/>
  </w:style>
  <w:style w:type="character" w:styleId="CommentReference">
    <w:name w:val="annotation reference"/>
    <w:basedOn w:val="DefaultParagraphFont"/>
    <w:uiPriority w:val="99"/>
    <w:semiHidden/>
    <w:unhideWhenUsed/>
    <w:rsid w:val="00C72BDE"/>
    <w:rPr>
      <w:sz w:val="16"/>
      <w:szCs w:val="16"/>
    </w:rPr>
  </w:style>
  <w:style w:type="paragraph" w:styleId="CommentText">
    <w:name w:val="annotation text"/>
    <w:basedOn w:val="Normal"/>
    <w:link w:val="CommentTextChar"/>
    <w:uiPriority w:val="99"/>
    <w:unhideWhenUsed/>
    <w:rsid w:val="00C72BDE"/>
    <w:pPr>
      <w:spacing w:line="240" w:lineRule="auto"/>
    </w:pPr>
    <w:rPr>
      <w:sz w:val="20"/>
      <w:szCs w:val="20"/>
    </w:rPr>
  </w:style>
  <w:style w:type="character" w:customStyle="1" w:styleId="CommentTextChar">
    <w:name w:val="Comment Text Char"/>
    <w:basedOn w:val="DefaultParagraphFont"/>
    <w:link w:val="CommentText"/>
    <w:uiPriority w:val="99"/>
    <w:rsid w:val="00C72BDE"/>
    <w:rPr>
      <w:sz w:val="20"/>
      <w:szCs w:val="20"/>
    </w:rPr>
  </w:style>
  <w:style w:type="paragraph" w:styleId="CommentSubject">
    <w:name w:val="annotation subject"/>
    <w:basedOn w:val="CommentText"/>
    <w:next w:val="CommentText"/>
    <w:link w:val="CommentSubjectChar"/>
    <w:uiPriority w:val="99"/>
    <w:semiHidden/>
    <w:unhideWhenUsed/>
    <w:rsid w:val="00C72BDE"/>
    <w:rPr>
      <w:b/>
      <w:bCs/>
    </w:rPr>
  </w:style>
  <w:style w:type="character" w:customStyle="1" w:styleId="CommentSubjectChar">
    <w:name w:val="Comment Subject Char"/>
    <w:basedOn w:val="CommentTextChar"/>
    <w:link w:val="CommentSubject"/>
    <w:uiPriority w:val="99"/>
    <w:semiHidden/>
    <w:rsid w:val="00C72BDE"/>
    <w:rPr>
      <w:b/>
      <w:bCs/>
      <w:sz w:val="20"/>
      <w:szCs w:val="20"/>
    </w:rPr>
  </w:style>
  <w:style w:type="character" w:styleId="FollowedHyperlink">
    <w:name w:val="FollowedHyperlink"/>
    <w:basedOn w:val="DefaultParagraphFont"/>
    <w:uiPriority w:val="99"/>
    <w:semiHidden/>
    <w:unhideWhenUsed/>
    <w:rsid w:val="00796C10"/>
    <w:rPr>
      <w:color w:val="96607D" w:themeColor="followedHyperlink"/>
      <w:u w:val="single"/>
    </w:rPr>
  </w:style>
  <w:style w:type="character" w:styleId="Emphasis">
    <w:name w:val="Emphasis"/>
    <w:basedOn w:val="DefaultParagraphFont"/>
    <w:uiPriority w:val="20"/>
    <w:qFormat/>
    <w:rsid w:val="00CD4F50"/>
    <w:rPr>
      <w:i/>
      <w:iCs/>
    </w:rPr>
  </w:style>
  <w:style w:type="character" w:styleId="UnresolvedMention">
    <w:name w:val="Unresolved Mention"/>
    <w:basedOn w:val="DefaultParagraphFont"/>
    <w:uiPriority w:val="99"/>
    <w:semiHidden/>
    <w:unhideWhenUsed/>
    <w:rsid w:val="00176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8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bbnj/f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Item xmlns="50b1b30f-5915-4e73-9ca9-3fc165d457ec" xsi:nil="true"/>
    <Entity xmlns="50b1b30f-5915-4e73-9ca9-3fc165d457ec" xsi:nil="true"/>
    <Date xmlns="50b1b30f-5915-4e73-9ca9-3fc165d457ec" xsi:nil="true"/>
    <TypesofMeetingDocuments xmlns="50b1b30f-5915-4e73-9ca9-3fc165d457ec" xsi:nil="true"/>
    <_ip_UnifiedCompliancePolicyUIAction xmlns="http://schemas.microsoft.com/sharepoint/v3" xsi:nil="true"/>
    <TypeofDocument xmlns="50b1b30f-5915-4e73-9ca9-3fc165d457ec" xsi:nil="true"/>
    <_ip_UnifiedCompliancePolicyProperties xmlns="http://schemas.microsoft.com/sharepoint/v3" xsi:nil="true"/>
    <ExternalBody xmlns="50b1b30f-5915-4e73-9ca9-3fc165d457ec" xsi:nil="true"/>
    <lcf76f155ced4ddcb4097134ff3c332f xmlns="50b1b30f-5915-4e73-9ca9-3fc165d457ec">
      <Terms xmlns="http://schemas.microsoft.com/office/infopath/2007/PartnerControls"/>
    </lcf76f155ced4ddcb4097134ff3c332f>
    <TaxCatchAll xmlns="01851b8e-8fb1-4ce0-bc45-fd0ef3a343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B8999713FA164FBC6C0D1DE7D0D3F1" ma:contentTypeVersion="28" ma:contentTypeDescription="Crée un document." ma:contentTypeScope="" ma:versionID="1d1d383e2455a036eed8313b02f13e5b">
  <xsd:schema xmlns:xsd="http://www.w3.org/2001/XMLSchema" xmlns:xs="http://www.w3.org/2001/XMLSchema" xmlns:p="http://schemas.microsoft.com/office/2006/metadata/properties" xmlns:ns1="http://schemas.microsoft.com/sharepoint/v3" xmlns:ns2="50b1b30f-5915-4e73-9ca9-3fc165d457ec" xmlns:ns3="01851b8e-8fb1-4ce0-bc45-fd0ef3a34381" targetNamespace="http://schemas.microsoft.com/office/2006/metadata/properties" ma:root="true" ma:fieldsID="bd552c1624792ab45786bbee5fbe090b" ns1:_="" ns2:_="" ns3:_="">
    <xsd:import namespace="http://schemas.microsoft.com/sharepoint/v3"/>
    <xsd:import namespace="50b1b30f-5915-4e73-9ca9-3fc165d457ec"/>
    <xsd:import namespace="01851b8e-8fb1-4ce0-bc45-fd0ef3a3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gendaItem" minOccurs="0"/>
                <xsd:element ref="ns2:MediaServiceObjectDetectorVersions" minOccurs="0"/>
                <xsd:element ref="ns2:MediaServiceSearchProperties" minOccurs="0"/>
                <xsd:element ref="ns2:TypesofMeetingDocuments" minOccurs="0"/>
                <xsd:element ref="ns2:Entity" minOccurs="0"/>
                <xsd:element ref="ns2:TypeofDocument" minOccurs="0"/>
                <xsd:element ref="ns2:ExternalBody"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1b30f-5915-4e73-9ca9-3fc165d45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AgendaItem" ma:index="26" nillable="true" ma:displayName="Item" ma:format="Dropdown" ma:internalName="AgendaItem"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ypesofMeetingDocuments" ma:index="29" nillable="true" ma:displayName="Material" ma:format="Dropdown" ma:internalName="TypesofMeetingDocuments">
      <xsd:simpleType>
        <xsd:restriction base="dms:Choice">
          <xsd:enumeration value="Meeting Document"/>
          <xsd:enumeration value="Canada Speaking Points"/>
          <xsd:enumeration value="Analysis of Issues"/>
          <xsd:enumeration value="DFO Input Received"/>
          <xsd:enumeration value="Readout"/>
          <xsd:enumeration value="Travel and Meeting Logistics"/>
        </xsd:restriction>
      </xsd:simpleType>
    </xsd:element>
    <xsd:element name="Entity" ma:index="30" nillable="true" ma:displayName="Entity" ma:format="Dropdown" ma:internalName="Entity">
      <xsd:simpleType>
        <xsd:restriction base="dms:Choice">
          <xsd:enumeration value="CITES"/>
          <xsd:enumeration value="IATTC"/>
          <xsd:enumeration value="WCPFC"/>
          <xsd:enumeration value="ICCAT"/>
          <xsd:enumeration value="SSC"/>
          <xsd:enumeration value="SPAW"/>
        </xsd:restriction>
      </xsd:simpleType>
    </xsd:element>
    <xsd:element name="TypeofDocument" ma:index="31" nillable="true" ma:displayName="Type of Document" ma:format="Dropdown" ma:internalName="TypeofDocument">
      <xsd:simpleType>
        <xsd:restriction base="dms:Choice">
          <xsd:enumeration value="Memo"/>
          <xsd:enumeration value="Conditions of licence"/>
          <xsd:enumeration value="Analysis"/>
        </xsd:restriction>
      </xsd:simpleType>
    </xsd:element>
    <xsd:element name="ExternalBody" ma:index="32" nillable="true" ma:displayName="External Body" ma:format="Dropdown" ma:internalName="ExternalBody">
      <xsd:simpleType>
        <xsd:restriction base="dms:Choice">
          <xsd:enumeration value="IAC Secretariat"/>
          <xsd:enumeration value="IAC Parties"/>
          <xsd:enumeration value="Canada NGOs"/>
        </xsd:restriction>
      </xsd:simpleType>
    </xsd:element>
    <xsd:element name="Date" ma:index="3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851b8e-8fb1-4ce0-bc45-fd0ef3a3438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a9809d71-4cfa-4c55-8a3a-322007eddb5c}" ma:internalName="TaxCatchAll" ma:showField="CatchAllData" ma:web="01851b8e-8fb1-4ce0-bc45-fd0ef3a3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EB37D-D40B-43E0-9D09-BD15425ED54D}">
  <ds:schemaRefs>
    <ds:schemaRef ds:uri="http://schemas.microsoft.com/office/2006/metadata/properties"/>
    <ds:schemaRef ds:uri="http://schemas.microsoft.com/office/infopath/2007/PartnerControls"/>
    <ds:schemaRef ds:uri="50b1b30f-5915-4e73-9ca9-3fc165d457ec"/>
    <ds:schemaRef ds:uri="http://schemas.microsoft.com/sharepoint/v3"/>
    <ds:schemaRef ds:uri="01851b8e-8fb1-4ce0-bc45-fd0ef3a34381"/>
  </ds:schemaRefs>
</ds:datastoreItem>
</file>

<file path=customXml/itemProps2.xml><?xml version="1.0" encoding="utf-8"?>
<ds:datastoreItem xmlns:ds="http://schemas.openxmlformats.org/officeDocument/2006/customXml" ds:itemID="{8D5BBF2F-7779-44C7-8657-F9827701D33F}">
  <ds:schemaRefs>
    <ds:schemaRef ds:uri="http://schemas.openxmlformats.org/officeDocument/2006/bibliography"/>
  </ds:schemaRefs>
</ds:datastoreItem>
</file>

<file path=customXml/itemProps3.xml><?xml version="1.0" encoding="utf-8"?>
<ds:datastoreItem xmlns:ds="http://schemas.openxmlformats.org/officeDocument/2006/customXml" ds:itemID="{58F0806B-F4DC-4210-880A-AA3E0637EC3D}">
  <ds:schemaRefs>
    <ds:schemaRef ds:uri="http://schemas.microsoft.com/sharepoint/v3/contenttype/forms"/>
  </ds:schemaRefs>
</ds:datastoreItem>
</file>

<file path=customXml/itemProps4.xml><?xml version="1.0" encoding="utf-8"?>
<ds:datastoreItem xmlns:ds="http://schemas.openxmlformats.org/officeDocument/2006/customXml" ds:itemID="{2B28B1DB-CA2A-4BC2-BE61-8F3B4ED4F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1b30f-5915-4e73-9ca9-3fc165d457ec"/>
    <ds:schemaRef ds:uri="01851b8e-8fb1-4ce0-bc45-fd0ef3a3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Rayner</dc:creator>
  <cp:keywords/>
  <dc:description/>
  <cp:lastModifiedBy>Dorothee Pinet</cp:lastModifiedBy>
  <cp:revision>78</cp:revision>
  <dcterms:created xsi:type="dcterms:W3CDTF">2025-10-17T09:04:00Z</dcterms:created>
  <dcterms:modified xsi:type="dcterms:W3CDTF">2025-11-13T14:35:00Z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4de48164,e2117f8,4042f773</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2025-09-16T14:49:14Z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a7df2d20-bdf6-4a1b-97a4-319892467ff9</vt:lpwstr>
  </property>
  <property fmtid="{D5CDD505-2E9C-101B-9397-08002B2CF9AE}" pid="11" name="MSIP_Label_4e6cdb53-fd15-486d-84de-c510e3a62203_ContentBits">
    <vt:lpwstr>1</vt:lpwstr>
  </property>
  <property fmtid="{D5CDD505-2E9C-101B-9397-08002B2CF9AE}" pid="12" name="MediaServiceImageTags">
    <vt:lpwstr/>
  </property>
  <property fmtid="{D5CDD505-2E9C-101B-9397-08002B2CF9AE}" pid="13" name="ContentTypeId">
    <vt:lpwstr>0x01010095B8999713FA164FBC6C0D1DE7D0D3F1</vt:lpwstr>
  </property>
</Properties>
</file>