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10B74" w14:textId="38FE508E" w:rsidR="00AD1CDD" w:rsidRPr="003D1636" w:rsidRDefault="00AD1CDD" w:rsidP="00FC48C5">
      <w:pPr>
        <w:jc w:val="right"/>
        <w:rPr>
          <w:rFonts w:ascii="Cambria" w:hAnsi="Cambria"/>
          <w:b/>
          <w:bCs/>
          <w:sz w:val="20"/>
          <w:szCs w:val="20"/>
        </w:rPr>
      </w:pPr>
      <w:r w:rsidRPr="003D1636">
        <w:rPr>
          <w:rFonts w:ascii="Cambria" w:hAnsi="Cambria"/>
          <w:b/>
          <w:sz w:val="20"/>
        </w:rPr>
        <w:t>Apéndice 1</w:t>
      </w:r>
    </w:p>
    <w:p w14:paraId="3E9A8B2A" w14:textId="77777777" w:rsidR="004A5D98" w:rsidRPr="003D1636" w:rsidRDefault="004A5D98" w:rsidP="004A5D98">
      <w:pPr>
        <w:ind w:left="426" w:hanging="426"/>
        <w:jc w:val="right"/>
        <w:rPr>
          <w:rFonts w:ascii="Cambria" w:hAnsi="Cambria"/>
          <w:b/>
          <w:bCs/>
          <w:sz w:val="20"/>
          <w:szCs w:val="20"/>
        </w:rPr>
      </w:pPr>
    </w:p>
    <w:p w14:paraId="5850852C" w14:textId="713CA533" w:rsidR="004A5D98" w:rsidRPr="003D1636" w:rsidRDefault="004A5D98" w:rsidP="004A5D98">
      <w:pPr>
        <w:ind w:left="426" w:hanging="426"/>
        <w:jc w:val="right"/>
        <w:rPr>
          <w:rFonts w:ascii="Cambria" w:hAnsi="Cambria"/>
          <w:b/>
          <w:bCs/>
          <w:sz w:val="20"/>
          <w:szCs w:val="20"/>
        </w:rPr>
      </w:pPr>
      <w:r w:rsidRPr="003D1636">
        <w:rPr>
          <w:rFonts w:ascii="Cambria" w:hAnsi="Cambria"/>
          <w:b/>
          <w:sz w:val="20"/>
        </w:rPr>
        <w:t>Original: inglés</w:t>
      </w:r>
    </w:p>
    <w:p w14:paraId="58690A74" w14:textId="77777777" w:rsidR="004A5D98" w:rsidRPr="003D1636" w:rsidRDefault="004A5D98" w:rsidP="004A5D98">
      <w:pPr>
        <w:jc w:val="center"/>
        <w:rPr>
          <w:rFonts w:ascii="Cambria" w:hAnsi="Cambria"/>
          <w:b/>
          <w:sz w:val="20"/>
          <w:szCs w:val="20"/>
        </w:rPr>
      </w:pPr>
    </w:p>
    <w:p w14:paraId="50C2E1A7" w14:textId="77777777" w:rsidR="004A5D98" w:rsidRPr="00FC48C5" w:rsidRDefault="004A5D98" w:rsidP="004A5D98">
      <w:pPr>
        <w:jc w:val="center"/>
        <w:rPr>
          <w:rFonts w:ascii="Cambria" w:hAnsi="Cambria"/>
          <w:b/>
          <w:sz w:val="20"/>
          <w:szCs w:val="20"/>
        </w:rPr>
      </w:pPr>
      <w:r w:rsidRPr="003D1636">
        <w:rPr>
          <w:rFonts w:ascii="Cambria" w:hAnsi="Cambria"/>
          <w:b/>
          <w:sz w:val="20"/>
        </w:rPr>
        <w:t>Propuesta del SCRS para un nuevo formato de la hoja de ruta de las MSE de ICCAT</w:t>
      </w:r>
    </w:p>
    <w:p w14:paraId="5F579184" w14:textId="77777777" w:rsidR="004A5D98" w:rsidRPr="0056181D" w:rsidRDefault="004A5D98" w:rsidP="004A5D98">
      <w:pPr>
        <w:rPr>
          <w:rFonts w:ascii="Cambria" w:eastAsia="Cambria" w:hAnsi="Cambria" w:cs="Cambria"/>
          <w:b/>
          <w:iCs/>
          <w:sz w:val="20"/>
          <w:szCs w:val="20"/>
        </w:rPr>
      </w:pPr>
    </w:p>
    <w:p w14:paraId="3D766A97" w14:textId="7419B786" w:rsidR="004A5D98" w:rsidRPr="00FC48C5" w:rsidRDefault="004A5D98" w:rsidP="004A5D98">
      <w:pPr>
        <w:jc w:val="both"/>
        <w:rPr>
          <w:rFonts w:ascii="Cambria" w:eastAsia="Cambria" w:hAnsi="Cambria" w:cs="Cambria"/>
          <w:bCs/>
          <w:iCs/>
          <w:sz w:val="20"/>
          <w:szCs w:val="20"/>
        </w:rPr>
      </w:pPr>
      <w:r>
        <w:rPr>
          <w:rFonts w:ascii="Cambria" w:hAnsi="Cambria"/>
          <w:sz w:val="20"/>
        </w:rPr>
        <w:t xml:space="preserve">El SCRS aprobó, para su consideración por parte de la Comisión, un formato alternativo al documento de hoja de ruta de ICCAT para </w:t>
      </w:r>
      <w:r w:rsidR="00D32FC8">
        <w:rPr>
          <w:rFonts w:ascii="Cambria" w:hAnsi="Cambria"/>
          <w:sz w:val="20"/>
        </w:rPr>
        <w:t xml:space="preserve">las </w:t>
      </w:r>
      <w:r>
        <w:rPr>
          <w:rFonts w:ascii="Cambria" w:hAnsi="Cambria"/>
          <w:sz w:val="20"/>
        </w:rPr>
        <w:t>MSE basado en una hoja de cálculo EXCEL. El objetivo es facilitar la lectura, la comparación entre procesos y la navegación. El Comité actualizó la hoja de ruta de las MSE con el nuevo formato y recomendó que la Comisión considerase sustituir el formato actual del documento de la hoja de ruta de las MSE de ICCAT por el nuevo formato. No obstante, el Comité observó que podrían ser necesarios más cambios para mejorar la coherencia de la terminología utilizada entre las distintas MSE.</w:t>
      </w:r>
    </w:p>
    <w:p w14:paraId="02E40371" w14:textId="77777777" w:rsidR="004A5D98" w:rsidRPr="003D1636" w:rsidRDefault="004A5D98" w:rsidP="004A5D98">
      <w:pPr>
        <w:jc w:val="both"/>
        <w:rPr>
          <w:rFonts w:ascii="Cambria" w:eastAsia="Cambria" w:hAnsi="Cambria" w:cs="Cambria"/>
          <w:bCs/>
          <w:iCs/>
          <w:sz w:val="20"/>
          <w:szCs w:val="20"/>
        </w:rPr>
      </w:pPr>
    </w:p>
    <w:tbl>
      <w:tblPr>
        <w:tblW w:w="5478" w:type="pct"/>
        <w:tblInd w:w="-294" w:type="dxa"/>
        <w:tblLayout w:type="fixed"/>
        <w:tblLook w:val="04A0" w:firstRow="1" w:lastRow="0" w:firstColumn="1" w:lastColumn="0" w:noHBand="0" w:noVBand="1"/>
      </w:tblPr>
      <w:tblGrid>
        <w:gridCol w:w="568"/>
        <w:gridCol w:w="576"/>
        <w:gridCol w:w="576"/>
        <w:gridCol w:w="576"/>
        <w:gridCol w:w="576"/>
        <w:gridCol w:w="578"/>
        <w:gridCol w:w="1233"/>
        <w:gridCol w:w="1137"/>
        <w:gridCol w:w="1134"/>
        <w:gridCol w:w="992"/>
        <w:gridCol w:w="1134"/>
        <w:gridCol w:w="992"/>
        <w:gridCol w:w="1134"/>
        <w:gridCol w:w="851"/>
        <w:gridCol w:w="1128"/>
        <w:gridCol w:w="992"/>
      </w:tblGrid>
      <w:tr w:rsidR="005240D0" w:rsidRPr="003D1636" w14:paraId="63BFBD20" w14:textId="77777777" w:rsidTr="00B876E3">
        <w:trPr>
          <w:trHeight w:val="480"/>
          <w:tblHeader/>
        </w:trPr>
        <w:tc>
          <w:tcPr>
            <w:tcW w:w="200" w:type="pct"/>
            <w:vMerge w:val="restart"/>
            <w:tcBorders>
              <w:top w:val="single" w:sz="8" w:space="0" w:color="auto"/>
              <w:left w:val="single" w:sz="8" w:space="0" w:color="auto"/>
              <w:bottom w:val="single" w:sz="4" w:space="0" w:color="auto"/>
              <w:right w:val="single" w:sz="8" w:space="0" w:color="auto"/>
            </w:tcBorders>
            <w:vAlign w:val="center"/>
            <w:hideMark/>
          </w:tcPr>
          <w:p w14:paraId="13C2942B" w14:textId="77777777" w:rsidR="00987225" w:rsidRPr="003D1636" w:rsidRDefault="00987225">
            <w:pPr>
              <w:jc w:val="center"/>
              <w:rPr>
                <w:rFonts w:ascii="Cambria" w:hAnsi="Cambria"/>
                <w:b/>
                <w:bCs/>
                <w:i/>
                <w:iCs/>
                <w:sz w:val="14"/>
                <w:szCs w:val="14"/>
              </w:rPr>
            </w:pPr>
            <w:r w:rsidRPr="002B2867">
              <w:rPr>
                <w:rFonts w:ascii="Cambria" w:hAnsi="Cambria"/>
                <w:b/>
                <w:bCs/>
                <w:i/>
                <w:iCs/>
                <w:sz w:val="12"/>
                <w:szCs w:val="12"/>
              </w:rPr>
              <w:t>Stock</w:t>
            </w:r>
          </w:p>
        </w:tc>
        <w:tc>
          <w:tcPr>
            <w:tcW w:w="203" w:type="pct"/>
            <w:vMerge w:val="restart"/>
            <w:tcBorders>
              <w:top w:val="single" w:sz="8" w:space="0" w:color="auto"/>
              <w:left w:val="single" w:sz="8" w:space="0" w:color="auto"/>
              <w:bottom w:val="single" w:sz="4" w:space="0" w:color="auto"/>
              <w:right w:val="single" w:sz="4" w:space="0" w:color="auto"/>
            </w:tcBorders>
            <w:vAlign w:val="center"/>
            <w:hideMark/>
          </w:tcPr>
          <w:p w14:paraId="2ABAF8E9" w14:textId="41C16917" w:rsidR="00987225" w:rsidRPr="002B2867" w:rsidRDefault="00987225">
            <w:pPr>
              <w:jc w:val="center"/>
              <w:rPr>
                <w:rFonts w:ascii="Cambria" w:hAnsi="Cambria"/>
                <w:b/>
                <w:bCs/>
                <w:i/>
                <w:iCs/>
                <w:sz w:val="8"/>
                <w:szCs w:val="8"/>
              </w:rPr>
            </w:pPr>
            <w:r w:rsidRPr="002B2867">
              <w:rPr>
                <w:rFonts w:ascii="Cambria" w:hAnsi="Cambria"/>
                <w:b/>
                <w:bCs/>
                <w:i/>
                <w:iCs/>
                <w:sz w:val="8"/>
                <w:szCs w:val="8"/>
              </w:rPr>
              <w:t>Adopción del MP (real o previst</w:t>
            </w:r>
            <w:r w:rsidR="002B2867" w:rsidRPr="002B2867">
              <w:rPr>
                <w:rFonts w:ascii="Cambria" w:hAnsi="Cambria"/>
                <w:b/>
                <w:bCs/>
                <w:i/>
                <w:iCs/>
                <w:sz w:val="8"/>
                <w:szCs w:val="8"/>
              </w:rPr>
              <w:t>o</w:t>
            </w:r>
            <w:r w:rsidRPr="002B2867">
              <w:rPr>
                <w:rFonts w:ascii="Cambria" w:hAnsi="Cambria"/>
                <w:b/>
                <w:bCs/>
                <w:i/>
                <w:iCs/>
                <w:sz w:val="8"/>
                <w:szCs w:val="8"/>
              </w:rPr>
              <w:t>)</w:t>
            </w:r>
          </w:p>
        </w:tc>
        <w:tc>
          <w:tcPr>
            <w:tcW w:w="203" w:type="pct"/>
            <w:vMerge w:val="restart"/>
            <w:tcBorders>
              <w:top w:val="single" w:sz="8" w:space="0" w:color="auto"/>
              <w:left w:val="single" w:sz="4" w:space="0" w:color="auto"/>
              <w:bottom w:val="single" w:sz="4" w:space="0" w:color="auto"/>
              <w:right w:val="single" w:sz="4" w:space="0" w:color="auto"/>
            </w:tcBorders>
            <w:vAlign w:val="center"/>
            <w:hideMark/>
          </w:tcPr>
          <w:p w14:paraId="61EBBA77" w14:textId="77777777" w:rsidR="00987225" w:rsidRPr="002B2867" w:rsidRDefault="00987225">
            <w:pPr>
              <w:jc w:val="center"/>
              <w:rPr>
                <w:rFonts w:ascii="Cambria" w:hAnsi="Cambria"/>
                <w:b/>
                <w:bCs/>
                <w:i/>
                <w:iCs/>
                <w:sz w:val="8"/>
                <w:szCs w:val="8"/>
              </w:rPr>
            </w:pPr>
            <w:r w:rsidRPr="002B2867">
              <w:rPr>
                <w:rFonts w:ascii="Cambria" w:hAnsi="Cambria"/>
                <w:b/>
                <w:bCs/>
                <w:i/>
                <w:iCs/>
                <w:sz w:val="8"/>
                <w:szCs w:val="8"/>
              </w:rPr>
              <w:t>Adopción del ECP (real o previsto)</w:t>
            </w:r>
          </w:p>
        </w:tc>
        <w:tc>
          <w:tcPr>
            <w:tcW w:w="203" w:type="pct"/>
            <w:vMerge w:val="restart"/>
            <w:tcBorders>
              <w:top w:val="single" w:sz="8" w:space="0" w:color="auto"/>
              <w:left w:val="single" w:sz="4" w:space="0" w:color="auto"/>
              <w:bottom w:val="single" w:sz="4" w:space="0" w:color="auto"/>
              <w:right w:val="single" w:sz="4" w:space="0" w:color="auto"/>
            </w:tcBorders>
            <w:vAlign w:val="center"/>
            <w:hideMark/>
          </w:tcPr>
          <w:p w14:paraId="2B5D4D6F" w14:textId="77777777" w:rsidR="00987225" w:rsidRPr="002B2867" w:rsidRDefault="00987225">
            <w:pPr>
              <w:jc w:val="center"/>
              <w:rPr>
                <w:rFonts w:ascii="Cambria" w:hAnsi="Cambria"/>
                <w:b/>
                <w:bCs/>
                <w:i/>
                <w:iCs/>
                <w:sz w:val="8"/>
                <w:szCs w:val="8"/>
              </w:rPr>
            </w:pPr>
            <w:r w:rsidRPr="002B2867">
              <w:rPr>
                <w:rFonts w:ascii="Cambria" w:hAnsi="Cambria"/>
                <w:b/>
                <w:bCs/>
                <w:i/>
                <w:iCs/>
                <w:sz w:val="8"/>
                <w:szCs w:val="8"/>
              </w:rPr>
              <w:t>Ejecución del MP el año siguiente</w:t>
            </w:r>
          </w:p>
        </w:tc>
        <w:tc>
          <w:tcPr>
            <w:tcW w:w="203" w:type="pct"/>
            <w:vMerge w:val="restart"/>
            <w:tcBorders>
              <w:top w:val="single" w:sz="8" w:space="0" w:color="auto"/>
              <w:left w:val="single" w:sz="4" w:space="0" w:color="auto"/>
              <w:bottom w:val="single" w:sz="4" w:space="0" w:color="auto"/>
              <w:right w:val="single" w:sz="4" w:space="0" w:color="auto"/>
            </w:tcBorders>
            <w:vAlign w:val="center"/>
            <w:hideMark/>
          </w:tcPr>
          <w:p w14:paraId="35706BE0" w14:textId="77777777" w:rsidR="00987225" w:rsidRPr="002B2867" w:rsidRDefault="00987225">
            <w:pPr>
              <w:jc w:val="center"/>
              <w:rPr>
                <w:rFonts w:ascii="Cambria" w:hAnsi="Cambria"/>
                <w:b/>
                <w:bCs/>
                <w:i/>
                <w:iCs/>
                <w:sz w:val="8"/>
                <w:szCs w:val="8"/>
              </w:rPr>
            </w:pPr>
            <w:r w:rsidRPr="002B2867">
              <w:rPr>
                <w:rFonts w:ascii="Cambria" w:hAnsi="Cambria"/>
                <w:b/>
                <w:bCs/>
                <w:i/>
                <w:iCs/>
                <w:sz w:val="8"/>
                <w:szCs w:val="8"/>
              </w:rPr>
              <w:t>Próxima comprobación del estado del stock</w:t>
            </w:r>
          </w:p>
        </w:tc>
        <w:tc>
          <w:tcPr>
            <w:tcW w:w="204" w:type="pct"/>
            <w:vMerge w:val="restart"/>
            <w:tcBorders>
              <w:top w:val="single" w:sz="8" w:space="0" w:color="auto"/>
              <w:left w:val="single" w:sz="4" w:space="0" w:color="auto"/>
              <w:bottom w:val="single" w:sz="4" w:space="0" w:color="auto"/>
              <w:right w:val="single" w:sz="8" w:space="0" w:color="auto"/>
            </w:tcBorders>
            <w:vAlign w:val="center"/>
            <w:hideMark/>
          </w:tcPr>
          <w:p w14:paraId="34E72DF8" w14:textId="77777777" w:rsidR="00987225" w:rsidRPr="002B2867" w:rsidRDefault="00987225">
            <w:pPr>
              <w:jc w:val="center"/>
              <w:rPr>
                <w:rFonts w:ascii="Cambria" w:hAnsi="Cambria"/>
                <w:b/>
                <w:bCs/>
                <w:i/>
                <w:iCs/>
                <w:sz w:val="8"/>
                <w:szCs w:val="8"/>
              </w:rPr>
            </w:pPr>
            <w:r w:rsidRPr="002B2867">
              <w:rPr>
                <w:rFonts w:ascii="Cambria" w:hAnsi="Cambria"/>
                <w:b/>
                <w:bCs/>
                <w:i/>
                <w:iCs/>
                <w:sz w:val="8"/>
                <w:szCs w:val="8"/>
              </w:rPr>
              <w:t>Próxima revisión del MP</w:t>
            </w:r>
          </w:p>
        </w:tc>
        <w:tc>
          <w:tcPr>
            <w:tcW w:w="836" w:type="pct"/>
            <w:gridSpan w:val="2"/>
            <w:tcBorders>
              <w:top w:val="single" w:sz="8" w:space="0" w:color="auto"/>
              <w:left w:val="nil"/>
              <w:bottom w:val="single" w:sz="4" w:space="0" w:color="auto"/>
              <w:right w:val="single" w:sz="8" w:space="0" w:color="auto"/>
            </w:tcBorders>
            <w:vAlign w:val="center"/>
            <w:hideMark/>
          </w:tcPr>
          <w:p w14:paraId="23DB4269"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Progreso 2025</w:t>
            </w:r>
          </w:p>
        </w:tc>
        <w:tc>
          <w:tcPr>
            <w:tcW w:w="750" w:type="pct"/>
            <w:gridSpan w:val="2"/>
            <w:tcBorders>
              <w:top w:val="single" w:sz="8" w:space="0" w:color="auto"/>
              <w:left w:val="nil"/>
              <w:bottom w:val="single" w:sz="4" w:space="0" w:color="auto"/>
              <w:right w:val="single" w:sz="8" w:space="0" w:color="auto"/>
            </w:tcBorders>
            <w:vAlign w:val="center"/>
            <w:hideMark/>
          </w:tcPr>
          <w:p w14:paraId="2D8F7C47"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Plan de trabajo 2026</w:t>
            </w:r>
          </w:p>
        </w:tc>
        <w:tc>
          <w:tcPr>
            <w:tcW w:w="750" w:type="pct"/>
            <w:gridSpan w:val="2"/>
            <w:tcBorders>
              <w:top w:val="single" w:sz="8" w:space="0" w:color="auto"/>
              <w:left w:val="nil"/>
              <w:bottom w:val="single" w:sz="4" w:space="0" w:color="auto"/>
              <w:right w:val="single" w:sz="8" w:space="0" w:color="auto"/>
            </w:tcBorders>
            <w:vAlign w:val="center"/>
            <w:hideMark/>
          </w:tcPr>
          <w:p w14:paraId="749F8A3B"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Plan de trabajo 2027</w:t>
            </w:r>
          </w:p>
        </w:tc>
        <w:tc>
          <w:tcPr>
            <w:tcW w:w="700" w:type="pct"/>
            <w:gridSpan w:val="2"/>
            <w:tcBorders>
              <w:top w:val="single" w:sz="8" w:space="0" w:color="auto"/>
              <w:left w:val="nil"/>
              <w:bottom w:val="single" w:sz="4" w:space="0" w:color="auto"/>
              <w:right w:val="single" w:sz="8" w:space="0" w:color="auto"/>
            </w:tcBorders>
            <w:vAlign w:val="center"/>
            <w:hideMark/>
          </w:tcPr>
          <w:p w14:paraId="2786DC7E"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Plan de trabajo 2028</w:t>
            </w:r>
          </w:p>
        </w:tc>
        <w:tc>
          <w:tcPr>
            <w:tcW w:w="748" w:type="pct"/>
            <w:gridSpan w:val="2"/>
            <w:tcBorders>
              <w:top w:val="single" w:sz="8" w:space="0" w:color="auto"/>
              <w:left w:val="nil"/>
              <w:bottom w:val="single" w:sz="4" w:space="0" w:color="auto"/>
              <w:right w:val="single" w:sz="8" w:space="0" w:color="auto"/>
            </w:tcBorders>
            <w:vAlign w:val="center"/>
            <w:hideMark/>
          </w:tcPr>
          <w:p w14:paraId="7BC58657"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Plan de trabajo 2029</w:t>
            </w:r>
          </w:p>
        </w:tc>
      </w:tr>
      <w:tr w:rsidR="005240D0" w:rsidRPr="003D1636" w14:paraId="7BD1AE0B" w14:textId="77777777" w:rsidTr="00B876E3">
        <w:trPr>
          <w:trHeight w:val="510"/>
          <w:tblHeader/>
        </w:trPr>
        <w:tc>
          <w:tcPr>
            <w:tcW w:w="200" w:type="pct"/>
            <w:vMerge/>
            <w:tcBorders>
              <w:top w:val="single" w:sz="8" w:space="0" w:color="auto"/>
              <w:left w:val="single" w:sz="8" w:space="0" w:color="auto"/>
              <w:bottom w:val="single" w:sz="4" w:space="0" w:color="auto"/>
              <w:right w:val="single" w:sz="8" w:space="0" w:color="auto"/>
            </w:tcBorders>
            <w:vAlign w:val="center"/>
            <w:hideMark/>
          </w:tcPr>
          <w:p w14:paraId="4DC768D7" w14:textId="77777777" w:rsidR="00987225" w:rsidRPr="003D1636" w:rsidRDefault="00987225">
            <w:pPr>
              <w:rPr>
                <w:rFonts w:ascii="Cambria" w:hAnsi="Cambria"/>
                <w:b/>
                <w:bCs/>
                <w:i/>
                <w:iCs/>
                <w:sz w:val="14"/>
                <w:szCs w:val="14"/>
              </w:rPr>
            </w:pPr>
          </w:p>
        </w:tc>
        <w:tc>
          <w:tcPr>
            <w:tcW w:w="203" w:type="pct"/>
            <w:vMerge/>
            <w:tcBorders>
              <w:top w:val="single" w:sz="8" w:space="0" w:color="auto"/>
              <w:left w:val="single" w:sz="8" w:space="0" w:color="auto"/>
              <w:bottom w:val="single" w:sz="4" w:space="0" w:color="auto"/>
              <w:right w:val="single" w:sz="4" w:space="0" w:color="auto"/>
            </w:tcBorders>
            <w:vAlign w:val="center"/>
            <w:hideMark/>
          </w:tcPr>
          <w:p w14:paraId="760DCF60" w14:textId="77777777" w:rsidR="00987225" w:rsidRPr="003D1636" w:rsidRDefault="00987225">
            <w:pPr>
              <w:rPr>
                <w:rFonts w:ascii="Cambria" w:hAnsi="Cambria"/>
                <w:b/>
                <w:bCs/>
                <w:i/>
                <w:iCs/>
                <w:sz w:val="14"/>
                <w:szCs w:val="14"/>
              </w:rPr>
            </w:pPr>
          </w:p>
        </w:tc>
        <w:tc>
          <w:tcPr>
            <w:tcW w:w="203" w:type="pct"/>
            <w:vMerge/>
            <w:tcBorders>
              <w:top w:val="single" w:sz="8" w:space="0" w:color="auto"/>
              <w:left w:val="single" w:sz="4" w:space="0" w:color="auto"/>
              <w:bottom w:val="single" w:sz="4" w:space="0" w:color="auto"/>
              <w:right w:val="single" w:sz="4" w:space="0" w:color="auto"/>
            </w:tcBorders>
            <w:vAlign w:val="center"/>
            <w:hideMark/>
          </w:tcPr>
          <w:p w14:paraId="0AD99CD3" w14:textId="77777777" w:rsidR="00987225" w:rsidRPr="003D1636" w:rsidRDefault="00987225">
            <w:pPr>
              <w:rPr>
                <w:rFonts w:ascii="Cambria" w:hAnsi="Cambria"/>
                <w:b/>
                <w:bCs/>
                <w:i/>
                <w:iCs/>
                <w:sz w:val="14"/>
                <w:szCs w:val="14"/>
              </w:rPr>
            </w:pPr>
          </w:p>
        </w:tc>
        <w:tc>
          <w:tcPr>
            <w:tcW w:w="203" w:type="pct"/>
            <w:vMerge/>
            <w:tcBorders>
              <w:top w:val="single" w:sz="8" w:space="0" w:color="auto"/>
              <w:left w:val="single" w:sz="4" w:space="0" w:color="auto"/>
              <w:bottom w:val="single" w:sz="4" w:space="0" w:color="auto"/>
              <w:right w:val="single" w:sz="4" w:space="0" w:color="auto"/>
            </w:tcBorders>
            <w:vAlign w:val="center"/>
            <w:hideMark/>
          </w:tcPr>
          <w:p w14:paraId="5962035F" w14:textId="77777777" w:rsidR="00987225" w:rsidRPr="003D1636" w:rsidRDefault="00987225">
            <w:pPr>
              <w:rPr>
                <w:rFonts w:ascii="Cambria" w:hAnsi="Cambria"/>
                <w:b/>
                <w:bCs/>
                <w:i/>
                <w:iCs/>
                <w:sz w:val="14"/>
                <w:szCs w:val="14"/>
              </w:rPr>
            </w:pPr>
          </w:p>
        </w:tc>
        <w:tc>
          <w:tcPr>
            <w:tcW w:w="203" w:type="pct"/>
            <w:vMerge/>
            <w:tcBorders>
              <w:top w:val="single" w:sz="8" w:space="0" w:color="auto"/>
              <w:left w:val="single" w:sz="4" w:space="0" w:color="auto"/>
              <w:bottom w:val="single" w:sz="4" w:space="0" w:color="auto"/>
              <w:right w:val="single" w:sz="4" w:space="0" w:color="auto"/>
            </w:tcBorders>
            <w:vAlign w:val="center"/>
            <w:hideMark/>
          </w:tcPr>
          <w:p w14:paraId="2028409C" w14:textId="77777777" w:rsidR="00987225" w:rsidRPr="003D1636" w:rsidRDefault="00987225">
            <w:pPr>
              <w:rPr>
                <w:rFonts w:ascii="Cambria" w:hAnsi="Cambria"/>
                <w:b/>
                <w:bCs/>
                <w:i/>
                <w:iCs/>
                <w:sz w:val="14"/>
                <w:szCs w:val="14"/>
              </w:rPr>
            </w:pPr>
          </w:p>
        </w:tc>
        <w:tc>
          <w:tcPr>
            <w:tcW w:w="204" w:type="pct"/>
            <w:vMerge/>
            <w:tcBorders>
              <w:top w:val="single" w:sz="8" w:space="0" w:color="auto"/>
              <w:left w:val="single" w:sz="4" w:space="0" w:color="auto"/>
              <w:bottom w:val="single" w:sz="4" w:space="0" w:color="auto"/>
              <w:right w:val="single" w:sz="8" w:space="0" w:color="auto"/>
            </w:tcBorders>
            <w:vAlign w:val="center"/>
            <w:hideMark/>
          </w:tcPr>
          <w:p w14:paraId="43436621" w14:textId="77777777" w:rsidR="00987225" w:rsidRPr="003D1636" w:rsidRDefault="00987225">
            <w:pPr>
              <w:rPr>
                <w:rFonts w:ascii="Cambria" w:hAnsi="Cambria"/>
                <w:b/>
                <w:bCs/>
                <w:i/>
                <w:iCs/>
                <w:sz w:val="14"/>
                <w:szCs w:val="14"/>
              </w:rPr>
            </w:pPr>
          </w:p>
        </w:tc>
        <w:tc>
          <w:tcPr>
            <w:tcW w:w="435" w:type="pct"/>
            <w:tcBorders>
              <w:top w:val="nil"/>
              <w:left w:val="nil"/>
              <w:bottom w:val="single" w:sz="4" w:space="0" w:color="auto"/>
              <w:right w:val="single" w:sz="4" w:space="0" w:color="auto"/>
            </w:tcBorders>
            <w:vAlign w:val="center"/>
            <w:hideMark/>
          </w:tcPr>
          <w:p w14:paraId="0BB1E871"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SCRS</w:t>
            </w:r>
          </w:p>
        </w:tc>
        <w:tc>
          <w:tcPr>
            <w:tcW w:w="401" w:type="pct"/>
            <w:tcBorders>
              <w:top w:val="nil"/>
              <w:left w:val="nil"/>
              <w:bottom w:val="single" w:sz="4" w:space="0" w:color="auto"/>
              <w:right w:val="single" w:sz="8" w:space="0" w:color="auto"/>
            </w:tcBorders>
            <w:vAlign w:val="center"/>
            <w:hideMark/>
          </w:tcPr>
          <w:p w14:paraId="432EF278"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COM</w:t>
            </w:r>
          </w:p>
        </w:tc>
        <w:tc>
          <w:tcPr>
            <w:tcW w:w="400" w:type="pct"/>
            <w:tcBorders>
              <w:top w:val="nil"/>
              <w:left w:val="nil"/>
              <w:bottom w:val="single" w:sz="4" w:space="0" w:color="auto"/>
              <w:right w:val="single" w:sz="4" w:space="0" w:color="auto"/>
            </w:tcBorders>
            <w:vAlign w:val="center"/>
            <w:hideMark/>
          </w:tcPr>
          <w:p w14:paraId="7B18C101"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SCRS</w:t>
            </w:r>
          </w:p>
        </w:tc>
        <w:tc>
          <w:tcPr>
            <w:tcW w:w="350" w:type="pct"/>
            <w:tcBorders>
              <w:top w:val="nil"/>
              <w:left w:val="nil"/>
              <w:bottom w:val="single" w:sz="4" w:space="0" w:color="auto"/>
              <w:right w:val="single" w:sz="8" w:space="0" w:color="auto"/>
            </w:tcBorders>
            <w:vAlign w:val="center"/>
            <w:hideMark/>
          </w:tcPr>
          <w:p w14:paraId="7FB13447"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COM</w:t>
            </w:r>
          </w:p>
        </w:tc>
        <w:tc>
          <w:tcPr>
            <w:tcW w:w="400" w:type="pct"/>
            <w:tcBorders>
              <w:top w:val="nil"/>
              <w:left w:val="nil"/>
              <w:bottom w:val="single" w:sz="4" w:space="0" w:color="auto"/>
              <w:right w:val="single" w:sz="4" w:space="0" w:color="auto"/>
            </w:tcBorders>
            <w:vAlign w:val="center"/>
            <w:hideMark/>
          </w:tcPr>
          <w:p w14:paraId="4C2F7DCE"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SCRS</w:t>
            </w:r>
          </w:p>
        </w:tc>
        <w:tc>
          <w:tcPr>
            <w:tcW w:w="350" w:type="pct"/>
            <w:tcBorders>
              <w:top w:val="nil"/>
              <w:left w:val="nil"/>
              <w:bottom w:val="single" w:sz="4" w:space="0" w:color="auto"/>
              <w:right w:val="single" w:sz="8" w:space="0" w:color="auto"/>
            </w:tcBorders>
            <w:vAlign w:val="center"/>
            <w:hideMark/>
          </w:tcPr>
          <w:p w14:paraId="54FA24F9"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COM</w:t>
            </w:r>
          </w:p>
        </w:tc>
        <w:tc>
          <w:tcPr>
            <w:tcW w:w="400" w:type="pct"/>
            <w:tcBorders>
              <w:top w:val="nil"/>
              <w:left w:val="nil"/>
              <w:bottom w:val="single" w:sz="4" w:space="0" w:color="auto"/>
              <w:right w:val="single" w:sz="4" w:space="0" w:color="auto"/>
            </w:tcBorders>
            <w:vAlign w:val="center"/>
            <w:hideMark/>
          </w:tcPr>
          <w:p w14:paraId="1B6935D5"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SCRS</w:t>
            </w:r>
          </w:p>
        </w:tc>
        <w:tc>
          <w:tcPr>
            <w:tcW w:w="300" w:type="pct"/>
            <w:tcBorders>
              <w:top w:val="nil"/>
              <w:left w:val="nil"/>
              <w:bottom w:val="single" w:sz="4" w:space="0" w:color="auto"/>
              <w:right w:val="single" w:sz="8" w:space="0" w:color="auto"/>
            </w:tcBorders>
            <w:vAlign w:val="center"/>
            <w:hideMark/>
          </w:tcPr>
          <w:p w14:paraId="2E42E9E5"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COM</w:t>
            </w:r>
          </w:p>
        </w:tc>
        <w:tc>
          <w:tcPr>
            <w:tcW w:w="398" w:type="pct"/>
            <w:tcBorders>
              <w:top w:val="nil"/>
              <w:left w:val="nil"/>
              <w:bottom w:val="single" w:sz="4" w:space="0" w:color="auto"/>
              <w:right w:val="single" w:sz="4" w:space="0" w:color="auto"/>
            </w:tcBorders>
            <w:vAlign w:val="center"/>
            <w:hideMark/>
          </w:tcPr>
          <w:p w14:paraId="5813D4E6"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SCRS</w:t>
            </w:r>
          </w:p>
        </w:tc>
        <w:tc>
          <w:tcPr>
            <w:tcW w:w="350" w:type="pct"/>
            <w:tcBorders>
              <w:top w:val="nil"/>
              <w:left w:val="nil"/>
              <w:bottom w:val="single" w:sz="4" w:space="0" w:color="auto"/>
              <w:right w:val="single" w:sz="8" w:space="0" w:color="auto"/>
            </w:tcBorders>
            <w:vAlign w:val="center"/>
            <w:hideMark/>
          </w:tcPr>
          <w:p w14:paraId="0BDB6C2D" w14:textId="77777777" w:rsidR="00987225" w:rsidRPr="003D1636" w:rsidRDefault="00987225">
            <w:pPr>
              <w:jc w:val="center"/>
              <w:rPr>
                <w:rFonts w:ascii="Cambria" w:hAnsi="Cambria"/>
                <w:b/>
                <w:bCs/>
                <w:i/>
                <w:iCs/>
                <w:sz w:val="14"/>
                <w:szCs w:val="14"/>
              </w:rPr>
            </w:pPr>
            <w:r w:rsidRPr="003D1636">
              <w:rPr>
                <w:rFonts w:ascii="Cambria" w:hAnsi="Cambria"/>
                <w:b/>
                <w:bCs/>
                <w:i/>
                <w:iCs/>
                <w:sz w:val="14"/>
                <w:szCs w:val="14"/>
              </w:rPr>
              <w:t>COM</w:t>
            </w:r>
          </w:p>
        </w:tc>
      </w:tr>
      <w:tr w:rsidR="00B876E3" w:rsidRPr="003D1636" w14:paraId="153E5C45" w14:textId="77777777" w:rsidTr="00B876E3">
        <w:trPr>
          <w:cantSplit/>
          <w:trHeight w:val="3049"/>
        </w:trPr>
        <w:tc>
          <w:tcPr>
            <w:tcW w:w="200" w:type="pct"/>
            <w:tcBorders>
              <w:top w:val="nil"/>
              <w:left w:val="single" w:sz="8" w:space="0" w:color="auto"/>
              <w:bottom w:val="single" w:sz="4" w:space="0" w:color="auto"/>
              <w:right w:val="single" w:sz="8" w:space="0" w:color="auto"/>
            </w:tcBorders>
            <w:textDirection w:val="btLr"/>
            <w:vAlign w:val="center"/>
            <w:hideMark/>
          </w:tcPr>
          <w:p w14:paraId="360EE8F0" w14:textId="77777777" w:rsidR="00987225" w:rsidRPr="003D1636" w:rsidRDefault="00987225" w:rsidP="000249B9">
            <w:pPr>
              <w:ind w:left="113" w:right="113"/>
              <w:jc w:val="center"/>
              <w:rPr>
                <w:rFonts w:ascii="Cambria" w:hAnsi="Cambria"/>
                <w:sz w:val="14"/>
                <w:szCs w:val="14"/>
              </w:rPr>
            </w:pPr>
            <w:r w:rsidRPr="003D1636">
              <w:rPr>
                <w:rFonts w:ascii="Cambria" w:hAnsi="Cambria"/>
                <w:sz w:val="14"/>
                <w:szCs w:val="14"/>
              </w:rPr>
              <w:t>Atún blanco del norte</w:t>
            </w:r>
          </w:p>
        </w:tc>
        <w:tc>
          <w:tcPr>
            <w:tcW w:w="203" w:type="pct"/>
            <w:tcBorders>
              <w:top w:val="nil"/>
              <w:left w:val="nil"/>
              <w:bottom w:val="single" w:sz="4" w:space="0" w:color="auto"/>
              <w:right w:val="single" w:sz="4" w:space="0" w:color="auto"/>
            </w:tcBorders>
            <w:textDirection w:val="btLr"/>
            <w:vAlign w:val="center"/>
            <w:hideMark/>
          </w:tcPr>
          <w:p w14:paraId="750B0C49" w14:textId="77777777" w:rsidR="00987225" w:rsidRPr="003D1636" w:rsidRDefault="00987225" w:rsidP="008C43DC">
            <w:pPr>
              <w:ind w:left="113" w:right="113"/>
              <w:jc w:val="center"/>
              <w:rPr>
                <w:rFonts w:ascii="Cambria" w:hAnsi="Cambria"/>
                <w:sz w:val="14"/>
                <w:szCs w:val="14"/>
              </w:rPr>
            </w:pPr>
            <w:r w:rsidRPr="003D1636">
              <w:rPr>
                <w:rFonts w:ascii="Cambria" w:hAnsi="Cambria"/>
                <w:sz w:val="14"/>
                <w:szCs w:val="14"/>
              </w:rPr>
              <w:t>2021</w:t>
            </w:r>
          </w:p>
        </w:tc>
        <w:tc>
          <w:tcPr>
            <w:tcW w:w="203" w:type="pct"/>
            <w:tcBorders>
              <w:top w:val="nil"/>
              <w:left w:val="nil"/>
              <w:bottom w:val="single" w:sz="4" w:space="0" w:color="auto"/>
              <w:right w:val="single" w:sz="4" w:space="0" w:color="auto"/>
            </w:tcBorders>
            <w:textDirection w:val="btLr"/>
            <w:vAlign w:val="center"/>
            <w:hideMark/>
          </w:tcPr>
          <w:p w14:paraId="43E34933" w14:textId="77777777" w:rsidR="00987225" w:rsidRPr="003D1636" w:rsidRDefault="00987225" w:rsidP="008C43DC">
            <w:pPr>
              <w:ind w:left="113" w:right="113"/>
              <w:jc w:val="center"/>
              <w:rPr>
                <w:rFonts w:ascii="Cambria" w:hAnsi="Cambria"/>
                <w:sz w:val="14"/>
                <w:szCs w:val="14"/>
              </w:rPr>
            </w:pPr>
            <w:r w:rsidRPr="003D1636">
              <w:rPr>
                <w:rFonts w:ascii="Cambria" w:hAnsi="Cambria"/>
                <w:sz w:val="14"/>
                <w:szCs w:val="14"/>
              </w:rPr>
              <w:t>2021</w:t>
            </w:r>
          </w:p>
        </w:tc>
        <w:tc>
          <w:tcPr>
            <w:tcW w:w="203" w:type="pct"/>
            <w:tcBorders>
              <w:top w:val="nil"/>
              <w:left w:val="nil"/>
              <w:bottom w:val="single" w:sz="4" w:space="0" w:color="auto"/>
              <w:right w:val="single" w:sz="4" w:space="0" w:color="auto"/>
            </w:tcBorders>
            <w:textDirection w:val="btLr"/>
            <w:vAlign w:val="center"/>
            <w:hideMark/>
          </w:tcPr>
          <w:p w14:paraId="017C0CF6" w14:textId="77777777" w:rsidR="00987225" w:rsidRPr="003D1636" w:rsidRDefault="00987225" w:rsidP="008C43DC">
            <w:pPr>
              <w:ind w:left="113" w:right="113"/>
              <w:jc w:val="center"/>
              <w:rPr>
                <w:rFonts w:ascii="Cambria" w:hAnsi="Cambria"/>
                <w:sz w:val="14"/>
                <w:szCs w:val="14"/>
              </w:rPr>
            </w:pPr>
            <w:r w:rsidRPr="003D1636">
              <w:rPr>
                <w:rFonts w:ascii="Cambria" w:hAnsi="Cambria"/>
                <w:sz w:val="14"/>
                <w:szCs w:val="14"/>
              </w:rPr>
              <w:t>2026</w:t>
            </w:r>
          </w:p>
        </w:tc>
        <w:tc>
          <w:tcPr>
            <w:tcW w:w="203" w:type="pct"/>
            <w:tcBorders>
              <w:top w:val="nil"/>
              <w:left w:val="nil"/>
              <w:bottom w:val="single" w:sz="4" w:space="0" w:color="auto"/>
              <w:right w:val="single" w:sz="4" w:space="0" w:color="auto"/>
            </w:tcBorders>
            <w:textDirection w:val="btLr"/>
            <w:vAlign w:val="center"/>
            <w:hideMark/>
          </w:tcPr>
          <w:p w14:paraId="0F09EE45" w14:textId="74234E7F" w:rsidR="00987225" w:rsidRPr="003D1636" w:rsidRDefault="00981C86" w:rsidP="008C43DC">
            <w:pPr>
              <w:ind w:left="113" w:right="113"/>
              <w:jc w:val="center"/>
              <w:rPr>
                <w:rFonts w:ascii="Cambria" w:hAnsi="Cambria"/>
                <w:sz w:val="14"/>
                <w:szCs w:val="14"/>
              </w:rPr>
            </w:pPr>
            <w:r w:rsidRPr="003D1636">
              <w:rPr>
                <w:rFonts w:ascii="Cambria" w:hAnsi="Cambria"/>
                <w:sz w:val="14"/>
                <w:szCs w:val="14"/>
              </w:rPr>
              <w:t>2029</w:t>
            </w:r>
          </w:p>
        </w:tc>
        <w:tc>
          <w:tcPr>
            <w:tcW w:w="204" w:type="pct"/>
            <w:tcBorders>
              <w:top w:val="nil"/>
              <w:left w:val="nil"/>
              <w:bottom w:val="single" w:sz="4" w:space="0" w:color="auto"/>
              <w:right w:val="single" w:sz="8" w:space="0" w:color="auto"/>
            </w:tcBorders>
            <w:textDirection w:val="btLr"/>
            <w:vAlign w:val="center"/>
            <w:hideMark/>
          </w:tcPr>
          <w:p w14:paraId="0B0689B0" w14:textId="77777777" w:rsidR="00987225" w:rsidRPr="003D1636" w:rsidRDefault="00987225" w:rsidP="008C43DC">
            <w:pPr>
              <w:ind w:left="113" w:right="113"/>
              <w:jc w:val="center"/>
              <w:rPr>
                <w:rFonts w:ascii="Cambria" w:hAnsi="Cambria"/>
                <w:sz w:val="14"/>
                <w:szCs w:val="14"/>
              </w:rPr>
            </w:pPr>
            <w:r w:rsidRPr="003D1636">
              <w:rPr>
                <w:rFonts w:ascii="Cambria" w:hAnsi="Cambria"/>
                <w:sz w:val="14"/>
                <w:szCs w:val="14"/>
              </w:rPr>
              <w:t>2026</w:t>
            </w:r>
          </w:p>
        </w:tc>
        <w:tc>
          <w:tcPr>
            <w:tcW w:w="435" w:type="pct"/>
            <w:tcBorders>
              <w:top w:val="nil"/>
              <w:left w:val="nil"/>
              <w:bottom w:val="single" w:sz="4" w:space="0" w:color="auto"/>
              <w:right w:val="single" w:sz="4" w:space="0" w:color="auto"/>
            </w:tcBorders>
            <w:vAlign w:val="center"/>
            <w:hideMark/>
          </w:tcPr>
          <w:p w14:paraId="14DCE1E5" w14:textId="77777777" w:rsidR="00987225" w:rsidRPr="003D1636" w:rsidRDefault="00987225">
            <w:pPr>
              <w:rPr>
                <w:rFonts w:ascii="Cambria" w:hAnsi="Cambria"/>
                <w:sz w:val="14"/>
                <w:szCs w:val="14"/>
              </w:rPr>
            </w:pPr>
            <w:r w:rsidRPr="003D1636">
              <w:rPr>
                <w:rFonts w:ascii="Cambria" w:hAnsi="Cambria"/>
                <w:sz w:val="14"/>
                <w:szCs w:val="14"/>
              </w:rPr>
              <w:t>OM y modelo de estimación finalizados. MP actuales y alternativos especificados en la Rec. 21-05 probados. Comprobación de EC realizada.</w:t>
            </w:r>
          </w:p>
        </w:tc>
        <w:tc>
          <w:tcPr>
            <w:tcW w:w="401" w:type="pct"/>
            <w:tcBorders>
              <w:top w:val="nil"/>
              <w:left w:val="nil"/>
              <w:bottom w:val="single" w:sz="4" w:space="0" w:color="auto"/>
              <w:right w:val="single" w:sz="8" w:space="0" w:color="auto"/>
            </w:tcBorders>
            <w:vAlign w:val="center"/>
            <w:hideMark/>
          </w:tcPr>
          <w:p w14:paraId="78D2CBD1" w14:textId="77777777" w:rsidR="00987225" w:rsidRPr="003D1636" w:rsidRDefault="00987225">
            <w:pPr>
              <w:rPr>
                <w:rFonts w:ascii="Cambria" w:hAnsi="Cambria"/>
                <w:sz w:val="14"/>
                <w:szCs w:val="14"/>
              </w:rPr>
            </w:pPr>
            <w:r w:rsidRPr="003D1636">
              <w:rPr>
                <w:rFonts w:ascii="Cambria" w:hAnsi="Cambria"/>
                <w:sz w:val="14"/>
                <w:szCs w:val="14"/>
              </w:rPr>
              <w:t> </w:t>
            </w:r>
          </w:p>
        </w:tc>
        <w:tc>
          <w:tcPr>
            <w:tcW w:w="400" w:type="pct"/>
            <w:tcBorders>
              <w:top w:val="nil"/>
              <w:left w:val="nil"/>
              <w:bottom w:val="single" w:sz="4" w:space="0" w:color="auto"/>
              <w:right w:val="single" w:sz="4" w:space="0" w:color="auto"/>
            </w:tcBorders>
            <w:vAlign w:val="center"/>
            <w:hideMark/>
          </w:tcPr>
          <w:p w14:paraId="49E20D45" w14:textId="77777777" w:rsidR="00987225" w:rsidRPr="003D1636" w:rsidRDefault="00987225">
            <w:pPr>
              <w:rPr>
                <w:rFonts w:ascii="Cambria" w:hAnsi="Cambria"/>
                <w:sz w:val="14"/>
                <w:szCs w:val="14"/>
              </w:rPr>
            </w:pPr>
            <w:r w:rsidRPr="003D1636">
              <w:rPr>
                <w:rFonts w:ascii="Cambria" w:hAnsi="Cambria"/>
                <w:sz w:val="14"/>
                <w:szCs w:val="14"/>
              </w:rPr>
              <w:t xml:space="preserve">Presentación de avances a la Subcomisión 2 en la reunión intersesiones. </w:t>
            </w:r>
            <w:r w:rsidRPr="003D1636">
              <w:rPr>
                <w:rFonts w:ascii="Cambria" w:hAnsi="Cambria"/>
                <w:sz w:val="14"/>
                <w:szCs w:val="14"/>
              </w:rPr>
              <w:br/>
              <w:t>Ejecución de los MP actuales y alternativos para proporcionar TAC para 2027-2029.</w:t>
            </w:r>
          </w:p>
        </w:tc>
        <w:tc>
          <w:tcPr>
            <w:tcW w:w="350" w:type="pct"/>
            <w:tcBorders>
              <w:top w:val="nil"/>
              <w:left w:val="nil"/>
              <w:bottom w:val="single" w:sz="4" w:space="0" w:color="auto"/>
              <w:right w:val="single" w:sz="8" w:space="0" w:color="auto"/>
            </w:tcBorders>
            <w:vAlign w:val="center"/>
            <w:hideMark/>
          </w:tcPr>
          <w:p w14:paraId="0023E75D" w14:textId="77777777" w:rsidR="00987225" w:rsidRPr="003D1636" w:rsidRDefault="00987225">
            <w:pPr>
              <w:rPr>
                <w:rFonts w:ascii="Cambria" w:hAnsi="Cambria"/>
                <w:sz w:val="14"/>
                <w:szCs w:val="14"/>
              </w:rPr>
            </w:pPr>
            <w:r w:rsidRPr="003D1636">
              <w:rPr>
                <w:rFonts w:ascii="Cambria" w:hAnsi="Cambria"/>
                <w:sz w:val="14"/>
                <w:szCs w:val="14"/>
              </w:rPr>
              <w:t>La Subcomisión 2 se reunirá en el periodo intersesiones para dar su opinión sobre la forma de ultimar la MSE (objetivos, indicadores de desempeño, MP, calibración).</w:t>
            </w:r>
            <w:r w:rsidRPr="003D1636">
              <w:rPr>
                <w:rFonts w:ascii="Cambria" w:hAnsi="Cambria"/>
                <w:sz w:val="14"/>
                <w:szCs w:val="14"/>
              </w:rPr>
              <w:br/>
              <w:t>Adopción del TAC 2027-2029 en la reunión anual sobre la base del MP actual o alternativo.</w:t>
            </w:r>
          </w:p>
        </w:tc>
        <w:tc>
          <w:tcPr>
            <w:tcW w:w="400" w:type="pct"/>
            <w:tcBorders>
              <w:top w:val="nil"/>
              <w:left w:val="nil"/>
              <w:bottom w:val="single" w:sz="4" w:space="0" w:color="auto"/>
              <w:right w:val="single" w:sz="4" w:space="0" w:color="auto"/>
            </w:tcBorders>
            <w:vAlign w:val="center"/>
            <w:hideMark/>
          </w:tcPr>
          <w:p w14:paraId="7C6F7F59" w14:textId="77777777" w:rsidR="00987225" w:rsidRPr="003D1636" w:rsidRDefault="00987225">
            <w:pPr>
              <w:rPr>
                <w:rFonts w:ascii="Cambria" w:hAnsi="Cambria"/>
                <w:sz w:val="14"/>
                <w:szCs w:val="14"/>
              </w:rPr>
            </w:pPr>
            <w:r w:rsidRPr="003D1636">
              <w:rPr>
                <w:rFonts w:ascii="Cambria" w:hAnsi="Cambria"/>
                <w:sz w:val="14"/>
                <w:szCs w:val="14"/>
              </w:rPr>
              <w:t>Comprobación de existencia de EC.</w:t>
            </w:r>
            <w:r w:rsidRPr="003D1636">
              <w:rPr>
                <w:rFonts w:ascii="Cambria" w:hAnsi="Cambria"/>
                <w:sz w:val="14"/>
                <w:szCs w:val="14"/>
              </w:rPr>
              <w:br/>
              <w:t>Realización de análisis pendientes solicitados por la COM o el SCRS.</w:t>
            </w:r>
          </w:p>
        </w:tc>
        <w:tc>
          <w:tcPr>
            <w:tcW w:w="350" w:type="pct"/>
            <w:tcBorders>
              <w:top w:val="nil"/>
              <w:left w:val="nil"/>
              <w:bottom w:val="single" w:sz="4" w:space="0" w:color="auto"/>
              <w:right w:val="single" w:sz="8" w:space="0" w:color="auto"/>
            </w:tcBorders>
            <w:vAlign w:val="center"/>
            <w:hideMark/>
          </w:tcPr>
          <w:p w14:paraId="5C756BBF" w14:textId="77777777" w:rsidR="00987225" w:rsidRPr="003D1636" w:rsidRDefault="00987225">
            <w:pPr>
              <w:rPr>
                <w:rFonts w:ascii="Cambria" w:hAnsi="Cambria"/>
                <w:sz w:val="14"/>
                <w:szCs w:val="14"/>
              </w:rPr>
            </w:pPr>
            <w:r w:rsidRPr="003D1636">
              <w:rPr>
                <w:rFonts w:ascii="Cambria" w:hAnsi="Cambria"/>
                <w:sz w:val="14"/>
                <w:szCs w:val="14"/>
              </w:rPr>
              <w:t> </w:t>
            </w:r>
          </w:p>
        </w:tc>
        <w:tc>
          <w:tcPr>
            <w:tcW w:w="400" w:type="pct"/>
            <w:tcBorders>
              <w:top w:val="nil"/>
              <w:left w:val="nil"/>
              <w:bottom w:val="single" w:sz="4" w:space="0" w:color="auto"/>
              <w:right w:val="single" w:sz="4" w:space="0" w:color="auto"/>
            </w:tcBorders>
            <w:vAlign w:val="center"/>
            <w:hideMark/>
          </w:tcPr>
          <w:p w14:paraId="1FB374B3" w14:textId="77777777" w:rsidR="00987225" w:rsidRPr="003D1636" w:rsidRDefault="00987225">
            <w:pPr>
              <w:rPr>
                <w:rFonts w:ascii="Cambria" w:hAnsi="Cambria"/>
                <w:sz w:val="14"/>
                <w:szCs w:val="14"/>
              </w:rPr>
            </w:pPr>
            <w:r w:rsidRPr="003D1636">
              <w:rPr>
                <w:rFonts w:ascii="Cambria" w:hAnsi="Cambria"/>
                <w:sz w:val="14"/>
                <w:szCs w:val="14"/>
              </w:rPr>
              <w:t>Comprobación de existencia de EC.</w:t>
            </w:r>
            <w:r w:rsidRPr="003D1636">
              <w:rPr>
                <w:rFonts w:ascii="Cambria" w:hAnsi="Cambria"/>
                <w:sz w:val="14"/>
                <w:szCs w:val="14"/>
              </w:rPr>
              <w:br/>
              <w:t>Prueba de integración de la utilización del índice conjunto de juveniles en MP</w:t>
            </w:r>
          </w:p>
        </w:tc>
        <w:tc>
          <w:tcPr>
            <w:tcW w:w="300" w:type="pct"/>
            <w:tcBorders>
              <w:top w:val="nil"/>
              <w:left w:val="nil"/>
              <w:bottom w:val="single" w:sz="4" w:space="0" w:color="auto"/>
              <w:right w:val="single" w:sz="4" w:space="0" w:color="auto"/>
            </w:tcBorders>
            <w:vAlign w:val="center"/>
            <w:hideMark/>
          </w:tcPr>
          <w:p w14:paraId="4290C999" w14:textId="77777777" w:rsidR="00987225" w:rsidRPr="003D1636" w:rsidRDefault="00987225">
            <w:pPr>
              <w:rPr>
                <w:rFonts w:ascii="Cambria" w:hAnsi="Cambria"/>
                <w:sz w:val="14"/>
                <w:szCs w:val="14"/>
              </w:rPr>
            </w:pPr>
            <w:r w:rsidRPr="003D1636">
              <w:rPr>
                <w:rFonts w:ascii="Cambria" w:hAnsi="Cambria"/>
                <w:sz w:val="14"/>
                <w:szCs w:val="14"/>
              </w:rPr>
              <w:t> </w:t>
            </w:r>
          </w:p>
        </w:tc>
        <w:tc>
          <w:tcPr>
            <w:tcW w:w="398" w:type="pct"/>
            <w:tcBorders>
              <w:top w:val="single" w:sz="4" w:space="0" w:color="auto"/>
              <w:left w:val="single" w:sz="4" w:space="0" w:color="auto"/>
              <w:bottom w:val="single" w:sz="4" w:space="0" w:color="auto"/>
              <w:right w:val="single" w:sz="4" w:space="0" w:color="auto"/>
            </w:tcBorders>
            <w:vAlign w:val="center"/>
            <w:hideMark/>
          </w:tcPr>
          <w:p w14:paraId="4792D2DD" w14:textId="75FFF35F" w:rsidR="00987225" w:rsidRPr="003D1636" w:rsidRDefault="00987225">
            <w:pPr>
              <w:rPr>
                <w:rFonts w:ascii="Cambria" w:hAnsi="Cambria"/>
                <w:sz w:val="14"/>
                <w:szCs w:val="14"/>
              </w:rPr>
            </w:pPr>
            <w:r w:rsidRPr="003D1636">
              <w:rPr>
                <w:rFonts w:ascii="Cambria" w:hAnsi="Cambria"/>
                <w:sz w:val="14"/>
                <w:szCs w:val="14"/>
              </w:rPr>
              <w:t>Evaluación de</w:t>
            </w:r>
            <w:r w:rsidR="00075375">
              <w:rPr>
                <w:rFonts w:ascii="Cambria" w:hAnsi="Cambria"/>
                <w:sz w:val="14"/>
                <w:szCs w:val="14"/>
              </w:rPr>
              <w:t xml:space="preserve"> niveles de</w:t>
            </w:r>
            <w:r w:rsidRPr="003D1636">
              <w:rPr>
                <w:rFonts w:ascii="Cambria" w:hAnsi="Cambria"/>
                <w:sz w:val="14"/>
                <w:szCs w:val="14"/>
              </w:rPr>
              <w:t xml:space="preserve"> referencia (comprobación de estado). Ejecución de MP para proporcionar TAC para 2030-2032.</w:t>
            </w:r>
          </w:p>
        </w:tc>
        <w:tc>
          <w:tcPr>
            <w:tcW w:w="350" w:type="pct"/>
            <w:tcBorders>
              <w:top w:val="single" w:sz="4" w:space="0" w:color="auto"/>
              <w:left w:val="single" w:sz="4" w:space="0" w:color="auto"/>
              <w:bottom w:val="single" w:sz="4" w:space="0" w:color="auto"/>
              <w:right w:val="single" w:sz="4" w:space="0" w:color="auto"/>
            </w:tcBorders>
            <w:vAlign w:val="center"/>
            <w:hideMark/>
          </w:tcPr>
          <w:p w14:paraId="66B051C8" w14:textId="2E77DF97" w:rsidR="00987225" w:rsidRPr="003D1636" w:rsidRDefault="00987225">
            <w:pPr>
              <w:rPr>
                <w:rFonts w:ascii="Cambria" w:hAnsi="Cambria"/>
                <w:sz w:val="14"/>
                <w:szCs w:val="14"/>
              </w:rPr>
            </w:pPr>
            <w:r w:rsidRPr="003D1636">
              <w:rPr>
                <w:rFonts w:ascii="Cambria" w:hAnsi="Cambria"/>
                <w:sz w:val="14"/>
                <w:szCs w:val="14"/>
              </w:rPr>
              <w:t>Adoptar el TAC para 2030-2032 basado en el MP en la reunión anu</w:t>
            </w:r>
            <w:r w:rsidR="005240D0" w:rsidRPr="003D1636">
              <w:rPr>
                <w:rFonts w:ascii="Cambria" w:hAnsi="Cambria"/>
                <w:sz w:val="14"/>
                <w:szCs w:val="14"/>
              </w:rPr>
              <w:t>a</w:t>
            </w:r>
            <w:r w:rsidRPr="003D1636">
              <w:rPr>
                <w:rFonts w:ascii="Cambria" w:hAnsi="Cambria"/>
                <w:sz w:val="14"/>
                <w:szCs w:val="14"/>
              </w:rPr>
              <w:t>l</w:t>
            </w:r>
            <w:r w:rsidR="005240D0" w:rsidRPr="003D1636">
              <w:rPr>
                <w:rFonts w:ascii="Cambria" w:hAnsi="Cambria"/>
                <w:sz w:val="14"/>
                <w:szCs w:val="14"/>
              </w:rPr>
              <w:t>.</w:t>
            </w:r>
          </w:p>
        </w:tc>
      </w:tr>
      <w:tr w:rsidR="005240D0" w:rsidRPr="003D1636" w14:paraId="76903570" w14:textId="77777777" w:rsidTr="00B876E3">
        <w:trPr>
          <w:cantSplit/>
          <w:trHeight w:val="2907"/>
        </w:trPr>
        <w:tc>
          <w:tcPr>
            <w:tcW w:w="200" w:type="pct"/>
            <w:tcBorders>
              <w:top w:val="nil"/>
              <w:left w:val="single" w:sz="8" w:space="0" w:color="auto"/>
              <w:bottom w:val="single" w:sz="4" w:space="0" w:color="auto"/>
              <w:right w:val="single" w:sz="8" w:space="0" w:color="auto"/>
            </w:tcBorders>
            <w:textDirection w:val="btLr"/>
            <w:vAlign w:val="center"/>
            <w:hideMark/>
          </w:tcPr>
          <w:p w14:paraId="14668B27" w14:textId="77777777" w:rsidR="00987225" w:rsidRPr="003D1636" w:rsidRDefault="00987225" w:rsidP="000249B9">
            <w:pPr>
              <w:ind w:left="113" w:right="113"/>
              <w:jc w:val="center"/>
              <w:rPr>
                <w:rFonts w:ascii="Cambria" w:hAnsi="Cambria"/>
                <w:sz w:val="14"/>
                <w:szCs w:val="14"/>
              </w:rPr>
            </w:pPr>
            <w:r w:rsidRPr="003D1636">
              <w:rPr>
                <w:rFonts w:ascii="Cambria" w:hAnsi="Cambria"/>
                <w:sz w:val="14"/>
                <w:szCs w:val="14"/>
              </w:rPr>
              <w:lastRenderedPageBreak/>
              <w:t>Atún rojo del Atlántico</w:t>
            </w:r>
          </w:p>
        </w:tc>
        <w:tc>
          <w:tcPr>
            <w:tcW w:w="203" w:type="pct"/>
            <w:tcBorders>
              <w:top w:val="nil"/>
              <w:left w:val="nil"/>
              <w:bottom w:val="single" w:sz="4" w:space="0" w:color="auto"/>
              <w:right w:val="single" w:sz="4" w:space="0" w:color="auto"/>
            </w:tcBorders>
            <w:textDirection w:val="btLr"/>
            <w:vAlign w:val="center"/>
            <w:hideMark/>
          </w:tcPr>
          <w:p w14:paraId="3CF5009B"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2022</w:t>
            </w:r>
          </w:p>
        </w:tc>
        <w:tc>
          <w:tcPr>
            <w:tcW w:w="203" w:type="pct"/>
            <w:tcBorders>
              <w:top w:val="nil"/>
              <w:left w:val="nil"/>
              <w:bottom w:val="single" w:sz="4" w:space="0" w:color="auto"/>
              <w:right w:val="single" w:sz="4" w:space="0" w:color="auto"/>
            </w:tcBorders>
            <w:textDirection w:val="btLr"/>
            <w:vAlign w:val="center"/>
            <w:hideMark/>
          </w:tcPr>
          <w:p w14:paraId="1E24FEF2"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2023</w:t>
            </w:r>
          </w:p>
        </w:tc>
        <w:tc>
          <w:tcPr>
            <w:tcW w:w="203" w:type="pct"/>
            <w:tcBorders>
              <w:top w:val="nil"/>
              <w:left w:val="nil"/>
              <w:bottom w:val="single" w:sz="4" w:space="0" w:color="auto"/>
              <w:right w:val="single" w:sz="4" w:space="0" w:color="auto"/>
            </w:tcBorders>
            <w:textDirection w:val="btLr"/>
            <w:vAlign w:val="center"/>
            <w:hideMark/>
          </w:tcPr>
          <w:p w14:paraId="0C554C14"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2025</w:t>
            </w:r>
          </w:p>
        </w:tc>
        <w:tc>
          <w:tcPr>
            <w:tcW w:w="203" w:type="pct"/>
            <w:tcBorders>
              <w:top w:val="nil"/>
              <w:left w:val="nil"/>
              <w:bottom w:val="single" w:sz="4" w:space="0" w:color="auto"/>
              <w:right w:val="single" w:sz="4" w:space="0" w:color="auto"/>
            </w:tcBorders>
            <w:textDirection w:val="btLr"/>
            <w:vAlign w:val="center"/>
            <w:hideMark/>
          </w:tcPr>
          <w:p w14:paraId="3F545DA7"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2026-2027</w:t>
            </w:r>
          </w:p>
        </w:tc>
        <w:tc>
          <w:tcPr>
            <w:tcW w:w="204" w:type="pct"/>
            <w:tcBorders>
              <w:top w:val="nil"/>
              <w:left w:val="nil"/>
              <w:bottom w:val="single" w:sz="4" w:space="0" w:color="auto"/>
              <w:right w:val="single" w:sz="8" w:space="0" w:color="auto"/>
            </w:tcBorders>
            <w:textDirection w:val="btLr"/>
            <w:vAlign w:val="center"/>
            <w:hideMark/>
          </w:tcPr>
          <w:p w14:paraId="2299A6F6"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2027-2028</w:t>
            </w:r>
          </w:p>
        </w:tc>
        <w:tc>
          <w:tcPr>
            <w:tcW w:w="435" w:type="pct"/>
            <w:tcBorders>
              <w:top w:val="nil"/>
              <w:left w:val="nil"/>
              <w:bottom w:val="single" w:sz="4" w:space="0" w:color="auto"/>
              <w:right w:val="single" w:sz="4" w:space="0" w:color="auto"/>
            </w:tcBorders>
            <w:vAlign w:val="center"/>
            <w:hideMark/>
          </w:tcPr>
          <w:p w14:paraId="7BA6F64B" w14:textId="77777777" w:rsidR="00987225" w:rsidRPr="003D1636" w:rsidRDefault="00987225">
            <w:pPr>
              <w:rPr>
                <w:rFonts w:ascii="Cambria" w:hAnsi="Cambria"/>
                <w:sz w:val="14"/>
                <w:szCs w:val="14"/>
              </w:rPr>
            </w:pPr>
            <w:r w:rsidRPr="003D1636">
              <w:rPr>
                <w:rFonts w:ascii="Cambria" w:hAnsi="Cambria"/>
                <w:sz w:val="14"/>
                <w:szCs w:val="14"/>
              </w:rPr>
              <w:t>El SCRS llevó a cabo una recalibración adicional de los OM, incorporando la estimación del CKMR de la abundancia del stock del oeste. Comprobación de EC realizada.</w:t>
            </w:r>
            <w:r w:rsidRPr="003D1636">
              <w:rPr>
                <w:rFonts w:ascii="Cambria" w:hAnsi="Cambria"/>
                <w:sz w:val="14"/>
                <w:szCs w:val="14"/>
              </w:rPr>
              <w:br/>
              <w:t>TAC para 2026-2028 proporcionado.</w:t>
            </w:r>
          </w:p>
        </w:tc>
        <w:tc>
          <w:tcPr>
            <w:tcW w:w="401" w:type="pct"/>
            <w:tcBorders>
              <w:top w:val="nil"/>
              <w:left w:val="nil"/>
              <w:bottom w:val="single" w:sz="4" w:space="0" w:color="auto"/>
              <w:right w:val="single" w:sz="8" w:space="0" w:color="auto"/>
            </w:tcBorders>
            <w:vAlign w:val="center"/>
            <w:hideMark/>
          </w:tcPr>
          <w:p w14:paraId="4F438DA9" w14:textId="77777777" w:rsidR="00987225" w:rsidRPr="003D1636" w:rsidRDefault="00987225">
            <w:pPr>
              <w:rPr>
                <w:rFonts w:ascii="Cambria" w:hAnsi="Cambria"/>
                <w:sz w:val="14"/>
                <w:szCs w:val="14"/>
              </w:rPr>
            </w:pPr>
            <w:r w:rsidRPr="003D1636">
              <w:rPr>
                <w:rFonts w:ascii="Cambria" w:hAnsi="Cambria"/>
                <w:sz w:val="14"/>
                <w:szCs w:val="14"/>
              </w:rPr>
              <w:t>Adopción de los TAC 2026-2028 basándose en el MP.</w:t>
            </w:r>
          </w:p>
        </w:tc>
        <w:tc>
          <w:tcPr>
            <w:tcW w:w="400" w:type="pct"/>
            <w:tcBorders>
              <w:top w:val="nil"/>
              <w:left w:val="nil"/>
              <w:bottom w:val="single" w:sz="4" w:space="0" w:color="auto"/>
              <w:right w:val="single" w:sz="4" w:space="0" w:color="auto"/>
            </w:tcBorders>
            <w:vAlign w:val="center"/>
            <w:hideMark/>
          </w:tcPr>
          <w:p w14:paraId="6D9E7451" w14:textId="77777777" w:rsidR="00987225" w:rsidRPr="003D1636" w:rsidRDefault="00987225">
            <w:pPr>
              <w:rPr>
                <w:rFonts w:ascii="Cambria" w:hAnsi="Cambria"/>
                <w:sz w:val="14"/>
                <w:szCs w:val="14"/>
              </w:rPr>
            </w:pPr>
            <w:r w:rsidRPr="003D1636">
              <w:rPr>
                <w:rFonts w:ascii="Cambria" w:hAnsi="Cambria"/>
                <w:sz w:val="14"/>
                <w:szCs w:val="14"/>
              </w:rPr>
              <w:t xml:space="preserve">Realización de la comprobación de estado. </w:t>
            </w:r>
            <w:r w:rsidRPr="003D1636">
              <w:rPr>
                <w:rFonts w:ascii="Cambria" w:hAnsi="Cambria"/>
                <w:sz w:val="14"/>
                <w:szCs w:val="14"/>
              </w:rPr>
              <w:br/>
              <w:t>Inicio del examen del MP.</w:t>
            </w:r>
            <w:r w:rsidRPr="003D1636">
              <w:rPr>
                <w:rFonts w:ascii="Cambria" w:hAnsi="Cambria"/>
                <w:sz w:val="14"/>
                <w:szCs w:val="14"/>
              </w:rPr>
              <w:br/>
              <w:t xml:space="preserve">Presentación a la Subcomisión 2. </w:t>
            </w:r>
            <w:r w:rsidRPr="003D1636">
              <w:rPr>
                <w:rFonts w:ascii="Cambria" w:hAnsi="Cambria"/>
                <w:sz w:val="14"/>
                <w:szCs w:val="14"/>
              </w:rPr>
              <w:br/>
              <w:t>Comprobación de existencia de EC.</w:t>
            </w:r>
          </w:p>
        </w:tc>
        <w:tc>
          <w:tcPr>
            <w:tcW w:w="350" w:type="pct"/>
            <w:tcBorders>
              <w:top w:val="nil"/>
              <w:left w:val="nil"/>
              <w:bottom w:val="single" w:sz="4" w:space="0" w:color="auto"/>
              <w:right w:val="single" w:sz="8" w:space="0" w:color="auto"/>
            </w:tcBorders>
            <w:vAlign w:val="center"/>
            <w:hideMark/>
          </w:tcPr>
          <w:p w14:paraId="72E14527" w14:textId="77777777" w:rsidR="00987225" w:rsidRPr="003D1636" w:rsidRDefault="00987225">
            <w:pPr>
              <w:rPr>
                <w:rFonts w:ascii="Cambria" w:hAnsi="Cambria"/>
                <w:sz w:val="14"/>
                <w:szCs w:val="14"/>
              </w:rPr>
            </w:pPr>
            <w:r w:rsidRPr="003D1636">
              <w:rPr>
                <w:rFonts w:ascii="Cambria" w:hAnsi="Cambria"/>
                <w:sz w:val="14"/>
                <w:szCs w:val="14"/>
              </w:rPr>
              <w:t>Examen de los avances en la comprobación del estado y revisión del MP.</w:t>
            </w:r>
          </w:p>
        </w:tc>
        <w:tc>
          <w:tcPr>
            <w:tcW w:w="400" w:type="pct"/>
            <w:tcBorders>
              <w:top w:val="nil"/>
              <w:left w:val="nil"/>
              <w:bottom w:val="single" w:sz="4" w:space="0" w:color="auto"/>
              <w:right w:val="single" w:sz="4" w:space="0" w:color="auto"/>
            </w:tcBorders>
            <w:vAlign w:val="center"/>
            <w:hideMark/>
          </w:tcPr>
          <w:p w14:paraId="4726E194" w14:textId="77777777" w:rsidR="00987225" w:rsidRPr="003D1636" w:rsidRDefault="00987225">
            <w:pPr>
              <w:rPr>
                <w:rFonts w:ascii="Cambria" w:hAnsi="Cambria"/>
                <w:sz w:val="14"/>
                <w:szCs w:val="14"/>
              </w:rPr>
            </w:pPr>
            <w:r w:rsidRPr="003D1636">
              <w:rPr>
                <w:rFonts w:ascii="Cambria" w:hAnsi="Cambria"/>
                <w:sz w:val="14"/>
                <w:szCs w:val="14"/>
              </w:rPr>
              <w:t>Continuación de la revisión del MP.</w:t>
            </w:r>
            <w:r w:rsidRPr="003D1636">
              <w:rPr>
                <w:rFonts w:ascii="Cambria" w:hAnsi="Cambria"/>
                <w:sz w:val="14"/>
                <w:szCs w:val="14"/>
              </w:rPr>
              <w:br/>
              <w:t xml:space="preserve">Presentación a la Subcomisión 2 para recibir comentarios. </w:t>
            </w:r>
            <w:r w:rsidRPr="003D1636">
              <w:rPr>
                <w:rFonts w:ascii="Cambria" w:hAnsi="Cambria"/>
                <w:sz w:val="14"/>
                <w:szCs w:val="14"/>
              </w:rPr>
              <w:br/>
              <w:t>Comprobación de existencia de EC.</w:t>
            </w:r>
          </w:p>
        </w:tc>
        <w:tc>
          <w:tcPr>
            <w:tcW w:w="350" w:type="pct"/>
            <w:tcBorders>
              <w:top w:val="nil"/>
              <w:left w:val="nil"/>
              <w:bottom w:val="single" w:sz="4" w:space="0" w:color="auto"/>
              <w:right w:val="single" w:sz="8" w:space="0" w:color="auto"/>
            </w:tcBorders>
            <w:vAlign w:val="center"/>
            <w:hideMark/>
          </w:tcPr>
          <w:p w14:paraId="39A8C0B6" w14:textId="77777777" w:rsidR="00987225" w:rsidRPr="003D1636" w:rsidRDefault="00987225">
            <w:pPr>
              <w:rPr>
                <w:rFonts w:ascii="Cambria" w:hAnsi="Cambria"/>
                <w:sz w:val="14"/>
                <w:szCs w:val="14"/>
              </w:rPr>
            </w:pPr>
            <w:r w:rsidRPr="003D1636">
              <w:rPr>
                <w:rFonts w:ascii="Cambria" w:hAnsi="Cambria"/>
                <w:sz w:val="14"/>
                <w:szCs w:val="14"/>
              </w:rPr>
              <w:t>Examen de los avances en la revisión del MP.</w:t>
            </w:r>
          </w:p>
        </w:tc>
        <w:tc>
          <w:tcPr>
            <w:tcW w:w="400" w:type="pct"/>
            <w:tcBorders>
              <w:top w:val="nil"/>
              <w:left w:val="nil"/>
              <w:bottom w:val="single" w:sz="4" w:space="0" w:color="auto"/>
              <w:right w:val="single" w:sz="4" w:space="0" w:color="auto"/>
            </w:tcBorders>
            <w:vAlign w:val="center"/>
            <w:hideMark/>
          </w:tcPr>
          <w:p w14:paraId="19F5C6B5" w14:textId="77777777" w:rsidR="00987225" w:rsidRPr="003D1636" w:rsidRDefault="00987225">
            <w:pPr>
              <w:rPr>
                <w:rFonts w:ascii="Cambria" w:hAnsi="Cambria"/>
                <w:sz w:val="14"/>
                <w:szCs w:val="14"/>
              </w:rPr>
            </w:pPr>
            <w:r w:rsidRPr="003D1636">
              <w:rPr>
                <w:rFonts w:ascii="Cambria" w:hAnsi="Cambria"/>
                <w:sz w:val="14"/>
                <w:szCs w:val="14"/>
              </w:rPr>
              <w:t>Finalización de las revisiones del MP.</w:t>
            </w:r>
            <w:r w:rsidRPr="003D1636">
              <w:rPr>
                <w:rFonts w:ascii="Cambria" w:hAnsi="Cambria"/>
                <w:sz w:val="14"/>
                <w:szCs w:val="14"/>
              </w:rPr>
              <w:br/>
              <w:t>Presentación a la Subcomisión 2 para recibir comentarios finales.</w:t>
            </w:r>
            <w:r w:rsidRPr="003D1636">
              <w:rPr>
                <w:rFonts w:ascii="Cambria" w:hAnsi="Cambria"/>
                <w:sz w:val="14"/>
                <w:szCs w:val="14"/>
              </w:rPr>
              <w:br/>
              <w:t xml:space="preserve">Proporcionar los TAC 2029-2031 basados en el MP actual o alternativo. </w:t>
            </w:r>
            <w:r w:rsidRPr="003D1636">
              <w:rPr>
                <w:rFonts w:ascii="Cambria" w:hAnsi="Cambria"/>
                <w:sz w:val="14"/>
                <w:szCs w:val="14"/>
              </w:rPr>
              <w:br/>
              <w:t>Comprobación de existencia de EC.</w:t>
            </w:r>
          </w:p>
        </w:tc>
        <w:tc>
          <w:tcPr>
            <w:tcW w:w="300" w:type="pct"/>
            <w:tcBorders>
              <w:top w:val="nil"/>
              <w:left w:val="nil"/>
              <w:bottom w:val="single" w:sz="4" w:space="0" w:color="auto"/>
              <w:right w:val="single" w:sz="8" w:space="0" w:color="auto"/>
            </w:tcBorders>
            <w:vAlign w:val="center"/>
            <w:hideMark/>
          </w:tcPr>
          <w:p w14:paraId="04D4D743" w14:textId="7C14A0C3" w:rsidR="00987225" w:rsidRPr="003D1636" w:rsidRDefault="00987225">
            <w:pPr>
              <w:rPr>
                <w:rFonts w:ascii="Cambria" w:hAnsi="Cambria"/>
                <w:sz w:val="14"/>
                <w:szCs w:val="14"/>
              </w:rPr>
            </w:pPr>
            <w:r w:rsidRPr="003D1636">
              <w:rPr>
                <w:rFonts w:ascii="Cambria" w:hAnsi="Cambria"/>
                <w:sz w:val="14"/>
                <w:szCs w:val="14"/>
              </w:rPr>
              <w:t>Adopción de los TAC 2029-2031 basados en el MP actual o alter</w:t>
            </w:r>
            <w:r w:rsidR="00213901">
              <w:rPr>
                <w:rFonts w:ascii="Cambria" w:hAnsi="Cambria"/>
                <w:sz w:val="14"/>
                <w:szCs w:val="14"/>
              </w:rPr>
              <w:t>-</w:t>
            </w:r>
            <w:r w:rsidRPr="003D1636">
              <w:rPr>
                <w:rFonts w:ascii="Cambria" w:hAnsi="Cambria"/>
                <w:sz w:val="14"/>
                <w:szCs w:val="14"/>
              </w:rPr>
              <w:t>nativo.</w:t>
            </w:r>
          </w:p>
        </w:tc>
        <w:tc>
          <w:tcPr>
            <w:tcW w:w="398" w:type="pct"/>
            <w:tcBorders>
              <w:top w:val="nil"/>
              <w:left w:val="single" w:sz="8" w:space="0" w:color="auto"/>
              <w:bottom w:val="single" w:sz="4" w:space="0" w:color="auto"/>
              <w:right w:val="single" w:sz="4" w:space="0" w:color="auto"/>
            </w:tcBorders>
            <w:vAlign w:val="center"/>
            <w:hideMark/>
          </w:tcPr>
          <w:p w14:paraId="7452E015" w14:textId="77777777" w:rsidR="00987225" w:rsidRPr="003D1636" w:rsidRDefault="00987225">
            <w:pPr>
              <w:rPr>
                <w:rFonts w:ascii="Cambria" w:hAnsi="Cambria"/>
                <w:sz w:val="14"/>
                <w:szCs w:val="14"/>
              </w:rPr>
            </w:pPr>
            <w:r w:rsidRPr="003D1636">
              <w:rPr>
                <w:rFonts w:ascii="Cambria" w:hAnsi="Cambria"/>
                <w:sz w:val="14"/>
                <w:szCs w:val="14"/>
              </w:rPr>
              <w:t>Comprobación de existencia de EC.</w:t>
            </w:r>
          </w:p>
        </w:tc>
        <w:tc>
          <w:tcPr>
            <w:tcW w:w="350" w:type="pct"/>
            <w:tcBorders>
              <w:top w:val="single" w:sz="4" w:space="0" w:color="auto"/>
              <w:left w:val="single" w:sz="4" w:space="0" w:color="auto"/>
              <w:bottom w:val="single" w:sz="4" w:space="0" w:color="auto"/>
              <w:right w:val="single" w:sz="4" w:space="0" w:color="auto"/>
            </w:tcBorders>
            <w:vAlign w:val="center"/>
            <w:hideMark/>
          </w:tcPr>
          <w:p w14:paraId="2A6B6F0E" w14:textId="77777777" w:rsidR="00987225" w:rsidRPr="003D1636" w:rsidRDefault="00987225">
            <w:pPr>
              <w:rPr>
                <w:rFonts w:ascii="Cambria" w:hAnsi="Cambria"/>
                <w:sz w:val="14"/>
                <w:szCs w:val="14"/>
              </w:rPr>
            </w:pPr>
            <w:r w:rsidRPr="003D1636">
              <w:rPr>
                <w:rFonts w:ascii="Cambria" w:hAnsi="Cambria"/>
                <w:sz w:val="14"/>
                <w:szCs w:val="14"/>
              </w:rPr>
              <w:t> </w:t>
            </w:r>
          </w:p>
        </w:tc>
      </w:tr>
      <w:tr w:rsidR="005240D0" w:rsidRPr="003D1636" w14:paraId="7EE634E2" w14:textId="77777777" w:rsidTr="00E658D5">
        <w:trPr>
          <w:cantSplit/>
          <w:trHeight w:val="2153"/>
        </w:trPr>
        <w:tc>
          <w:tcPr>
            <w:tcW w:w="200" w:type="pct"/>
            <w:tcBorders>
              <w:top w:val="nil"/>
              <w:left w:val="single" w:sz="8" w:space="0" w:color="auto"/>
              <w:bottom w:val="single" w:sz="4" w:space="0" w:color="auto"/>
              <w:right w:val="single" w:sz="8" w:space="0" w:color="auto"/>
            </w:tcBorders>
            <w:textDirection w:val="btLr"/>
            <w:vAlign w:val="center"/>
            <w:hideMark/>
          </w:tcPr>
          <w:p w14:paraId="155F0339" w14:textId="77777777" w:rsidR="00987225" w:rsidRPr="003D1636" w:rsidRDefault="00987225" w:rsidP="00E658D5">
            <w:pPr>
              <w:ind w:left="113" w:right="113"/>
              <w:jc w:val="center"/>
              <w:rPr>
                <w:rFonts w:ascii="Cambria" w:hAnsi="Cambria"/>
                <w:sz w:val="14"/>
                <w:szCs w:val="14"/>
              </w:rPr>
            </w:pPr>
            <w:r w:rsidRPr="003D1636">
              <w:rPr>
                <w:rFonts w:ascii="Cambria" w:hAnsi="Cambria"/>
                <w:sz w:val="14"/>
                <w:szCs w:val="14"/>
              </w:rPr>
              <w:t>Pez espada del norte</w:t>
            </w:r>
          </w:p>
        </w:tc>
        <w:tc>
          <w:tcPr>
            <w:tcW w:w="203" w:type="pct"/>
            <w:tcBorders>
              <w:top w:val="nil"/>
              <w:left w:val="nil"/>
              <w:bottom w:val="single" w:sz="4" w:space="0" w:color="auto"/>
              <w:right w:val="single" w:sz="4" w:space="0" w:color="auto"/>
            </w:tcBorders>
            <w:textDirection w:val="btLr"/>
            <w:vAlign w:val="center"/>
            <w:hideMark/>
          </w:tcPr>
          <w:p w14:paraId="790B6D28"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2024</w:t>
            </w:r>
          </w:p>
        </w:tc>
        <w:tc>
          <w:tcPr>
            <w:tcW w:w="203" w:type="pct"/>
            <w:tcBorders>
              <w:top w:val="nil"/>
              <w:left w:val="nil"/>
              <w:bottom w:val="single" w:sz="4" w:space="0" w:color="auto"/>
              <w:right w:val="single" w:sz="4" w:space="0" w:color="auto"/>
            </w:tcBorders>
            <w:textDirection w:val="btLr"/>
            <w:vAlign w:val="center"/>
            <w:hideMark/>
          </w:tcPr>
          <w:p w14:paraId="4667945D"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2025</w:t>
            </w:r>
          </w:p>
        </w:tc>
        <w:tc>
          <w:tcPr>
            <w:tcW w:w="203" w:type="pct"/>
            <w:tcBorders>
              <w:top w:val="nil"/>
              <w:left w:val="nil"/>
              <w:bottom w:val="single" w:sz="4" w:space="0" w:color="auto"/>
              <w:right w:val="single" w:sz="4" w:space="0" w:color="auto"/>
            </w:tcBorders>
            <w:textDirection w:val="btLr"/>
            <w:vAlign w:val="center"/>
            <w:hideMark/>
          </w:tcPr>
          <w:p w14:paraId="0EB37EF1"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2027</w:t>
            </w:r>
          </w:p>
        </w:tc>
        <w:tc>
          <w:tcPr>
            <w:tcW w:w="203" w:type="pct"/>
            <w:tcBorders>
              <w:top w:val="nil"/>
              <w:left w:val="nil"/>
              <w:bottom w:val="single" w:sz="4" w:space="0" w:color="auto"/>
              <w:right w:val="single" w:sz="4" w:space="0" w:color="auto"/>
            </w:tcBorders>
            <w:textDirection w:val="btLr"/>
            <w:vAlign w:val="center"/>
            <w:hideMark/>
          </w:tcPr>
          <w:p w14:paraId="17199E26"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2029</w:t>
            </w:r>
          </w:p>
        </w:tc>
        <w:tc>
          <w:tcPr>
            <w:tcW w:w="204" w:type="pct"/>
            <w:tcBorders>
              <w:top w:val="nil"/>
              <w:left w:val="nil"/>
              <w:bottom w:val="single" w:sz="4" w:space="0" w:color="auto"/>
              <w:right w:val="single" w:sz="8" w:space="0" w:color="auto"/>
            </w:tcBorders>
            <w:textDirection w:val="btLr"/>
            <w:vAlign w:val="center"/>
            <w:hideMark/>
          </w:tcPr>
          <w:p w14:paraId="4CD4CCEE"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2030</w:t>
            </w:r>
          </w:p>
        </w:tc>
        <w:tc>
          <w:tcPr>
            <w:tcW w:w="435" w:type="pct"/>
            <w:tcBorders>
              <w:top w:val="nil"/>
              <w:left w:val="nil"/>
              <w:bottom w:val="single" w:sz="4" w:space="0" w:color="auto"/>
              <w:right w:val="single" w:sz="4" w:space="0" w:color="auto"/>
            </w:tcBorders>
            <w:vAlign w:val="center"/>
            <w:hideMark/>
          </w:tcPr>
          <w:p w14:paraId="1AC697FC" w14:textId="77777777" w:rsidR="00987225" w:rsidRPr="003D1636" w:rsidRDefault="00987225">
            <w:pPr>
              <w:rPr>
                <w:rFonts w:ascii="Cambria" w:hAnsi="Cambria"/>
                <w:sz w:val="14"/>
                <w:szCs w:val="14"/>
              </w:rPr>
            </w:pPr>
            <w:r w:rsidRPr="003D1636">
              <w:rPr>
                <w:rFonts w:ascii="Cambria" w:hAnsi="Cambria"/>
                <w:sz w:val="14"/>
                <w:szCs w:val="14"/>
              </w:rPr>
              <w:t>Continuación de pruebas de robustez, con arreglo a la Rec. 24-10.</w:t>
            </w:r>
            <w:r w:rsidRPr="003D1636">
              <w:rPr>
                <w:rFonts w:ascii="Cambria" w:hAnsi="Cambria"/>
                <w:sz w:val="14"/>
                <w:szCs w:val="14"/>
              </w:rPr>
              <w:br/>
              <w:t>Desarrollo de los criterios de EC para el ECP.</w:t>
            </w:r>
            <w:r w:rsidRPr="003D1636">
              <w:rPr>
                <w:rFonts w:ascii="Cambria" w:hAnsi="Cambria"/>
                <w:sz w:val="14"/>
                <w:szCs w:val="14"/>
              </w:rPr>
              <w:br/>
              <w:t>Comprobación de EC realizada.</w:t>
            </w:r>
          </w:p>
        </w:tc>
        <w:tc>
          <w:tcPr>
            <w:tcW w:w="401" w:type="pct"/>
            <w:tcBorders>
              <w:top w:val="nil"/>
              <w:left w:val="nil"/>
              <w:bottom w:val="single" w:sz="4" w:space="0" w:color="auto"/>
              <w:right w:val="single" w:sz="8" w:space="0" w:color="auto"/>
            </w:tcBorders>
            <w:vAlign w:val="center"/>
            <w:hideMark/>
          </w:tcPr>
          <w:p w14:paraId="4FC16A00" w14:textId="77777777" w:rsidR="00987225" w:rsidRPr="003D1636" w:rsidRDefault="00987225">
            <w:pPr>
              <w:rPr>
                <w:rFonts w:ascii="Cambria" w:hAnsi="Cambria"/>
                <w:sz w:val="14"/>
                <w:szCs w:val="14"/>
              </w:rPr>
            </w:pPr>
            <w:r w:rsidRPr="003D1636">
              <w:rPr>
                <w:rFonts w:ascii="Cambria" w:hAnsi="Cambria"/>
                <w:sz w:val="14"/>
                <w:szCs w:val="14"/>
              </w:rPr>
              <w:t>Adopción del ECP en la reunión anual.</w:t>
            </w:r>
          </w:p>
        </w:tc>
        <w:tc>
          <w:tcPr>
            <w:tcW w:w="400" w:type="pct"/>
            <w:tcBorders>
              <w:top w:val="nil"/>
              <w:left w:val="nil"/>
              <w:bottom w:val="single" w:sz="4" w:space="0" w:color="auto"/>
              <w:right w:val="single" w:sz="4" w:space="0" w:color="auto"/>
            </w:tcBorders>
            <w:vAlign w:val="center"/>
            <w:hideMark/>
          </w:tcPr>
          <w:p w14:paraId="4A0C5878" w14:textId="77777777" w:rsidR="00987225" w:rsidRPr="003D1636" w:rsidRDefault="00987225">
            <w:pPr>
              <w:rPr>
                <w:rFonts w:ascii="Cambria" w:hAnsi="Cambria"/>
                <w:sz w:val="14"/>
                <w:szCs w:val="14"/>
              </w:rPr>
            </w:pPr>
            <w:r w:rsidRPr="003D1636">
              <w:rPr>
                <w:rFonts w:ascii="Cambria" w:hAnsi="Cambria"/>
                <w:sz w:val="14"/>
                <w:szCs w:val="14"/>
              </w:rPr>
              <w:t>Continuación de pruebas de robustez, con arreglo a la Rec. 24-10. Comprobación de existencia de EC.</w:t>
            </w:r>
          </w:p>
        </w:tc>
        <w:tc>
          <w:tcPr>
            <w:tcW w:w="350" w:type="pct"/>
            <w:tcBorders>
              <w:top w:val="nil"/>
              <w:left w:val="nil"/>
              <w:bottom w:val="single" w:sz="4" w:space="0" w:color="auto"/>
              <w:right w:val="single" w:sz="8" w:space="0" w:color="auto"/>
            </w:tcBorders>
            <w:vAlign w:val="center"/>
            <w:hideMark/>
          </w:tcPr>
          <w:p w14:paraId="56AABE99" w14:textId="77777777" w:rsidR="00987225" w:rsidRPr="003D1636" w:rsidRDefault="00987225">
            <w:pPr>
              <w:rPr>
                <w:rFonts w:ascii="Cambria" w:hAnsi="Cambria"/>
                <w:sz w:val="14"/>
                <w:szCs w:val="14"/>
              </w:rPr>
            </w:pPr>
            <w:r w:rsidRPr="003D1636">
              <w:rPr>
                <w:rFonts w:ascii="Cambria" w:hAnsi="Cambria"/>
                <w:sz w:val="14"/>
                <w:szCs w:val="14"/>
              </w:rPr>
              <w:t> </w:t>
            </w:r>
          </w:p>
        </w:tc>
        <w:tc>
          <w:tcPr>
            <w:tcW w:w="400" w:type="pct"/>
            <w:tcBorders>
              <w:top w:val="nil"/>
              <w:left w:val="nil"/>
              <w:bottom w:val="single" w:sz="4" w:space="0" w:color="auto"/>
              <w:right w:val="single" w:sz="4" w:space="0" w:color="auto"/>
            </w:tcBorders>
            <w:vAlign w:val="center"/>
            <w:hideMark/>
          </w:tcPr>
          <w:p w14:paraId="6F5EC69A" w14:textId="77777777" w:rsidR="00987225" w:rsidRPr="003D1636" w:rsidRDefault="00987225">
            <w:pPr>
              <w:rPr>
                <w:rFonts w:ascii="Cambria" w:hAnsi="Cambria"/>
                <w:sz w:val="14"/>
                <w:szCs w:val="14"/>
              </w:rPr>
            </w:pPr>
            <w:r w:rsidRPr="003D1636">
              <w:rPr>
                <w:rFonts w:ascii="Cambria" w:hAnsi="Cambria"/>
                <w:sz w:val="14"/>
                <w:szCs w:val="14"/>
              </w:rPr>
              <w:t>Comprobación de existencia de EC.</w:t>
            </w:r>
            <w:r w:rsidRPr="003D1636">
              <w:rPr>
                <w:rFonts w:ascii="Cambria" w:hAnsi="Cambria"/>
                <w:sz w:val="14"/>
                <w:szCs w:val="14"/>
              </w:rPr>
              <w:br/>
              <w:t>Ejecución de MP para proporcionar TAC para 2028-2030.</w:t>
            </w:r>
          </w:p>
        </w:tc>
        <w:tc>
          <w:tcPr>
            <w:tcW w:w="350" w:type="pct"/>
            <w:tcBorders>
              <w:top w:val="nil"/>
              <w:left w:val="nil"/>
              <w:bottom w:val="single" w:sz="4" w:space="0" w:color="auto"/>
              <w:right w:val="single" w:sz="8" w:space="0" w:color="auto"/>
            </w:tcBorders>
            <w:vAlign w:val="center"/>
            <w:hideMark/>
          </w:tcPr>
          <w:p w14:paraId="21F5E5AD" w14:textId="77777777" w:rsidR="00987225" w:rsidRPr="003D1636" w:rsidRDefault="00987225">
            <w:pPr>
              <w:rPr>
                <w:rFonts w:ascii="Cambria" w:hAnsi="Cambria"/>
                <w:sz w:val="14"/>
                <w:szCs w:val="14"/>
              </w:rPr>
            </w:pPr>
            <w:r w:rsidRPr="003D1636">
              <w:rPr>
                <w:rFonts w:ascii="Cambria" w:hAnsi="Cambria"/>
                <w:sz w:val="14"/>
                <w:szCs w:val="14"/>
              </w:rPr>
              <w:t>Adopción TAC 2028-2030 basándose en el MP.</w:t>
            </w:r>
          </w:p>
        </w:tc>
        <w:tc>
          <w:tcPr>
            <w:tcW w:w="400" w:type="pct"/>
            <w:tcBorders>
              <w:top w:val="nil"/>
              <w:left w:val="nil"/>
              <w:bottom w:val="single" w:sz="4" w:space="0" w:color="auto"/>
              <w:right w:val="single" w:sz="4" w:space="0" w:color="auto"/>
            </w:tcBorders>
            <w:vAlign w:val="center"/>
            <w:hideMark/>
          </w:tcPr>
          <w:p w14:paraId="7178EEB1" w14:textId="77777777" w:rsidR="00987225" w:rsidRPr="003D1636" w:rsidRDefault="00987225">
            <w:pPr>
              <w:rPr>
                <w:rFonts w:ascii="Cambria" w:hAnsi="Cambria"/>
                <w:sz w:val="14"/>
                <w:szCs w:val="14"/>
              </w:rPr>
            </w:pPr>
            <w:r w:rsidRPr="003D1636">
              <w:rPr>
                <w:rFonts w:ascii="Cambria" w:hAnsi="Cambria"/>
                <w:sz w:val="14"/>
                <w:szCs w:val="14"/>
              </w:rPr>
              <w:t>Comprobación de existencia de EC.</w:t>
            </w:r>
          </w:p>
        </w:tc>
        <w:tc>
          <w:tcPr>
            <w:tcW w:w="300" w:type="pct"/>
            <w:tcBorders>
              <w:top w:val="nil"/>
              <w:left w:val="nil"/>
              <w:bottom w:val="single" w:sz="4" w:space="0" w:color="auto"/>
              <w:right w:val="single" w:sz="4" w:space="0" w:color="auto"/>
            </w:tcBorders>
            <w:vAlign w:val="center"/>
            <w:hideMark/>
          </w:tcPr>
          <w:p w14:paraId="4769FC21" w14:textId="77777777" w:rsidR="00987225" w:rsidRPr="003D1636" w:rsidRDefault="00987225">
            <w:pPr>
              <w:rPr>
                <w:rFonts w:ascii="Cambria" w:hAnsi="Cambria"/>
                <w:sz w:val="14"/>
                <w:szCs w:val="14"/>
              </w:rPr>
            </w:pPr>
            <w:r w:rsidRPr="003D1636">
              <w:rPr>
                <w:rFonts w:ascii="Cambria" w:hAnsi="Cambria"/>
                <w:sz w:val="14"/>
                <w:szCs w:val="14"/>
              </w:rPr>
              <w:t> </w:t>
            </w:r>
          </w:p>
        </w:tc>
        <w:tc>
          <w:tcPr>
            <w:tcW w:w="398" w:type="pct"/>
            <w:tcBorders>
              <w:top w:val="single" w:sz="4" w:space="0" w:color="auto"/>
              <w:left w:val="single" w:sz="4" w:space="0" w:color="auto"/>
              <w:bottom w:val="single" w:sz="4" w:space="0" w:color="auto"/>
              <w:right w:val="single" w:sz="4" w:space="0" w:color="auto"/>
            </w:tcBorders>
            <w:vAlign w:val="center"/>
            <w:hideMark/>
          </w:tcPr>
          <w:p w14:paraId="47FA5355" w14:textId="77777777" w:rsidR="00987225" w:rsidRPr="003D1636" w:rsidRDefault="00987225">
            <w:pPr>
              <w:rPr>
                <w:rFonts w:ascii="Cambria" w:hAnsi="Cambria"/>
                <w:sz w:val="14"/>
                <w:szCs w:val="14"/>
              </w:rPr>
            </w:pPr>
            <w:r w:rsidRPr="003D1636">
              <w:rPr>
                <w:rFonts w:ascii="Cambria" w:hAnsi="Cambria"/>
                <w:sz w:val="14"/>
                <w:szCs w:val="14"/>
              </w:rPr>
              <w:t xml:space="preserve">Realización de la comprobación de estado. </w:t>
            </w:r>
            <w:r w:rsidRPr="003D1636">
              <w:rPr>
                <w:rFonts w:ascii="Cambria" w:hAnsi="Cambria"/>
                <w:sz w:val="14"/>
                <w:szCs w:val="14"/>
              </w:rPr>
              <w:br/>
              <w:t>Comprobación de existencia de EC.</w:t>
            </w:r>
          </w:p>
        </w:tc>
        <w:tc>
          <w:tcPr>
            <w:tcW w:w="350" w:type="pct"/>
            <w:tcBorders>
              <w:top w:val="nil"/>
              <w:left w:val="single" w:sz="4" w:space="0" w:color="auto"/>
              <w:bottom w:val="single" w:sz="4" w:space="0" w:color="auto"/>
              <w:right w:val="single" w:sz="8" w:space="0" w:color="auto"/>
            </w:tcBorders>
            <w:vAlign w:val="center"/>
            <w:hideMark/>
          </w:tcPr>
          <w:p w14:paraId="695BB972" w14:textId="77777777" w:rsidR="00987225" w:rsidRPr="003D1636" w:rsidRDefault="00987225">
            <w:pPr>
              <w:rPr>
                <w:rFonts w:ascii="Cambria" w:hAnsi="Cambria"/>
                <w:sz w:val="14"/>
                <w:szCs w:val="14"/>
              </w:rPr>
            </w:pPr>
            <w:r w:rsidRPr="003D1636">
              <w:rPr>
                <w:rFonts w:ascii="Cambria" w:hAnsi="Cambria"/>
                <w:sz w:val="14"/>
                <w:szCs w:val="14"/>
              </w:rPr>
              <w:t>Examen de los avances sobre la comprobación del estado.</w:t>
            </w:r>
          </w:p>
        </w:tc>
      </w:tr>
      <w:tr w:rsidR="005240D0" w:rsidRPr="003D1636" w14:paraId="6EAB63EF" w14:textId="77777777" w:rsidTr="00B876E3">
        <w:trPr>
          <w:cantSplit/>
          <w:trHeight w:val="2865"/>
        </w:trPr>
        <w:tc>
          <w:tcPr>
            <w:tcW w:w="200" w:type="pct"/>
            <w:tcBorders>
              <w:top w:val="nil"/>
              <w:left w:val="single" w:sz="8" w:space="0" w:color="auto"/>
              <w:bottom w:val="single" w:sz="4" w:space="0" w:color="auto"/>
              <w:right w:val="single" w:sz="8" w:space="0" w:color="auto"/>
            </w:tcBorders>
            <w:textDirection w:val="btLr"/>
            <w:vAlign w:val="center"/>
            <w:hideMark/>
          </w:tcPr>
          <w:p w14:paraId="6087C693" w14:textId="77777777" w:rsidR="00987225" w:rsidRPr="003D1636" w:rsidRDefault="00987225" w:rsidP="000249B9">
            <w:pPr>
              <w:ind w:left="113" w:right="113"/>
              <w:jc w:val="center"/>
              <w:rPr>
                <w:rFonts w:ascii="Cambria" w:hAnsi="Cambria"/>
                <w:sz w:val="14"/>
                <w:szCs w:val="14"/>
              </w:rPr>
            </w:pPr>
            <w:r w:rsidRPr="003D1636">
              <w:rPr>
                <w:rFonts w:ascii="Cambria" w:hAnsi="Cambria"/>
                <w:sz w:val="14"/>
                <w:szCs w:val="14"/>
              </w:rPr>
              <w:t>Listado occidental</w:t>
            </w:r>
          </w:p>
        </w:tc>
        <w:tc>
          <w:tcPr>
            <w:tcW w:w="203" w:type="pct"/>
            <w:tcBorders>
              <w:top w:val="nil"/>
              <w:left w:val="nil"/>
              <w:bottom w:val="single" w:sz="4" w:space="0" w:color="auto"/>
              <w:right w:val="single" w:sz="4" w:space="0" w:color="auto"/>
            </w:tcBorders>
            <w:textDirection w:val="btLr"/>
            <w:vAlign w:val="center"/>
            <w:hideMark/>
          </w:tcPr>
          <w:p w14:paraId="53D9D4A3"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2025</w:t>
            </w:r>
          </w:p>
        </w:tc>
        <w:tc>
          <w:tcPr>
            <w:tcW w:w="203" w:type="pct"/>
            <w:tcBorders>
              <w:top w:val="nil"/>
              <w:left w:val="nil"/>
              <w:bottom w:val="single" w:sz="4" w:space="0" w:color="auto"/>
              <w:right w:val="single" w:sz="4" w:space="0" w:color="auto"/>
            </w:tcBorders>
            <w:textDirection w:val="btLr"/>
            <w:vAlign w:val="center"/>
            <w:hideMark/>
          </w:tcPr>
          <w:p w14:paraId="66BF45E2"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2026</w:t>
            </w:r>
          </w:p>
        </w:tc>
        <w:tc>
          <w:tcPr>
            <w:tcW w:w="203" w:type="pct"/>
            <w:tcBorders>
              <w:top w:val="nil"/>
              <w:left w:val="nil"/>
              <w:bottom w:val="single" w:sz="4" w:space="0" w:color="auto"/>
              <w:right w:val="single" w:sz="4" w:space="0" w:color="auto"/>
            </w:tcBorders>
            <w:textDirection w:val="btLr"/>
            <w:vAlign w:val="center"/>
            <w:hideMark/>
          </w:tcPr>
          <w:p w14:paraId="52E8D2AE"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2028</w:t>
            </w:r>
          </w:p>
        </w:tc>
        <w:tc>
          <w:tcPr>
            <w:tcW w:w="203" w:type="pct"/>
            <w:tcBorders>
              <w:top w:val="nil"/>
              <w:left w:val="nil"/>
              <w:bottom w:val="single" w:sz="4" w:space="0" w:color="auto"/>
              <w:right w:val="single" w:sz="4" w:space="0" w:color="auto"/>
            </w:tcBorders>
            <w:textDirection w:val="btLr"/>
            <w:vAlign w:val="center"/>
            <w:hideMark/>
          </w:tcPr>
          <w:p w14:paraId="48E74669"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2031</w:t>
            </w:r>
          </w:p>
        </w:tc>
        <w:tc>
          <w:tcPr>
            <w:tcW w:w="204" w:type="pct"/>
            <w:tcBorders>
              <w:top w:val="nil"/>
              <w:left w:val="nil"/>
              <w:bottom w:val="single" w:sz="4" w:space="0" w:color="auto"/>
              <w:right w:val="single" w:sz="8" w:space="0" w:color="auto"/>
            </w:tcBorders>
            <w:textDirection w:val="btLr"/>
            <w:vAlign w:val="center"/>
            <w:hideMark/>
          </w:tcPr>
          <w:p w14:paraId="6B8504E1" w14:textId="77777777" w:rsidR="00987225" w:rsidRPr="003D1636" w:rsidRDefault="00987225" w:rsidP="005240D0">
            <w:pPr>
              <w:ind w:left="113" w:right="113"/>
              <w:jc w:val="center"/>
              <w:rPr>
                <w:rFonts w:ascii="Cambria" w:hAnsi="Cambria"/>
                <w:sz w:val="14"/>
                <w:szCs w:val="14"/>
              </w:rPr>
            </w:pPr>
            <w:r w:rsidRPr="003D1636">
              <w:rPr>
                <w:rFonts w:ascii="Cambria" w:hAnsi="Cambria"/>
                <w:sz w:val="14"/>
                <w:szCs w:val="14"/>
              </w:rPr>
              <w:t>2031</w:t>
            </w:r>
          </w:p>
        </w:tc>
        <w:tc>
          <w:tcPr>
            <w:tcW w:w="435" w:type="pct"/>
            <w:tcBorders>
              <w:top w:val="nil"/>
              <w:left w:val="nil"/>
              <w:bottom w:val="single" w:sz="4" w:space="0" w:color="auto"/>
              <w:right w:val="single" w:sz="4" w:space="0" w:color="auto"/>
            </w:tcBorders>
            <w:vAlign w:val="center"/>
            <w:hideMark/>
          </w:tcPr>
          <w:p w14:paraId="69192AAA" w14:textId="51E73637" w:rsidR="00987225" w:rsidRPr="003D1636" w:rsidRDefault="00987225">
            <w:pPr>
              <w:rPr>
                <w:rFonts w:ascii="Cambria" w:hAnsi="Cambria"/>
                <w:sz w:val="14"/>
                <w:szCs w:val="14"/>
              </w:rPr>
            </w:pPr>
            <w:r w:rsidRPr="003D1636">
              <w:rPr>
                <w:rFonts w:ascii="Cambria" w:hAnsi="Cambria"/>
                <w:sz w:val="14"/>
                <w:szCs w:val="14"/>
              </w:rPr>
              <w:t>MSE completada, incluido el recondiciona</w:t>
            </w:r>
            <w:r w:rsidR="0035418C" w:rsidRPr="003D1636">
              <w:rPr>
                <w:rFonts w:ascii="Cambria" w:hAnsi="Cambria"/>
                <w:sz w:val="14"/>
                <w:szCs w:val="14"/>
              </w:rPr>
              <w:t>-</w:t>
            </w:r>
            <w:r w:rsidRPr="003D1636">
              <w:rPr>
                <w:rFonts w:ascii="Cambria" w:hAnsi="Cambria"/>
                <w:sz w:val="14"/>
                <w:szCs w:val="14"/>
              </w:rPr>
              <w:t xml:space="preserve">miento con datos hasta 2024 inclusive y la recalibración de los CMP. Escenarios de cambio climático para comprobar la robustez de los MP </w:t>
            </w:r>
            <w:r w:rsidR="005240D0" w:rsidRPr="003D1636">
              <w:rPr>
                <w:rFonts w:ascii="Cambria" w:hAnsi="Cambria"/>
                <w:sz w:val="14"/>
                <w:szCs w:val="14"/>
              </w:rPr>
              <w:t>desarrollados</w:t>
            </w:r>
            <w:r w:rsidRPr="003D1636">
              <w:rPr>
                <w:rFonts w:ascii="Cambria" w:hAnsi="Cambria"/>
                <w:sz w:val="14"/>
                <w:szCs w:val="14"/>
              </w:rPr>
              <w:t>.</w:t>
            </w:r>
          </w:p>
        </w:tc>
        <w:tc>
          <w:tcPr>
            <w:tcW w:w="401" w:type="pct"/>
            <w:tcBorders>
              <w:top w:val="nil"/>
              <w:left w:val="nil"/>
              <w:bottom w:val="single" w:sz="4" w:space="0" w:color="auto"/>
              <w:right w:val="single" w:sz="8" w:space="0" w:color="auto"/>
            </w:tcBorders>
            <w:vAlign w:val="center"/>
            <w:hideMark/>
          </w:tcPr>
          <w:p w14:paraId="0586B093" w14:textId="77777777" w:rsidR="00987225" w:rsidRPr="003D1636" w:rsidRDefault="00987225">
            <w:pPr>
              <w:rPr>
                <w:rFonts w:ascii="Cambria" w:hAnsi="Cambria"/>
                <w:sz w:val="14"/>
                <w:szCs w:val="14"/>
              </w:rPr>
            </w:pPr>
            <w:r w:rsidRPr="003D1636">
              <w:rPr>
                <w:rFonts w:ascii="Cambria" w:hAnsi="Cambria"/>
                <w:sz w:val="14"/>
                <w:szCs w:val="14"/>
              </w:rPr>
              <w:t>La Subcomisión 1 se reunirá en el periodo intersesiones para revisar los resultados finales de la MSE.</w:t>
            </w:r>
            <w:r w:rsidRPr="003D1636">
              <w:rPr>
                <w:rFonts w:ascii="Cambria" w:hAnsi="Cambria"/>
                <w:sz w:val="14"/>
                <w:szCs w:val="14"/>
              </w:rPr>
              <w:br/>
              <w:t>Consideración de la adopción del MP en la reunión anual, incluido el TAC 2026-2028.</w:t>
            </w:r>
          </w:p>
        </w:tc>
        <w:tc>
          <w:tcPr>
            <w:tcW w:w="400" w:type="pct"/>
            <w:tcBorders>
              <w:top w:val="nil"/>
              <w:left w:val="nil"/>
              <w:bottom w:val="single" w:sz="4" w:space="0" w:color="auto"/>
              <w:right w:val="single" w:sz="4" w:space="0" w:color="auto"/>
            </w:tcBorders>
            <w:vAlign w:val="center"/>
            <w:hideMark/>
          </w:tcPr>
          <w:p w14:paraId="1B30B1B3" w14:textId="77777777" w:rsidR="00987225" w:rsidRPr="003D1636" w:rsidRDefault="00987225">
            <w:pPr>
              <w:rPr>
                <w:rFonts w:ascii="Cambria" w:hAnsi="Cambria"/>
                <w:sz w:val="14"/>
                <w:szCs w:val="14"/>
              </w:rPr>
            </w:pPr>
            <w:r w:rsidRPr="003D1636">
              <w:rPr>
                <w:rFonts w:ascii="Cambria" w:hAnsi="Cambria"/>
                <w:sz w:val="14"/>
                <w:szCs w:val="14"/>
              </w:rPr>
              <w:t>Desarrollo de los criterios de las EC para el ECP.</w:t>
            </w:r>
            <w:r w:rsidRPr="003D1636">
              <w:rPr>
                <w:rFonts w:ascii="Cambria" w:hAnsi="Cambria"/>
                <w:sz w:val="14"/>
                <w:szCs w:val="14"/>
              </w:rPr>
              <w:br/>
              <w:t>Comprobación de existencia de EC.</w:t>
            </w:r>
          </w:p>
        </w:tc>
        <w:tc>
          <w:tcPr>
            <w:tcW w:w="350" w:type="pct"/>
            <w:tcBorders>
              <w:top w:val="nil"/>
              <w:left w:val="nil"/>
              <w:bottom w:val="single" w:sz="4" w:space="0" w:color="auto"/>
              <w:right w:val="single" w:sz="8" w:space="0" w:color="auto"/>
            </w:tcBorders>
            <w:vAlign w:val="center"/>
            <w:hideMark/>
          </w:tcPr>
          <w:p w14:paraId="361DDFA4" w14:textId="77777777" w:rsidR="00987225" w:rsidRPr="003D1636" w:rsidRDefault="00987225">
            <w:pPr>
              <w:rPr>
                <w:rFonts w:ascii="Cambria" w:hAnsi="Cambria"/>
                <w:sz w:val="14"/>
                <w:szCs w:val="14"/>
              </w:rPr>
            </w:pPr>
            <w:r w:rsidRPr="003D1636">
              <w:rPr>
                <w:rFonts w:ascii="Cambria" w:hAnsi="Cambria"/>
                <w:sz w:val="14"/>
                <w:szCs w:val="14"/>
              </w:rPr>
              <w:t>Adopción del ECP en la reunión anual.</w:t>
            </w:r>
          </w:p>
        </w:tc>
        <w:tc>
          <w:tcPr>
            <w:tcW w:w="400" w:type="pct"/>
            <w:tcBorders>
              <w:top w:val="nil"/>
              <w:left w:val="nil"/>
              <w:bottom w:val="single" w:sz="4" w:space="0" w:color="auto"/>
              <w:right w:val="single" w:sz="4" w:space="0" w:color="auto"/>
            </w:tcBorders>
            <w:vAlign w:val="center"/>
            <w:hideMark/>
          </w:tcPr>
          <w:p w14:paraId="33197896" w14:textId="77777777" w:rsidR="00987225" w:rsidRPr="003D1636" w:rsidRDefault="00987225">
            <w:pPr>
              <w:rPr>
                <w:rFonts w:ascii="Cambria" w:hAnsi="Cambria"/>
                <w:sz w:val="14"/>
                <w:szCs w:val="14"/>
              </w:rPr>
            </w:pPr>
            <w:r w:rsidRPr="003D1636">
              <w:rPr>
                <w:rFonts w:ascii="Cambria" w:hAnsi="Cambria"/>
                <w:sz w:val="14"/>
                <w:szCs w:val="14"/>
              </w:rPr>
              <w:t xml:space="preserve">Comprobación de existencia de EC. </w:t>
            </w:r>
          </w:p>
        </w:tc>
        <w:tc>
          <w:tcPr>
            <w:tcW w:w="350" w:type="pct"/>
            <w:tcBorders>
              <w:top w:val="nil"/>
              <w:left w:val="nil"/>
              <w:bottom w:val="single" w:sz="4" w:space="0" w:color="auto"/>
              <w:right w:val="single" w:sz="8" w:space="0" w:color="auto"/>
            </w:tcBorders>
            <w:vAlign w:val="center"/>
            <w:hideMark/>
          </w:tcPr>
          <w:p w14:paraId="7333DC72" w14:textId="77777777" w:rsidR="00987225" w:rsidRPr="003D1636" w:rsidRDefault="00987225">
            <w:pPr>
              <w:rPr>
                <w:rFonts w:ascii="Cambria" w:hAnsi="Cambria"/>
                <w:sz w:val="14"/>
                <w:szCs w:val="14"/>
              </w:rPr>
            </w:pPr>
            <w:r w:rsidRPr="003D1636">
              <w:rPr>
                <w:rFonts w:ascii="Cambria" w:hAnsi="Cambria"/>
                <w:sz w:val="14"/>
                <w:szCs w:val="14"/>
              </w:rPr>
              <w:t> </w:t>
            </w:r>
          </w:p>
        </w:tc>
        <w:tc>
          <w:tcPr>
            <w:tcW w:w="400" w:type="pct"/>
            <w:tcBorders>
              <w:top w:val="nil"/>
              <w:left w:val="nil"/>
              <w:bottom w:val="single" w:sz="4" w:space="0" w:color="auto"/>
              <w:right w:val="single" w:sz="4" w:space="0" w:color="auto"/>
            </w:tcBorders>
            <w:vAlign w:val="center"/>
            <w:hideMark/>
          </w:tcPr>
          <w:p w14:paraId="279CE5F8" w14:textId="6452F6CF" w:rsidR="00987225" w:rsidRPr="003D1636" w:rsidRDefault="00987225">
            <w:pPr>
              <w:rPr>
                <w:rFonts w:ascii="Cambria" w:hAnsi="Cambria"/>
                <w:sz w:val="14"/>
                <w:szCs w:val="14"/>
              </w:rPr>
            </w:pPr>
            <w:r w:rsidRPr="003D1636">
              <w:rPr>
                <w:rFonts w:ascii="Cambria" w:hAnsi="Cambria"/>
                <w:sz w:val="14"/>
                <w:szCs w:val="14"/>
              </w:rPr>
              <w:t>Comprobación de existencia de EC.</w:t>
            </w:r>
            <w:r w:rsidRPr="003D1636">
              <w:rPr>
                <w:rFonts w:ascii="Cambria" w:hAnsi="Cambria"/>
                <w:sz w:val="14"/>
                <w:szCs w:val="14"/>
              </w:rPr>
              <w:br/>
              <w:t xml:space="preserve">Ejecución del </w:t>
            </w:r>
            <w:r w:rsidR="005240D0" w:rsidRPr="003D1636">
              <w:rPr>
                <w:rFonts w:ascii="Cambria" w:hAnsi="Cambria"/>
                <w:sz w:val="14"/>
                <w:szCs w:val="14"/>
              </w:rPr>
              <w:t>MP para</w:t>
            </w:r>
            <w:r w:rsidRPr="003D1636">
              <w:rPr>
                <w:rFonts w:ascii="Cambria" w:hAnsi="Cambria"/>
                <w:sz w:val="14"/>
                <w:szCs w:val="14"/>
              </w:rPr>
              <w:t xml:space="preserve"> proporcionar TAC para 2029-2031.</w:t>
            </w:r>
          </w:p>
        </w:tc>
        <w:tc>
          <w:tcPr>
            <w:tcW w:w="300" w:type="pct"/>
            <w:tcBorders>
              <w:top w:val="nil"/>
              <w:left w:val="nil"/>
              <w:bottom w:val="single" w:sz="4" w:space="0" w:color="auto"/>
              <w:right w:val="single" w:sz="8" w:space="0" w:color="auto"/>
            </w:tcBorders>
            <w:vAlign w:val="center"/>
            <w:hideMark/>
          </w:tcPr>
          <w:p w14:paraId="492F2BF1" w14:textId="77777777" w:rsidR="00987225" w:rsidRPr="003D1636" w:rsidRDefault="00987225">
            <w:pPr>
              <w:rPr>
                <w:rFonts w:ascii="Cambria" w:hAnsi="Cambria"/>
                <w:sz w:val="14"/>
                <w:szCs w:val="14"/>
              </w:rPr>
            </w:pPr>
            <w:r w:rsidRPr="003D1636">
              <w:rPr>
                <w:rFonts w:ascii="Cambria" w:hAnsi="Cambria"/>
                <w:sz w:val="14"/>
                <w:szCs w:val="14"/>
              </w:rPr>
              <w:t>Adopción TAC 2029-2031 basándose en el MP.</w:t>
            </w:r>
          </w:p>
        </w:tc>
        <w:tc>
          <w:tcPr>
            <w:tcW w:w="398" w:type="pct"/>
            <w:tcBorders>
              <w:top w:val="single" w:sz="4" w:space="0" w:color="auto"/>
              <w:left w:val="nil"/>
              <w:bottom w:val="single" w:sz="4" w:space="0" w:color="auto"/>
              <w:right w:val="single" w:sz="4" w:space="0" w:color="auto"/>
            </w:tcBorders>
            <w:vAlign w:val="center"/>
            <w:hideMark/>
          </w:tcPr>
          <w:p w14:paraId="31B59604" w14:textId="77777777" w:rsidR="00987225" w:rsidRPr="003D1636" w:rsidRDefault="00987225">
            <w:pPr>
              <w:rPr>
                <w:rFonts w:ascii="Cambria" w:hAnsi="Cambria"/>
                <w:sz w:val="14"/>
                <w:szCs w:val="14"/>
              </w:rPr>
            </w:pPr>
            <w:r w:rsidRPr="003D1636">
              <w:rPr>
                <w:rFonts w:ascii="Cambria" w:hAnsi="Cambria"/>
                <w:sz w:val="14"/>
                <w:szCs w:val="14"/>
              </w:rPr>
              <w:t>Comprobación de existencia de EC.</w:t>
            </w:r>
          </w:p>
        </w:tc>
        <w:tc>
          <w:tcPr>
            <w:tcW w:w="350" w:type="pct"/>
            <w:tcBorders>
              <w:top w:val="nil"/>
              <w:left w:val="nil"/>
              <w:bottom w:val="single" w:sz="4" w:space="0" w:color="auto"/>
              <w:right w:val="single" w:sz="8" w:space="0" w:color="auto"/>
            </w:tcBorders>
            <w:vAlign w:val="center"/>
            <w:hideMark/>
          </w:tcPr>
          <w:p w14:paraId="1E48ECA6" w14:textId="77777777" w:rsidR="00987225" w:rsidRPr="003D1636" w:rsidRDefault="00987225">
            <w:pPr>
              <w:rPr>
                <w:rFonts w:ascii="Cambria" w:hAnsi="Cambria"/>
                <w:sz w:val="14"/>
                <w:szCs w:val="14"/>
              </w:rPr>
            </w:pPr>
            <w:r w:rsidRPr="003D1636">
              <w:rPr>
                <w:rFonts w:ascii="Cambria" w:hAnsi="Cambria"/>
                <w:sz w:val="14"/>
                <w:szCs w:val="14"/>
              </w:rPr>
              <w:t> </w:t>
            </w:r>
          </w:p>
        </w:tc>
      </w:tr>
      <w:tr w:rsidR="00B876E3" w:rsidRPr="003D1636" w14:paraId="3375B08E" w14:textId="77777777" w:rsidTr="00B876E3">
        <w:trPr>
          <w:cantSplit/>
          <w:trHeight w:val="5880"/>
        </w:trPr>
        <w:tc>
          <w:tcPr>
            <w:tcW w:w="200" w:type="pct"/>
            <w:tcBorders>
              <w:top w:val="nil"/>
              <w:left w:val="single" w:sz="8" w:space="0" w:color="auto"/>
              <w:bottom w:val="single" w:sz="4" w:space="0" w:color="auto"/>
              <w:right w:val="single" w:sz="8" w:space="0" w:color="auto"/>
            </w:tcBorders>
            <w:textDirection w:val="btLr"/>
            <w:vAlign w:val="center"/>
            <w:hideMark/>
          </w:tcPr>
          <w:p w14:paraId="4025BA8A" w14:textId="77777777" w:rsidR="00987225" w:rsidRPr="003D1636" w:rsidRDefault="00987225" w:rsidP="000249B9">
            <w:pPr>
              <w:ind w:left="113" w:right="113"/>
              <w:jc w:val="center"/>
              <w:rPr>
                <w:rFonts w:ascii="Cambria" w:hAnsi="Cambria"/>
                <w:sz w:val="14"/>
                <w:szCs w:val="14"/>
              </w:rPr>
            </w:pPr>
            <w:r w:rsidRPr="003D1636">
              <w:rPr>
                <w:rFonts w:ascii="Cambria" w:hAnsi="Cambria"/>
                <w:sz w:val="14"/>
                <w:szCs w:val="14"/>
              </w:rPr>
              <w:lastRenderedPageBreak/>
              <w:t>Túnidos tropicales multistock</w:t>
            </w:r>
          </w:p>
        </w:tc>
        <w:tc>
          <w:tcPr>
            <w:tcW w:w="203" w:type="pct"/>
            <w:tcBorders>
              <w:top w:val="nil"/>
              <w:left w:val="nil"/>
              <w:bottom w:val="single" w:sz="4" w:space="0" w:color="auto"/>
              <w:right w:val="single" w:sz="4" w:space="0" w:color="auto"/>
            </w:tcBorders>
            <w:textDirection w:val="btLr"/>
            <w:vAlign w:val="center"/>
            <w:hideMark/>
          </w:tcPr>
          <w:p w14:paraId="02721D93" w14:textId="77777777" w:rsidR="00987225" w:rsidRPr="003D1636" w:rsidRDefault="00987225" w:rsidP="00A62C96">
            <w:pPr>
              <w:ind w:left="113" w:right="113"/>
              <w:jc w:val="center"/>
              <w:rPr>
                <w:rFonts w:ascii="Cambria" w:hAnsi="Cambria"/>
                <w:sz w:val="14"/>
                <w:szCs w:val="14"/>
              </w:rPr>
            </w:pPr>
            <w:r w:rsidRPr="003D1636">
              <w:rPr>
                <w:rFonts w:ascii="Cambria" w:hAnsi="Cambria"/>
                <w:sz w:val="14"/>
                <w:szCs w:val="14"/>
              </w:rPr>
              <w:t>2026</w:t>
            </w:r>
          </w:p>
        </w:tc>
        <w:tc>
          <w:tcPr>
            <w:tcW w:w="203" w:type="pct"/>
            <w:tcBorders>
              <w:top w:val="nil"/>
              <w:left w:val="nil"/>
              <w:bottom w:val="single" w:sz="4" w:space="0" w:color="auto"/>
              <w:right w:val="single" w:sz="4" w:space="0" w:color="auto"/>
            </w:tcBorders>
            <w:textDirection w:val="btLr"/>
            <w:vAlign w:val="center"/>
            <w:hideMark/>
          </w:tcPr>
          <w:p w14:paraId="6EE530EB" w14:textId="77777777" w:rsidR="00987225" w:rsidRPr="003D1636" w:rsidRDefault="00987225" w:rsidP="00A62C96">
            <w:pPr>
              <w:ind w:left="113" w:right="113"/>
              <w:jc w:val="center"/>
              <w:rPr>
                <w:rFonts w:ascii="Cambria" w:hAnsi="Cambria"/>
                <w:sz w:val="14"/>
                <w:szCs w:val="14"/>
              </w:rPr>
            </w:pPr>
            <w:r w:rsidRPr="003D1636">
              <w:rPr>
                <w:rFonts w:ascii="Cambria" w:hAnsi="Cambria"/>
                <w:sz w:val="14"/>
                <w:szCs w:val="14"/>
              </w:rPr>
              <w:t>2027</w:t>
            </w:r>
          </w:p>
        </w:tc>
        <w:tc>
          <w:tcPr>
            <w:tcW w:w="203" w:type="pct"/>
            <w:tcBorders>
              <w:top w:val="nil"/>
              <w:left w:val="nil"/>
              <w:bottom w:val="single" w:sz="4" w:space="0" w:color="auto"/>
              <w:right w:val="single" w:sz="4" w:space="0" w:color="auto"/>
            </w:tcBorders>
            <w:textDirection w:val="btLr"/>
            <w:vAlign w:val="center"/>
            <w:hideMark/>
          </w:tcPr>
          <w:p w14:paraId="6992A121" w14:textId="77777777" w:rsidR="00987225" w:rsidRPr="003D1636" w:rsidRDefault="00987225" w:rsidP="00A62C96">
            <w:pPr>
              <w:ind w:left="113" w:right="113"/>
              <w:rPr>
                <w:rFonts w:ascii="Cambria" w:hAnsi="Cambria"/>
                <w:sz w:val="14"/>
                <w:szCs w:val="14"/>
              </w:rPr>
            </w:pPr>
            <w:r w:rsidRPr="003D1636">
              <w:rPr>
                <w:rFonts w:ascii="Cambria" w:hAnsi="Cambria"/>
                <w:sz w:val="14"/>
                <w:szCs w:val="14"/>
              </w:rPr>
              <w:t> </w:t>
            </w:r>
          </w:p>
        </w:tc>
        <w:tc>
          <w:tcPr>
            <w:tcW w:w="203" w:type="pct"/>
            <w:tcBorders>
              <w:top w:val="nil"/>
              <w:left w:val="nil"/>
              <w:bottom w:val="single" w:sz="4" w:space="0" w:color="auto"/>
              <w:right w:val="single" w:sz="4" w:space="0" w:color="auto"/>
            </w:tcBorders>
            <w:textDirection w:val="btLr"/>
            <w:vAlign w:val="center"/>
            <w:hideMark/>
          </w:tcPr>
          <w:p w14:paraId="393C6633" w14:textId="77777777" w:rsidR="00987225" w:rsidRPr="003D1636" w:rsidRDefault="00987225" w:rsidP="00A62C96">
            <w:pPr>
              <w:ind w:left="113" w:right="113"/>
              <w:rPr>
                <w:rFonts w:ascii="Cambria" w:hAnsi="Cambria"/>
                <w:sz w:val="14"/>
                <w:szCs w:val="14"/>
              </w:rPr>
            </w:pPr>
            <w:r w:rsidRPr="003D1636">
              <w:rPr>
                <w:rFonts w:ascii="Cambria" w:hAnsi="Cambria"/>
                <w:sz w:val="14"/>
                <w:szCs w:val="14"/>
              </w:rPr>
              <w:t> </w:t>
            </w:r>
          </w:p>
        </w:tc>
        <w:tc>
          <w:tcPr>
            <w:tcW w:w="204" w:type="pct"/>
            <w:tcBorders>
              <w:top w:val="nil"/>
              <w:left w:val="nil"/>
              <w:bottom w:val="single" w:sz="4" w:space="0" w:color="auto"/>
              <w:right w:val="single" w:sz="8" w:space="0" w:color="auto"/>
            </w:tcBorders>
            <w:textDirection w:val="btLr"/>
            <w:vAlign w:val="center"/>
            <w:hideMark/>
          </w:tcPr>
          <w:p w14:paraId="5D298BFE" w14:textId="77777777" w:rsidR="00987225" w:rsidRPr="003D1636" w:rsidRDefault="00987225" w:rsidP="00A62C96">
            <w:pPr>
              <w:ind w:left="113" w:right="113"/>
              <w:rPr>
                <w:rFonts w:ascii="Cambria" w:hAnsi="Cambria"/>
                <w:sz w:val="14"/>
                <w:szCs w:val="14"/>
              </w:rPr>
            </w:pPr>
            <w:r w:rsidRPr="003D1636">
              <w:rPr>
                <w:rFonts w:ascii="Cambria" w:hAnsi="Cambria"/>
                <w:sz w:val="14"/>
                <w:szCs w:val="14"/>
              </w:rPr>
              <w:t> </w:t>
            </w:r>
          </w:p>
        </w:tc>
        <w:tc>
          <w:tcPr>
            <w:tcW w:w="435" w:type="pct"/>
            <w:tcBorders>
              <w:top w:val="nil"/>
              <w:left w:val="nil"/>
              <w:bottom w:val="single" w:sz="4" w:space="0" w:color="auto"/>
              <w:right w:val="single" w:sz="4" w:space="0" w:color="auto"/>
            </w:tcBorders>
            <w:vAlign w:val="center"/>
            <w:hideMark/>
          </w:tcPr>
          <w:p w14:paraId="1DEC6478" w14:textId="77777777" w:rsidR="00987225" w:rsidRPr="003D1636" w:rsidRDefault="00987225">
            <w:pPr>
              <w:rPr>
                <w:rFonts w:ascii="Cambria" w:hAnsi="Cambria"/>
                <w:sz w:val="14"/>
                <w:szCs w:val="14"/>
              </w:rPr>
            </w:pPr>
            <w:r w:rsidRPr="003D1636">
              <w:rPr>
                <w:rFonts w:ascii="Cambria" w:hAnsi="Cambria"/>
                <w:sz w:val="14"/>
                <w:szCs w:val="14"/>
              </w:rPr>
              <w:t>Continuación del desarrollo del marco MSE, incorporando los comentarios de la Subcomisión 1, incluido el mecanismo para implementar CMP multistock, el desarrollo de TSD y la creación de la herramienta de visualización Shiny.</w:t>
            </w:r>
          </w:p>
        </w:tc>
        <w:tc>
          <w:tcPr>
            <w:tcW w:w="401" w:type="pct"/>
            <w:tcBorders>
              <w:top w:val="nil"/>
              <w:left w:val="nil"/>
              <w:bottom w:val="single" w:sz="4" w:space="0" w:color="auto"/>
              <w:right w:val="single" w:sz="8" w:space="0" w:color="auto"/>
            </w:tcBorders>
            <w:vAlign w:val="center"/>
            <w:hideMark/>
          </w:tcPr>
          <w:p w14:paraId="10D7173A" w14:textId="77777777" w:rsidR="00987225" w:rsidRPr="003D1636" w:rsidRDefault="00987225">
            <w:pPr>
              <w:rPr>
                <w:rFonts w:ascii="Cambria" w:hAnsi="Cambria"/>
                <w:sz w:val="14"/>
                <w:szCs w:val="14"/>
              </w:rPr>
            </w:pPr>
            <w:r w:rsidRPr="003D1636">
              <w:rPr>
                <w:rFonts w:ascii="Cambria" w:hAnsi="Cambria"/>
                <w:sz w:val="14"/>
                <w:szCs w:val="14"/>
              </w:rPr>
              <w:t>La Subcomisión 1 se reunirá en el periodo intersesiones para dar orientaciones sobre cómo tratar: las compensaciones de factores en el rendimiento de las especies; los cambios en el esfuerzo a lo largo del tiempo; los cambios en el uso de los artes a lo largo del tiempo; y las asignaciones variables a lo largo del tiempo. También para debatir el diseño del CMP y los objetivos de ordenación operativos, teniendo en cuenta cómo se gestionan las interacciones multistock en la MSE actual.</w:t>
            </w:r>
          </w:p>
        </w:tc>
        <w:tc>
          <w:tcPr>
            <w:tcW w:w="400" w:type="pct"/>
            <w:tcBorders>
              <w:top w:val="nil"/>
              <w:left w:val="nil"/>
              <w:bottom w:val="single" w:sz="4" w:space="0" w:color="auto"/>
              <w:right w:val="single" w:sz="4" w:space="0" w:color="auto"/>
            </w:tcBorders>
            <w:vAlign w:val="center"/>
            <w:hideMark/>
          </w:tcPr>
          <w:p w14:paraId="26A2D86D" w14:textId="77777777" w:rsidR="00987225" w:rsidRPr="003D1636" w:rsidRDefault="00987225">
            <w:pPr>
              <w:rPr>
                <w:rFonts w:ascii="Cambria" w:hAnsi="Cambria"/>
                <w:sz w:val="14"/>
                <w:szCs w:val="14"/>
              </w:rPr>
            </w:pPr>
            <w:r w:rsidRPr="003D1636">
              <w:rPr>
                <w:rFonts w:ascii="Cambria" w:hAnsi="Cambria"/>
                <w:sz w:val="14"/>
                <w:szCs w:val="14"/>
              </w:rPr>
              <w:t xml:space="preserve">Perfeccionar el marco MSE y evaluar los CMP multistock basándose en los comentarios de la Subcomisión 1. </w:t>
            </w:r>
          </w:p>
        </w:tc>
        <w:tc>
          <w:tcPr>
            <w:tcW w:w="350" w:type="pct"/>
            <w:tcBorders>
              <w:top w:val="nil"/>
              <w:left w:val="nil"/>
              <w:bottom w:val="single" w:sz="4" w:space="0" w:color="auto"/>
              <w:right w:val="single" w:sz="8" w:space="0" w:color="auto"/>
            </w:tcBorders>
            <w:vAlign w:val="center"/>
            <w:hideMark/>
          </w:tcPr>
          <w:p w14:paraId="50558498" w14:textId="77777777" w:rsidR="00987225" w:rsidRPr="003D1636" w:rsidRDefault="00987225">
            <w:pPr>
              <w:rPr>
                <w:rFonts w:ascii="Cambria" w:hAnsi="Cambria"/>
                <w:sz w:val="14"/>
                <w:szCs w:val="14"/>
              </w:rPr>
            </w:pPr>
            <w:r w:rsidRPr="003D1636">
              <w:rPr>
                <w:rFonts w:ascii="Cambria" w:hAnsi="Cambria"/>
                <w:sz w:val="14"/>
                <w:szCs w:val="14"/>
              </w:rPr>
              <w:t xml:space="preserve">La Subcomisión 1 se reunirá en el periodo intersesiones para orientar sobre el diseño del CMP. </w:t>
            </w:r>
            <w:r w:rsidRPr="003D1636">
              <w:rPr>
                <w:rFonts w:ascii="Cambria" w:hAnsi="Cambria"/>
                <w:sz w:val="14"/>
                <w:szCs w:val="14"/>
              </w:rPr>
              <w:br/>
              <w:t>Celebración de reuniones de embajadores.</w:t>
            </w:r>
            <w:r w:rsidRPr="003D1636">
              <w:rPr>
                <w:rFonts w:ascii="Cambria" w:hAnsi="Cambria"/>
                <w:sz w:val="14"/>
                <w:szCs w:val="14"/>
              </w:rPr>
              <w:br/>
              <w:t>Consideración de la adopción del MP en la reunión anual, incluidos los TAC para 2027-2029.</w:t>
            </w:r>
          </w:p>
        </w:tc>
        <w:tc>
          <w:tcPr>
            <w:tcW w:w="400" w:type="pct"/>
            <w:tcBorders>
              <w:top w:val="nil"/>
              <w:left w:val="nil"/>
              <w:bottom w:val="single" w:sz="4" w:space="0" w:color="auto"/>
              <w:right w:val="single" w:sz="4" w:space="0" w:color="auto"/>
            </w:tcBorders>
            <w:vAlign w:val="center"/>
            <w:hideMark/>
          </w:tcPr>
          <w:p w14:paraId="7BCCA17E" w14:textId="77777777" w:rsidR="00987225" w:rsidRPr="003D1636" w:rsidRDefault="00987225">
            <w:pPr>
              <w:rPr>
                <w:rFonts w:ascii="Cambria" w:hAnsi="Cambria"/>
                <w:sz w:val="14"/>
                <w:szCs w:val="14"/>
              </w:rPr>
            </w:pPr>
            <w:r w:rsidRPr="003D1636">
              <w:rPr>
                <w:rFonts w:ascii="Cambria" w:hAnsi="Cambria"/>
                <w:sz w:val="14"/>
                <w:szCs w:val="14"/>
              </w:rPr>
              <w:t>Desarrollo de criterios de EC para el ECP.</w:t>
            </w:r>
          </w:p>
        </w:tc>
        <w:tc>
          <w:tcPr>
            <w:tcW w:w="350" w:type="pct"/>
            <w:tcBorders>
              <w:top w:val="nil"/>
              <w:left w:val="nil"/>
              <w:bottom w:val="single" w:sz="4" w:space="0" w:color="auto"/>
              <w:right w:val="single" w:sz="8" w:space="0" w:color="auto"/>
            </w:tcBorders>
            <w:vAlign w:val="center"/>
            <w:hideMark/>
          </w:tcPr>
          <w:p w14:paraId="745C5CA6" w14:textId="77777777" w:rsidR="00987225" w:rsidRPr="003D1636" w:rsidRDefault="00987225">
            <w:pPr>
              <w:spacing w:after="240"/>
              <w:rPr>
                <w:rFonts w:ascii="Cambria" w:hAnsi="Cambria"/>
                <w:sz w:val="14"/>
                <w:szCs w:val="14"/>
              </w:rPr>
            </w:pPr>
            <w:r w:rsidRPr="003D1636">
              <w:rPr>
                <w:rFonts w:ascii="Cambria" w:hAnsi="Cambria"/>
                <w:sz w:val="14"/>
                <w:szCs w:val="14"/>
              </w:rPr>
              <w:t>Adopción del ECP en la reunión anual (asumiendo la adopción del MP en 2026; en caso contrario, considerar la adopción del MP).</w:t>
            </w:r>
          </w:p>
        </w:tc>
        <w:tc>
          <w:tcPr>
            <w:tcW w:w="400" w:type="pct"/>
            <w:tcBorders>
              <w:top w:val="nil"/>
              <w:left w:val="nil"/>
              <w:bottom w:val="single" w:sz="4" w:space="0" w:color="auto"/>
              <w:right w:val="single" w:sz="4" w:space="0" w:color="auto"/>
            </w:tcBorders>
            <w:vAlign w:val="center"/>
            <w:hideMark/>
          </w:tcPr>
          <w:p w14:paraId="165B5281" w14:textId="77777777" w:rsidR="00987225" w:rsidRPr="003D1636" w:rsidRDefault="00987225">
            <w:pPr>
              <w:rPr>
                <w:rFonts w:ascii="Cambria" w:hAnsi="Cambria"/>
                <w:sz w:val="14"/>
                <w:szCs w:val="14"/>
              </w:rPr>
            </w:pPr>
            <w:r w:rsidRPr="003D1636">
              <w:rPr>
                <w:rFonts w:ascii="Cambria" w:hAnsi="Cambria"/>
                <w:sz w:val="14"/>
                <w:szCs w:val="14"/>
              </w:rPr>
              <w:t>Comprobación de la existencia de EC.</w:t>
            </w:r>
          </w:p>
        </w:tc>
        <w:tc>
          <w:tcPr>
            <w:tcW w:w="300" w:type="pct"/>
            <w:tcBorders>
              <w:top w:val="nil"/>
              <w:left w:val="nil"/>
              <w:bottom w:val="single" w:sz="4" w:space="0" w:color="auto"/>
              <w:right w:val="single" w:sz="4" w:space="0" w:color="auto"/>
            </w:tcBorders>
            <w:vAlign w:val="center"/>
            <w:hideMark/>
          </w:tcPr>
          <w:p w14:paraId="4878DEA1" w14:textId="77777777" w:rsidR="00987225" w:rsidRPr="003D1636" w:rsidRDefault="00987225">
            <w:pPr>
              <w:rPr>
                <w:rFonts w:ascii="Cambria" w:hAnsi="Cambria"/>
                <w:sz w:val="14"/>
                <w:szCs w:val="14"/>
              </w:rPr>
            </w:pPr>
            <w:r w:rsidRPr="003D1636">
              <w:rPr>
                <w:rFonts w:ascii="Cambria" w:hAnsi="Cambria"/>
                <w:sz w:val="14"/>
                <w:szCs w:val="14"/>
              </w:rPr>
              <w:t> </w:t>
            </w:r>
          </w:p>
        </w:tc>
        <w:tc>
          <w:tcPr>
            <w:tcW w:w="398" w:type="pct"/>
            <w:tcBorders>
              <w:top w:val="single" w:sz="4" w:space="0" w:color="auto"/>
              <w:left w:val="single" w:sz="4" w:space="0" w:color="auto"/>
              <w:bottom w:val="single" w:sz="4" w:space="0" w:color="auto"/>
              <w:right w:val="single" w:sz="4" w:space="0" w:color="auto"/>
            </w:tcBorders>
            <w:vAlign w:val="center"/>
            <w:hideMark/>
          </w:tcPr>
          <w:p w14:paraId="60019011" w14:textId="3E6846FC" w:rsidR="00987225" w:rsidRPr="003D1636" w:rsidRDefault="00987225">
            <w:pPr>
              <w:rPr>
                <w:rFonts w:ascii="Cambria" w:hAnsi="Cambria"/>
                <w:sz w:val="14"/>
                <w:szCs w:val="14"/>
              </w:rPr>
            </w:pPr>
            <w:r w:rsidRPr="003D1636">
              <w:rPr>
                <w:rFonts w:ascii="Cambria" w:hAnsi="Cambria"/>
                <w:sz w:val="14"/>
                <w:szCs w:val="14"/>
              </w:rPr>
              <w:t>Comprobación de la existencia de EC. Ejecutar el MP para proporci</w:t>
            </w:r>
            <w:r w:rsidR="00A62C96" w:rsidRPr="003D1636">
              <w:rPr>
                <w:rFonts w:ascii="Cambria" w:hAnsi="Cambria"/>
                <w:sz w:val="14"/>
                <w:szCs w:val="14"/>
              </w:rPr>
              <w:t>o</w:t>
            </w:r>
            <w:r w:rsidRPr="003D1636">
              <w:rPr>
                <w:rFonts w:ascii="Cambria" w:hAnsi="Cambria"/>
                <w:sz w:val="14"/>
                <w:szCs w:val="14"/>
              </w:rPr>
              <w:t>nar los TAC para 2030-2032.</w:t>
            </w:r>
          </w:p>
        </w:tc>
        <w:tc>
          <w:tcPr>
            <w:tcW w:w="350" w:type="pct"/>
            <w:tcBorders>
              <w:top w:val="single" w:sz="4" w:space="0" w:color="auto"/>
              <w:left w:val="single" w:sz="4" w:space="0" w:color="auto"/>
              <w:bottom w:val="single" w:sz="4" w:space="0" w:color="auto"/>
              <w:right w:val="single" w:sz="4" w:space="0" w:color="auto"/>
            </w:tcBorders>
            <w:vAlign w:val="center"/>
            <w:hideMark/>
          </w:tcPr>
          <w:p w14:paraId="3700C441" w14:textId="50B3CF21" w:rsidR="00987225" w:rsidRPr="003D1636" w:rsidRDefault="00987225">
            <w:pPr>
              <w:rPr>
                <w:rFonts w:ascii="Cambria" w:hAnsi="Cambria"/>
                <w:sz w:val="14"/>
                <w:szCs w:val="14"/>
              </w:rPr>
            </w:pPr>
            <w:r w:rsidRPr="003D1636">
              <w:rPr>
                <w:rFonts w:ascii="Cambria" w:hAnsi="Cambria"/>
                <w:sz w:val="14"/>
                <w:szCs w:val="14"/>
              </w:rPr>
              <w:t>Adopción de los TAC 2030-</w:t>
            </w:r>
            <w:r w:rsidR="00B9656B" w:rsidRPr="003D1636">
              <w:rPr>
                <w:rFonts w:ascii="Cambria" w:hAnsi="Cambria"/>
                <w:sz w:val="14"/>
                <w:szCs w:val="14"/>
              </w:rPr>
              <w:t>20</w:t>
            </w:r>
            <w:r w:rsidRPr="003D1636">
              <w:rPr>
                <w:rFonts w:ascii="Cambria" w:hAnsi="Cambria"/>
                <w:sz w:val="14"/>
                <w:szCs w:val="14"/>
              </w:rPr>
              <w:t>32 en la reunión anual sobre la base del MP.</w:t>
            </w:r>
          </w:p>
        </w:tc>
      </w:tr>
      <w:tr w:rsidR="005240D0" w:rsidRPr="003D1636" w14:paraId="718AB2AE" w14:textId="77777777" w:rsidTr="00E658D5">
        <w:trPr>
          <w:cantSplit/>
          <w:trHeight w:val="4329"/>
        </w:trPr>
        <w:tc>
          <w:tcPr>
            <w:tcW w:w="200" w:type="pct"/>
            <w:tcBorders>
              <w:top w:val="nil"/>
              <w:left w:val="single" w:sz="8" w:space="0" w:color="auto"/>
              <w:bottom w:val="single" w:sz="4" w:space="0" w:color="auto"/>
              <w:right w:val="single" w:sz="8" w:space="0" w:color="auto"/>
            </w:tcBorders>
            <w:textDirection w:val="btLr"/>
            <w:hideMark/>
          </w:tcPr>
          <w:p w14:paraId="4503013E" w14:textId="77777777" w:rsidR="00987225" w:rsidRPr="003D1636" w:rsidRDefault="00987225" w:rsidP="006C16CC">
            <w:pPr>
              <w:ind w:left="113" w:right="113"/>
              <w:jc w:val="center"/>
              <w:rPr>
                <w:rFonts w:ascii="Cambria" w:hAnsi="Cambria"/>
                <w:sz w:val="14"/>
                <w:szCs w:val="14"/>
              </w:rPr>
            </w:pPr>
            <w:r w:rsidRPr="003D1636">
              <w:rPr>
                <w:rFonts w:ascii="Cambria" w:hAnsi="Cambria"/>
                <w:sz w:val="14"/>
                <w:szCs w:val="14"/>
              </w:rPr>
              <w:lastRenderedPageBreak/>
              <w:t>Atún blanco del sur</w:t>
            </w:r>
          </w:p>
        </w:tc>
        <w:tc>
          <w:tcPr>
            <w:tcW w:w="203" w:type="pct"/>
            <w:tcBorders>
              <w:top w:val="nil"/>
              <w:left w:val="nil"/>
              <w:bottom w:val="single" w:sz="4" w:space="0" w:color="auto"/>
              <w:right w:val="single" w:sz="4" w:space="0" w:color="auto"/>
            </w:tcBorders>
            <w:textDirection w:val="btLr"/>
            <w:vAlign w:val="center"/>
            <w:hideMark/>
          </w:tcPr>
          <w:p w14:paraId="1F537035" w14:textId="77777777" w:rsidR="00987225" w:rsidRPr="003D1636" w:rsidRDefault="00987225" w:rsidP="00A62C96">
            <w:pPr>
              <w:ind w:left="113" w:right="113"/>
              <w:jc w:val="center"/>
              <w:rPr>
                <w:rFonts w:ascii="Cambria" w:hAnsi="Cambria"/>
                <w:sz w:val="14"/>
                <w:szCs w:val="14"/>
              </w:rPr>
            </w:pPr>
            <w:r w:rsidRPr="003D1636">
              <w:rPr>
                <w:rFonts w:ascii="Cambria" w:hAnsi="Cambria"/>
                <w:sz w:val="14"/>
                <w:szCs w:val="14"/>
              </w:rPr>
              <w:t>2027</w:t>
            </w:r>
          </w:p>
        </w:tc>
        <w:tc>
          <w:tcPr>
            <w:tcW w:w="203" w:type="pct"/>
            <w:tcBorders>
              <w:top w:val="nil"/>
              <w:left w:val="nil"/>
              <w:bottom w:val="single" w:sz="4" w:space="0" w:color="auto"/>
              <w:right w:val="single" w:sz="4" w:space="0" w:color="auto"/>
            </w:tcBorders>
            <w:textDirection w:val="btLr"/>
            <w:vAlign w:val="center"/>
            <w:hideMark/>
          </w:tcPr>
          <w:p w14:paraId="5F045C12" w14:textId="77777777" w:rsidR="00987225" w:rsidRPr="003D1636" w:rsidRDefault="00987225" w:rsidP="00A62C96">
            <w:pPr>
              <w:ind w:left="113" w:right="113"/>
              <w:jc w:val="center"/>
              <w:rPr>
                <w:rFonts w:ascii="Cambria" w:hAnsi="Cambria"/>
                <w:sz w:val="14"/>
                <w:szCs w:val="14"/>
              </w:rPr>
            </w:pPr>
            <w:r w:rsidRPr="003D1636">
              <w:rPr>
                <w:rFonts w:ascii="Cambria" w:hAnsi="Cambria"/>
                <w:sz w:val="14"/>
                <w:szCs w:val="14"/>
              </w:rPr>
              <w:t>2028</w:t>
            </w:r>
          </w:p>
        </w:tc>
        <w:tc>
          <w:tcPr>
            <w:tcW w:w="203" w:type="pct"/>
            <w:tcBorders>
              <w:top w:val="nil"/>
              <w:left w:val="nil"/>
              <w:bottom w:val="single" w:sz="4" w:space="0" w:color="auto"/>
              <w:right w:val="single" w:sz="4" w:space="0" w:color="auto"/>
            </w:tcBorders>
            <w:vAlign w:val="center"/>
            <w:hideMark/>
          </w:tcPr>
          <w:p w14:paraId="454D0EEE" w14:textId="77777777" w:rsidR="00987225" w:rsidRPr="003D1636" w:rsidRDefault="00987225">
            <w:pPr>
              <w:rPr>
                <w:rFonts w:ascii="Cambria" w:hAnsi="Cambria"/>
                <w:sz w:val="14"/>
                <w:szCs w:val="14"/>
              </w:rPr>
            </w:pPr>
            <w:r w:rsidRPr="003D1636">
              <w:rPr>
                <w:rFonts w:ascii="Cambria" w:hAnsi="Cambria"/>
                <w:sz w:val="14"/>
                <w:szCs w:val="14"/>
              </w:rPr>
              <w:t> </w:t>
            </w:r>
          </w:p>
        </w:tc>
        <w:tc>
          <w:tcPr>
            <w:tcW w:w="203" w:type="pct"/>
            <w:tcBorders>
              <w:top w:val="nil"/>
              <w:left w:val="nil"/>
              <w:bottom w:val="single" w:sz="4" w:space="0" w:color="auto"/>
              <w:right w:val="single" w:sz="4" w:space="0" w:color="auto"/>
            </w:tcBorders>
            <w:vAlign w:val="center"/>
            <w:hideMark/>
          </w:tcPr>
          <w:p w14:paraId="3842ABFC" w14:textId="77777777" w:rsidR="00987225" w:rsidRPr="003D1636" w:rsidRDefault="00987225">
            <w:pPr>
              <w:rPr>
                <w:rFonts w:ascii="Cambria" w:hAnsi="Cambria"/>
                <w:sz w:val="14"/>
                <w:szCs w:val="14"/>
              </w:rPr>
            </w:pPr>
            <w:r w:rsidRPr="003D1636">
              <w:rPr>
                <w:rFonts w:ascii="Cambria" w:hAnsi="Cambria"/>
                <w:sz w:val="14"/>
                <w:szCs w:val="14"/>
              </w:rPr>
              <w:t> </w:t>
            </w:r>
          </w:p>
        </w:tc>
        <w:tc>
          <w:tcPr>
            <w:tcW w:w="204" w:type="pct"/>
            <w:tcBorders>
              <w:top w:val="nil"/>
              <w:left w:val="nil"/>
              <w:bottom w:val="single" w:sz="4" w:space="0" w:color="auto"/>
              <w:right w:val="single" w:sz="8" w:space="0" w:color="auto"/>
            </w:tcBorders>
            <w:vAlign w:val="center"/>
            <w:hideMark/>
          </w:tcPr>
          <w:p w14:paraId="70CCAF1F" w14:textId="77777777" w:rsidR="00987225" w:rsidRPr="003D1636" w:rsidRDefault="00987225">
            <w:pPr>
              <w:rPr>
                <w:rFonts w:ascii="Cambria" w:hAnsi="Cambria"/>
                <w:sz w:val="14"/>
                <w:szCs w:val="14"/>
              </w:rPr>
            </w:pPr>
            <w:r w:rsidRPr="003D1636">
              <w:rPr>
                <w:rFonts w:ascii="Cambria" w:hAnsi="Cambria"/>
                <w:sz w:val="14"/>
                <w:szCs w:val="14"/>
              </w:rPr>
              <w:t> </w:t>
            </w:r>
          </w:p>
        </w:tc>
        <w:tc>
          <w:tcPr>
            <w:tcW w:w="435" w:type="pct"/>
            <w:tcBorders>
              <w:top w:val="nil"/>
              <w:left w:val="nil"/>
              <w:bottom w:val="single" w:sz="4" w:space="0" w:color="auto"/>
              <w:right w:val="single" w:sz="4" w:space="0" w:color="auto"/>
            </w:tcBorders>
            <w:vAlign w:val="center"/>
            <w:hideMark/>
          </w:tcPr>
          <w:p w14:paraId="77672A86" w14:textId="77777777" w:rsidR="00987225" w:rsidRPr="003D1636" w:rsidRDefault="00987225">
            <w:pPr>
              <w:rPr>
                <w:rFonts w:ascii="Cambria" w:hAnsi="Cambria"/>
                <w:sz w:val="14"/>
                <w:szCs w:val="14"/>
              </w:rPr>
            </w:pPr>
            <w:r w:rsidRPr="003D1636">
              <w:rPr>
                <w:rFonts w:ascii="Cambria" w:hAnsi="Cambria"/>
                <w:sz w:val="14"/>
                <w:szCs w:val="14"/>
              </w:rPr>
              <w:t>La Secretaría recopiló y compartió los datos de captura necesarios.</w:t>
            </w:r>
            <w:r w:rsidRPr="003D1636">
              <w:rPr>
                <w:rFonts w:ascii="Cambria" w:hAnsi="Cambria"/>
                <w:sz w:val="14"/>
                <w:szCs w:val="14"/>
              </w:rPr>
              <w:br/>
              <w:t>Equipo técnico de la MSE para el atún blanco del sur creado.</w:t>
            </w:r>
          </w:p>
        </w:tc>
        <w:tc>
          <w:tcPr>
            <w:tcW w:w="401" w:type="pct"/>
            <w:tcBorders>
              <w:top w:val="nil"/>
              <w:left w:val="nil"/>
              <w:bottom w:val="single" w:sz="4" w:space="0" w:color="auto"/>
              <w:right w:val="single" w:sz="8" w:space="0" w:color="auto"/>
            </w:tcBorders>
            <w:vAlign w:val="center"/>
            <w:hideMark/>
          </w:tcPr>
          <w:p w14:paraId="4BD75708" w14:textId="77777777" w:rsidR="00987225" w:rsidRPr="003D1636" w:rsidRDefault="00987225">
            <w:pPr>
              <w:rPr>
                <w:rFonts w:ascii="Cambria" w:hAnsi="Cambria"/>
                <w:sz w:val="14"/>
                <w:szCs w:val="14"/>
              </w:rPr>
            </w:pPr>
            <w:r w:rsidRPr="003D1636">
              <w:rPr>
                <w:rFonts w:ascii="Cambria" w:hAnsi="Cambria"/>
                <w:sz w:val="14"/>
                <w:szCs w:val="14"/>
              </w:rPr>
              <w:t>La Subcomisión 3 será informada y proporcionará comentarios sobre el trabajo del SCRS en la reunión anual.</w:t>
            </w:r>
          </w:p>
        </w:tc>
        <w:tc>
          <w:tcPr>
            <w:tcW w:w="400" w:type="pct"/>
            <w:tcBorders>
              <w:top w:val="nil"/>
              <w:left w:val="nil"/>
              <w:bottom w:val="single" w:sz="4" w:space="0" w:color="auto"/>
              <w:right w:val="single" w:sz="4" w:space="0" w:color="auto"/>
            </w:tcBorders>
            <w:vAlign w:val="center"/>
            <w:hideMark/>
          </w:tcPr>
          <w:p w14:paraId="1F32AD98" w14:textId="334B6AEC" w:rsidR="00987225" w:rsidRPr="003D1636" w:rsidRDefault="00987225">
            <w:pPr>
              <w:rPr>
                <w:rFonts w:ascii="Cambria" w:hAnsi="Cambria"/>
                <w:sz w:val="14"/>
                <w:szCs w:val="14"/>
              </w:rPr>
            </w:pPr>
            <w:r w:rsidRPr="003D1636">
              <w:rPr>
                <w:rFonts w:ascii="Cambria" w:hAnsi="Cambria"/>
                <w:sz w:val="14"/>
                <w:szCs w:val="14"/>
              </w:rPr>
              <w:t>Realización de una evaluación de stock</w:t>
            </w:r>
            <w:r w:rsidR="00CE1B2E" w:rsidRPr="003D1636">
              <w:rPr>
                <w:rFonts w:ascii="Cambria" w:hAnsi="Cambria"/>
                <w:sz w:val="14"/>
                <w:szCs w:val="14"/>
              </w:rPr>
              <w:t>.</w:t>
            </w:r>
            <w:r w:rsidRPr="003D1636">
              <w:rPr>
                <w:rFonts w:ascii="Cambria" w:hAnsi="Cambria"/>
                <w:sz w:val="14"/>
                <w:szCs w:val="14"/>
              </w:rPr>
              <w:br/>
            </w:r>
            <w:r w:rsidRPr="003D1636">
              <w:rPr>
                <w:rFonts w:ascii="Cambria" w:hAnsi="Cambria"/>
                <w:sz w:val="14"/>
                <w:szCs w:val="14"/>
              </w:rPr>
              <w:br/>
              <w:t>Acuerdo sobre:</w:t>
            </w:r>
            <w:r w:rsidRPr="003D1636">
              <w:rPr>
                <w:rFonts w:ascii="Cambria" w:hAnsi="Cambria"/>
                <w:sz w:val="14"/>
                <w:szCs w:val="14"/>
              </w:rPr>
              <w:br/>
              <w:t>- las principales fuentes de incertidumbre que se tienen que considerar en la MSE;</w:t>
            </w:r>
            <w:r w:rsidRPr="003D1636">
              <w:rPr>
                <w:rFonts w:ascii="Cambria" w:hAnsi="Cambria"/>
                <w:sz w:val="14"/>
                <w:szCs w:val="14"/>
              </w:rPr>
              <w:br/>
              <w:t>- la estructura del marco de la MSE;</w:t>
            </w:r>
            <w:r w:rsidRPr="003D1636">
              <w:rPr>
                <w:rFonts w:ascii="Cambria" w:hAnsi="Cambria"/>
                <w:sz w:val="14"/>
                <w:szCs w:val="14"/>
              </w:rPr>
              <w:br/>
              <w:t xml:space="preserve">- el conjunto de modelos operativos de referencia y de robustez;  </w:t>
            </w:r>
          </w:p>
        </w:tc>
        <w:tc>
          <w:tcPr>
            <w:tcW w:w="350" w:type="pct"/>
            <w:tcBorders>
              <w:top w:val="nil"/>
              <w:left w:val="nil"/>
              <w:bottom w:val="single" w:sz="4" w:space="0" w:color="auto"/>
              <w:right w:val="single" w:sz="8" w:space="0" w:color="auto"/>
            </w:tcBorders>
            <w:vAlign w:val="center"/>
            <w:hideMark/>
          </w:tcPr>
          <w:p w14:paraId="763A51F8" w14:textId="6518C952" w:rsidR="00987225" w:rsidRPr="003D1636" w:rsidRDefault="00987225">
            <w:pPr>
              <w:rPr>
                <w:rFonts w:ascii="Cambria" w:hAnsi="Cambria"/>
                <w:sz w:val="14"/>
                <w:szCs w:val="14"/>
              </w:rPr>
            </w:pPr>
            <w:r w:rsidRPr="003D1636">
              <w:rPr>
                <w:rFonts w:ascii="Cambria" w:hAnsi="Cambria"/>
                <w:sz w:val="14"/>
                <w:szCs w:val="14"/>
              </w:rPr>
              <w:t>La Subcomisión 3 proporcio</w:t>
            </w:r>
            <w:r w:rsidR="00E14A55" w:rsidRPr="003D1636">
              <w:rPr>
                <w:rFonts w:ascii="Cambria" w:hAnsi="Cambria"/>
                <w:sz w:val="14"/>
                <w:szCs w:val="14"/>
              </w:rPr>
              <w:t>-</w:t>
            </w:r>
            <w:r w:rsidRPr="003D1636">
              <w:rPr>
                <w:rFonts w:ascii="Cambria" w:hAnsi="Cambria"/>
                <w:sz w:val="14"/>
                <w:szCs w:val="14"/>
              </w:rPr>
              <w:t>nará su feedback sobre la estructura y pruebas de la MSE in</w:t>
            </w:r>
            <w:r w:rsidR="00A62C96" w:rsidRPr="003D1636">
              <w:rPr>
                <w:rFonts w:ascii="Cambria" w:hAnsi="Cambria"/>
                <w:sz w:val="14"/>
                <w:szCs w:val="14"/>
              </w:rPr>
              <w:t>i</w:t>
            </w:r>
            <w:r w:rsidRPr="003D1636">
              <w:rPr>
                <w:rFonts w:ascii="Cambria" w:hAnsi="Cambria"/>
                <w:sz w:val="14"/>
                <w:szCs w:val="14"/>
              </w:rPr>
              <w:t>cial.</w:t>
            </w:r>
          </w:p>
        </w:tc>
        <w:tc>
          <w:tcPr>
            <w:tcW w:w="400" w:type="pct"/>
            <w:tcBorders>
              <w:top w:val="nil"/>
              <w:left w:val="nil"/>
              <w:bottom w:val="single" w:sz="4" w:space="0" w:color="auto"/>
              <w:right w:val="single" w:sz="4" w:space="0" w:color="auto"/>
            </w:tcBorders>
            <w:vAlign w:val="center"/>
            <w:hideMark/>
          </w:tcPr>
          <w:p w14:paraId="36678850" w14:textId="779497B0" w:rsidR="00987225" w:rsidRPr="003D1636" w:rsidRDefault="00987225">
            <w:pPr>
              <w:rPr>
                <w:rFonts w:ascii="Cambria" w:hAnsi="Cambria"/>
                <w:sz w:val="14"/>
                <w:szCs w:val="14"/>
              </w:rPr>
            </w:pPr>
            <w:r w:rsidRPr="003D1636">
              <w:rPr>
                <w:rFonts w:ascii="Cambria" w:hAnsi="Cambria"/>
                <w:sz w:val="14"/>
                <w:szCs w:val="14"/>
              </w:rPr>
              <w:t>Finalización de la MSE y d</w:t>
            </w:r>
            <w:r w:rsidR="00A62C96" w:rsidRPr="003D1636">
              <w:rPr>
                <w:rFonts w:ascii="Cambria" w:hAnsi="Cambria"/>
                <w:sz w:val="14"/>
                <w:szCs w:val="14"/>
              </w:rPr>
              <w:t>e</w:t>
            </w:r>
            <w:r w:rsidRPr="003D1636">
              <w:rPr>
                <w:rFonts w:ascii="Cambria" w:hAnsi="Cambria"/>
                <w:sz w:val="14"/>
                <w:szCs w:val="14"/>
              </w:rPr>
              <w:t xml:space="preserve"> las pruebas de CMP.</w:t>
            </w:r>
          </w:p>
        </w:tc>
        <w:tc>
          <w:tcPr>
            <w:tcW w:w="350" w:type="pct"/>
            <w:tcBorders>
              <w:top w:val="nil"/>
              <w:left w:val="nil"/>
              <w:bottom w:val="single" w:sz="4" w:space="0" w:color="auto"/>
              <w:right w:val="single" w:sz="8" w:space="0" w:color="auto"/>
            </w:tcBorders>
            <w:vAlign w:val="center"/>
            <w:hideMark/>
          </w:tcPr>
          <w:p w14:paraId="3CE52A39" w14:textId="2515CB2B" w:rsidR="00987225" w:rsidRPr="003D1636" w:rsidRDefault="00987225">
            <w:pPr>
              <w:rPr>
                <w:rFonts w:ascii="Cambria" w:hAnsi="Cambria"/>
                <w:sz w:val="14"/>
                <w:szCs w:val="14"/>
              </w:rPr>
            </w:pPr>
            <w:r w:rsidRPr="003D1636">
              <w:rPr>
                <w:rFonts w:ascii="Cambria" w:hAnsi="Cambria"/>
                <w:sz w:val="14"/>
                <w:szCs w:val="14"/>
              </w:rPr>
              <w:t>Considera</w:t>
            </w:r>
            <w:r w:rsidR="00A62C96" w:rsidRPr="003D1636">
              <w:rPr>
                <w:rFonts w:ascii="Cambria" w:hAnsi="Cambria"/>
                <w:sz w:val="14"/>
                <w:szCs w:val="14"/>
              </w:rPr>
              <w:t>-</w:t>
            </w:r>
            <w:r w:rsidRPr="003D1636">
              <w:rPr>
                <w:rFonts w:ascii="Cambria" w:hAnsi="Cambria"/>
                <w:sz w:val="14"/>
                <w:szCs w:val="14"/>
              </w:rPr>
              <w:t xml:space="preserve">ción de la </w:t>
            </w:r>
            <w:r w:rsidR="00A62C96" w:rsidRPr="003D1636">
              <w:rPr>
                <w:rFonts w:ascii="Cambria" w:hAnsi="Cambria"/>
                <w:sz w:val="14"/>
                <w:szCs w:val="14"/>
              </w:rPr>
              <w:t>adopción</w:t>
            </w:r>
            <w:r w:rsidRPr="003D1636">
              <w:rPr>
                <w:rFonts w:ascii="Cambria" w:hAnsi="Cambria"/>
                <w:sz w:val="14"/>
                <w:szCs w:val="14"/>
              </w:rPr>
              <w:t xml:space="preserve"> del MP en la reunión anual, lo que incluye los TAC para 2028-2030.</w:t>
            </w:r>
          </w:p>
        </w:tc>
        <w:tc>
          <w:tcPr>
            <w:tcW w:w="400" w:type="pct"/>
            <w:tcBorders>
              <w:top w:val="nil"/>
              <w:left w:val="nil"/>
              <w:bottom w:val="single" w:sz="4" w:space="0" w:color="auto"/>
              <w:right w:val="single" w:sz="4" w:space="0" w:color="auto"/>
            </w:tcBorders>
            <w:vAlign w:val="center"/>
            <w:hideMark/>
          </w:tcPr>
          <w:p w14:paraId="3E919949" w14:textId="77777777" w:rsidR="00987225" w:rsidRPr="003D1636" w:rsidRDefault="00987225">
            <w:pPr>
              <w:rPr>
                <w:rFonts w:ascii="Cambria" w:hAnsi="Cambria"/>
                <w:sz w:val="14"/>
                <w:szCs w:val="14"/>
              </w:rPr>
            </w:pPr>
            <w:r w:rsidRPr="003D1636">
              <w:rPr>
                <w:rFonts w:ascii="Cambria" w:hAnsi="Cambria"/>
                <w:sz w:val="14"/>
                <w:szCs w:val="14"/>
              </w:rPr>
              <w:t>Desarrollo de criterios EC para el ECP.</w:t>
            </w:r>
          </w:p>
        </w:tc>
        <w:tc>
          <w:tcPr>
            <w:tcW w:w="300" w:type="pct"/>
            <w:tcBorders>
              <w:top w:val="nil"/>
              <w:left w:val="nil"/>
              <w:bottom w:val="single" w:sz="4" w:space="0" w:color="auto"/>
              <w:right w:val="single" w:sz="4" w:space="0" w:color="auto"/>
            </w:tcBorders>
            <w:vAlign w:val="center"/>
            <w:hideMark/>
          </w:tcPr>
          <w:p w14:paraId="72B2516B" w14:textId="77777777" w:rsidR="00987225" w:rsidRPr="003D1636" w:rsidRDefault="00987225">
            <w:pPr>
              <w:rPr>
                <w:rFonts w:ascii="Cambria" w:hAnsi="Cambria"/>
                <w:sz w:val="14"/>
                <w:szCs w:val="14"/>
              </w:rPr>
            </w:pPr>
            <w:r w:rsidRPr="003D1636">
              <w:rPr>
                <w:rFonts w:ascii="Cambria" w:hAnsi="Cambria"/>
                <w:sz w:val="14"/>
                <w:szCs w:val="14"/>
              </w:rPr>
              <w:t>Adopción del ECP en la reunión anual.</w:t>
            </w:r>
          </w:p>
        </w:tc>
        <w:tc>
          <w:tcPr>
            <w:tcW w:w="398" w:type="pct"/>
            <w:tcBorders>
              <w:top w:val="single" w:sz="4" w:space="0" w:color="auto"/>
              <w:left w:val="single" w:sz="4" w:space="0" w:color="auto"/>
              <w:bottom w:val="single" w:sz="4" w:space="0" w:color="auto"/>
              <w:right w:val="single" w:sz="4" w:space="0" w:color="auto"/>
            </w:tcBorders>
            <w:vAlign w:val="center"/>
            <w:hideMark/>
          </w:tcPr>
          <w:p w14:paraId="3DEA7626" w14:textId="77777777" w:rsidR="00987225" w:rsidRPr="003D1636" w:rsidRDefault="00987225">
            <w:pPr>
              <w:rPr>
                <w:rFonts w:ascii="Cambria" w:hAnsi="Cambria"/>
                <w:sz w:val="14"/>
                <w:szCs w:val="14"/>
              </w:rPr>
            </w:pPr>
            <w:r w:rsidRPr="003D1636">
              <w:rPr>
                <w:rFonts w:ascii="Cambria" w:hAnsi="Cambria"/>
                <w:sz w:val="14"/>
                <w:szCs w:val="14"/>
              </w:rPr>
              <w:t>Comprobación de EC.</w:t>
            </w:r>
          </w:p>
        </w:tc>
        <w:tc>
          <w:tcPr>
            <w:tcW w:w="350" w:type="pct"/>
            <w:tcBorders>
              <w:top w:val="single" w:sz="4" w:space="0" w:color="auto"/>
              <w:left w:val="single" w:sz="4" w:space="0" w:color="auto"/>
              <w:bottom w:val="single" w:sz="4" w:space="0" w:color="auto"/>
              <w:right w:val="single" w:sz="4" w:space="0" w:color="auto"/>
            </w:tcBorders>
            <w:vAlign w:val="center"/>
            <w:hideMark/>
          </w:tcPr>
          <w:p w14:paraId="66C36871" w14:textId="77777777" w:rsidR="00987225" w:rsidRPr="003D1636" w:rsidRDefault="00987225">
            <w:pPr>
              <w:rPr>
                <w:rFonts w:ascii="Cambria" w:hAnsi="Cambria"/>
                <w:sz w:val="14"/>
                <w:szCs w:val="14"/>
              </w:rPr>
            </w:pPr>
            <w:r w:rsidRPr="003D1636">
              <w:rPr>
                <w:rFonts w:ascii="Cambria" w:hAnsi="Cambria"/>
                <w:sz w:val="14"/>
                <w:szCs w:val="14"/>
              </w:rPr>
              <w:t> </w:t>
            </w:r>
          </w:p>
        </w:tc>
      </w:tr>
      <w:tr w:rsidR="005240D0" w:rsidRPr="003D1636" w14:paraId="0B81D3C4" w14:textId="77777777" w:rsidTr="00B876E3">
        <w:trPr>
          <w:cantSplit/>
          <w:trHeight w:val="3150"/>
        </w:trPr>
        <w:tc>
          <w:tcPr>
            <w:tcW w:w="200" w:type="pct"/>
            <w:tcBorders>
              <w:top w:val="nil"/>
              <w:left w:val="single" w:sz="8" w:space="0" w:color="auto"/>
              <w:bottom w:val="single" w:sz="8" w:space="0" w:color="auto"/>
              <w:right w:val="single" w:sz="8" w:space="0" w:color="auto"/>
            </w:tcBorders>
            <w:textDirection w:val="btLr"/>
            <w:hideMark/>
          </w:tcPr>
          <w:p w14:paraId="70F5B22C" w14:textId="0E7C156A" w:rsidR="00987225" w:rsidRPr="003D1636" w:rsidRDefault="00987225" w:rsidP="006C16CC">
            <w:pPr>
              <w:ind w:left="113" w:right="113"/>
              <w:jc w:val="center"/>
              <w:rPr>
                <w:rFonts w:ascii="Cambria" w:hAnsi="Cambria"/>
                <w:sz w:val="14"/>
                <w:szCs w:val="14"/>
              </w:rPr>
            </w:pPr>
            <w:r w:rsidRPr="003D1636">
              <w:rPr>
                <w:rFonts w:ascii="Cambria" w:hAnsi="Cambria"/>
                <w:sz w:val="14"/>
                <w:szCs w:val="14"/>
              </w:rPr>
              <w:t xml:space="preserve">Tiburón azul del </w:t>
            </w:r>
            <w:r w:rsidR="00C42AAB" w:rsidRPr="003D1636">
              <w:rPr>
                <w:rFonts w:ascii="Cambria" w:hAnsi="Cambria"/>
                <w:sz w:val="14"/>
                <w:szCs w:val="14"/>
              </w:rPr>
              <w:t>Atlántico</w:t>
            </w:r>
          </w:p>
        </w:tc>
        <w:tc>
          <w:tcPr>
            <w:tcW w:w="203" w:type="pct"/>
            <w:tcBorders>
              <w:top w:val="nil"/>
              <w:left w:val="nil"/>
              <w:bottom w:val="single" w:sz="8" w:space="0" w:color="auto"/>
              <w:right w:val="single" w:sz="4" w:space="0" w:color="auto"/>
            </w:tcBorders>
            <w:textDirection w:val="btLr"/>
            <w:vAlign w:val="center"/>
            <w:hideMark/>
          </w:tcPr>
          <w:p w14:paraId="1CC130A8" w14:textId="77777777" w:rsidR="00987225" w:rsidRPr="003D1636" w:rsidRDefault="00987225" w:rsidP="00A62C96">
            <w:pPr>
              <w:ind w:left="113" w:right="113"/>
              <w:jc w:val="center"/>
              <w:rPr>
                <w:rFonts w:ascii="Cambria" w:hAnsi="Cambria"/>
                <w:sz w:val="14"/>
                <w:szCs w:val="14"/>
              </w:rPr>
            </w:pPr>
            <w:r w:rsidRPr="003D1636">
              <w:rPr>
                <w:rFonts w:ascii="Cambria" w:hAnsi="Cambria"/>
                <w:sz w:val="14"/>
                <w:szCs w:val="14"/>
              </w:rPr>
              <w:t>2028</w:t>
            </w:r>
          </w:p>
        </w:tc>
        <w:tc>
          <w:tcPr>
            <w:tcW w:w="203" w:type="pct"/>
            <w:tcBorders>
              <w:top w:val="nil"/>
              <w:left w:val="nil"/>
              <w:bottom w:val="single" w:sz="8" w:space="0" w:color="auto"/>
              <w:right w:val="single" w:sz="4" w:space="0" w:color="auto"/>
            </w:tcBorders>
            <w:textDirection w:val="btLr"/>
            <w:vAlign w:val="center"/>
            <w:hideMark/>
          </w:tcPr>
          <w:p w14:paraId="3A745B72" w14:textId="77777777" w:rsidR="00987225" w:rsidRPr="003D1636" w:rsidRDefault="00987225" w:rsidP="00A62C96">
            <w:pPr>
              <w:ind w:left="113" w:right="113"/>
              <w:jc w:val="center"/>
              <w:rPr>
                <w:rFonts w:ascii="Cambria" w:hAnsi="Cambria"/>
                <w:sz w:val="14"/>
                <w:szCs w:val="14"/>
              </w:rPr>
            </w:pPr>
            <w:r w:rsidRPr="003D1636">
              <w:rPr>
                <w:rFonts w:ascii="Cambria" w:hAnsi="Cambria"/>
                <w:sz w:val="14"/>
                <w:szCs w:val="14"/>
              </w:rPr>
              <w:t>2029</w:t>
            </w:r>
          </w:p>
        </w:tc>
        <w:tc>
          <w:tcPr>
            <w:tcW w:w="203" w:type="pct"/>
            <w:tcBorders>
              <w:top w:val="nil"/>
              <w:left w:val="nil"/>
              <w:bottom w:val="single" w:sz="8" w:space="0" w:color="auto"/>
              <w:right w:val="single" w:sz="4" w:space="0" w:color="auto"/>
            </w:tcBorders>
            <w:vAlign w:val="center"/>
            <w:hideMark/>
          </w:tcPr>
          <w:p w14:paraId="1CE50A05" w14:textId="77777777" w:rsidR="00987225" w:rsidRPr="003D1636" w:rsidRDefault="00987225">
            <w:pPr>
              <w:rPr>
                <w:rFonts w:ascii="Cambria" w:hAnsi="Cambria"/>
                <w:sz w:val="14"/>
                <w:szCs w:val="14"/>
              </w:rPr>
            </w:pPr>
            <w:r w:rsidRPr="003D1636">
              <w:rPr>
                <w:rFonts w:ascii="Cambria" w:hAnsi="Cambria"/>
                <w:sz w:val="14"/>
                <w:szCs w:val="14"/>
              </w:rPr>
              <w:t> </w:t>
            </w:r>
          </w:p>
        </w:tc>
        <w:tc>
          <w:tcPr>
            <w:tcW w:w="203" w:type="pct"/>
            <w:tcBorders>
              <w:top w:val="nil"/>
              <w:left w:val="nil"/>
              <w:bottom w:val="single" w:sz="8" w:space="0" w:color="auto"/>
              <w:right w:val="single" w:sz="4" w:space="0" w:color="auto"/>
            </w:tcBorders>
            <w:vAlign w:val="center"/>
            <w:hideMark/>
          </w:tcPr>
          <w:p w14:paraId="19BE20FC" w14:textId="77777777" w:rsidR="00987225" w:rsidRPr="003D1636" w:rsidRDefault="00987225">
            <w:pPr>
              <w:rPr>
                <w:rFonts w:ascii="Cambria" w:hAnsi="Cambria"/>
                <w:sz w:val="14"/>
                <w:szCs w:val="14"/>
              </w:rPr>
            </w:pPr>
            <w:r w:rsidRPr="003D1636">
              <w:rPr>
                <w:rFonts w:ascii="Cambria" w:hAnsi="Cambria"/>
                <w:sz w:val="14"/>
                <w:szCs w:val="14"/>
              </w:rPr>
              <w:t> </w:t>
            </w:r>
          </w:p>
        </w:tc>
        <w:tc>
          <w:tcPr>
            <w:tcW w:w="204" w:type="pct"/>
            <w:tcBorders>
              <w:top w:val="nil"/>
              <w:left w:val="nil"/>
              <w:bottom w:val="single" w:sz="8" w:space="0" w:color="auto"/>
              <w:right w:val="single" w:sz="8" w:space="0" w:color="auto"/>
            </w:tcBorders>
            <w:vAlign w:val="center"/>
            <w:hideMark/>
          </w:tcPr>
          <w:p w14:paraId="2E041BBF" w14:textId="77777777" w:rsidR="00987225" w:rsidRPr="003D1636" w:rsidRDefault="00987225">
            <w:pPr>
              <w:rPr>
                <w:rFonts w:ascii="Cambria" w:hAnsi="Cambria"/>
                <w:sz w:val="14"/>
                <w:szCs w:val="14"/>
              </w:rPr>
            </w:pPr>
            <w:r w:rsidRPr="003D1636">
              <w:rPr>
                <w:rFonts w:ascii="Cambria" w:hAnsi="Cambria"/>
                <w:sz w:val="14"/>
                <w:szCs w:val="14"/>
              </w:rPr>
              <w:t> </w:t>
            </w:r>
          </w:p>
        </w:tc>
        <w:tc>
          <w:tcPr>
            <w:tcW w:w="435" w:type="pct"/>
            <w:tcBorders>
              <w:top w:val="nil"/>
              <w:left w:val="nil"/>
              <w:bottom w:val="single" w:sz="8" w:space="0" w:color="auto"/>
              <w:right w:val="single" w:sz="4" w:space="0" w:color="auto"/>
            </w:tcBorders>
            <w:vAlign w:val="center"/>
            <w:hideMark/>
          </w:tcPr>
          <w:p w14:paraId="6EA92AB4" w14:textId="77777777" w:rsidR="00987225" w:rsidRPr="003D1636" w:rsidRDefault="00987225">
            <w:pPr>
              <w:rPr>
                <w:rFonts w:ascii="Cambria" w:hAnsi="Cambria"/>
                <w:sz w:val="14"/>
                <w:szCs w:val="14"/>
              </w:rPr>
            </w:pPr>
            <w:r w:rsidRPr="003D1636">
              <w:rPr>
                <w:rFonts w:ascii="Cambria" w:hAnsi="Cambria"/>
                <w:sz w:val="14"/>
                <w:szCs w:val="14"/>
              </w:rPr>
              <w:t>Estudio de viabilidad realizado.</w:t>
            </w:r>
          </w:p>
        </w:tc>
        <w:tc>
          <w:tcPr>
            <w:tcW w:w="401" w:type="pct"/>
            <w:tcBorders>
              <w:top w:val="nil"/>
              <w:left w:val="nil"/>
              <w:bottom w:val="single" w:sz="8" w:space="0" w:color="auto"/>
              <w:right w:val="single" w:sz="8" w:space="0" w:color="auto"/>
            </w:tcBorders>
            <w:vAlign w:val="center"/>
            <w:hideMark/>
          </w:tcPr>
          <w:p w14:paraId="6AD81DB2" w14:textId="77777777" w:rsidR="00987225" w:rsidRPr="003D1636" w:rsidRDefault="00987225">
            <w:pPr>
              <w:rPr>
                <w:rFonts w:ascii="Cambria" w:hAnsi="Cambria"/>
                <w:sz w:val="14"/>
                <w:szCs w:val="14"/>
              </w:rPr>
            </w:pPr>
            <w:r w:rsidRPr="003D1636">
              <w:rPr>
                <w:rFonts w:ascii="Cambria" w:hAnsi="Cambria"/>
                <w:sz w:val="14"/>
                <w:szCs w:val="14"/>
              </w:rPr>
              <w:t>Debate sobre los objetivos de ordenación operativos y los indicadores del desempeño.</w:t>
            </w:r>
          </w:p>
        </w:tc>
        <w:tc>
          <w:tcPr>
            <w:tcW w:w="400" w:type="pct"/>
            <w:tcBorders>
              <w:top w:val="nil"/>
              <w:left w:val="nil"/>
              <w:bottom w:val="single" w:sz="8" w:space="0" w:color="auto"/>
              <w:right w:val="single" w:sz="4" w:space="0" w:color="auto"/>
            </w:tcBorders>
            <w:vAlign w:val="center"/>
            <w:hideMark/>
          </w:tcPr>
          <w:p w14:paraId="7FF81B7D" w14:textId="609F4731" w:rsidR="00987225" w:rsidRPr="003D1636" w:rsidRDefault="00987225">
            <w:pPr>
              <w:rPr>
                <w:rFonts w:ascii="Cambria" w:hAnsi="Cambria"/>
                <w:sz w:val="14"/>
                <w:szCs w:val="14"/>
              </w:rPr>
            </w:pPr>
            <w:r w:rsidRPr="003D1636">
              <w:rPr>
                <w:rFonts w:ascii="Cambria" w:hAnsi="Cambria"/>
                <w:sz w:val="14"/>
                <w:szCs w:val="14"/>
              </w:rPr>
              <w:t>Creación de un grupo técnico sobre la MSE para el tiburón azul</w:t>
            </w:r>
            <w:r w:rsidR="00C54530" w:rsidRPr="003D1636">
              <w:rPr>
                <w:rFonts w:ascii="Cambria" w:hAnsi="Cambria"/>
                <w:sz w:val="14"/>
                <w:szCs w:val="14"/>
              </w:rPr>
              <w:t xml:space="preserve"> del Atlántico,</w:t>
            </w:r>
            <w:r w:rsidRPr="003D1636">
              <w:rPr>
                <w:rFonts w:ascii="Cambria" w:hAnsi="Cambria"/>
                <w:sz w:val="14"/>
                <w:szCs w:val="14"/>
              </w:rPr>
              <w:br/>
              <w:t>Consideración de las principales incertidumbres de los OM que se probarán en el marco de la MSE</w:t>
            </w:r>
            <w:r w:rsidRPr="003D1636">
              <w:rPr>
                <w:rFonts w:ascii="Cambria" w:hAnsi="Cambria"/>
                <w:sz w:val="14"/>
                <w:szCs w:val="14"/>
              </w:rPr>
              <w:br/>
              <w:t>Actualización del plan y la hoja de ruta para la MSE</w:t>
            </w:r>
          </w:p>
        </w:tc>
        <w:tc>
          <w:tcPr>
            <w:tcW w:w="350" w:type="pct"/>
            <w:tcBorders>
              <w:top w:val="nil"/>
              <w:left w:val="nil"/>
              <w:bottom w:val="single" w:sz="8" w:space="0" w:color="auto"/>
              <w:right w:val="single" w:sz="8" w:space="0" w:color="auto"/>
            </w:tcBorders>
            <w:vAlign w:val="center"/>
            <w:hideMark/>
          </w:tcPr>
          <w:p w14:paraId="6C4384EA" w14:textId="33E97431" w:rsidR="00987225" w:rsidRPr="003D1636" w:rsidRDefault="00987225">
            <w:pPr>
              <w:rPr>
                <w:rFonts w:ascii="Cambria" w:hAnsi="Cambria"/>
                <w:sz w:val="14"/>
                <w:szCs w:val="14"/>
              </w:rPr>
            </w:pPr>
            <w:r w:rsidRPr="003D1636">
              <w:rPr>
                <w:rFonts w:ascii="Cambria" w:hAnsi="Cambria"/>
                <w:sz w:val="14"/>
                <w:szCs w:val="14"/>
              </w:rPr>
              <w:t>Propor</w:t>
            </w:r>
            <w:r w:rsidR="002B2867">
              <w:rPr>
                <w:rFonts w:ascii="Cambria" w:hAnsi="Cambria"/>
                <w:sz w:val="14"/>
                <w:szCs w:val="14"/>
              </w:rPr>
              <w:t>-</w:t>
            </w:r>
            <w:r w:rsidRPr="003D1636">
              <w:rPr>
                <w:rFonts w:ascii="Cambria" w:hAnsi="Cambria"/>
                <w:sz w:val="14"/>
                <w:szCs w:val="14"/>
              </w:rPr>
              <w:t>cionar los objetivos de ordenación operativos finales y los indicadores de desempeño.</w:t>
            </w:r>
          </w:p>
        </w:tc>
        <w:tc>
          <w:tcPr>
            <w:tcW w:w="400" w:type="pct"/>
            <w:tcBorders>
              <w:top w:val="nil"/>
              <w:left w:val="nil"/>
              <w:bottom w:val="single" w:sz="8" w:space="0" w:color="auto"/>
              <w:right w:val="single" w:sz="4" w:space="0" w:color="auto"/>
            </w:tcBorders>
            <w:vAlign w:val="center"/>
            <w:hideMark/>
          </w:tcPr>
          <w:p w14:paraId="754F049C" w14:textId="77777777" w:rsidR="00987225" w:rsidRPr="003D1636" w:rsidRDefault="00987225">
            <w:pPr>
              <w:rPr>
                <w:rFonts w:ascii="Cambria" w:hAnsi="Cambria"/>
                <w:sz w:val="14"/>
                <w:szCs w:val="14"/>
              </w:rPr>
            </w:pPr>
            <w:r w:rsidRPr="003D1636">
              <w:rPr>
                <w:rFonts w:ascii="Cambria" w:hAnsi="Cambria"/>
                <w:sz w:val="14"/>
                <w:szCs w:val="14"/>
              </w:rPr>
              <w:t>Acuerdo sobre la incertidumbre/los OM, y desarrollo del OM final</w:t>
            </w:r>
            <w:r w:rsidRPr="003D1636">
              <w:rPr>
                <w:rFonts w:ascii="Cambria" w:hAnsi="Cambria"/>
                <w:sz w:val="14"/>
                <w:szCs w:val="14"/>
              </w:rPr>
              <w:br/>
              <w:t>Continuación del desarrollo del proceso y los planes de la MSE.</w:t>
            </w:r>
          </w:p>
        </w:tc>
        <w:tc>
          <w:tcPr>
            <w:tcW w:w="350" w:type="pct"/>
            <w:tcBorders>
              <w:top w:val="nil"/>
              <w:left w:val="nil"/>
              <w:bottom w:val="single" w:sz="8" w:space="0" w:color="auto"/>
              <w:right w:val="single" w:sz="8" w:space="0" w:color="auto"/>
            </w:tcBorders>
            <w:vAlign w:val="center"/>
            <w:hideMark/>
          </w:tcPr>
          <w:p w14:paraId="7370BB65" w14:textId="77777777" w:rsidR="00987225" w:rsidRPr="003D1636" w:rsidRDefault="00987225">
            <w:pPr>
              <w:rPr>
                <w:rFonts w:ascii="Cambria" w:hAnsi="Cambria"/>
                <w:sz w:val="14"/>
                <w:szCs w:val="14"/>
              </w:rPr>
            </w:pPr>
            <w:r w:rsidRPr="003D1636">
              <w:rPr>
                <w:rFonts w:ascii="Cambria" w:hAnsi="Cambria"/>
                <w:sz w:val="14"/>
                <w:szCs w:val="14"/>
              </w:rPr>
              <w:t xml:space="preserve">La Subcomisión 4 se reunirá en el periodo intersesiones (si es necesario) para orientar sobre las preferencias y el diseño de CMP. </w:t>
            </w:r>
          </w:p>
        </w:tc>
        <w:tc>
          <w:tcPr>
            <w:tcW w:w="400" w:type="pct"/>
            <w:tcBorders>
              <w:top w:val="nil"/>
              <w:left w:val="nil"/>
              <w:bottom w:val="single" w:sz="8" w:space="0" w:color="auto"/>
              <w:right w:val="single" w:sz="4" w:space="0" w:color="auto"/>
            </w:tcBorders>
            <w:vAlign w:val="center"/>
            <w:hideMark/>
          </w:tcPr>
          <w:p w14:paraId="46D21318" w14:textId="77777777" w:rsidR="00987225" w:rsidRPr="003D1636" w:rsidRDefault="00987225">
            <w:pPr>
              <w:rPr>
                <w:rFonts w:ascii="Cambria" w:hAnsi="Cambria"/>
                <w:sz w:val="14"/>
                <w:szCs w:val="14"/>
              </w:rPr>
            </w:pPr>
            <w:r w:rsidRPr="003D1636">
              <w:rPr>
                <w:rFonts w:ascii="Cambria" w:hAnsi="Cambria"/>
                <w:sz w:val="14"/>
                <w:szCs w:val="14"/>
              </w:rPr>
              <w:t>Desarrollo y pruebas de CMP</w:t>
            </w:r>
            <w:r w:rsidRPr="003D1636">
              <w:rPr>
                <w:rFonts w:ascii="Cambria" w:hAnsi="Cambria"/>
                <w:sz w:val="14"/>
                <w:szCs w:val="14"/>
              </w:rPr>
              <w:br/>
              <w:t>Presentación de resultados a la Subcomisión 4.</w:t>
            </w:r>
          </w:p>
        </w:tc>
        <w:tc>
          <w:tcPr>
            <w:tcW w:w="300" w:type="pct"/>
            <w:tcBorders>
              <w:top w:val="nil"/>
              <w:left w:val="nil"/>
              <w:bottom w:val="single" w:sz="8" w:space="0" w:color="auto"/>
              <w:right w:val="single" w:sz="8" w:space="0" w:color="auto"/>
            </w:tcBorders>
            <w:vAlign w:val="center"/>
            <w:hideMark/>
          </w:tcPr>
          <w:p w14:paraId="04334DDF" w14:textId="77777777" w:rsidR="00987225" w:rsidRPr="003D1636" w:rsidRDefault="00987225">
            <w:pPr>
              <w:rPr>
                <w:rFonts w:ascii="Cambria" w:hAnsi="Cambria"/>
                <w:sz w:val="14"/>
                <w:szCs w:val="14"/>
              </w:rPr>
            </w:pPr>
            <w:r w:rsidRPr="003D1636">
              <w:rPr>
                <w:rFonts w:ascii="Cambria" w:hAnsi="Cambria"/>
                <w:sz w:val="14"/>
                <w:szCs w:val="14"/>
              </w:rPr>
              <w:t>La Subcomisión 4 se reunirá en el periodo intersesiones para orientar sobre las preferencias en materia de los CMP finales/lista de preseleccionados.</w:t>
            </w:r>
          </w:p>
        </w:tc>
        <w:tc>
          <w:tcPr>
            <w:tcW w:w="398" w:type="pct"/>
            <w:tcBorders>
              <w:top w:val="single" w:sz="4" w:space="0" w:color="auto"/>
              <w:left w:val="nil"/>
              <w:bottom w:val="single" w:sz="8" w:space="0" w:color="auto"/>
              <w:right w:val="single" w:sz="4" w:space="0" w:color="auto"/>
            </w:tcBorders>
            <w:vAlign w:val="center"/>
            <w:hideMark/>
          </w:tcPr>
          <w:p w14:paraId="3F3F28CC" w14:textId="748646E6" w:rsidR="00987225" w:rsidRPr="003D1636" w:rsidRDefault="00987225">
            <w:pPr>
              <w:rPr>
                <w:rFonts w:ascii="Cambria" w:hAnsi="Cambria"/>
                <w:sz w:val="14"/>
                <w:szCs w:val="14"/>
              </w:rPr>
            </w:pPr>
            <w:r w:rsidRPr="003D1636">
              <w:rPr>
                <w:rFonts w:ascii="Cambria" w:hAnsi="Cambria"/>
                <w:sz w:val="14"/>
                <w:szCs w:val="14"/>
              </w:rPr>
              <w:t>Finalización de la MSE y de las pruebas de CMP; Desar</w:t>
            </w:r>
            <w:r w:rsidR="00A62C96" w:rsidRPr="003D1636">
              <w:rPr>
                <w:rFonts w:ascii="Cambria" w:hAnsi="Cambria"/>
                <w:sz w:val="14"/>
                <w:szCs w:val="14"/>
              </w:rPr>
              <w:t>r</w:t>
            </w:r>
            <w:r w:rsidRPr="003D1636">
              <w:rPr>
                <w:rFonts w:ascii="Cambria" w:hAnsi="Cambria"/>
                <w:sz w:val="14"/>
                <w:szCs w:val="14"/>
              </w:rPr>
              <w:t>ollo de ECP</w:t>
            </w:r>
            <w:r w:rsidRPr="003D1636">
              <w:rPr>
                <w:rFonts w:ascii="Cambria" w:hAnsi="Cambria"/>
                <w:sz w:val="14"/>
                <w:szCs w:val="14"/>
              </w:rPr>
              <w:br/>
              <w:t>Presentación de resultados a la Subcomisión 4.</w:t>
            </w:r>
          </w:p>
        </w:tc>
        <w:tc>
          <w:tcPr>
            <w:tcW w:w="350" w:type="pct"/>
            <w:tcBorders>
              <w:top w:val="single" w:sz="4" w:space="0" w:color="auto"/>
              <w:left w:val="nil"/>
              <w:bottom w:val="single" w:sz="8" w:space="0" w:color="auto"/>
              <w:right w:val="single" w:sz="8" w:space="0" w:color="auto"/>
            </w:tcBorders>
            <w:vAlign w:val="center"/>
            <w:hideMark/>
          </w:tcPr>
          <w:p w14:paraId="750CEA34" w14:textId="44C59714" w:rsidR="00987225" w:rsidRPr="00E658D5" w:rsidRDefault="00987225">
            <w:pPr>
              <w:rPr>
                <w:rFonts w:ascii="Cambria" w:hAnsi="Cambria"/>
                <w:sz w:val="12"/>
                <w:szCs w:val="12"/>
              </w:rPr>
            </w:pPr>
            <w:r w:rsidRPr="00E658D5">
              <w:rPr>
                <w:rFonts w:ascii="Cambria" w:hAnsi="Cambria"/>
                <w:sz w:val="12"/>
                <w:szCs w:val="12"/>
              </w:rPr>
              <w:t xml:space="preserve">La Subcomisión 4 se reunirá en el periodo intersesiones para revisar los resultados finales de la MSE. </w:t>
            </w:r>
            <w:r w:rsidRPr="00E658D5">
              <w:rPr>
                <w:rFonts w:ascii="Cambria" w:hAnsi="Cambria"/>
                <w:sz w:val="12"/>
                <w:szCs w:val="12"/>
              </w:rPr>
              <w:br/>
              <w:t>Celebración de reuniones de embajadore</w:t>
            </w:r>
            <w:r w:rsidR="00C6651C" w:rsidRPr="00E658D5">
              <w:rPr>
                <w:rFonts w:ascii="Cambria" w:hAnsi="Cambria"/>
                <w:sz w:val="12"/>
                <w:szCs w:val="12"/>
              </w:rPr>
              <w:t>s</w:t>
            </w:r>
            <w:r w:rsidRPr="00E658D5">
              <w:rPr>
                <w:rFonts w:ascii="Cambria" w:hAnsi="Cambria"/>
                <w:sz w:val="12"/>
                <w:szCs w:val="12"/>
              </w:rPr>
              <w:t>.</w:t>
            </w:r>
            <w:r w:rsidRPr="00E658D5">
              <w:rPr>
                <w:rFonts w:ascii="Cambria" w:hAnsi="Cambria"/>
                <w:sz w:val="12"/>
                <w:szCs w:val="12"/>
              </w:rPr>
              <w:br/>
              <w:t>Consideración de la adopción del MP en la reunión anual, incluidos los TAC.</w:t>
            </w:r>
          </w:p>
        </w:tc>
      </w:tr>
    </w:tbl>
    <w:p w14:paraId="1DA3D591" w14:textId="77777777" w:rsidR="009A4B11" w:rsidRPr="003D1636" w:rsidRDefault="009A4B11" w:rsidP="00E658D5"/>
    <w:sectPr w:rsidR="009A4B11" w:rsidRPr="003D1636" w:rsidSect="009A4B11">
      <w:headerReference w:type="even" r:id="rId6"/>
      <w:headerReference w:type="default" r:id="rId7"/>
      <w:footerReference w:type="even" r:id="rId8"/>
      <w:footerReference w:type="default" r:id="rId9"/>
      <w:headerReference w:type="first" r:id="rId10"/>
      <w:footerReference w:type="firs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1A5F1" w14:textId="77777777" w:rsidR="00327983" w:rsidRDefault="00327983" w:rsidP="00AD1CDD">
      <w:r>
        <w:separator/>
      </w:r>
    </w:p>
  </w:endnote>
  <w:endnote w:type="continuationSeparator" w:id="0">
    <w:p w14:paraId="3919BBD2" w14:textId="77777777" w:rsidR="00327983" w:rsidRDefault="00327983" w:rsidP="00AD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04887" w14:textId="77777777" w:rsidR="00FC1072" w:rsidRDefault="00FC10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F9DE" w14:textId="77777777" w:rsidR="00D066E5" w:rsidRPr="009D7C60" w:rsidRDefault="00D066E5" w:rsidP="00D066E5">
    <w:pPr>
      <w:tabs>
        <w:tab w:val="center" w:pos="4535"/>
        <w:tab w:val="center" w:pos="4680"/>
        <w:tab w:val="left" w:pos="6150"/>
        <w:tab w:val="right" w:pos="9360"/>
      </w:tabs>
      <w:jc w:val="center"/>
      <w:rPr>
        <w:sz w:val="20"/>
      </w:rPr>
    </w:pPr>
    <w:r w:rsidRPr="001F2E99">
      <w:rPr>
        <w:rFonts w:eastAsia="Calibri" w:cs="Calibri"/>
        <w:sz w:val="20"/>
      </w:rPr>
      <w:fldChar w:fldCharType="begin"/>
    </w:r>
    <w:r w:rsidRPr="001F2E99">
      <w:rPr>
        <w:rFonts w:eastAsia="Calibri" w:cs="Calibri"/>
        <w:sz w:val="20"/>
      </w:rPr>
      <w:instrText xml:space="preserve"> PAGE </w:instrText>
    </w:r>
    <w:r w:rsidRPr="001F2E99">
      <w:rPr>
        <w:rFonts w:eastAsia="Calibri" w:cs="Calibri"/>
        <w:sz w:val="20"/>
      </w:rPr>
      <w:fldChar w:fldCharType="separate"/>
    </w:r>
    <w:r>
      <w:rPr>
        <w:rFonts w:eastAsia="Calibri" w:cs="Calibri"/>
        <w:sz w:val="20"/>
      </w:rPr>
      <w:t>1</w:t>
    </w:r>
    <w:r w:rsidRPr="001F2E99">
      <w:rPr>
        <w:rFonts w:eastAsia="Calibri" w:cs="Calibri"/>
        <w:sz w:val="20"/>
      </w:rPr>
      <w:fldChar w:fldCharType="end"/>
    </w:r>
    <w:r>
      <w:rPr>
        <w:sz w:val="20"/>
      </w:rPr>
      <w:t xml:space="preserve"> / </w:t>
    </w:r>
    <w:r w:rsidRPr="001F2E99">
      <w:rPr>
        <w:rFonts w:eastAsia="Calibri" w:cs="Calibri"/>
        <w:sz w:val="20"/>
      </w:rPr>
      <w:fldChar w:fldCharType="begin"/>
    </w:r>
    <w:r w:rsidRPr="001F2E99">
      <w:rPr>
        <w:rFonts w:eastAsia="Calibri" w:cs="Calibri"/>
        <w:sz w:val="20"/>
      </w:rPr>
      <w:instrText xml:space="preserve"> NUMPAGES  </w:instrText>
    </w:r>
    <w:r w:rsidRPr="001F2E99">
      <w:rPr>
        <w:rFonts w:eastAsia="Calibri" w:cs="Calibri"/>
        <w:sz w:val="20"/>
      </w:rPr>
      <w:fldChar w:fldCharType="separate"/>
    </w:r>
    <w:r>
      <w:rPr>
        <w:rFonts w:eastAsia="Calibri" w:cs="Calibri"/>
        <w:sz w:val="20"/>
      </w:rPr>
      <w:t>8</w:t>
    </w:r>
    <w:r w:rsidRPr="001F2E99">
      <w:rPr>
        <w:rFonts w:eastAsia="Calibri" w:cs="Calibri"/>
        <w:sz w:val="20"/>
      </w:rPr>
      <w:fldChar w:fldCharType="end"/>
    </w:r>
  </w:p>
  <w:p w14:paraId="42EEABAB" w14:textId="77777777" w:rsidR="00D066E5" w:rsidRDefault="00D066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21ADF" w14:textId="77777777" w:rsidR="00FC1072" w:rsidRDefault="00FC10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4821" w14:textId="77777777" w:rsidR="00327983" w:rsidRDefault="00327983" w:rsidP="00AD1CDD">
      <w:r>
        <w:separator/>
      </w:r>
    </w:p>
  </w:footnote>
  <w:footnote w:type="continuationSeparator" w:id="0">
    <w:p w14:paraId="72DD4DD6" w14:textId="77777777" w:rsidR="00327983" w:rsidRDefault="00327983" w:rsidP="00AD1C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0FBBF" w14:textId="77777777" w:rsidR="00FC1072" w:rsidRDefault="00FC10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16D1" w14:textId="24EBFC38" w:rsidR="00AD1CDD" w:rsidRPr="00091A6F" w:rsidRDefault="00AD1CDD" w:rsidP="00AD1CDD">
    <w:pPr>
      <w:widowControl w:val="0"/>
      <w:tabs>
        <w:tab w:val="center" w:pos="4680"/>
        <w:tab w:val="left" w:pos="6520"/>
        <w:tab w:val="right" w:pos="9360"/>
        <w:tab w:val="right" w:pos="14240"/>
      </w:tabs>
      <w:autoSpaceDE w:val="0"/>
      <w:autoSpaceDN w:val="0"/>
      <w:jc w:val="right"/>
      <w:rPr>
        <w:rFonts w:ascii="Cambria" w:eastAsia="Calibri" w:hAnsi="Cambria" w:cs="Cambria"/>
        <w:b/>
        <w:bCs/>
        <w:sz w:val="20"/>
        <w:szCs w:val="20"/>
      </w:rPr>
    </w:pPr>
    <w:bookmarkStart w:id="0" w:name="_Hlk107908354"/>
    <w:bookmarkStart w:id="1" w:name="_Hlk107908355"/>
    <w:bookmarkStart w:id="2" w:name="_Hlk107908359"/>
    <w:bookmarkStart w:id="3" w:name="_Hlk107908360"/>
    <w:bookmarkStart w:id="4" w:name="_Hlk107908361"/>
    <w:bookmarkStart w:id="5" w:name="_Hlk107908362"/>
    <w:r>
      <w:rPr>
        <w:rFonts w:ascii="Cambria" w:hAnsi="Cambria"/>
        <w:b/>
        <w:sz w:val="20"/>
      </w:rPr>
      <w:t>PLE_109_APP_1/2025</w:t>
    </w:r>
  </w:p>
  <w:p w14:paraId="65F91EAC" w14:textId="60BB58C7" w:rsidR="00AD1CDD" w:rsidRPr="00091A6F" w:rsidRDefault="00AD1CDD" w:rsidP="00AD1CDD">
    <w:pPr>
      <w:widowControl w:val="0"/>
      <w:tabs>
        <w:tab w:val="left" w:pos="7320"/>
      </w:tabs>
      <w:autoSpaceDE w:val="0"/>
      <w:autoSpaceDN w:val="0"/>
      <w:spacing w:line="240" w:lineRule="exact"/>
      <w:jc w:val="right"/>
      <w:rPr>
        <w:rFonts w:ascii="Cambria" w:eastAsia="Cambria" w:hAnsi="Cambria" w:cs="Cambria"/>
        <w:sz w:val="22"/>
        <w:szCs w:val="22"/>
      </w:rPr>
    </w:pPr>
    <w:r w:rsidRPr="00091A6F">
      <w:rPr>
        <w:rFonts w:ascii="Cambria" w:eastAsia="Cambria" w:hAnsi="Cambria" w:cs="Cambria"/>
        <w:b/>
        <w:sz w:val="16"/>
      </w:rPr>
      <w:fldChar w:fldCharType="begin"/>
    </w:r>
    <w:r w:rsidRPr="00091A6F">
      <w:rPr>
        <w:rFonts w:ascii="Cambria" w:eastAsia="Cambria" w:hAnsi="Cambria" w:cs="Cambria"/>
        <w:b/>
        <w:sz w:val="16"/>
      </w:rPr>
      <w:instrText xml:space="preserve"> TIME \@ "dd/MM/yyyy H:mm" </w:instrText>
    </w:r>
    <w:r w:rsidRPr="00091A6F">
      <w:rPr>
        <w:rFonts w:ascii="Cambria" w:eastAsia="Cambria" w:hAnsi="Cambria" w:cs="Cambria"/>
        <w:b/>
        <w:sz w:val="16"/>
      </w:rPr>
      <w:fldChar w:fldCharType="separate"/>
    </w:r>
    <w:r w:rsidR="00FC1072">
      <w:rPr>
        <w:rFonts w:ascii="Cambria" w:eastAsia="Cambria" w:hAnsi="Cambria" w:cs="Cambria"/>
        <w:b/>
        <w:noProof/>
        <w:sz w:val="16"/>
      </w:rPr>
      <w:t>28/10/2025 16:15</w:t>
    </w:r>
    <w:r w:rsidRPr="00091A6F">
      <w:rPr>
        <w:rFonts w:ascii="Cambria" w:eastAsia="Cambria" w:hAnsi="Cambria" w:cs="Cambria"/>
        <w:b/>
        <w:bCs/>
        <w:sz w:val="16"/>
        <w:szCs w:val="16"/>
        <w:lang w:val="es-ES_tradnl"/>
      </w:rPr>
      <w:fldChar w:fldCharType="end"/>
    </w:r>
    <w:bookmarkEnd w:id="0"/>
    <w:bookmarkEnd w:id="1"/>
    <w:bookmarkEnd w:id="2"/>
    <w:bookmarkEnd w:id="3"/>
    <w:bookmarkEnd w:id="4"/>
    <w:bookmarkEnd w:id="5"/>
  </w:p>
  <w:p w14:paraId="03FAA3AF" w14:textId="77777777" w:rsidR="00AD1CDD" w:rsidRDefault="00AD1C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3C8C" w14:textId="77777777" w:rsidR="00FC1072" w:rsidRDefault="00FC10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11"/>
    <w:rsid w:val="000249B9"/>
    <w:rsid w:val="00075375"/>
    <w:rsid w:val="001423A2"/>
    <w:rsid w:val="00176548"/>
    <w:rsid w:val="001B406E"/>
    <w:rsid w:val="001E4B10"/>
    <w:rsid w:val="00213901"/>
    <w:rsid w:val="002B2867"/>
    <w:rsid w:val="002B7B3A"/>
    <w:rsid w:val="002C0C12"/>
    <w:rsid w:val="002D0BED"/>
    <w:rsid w:val="00327983"/>
    <w:rsid w:val="0035418C"/>
    <w:rsid w:val="003D1636"/>
    <w:rsid w:val="0042100E"/>
    <w:rsid w:val="00436D2C"/>
    <w:rsid w:val="004A1DE1"/>
    <w:rsid w:val="004A5D98"/>
    <w:rsid w:val="004F464B"/>
    <w:rsid w:val="005105A2"/>
    <w:rsid w:val="005240D0"/>
    <w:rsid w:val="0056181D"/>
    <w:rsid w:val="00581EC5"/>
    <w:rsid w:val="00584D15"/>
    <w:rsid w:val="006618D3"/>
    <w:rsid w:val="006B0966"/>
    <w:rsid w:val="006C16CC"/>
    <w:rsid w:val="00790E5C"/>
    <w:rsid w:val="007C1FDF"/>
    <w:rsid w:val="007F1CE1"/>
    <w:rsid w:val="0080394C"/>
    <w:rsid w:val="0084057B"/>
    <w:rsid w:val="008B4530"/>
    <w:rsid w:val="008C43DC"/>
    <w:rsid w:val="00934729"/>
    <w:rsid w:val="00976725"/>
    <w:rsid w:val="00981C86"/>
    <w:rsid w:val="00987225"/>
    <w:rsid w:val="009A4B11"/>
    <w:rsid w:val="009A4EEB"/>
    <w:rsid w:val="009F29DA"/>
    <w:rsid w:val="00A521D4"/>
    <w:rsid w:val="00A62C96"/>
    <w:rsid w:val="00AD1CDD"/>
    <w:rsid w:val="00B25376"/>
    <w:rsid w:val="00B876E3"/>
    <w:rsid w:val="00B9656B"/>
    <w:rsid w:val="00BD0601"/>
    <w:rsid w:val="00BE4D2C"/>
    <w:rsid w:val="00C42AAB"/>
    <w:rsid w:val="00C54530"/>
    <w:rsid w:val="00C6651C"/>
    <w:rsid w:val="00CE1B2E"/>
    <w:rsid w:val="00CE52E0"/>
    <w:rsid w:val="00D065B7"/>
    <w:rsid w:val="00D066E5"/>
    <w:rsid w:val="00D13E47"/>
    <w:rsid w:val="00D32FC8"/>
    <w:rsid w:val="00DD77D2"/>
    <w:rsid w:val="00E14A55"/>
    <w:rsid w:val="00E200EE"/>
    <w:rsid w:val="00E658D5"/>
    <w:rsid w:val="00E714AB"/>
    <w:rsid w:val="00EF1C82"/>
    <w:rsid w:val="00F45F07"/>
    <w:rsid w:val="00FB70EF"/>
    <w:rsid w:val="00FC1072"/>
    <w:rsid w:val="00FC4661"/>
    <w:rsid w:val="00FC4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14D27"/>
  <w15:chartTrackingRefBased/>
  <w15:docId w15:val="{7AE55C02-E148-4D49-99B8-DDF7BB39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B1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4B1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4B1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4B1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4B1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4B1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4B1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4B1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4B1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4B1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B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B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B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B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B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B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B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B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B11"/>
    <w:rPr>
      <w:rFonts w:eastAsiaTheme="majorEastAsia" w:cstheme="majorBidi"/>
      <w:color w:val="272727" w:themeColor="text1" w:themeTint="D8"/>
    </w:rPr>
  </w:style>
  <w:style w:type="paragraph" w:styleId="Title">
    <w:name w:val="Title"/>
    <w:basedOn w:val="Normal"/>
    <w:next w:val="Normal"/>
    <w:link w:val="TitleChar"/>
    <w:uiPriority w:val="10"/>
    <w:qFormat/>
    <w:rsid w:val="009A4B1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4B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B1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4B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B1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4B11"/>
    <w:rPr>
      <w:i/>
      <w:iCs/>
      <w:color w:val="404040" w:themeColor="text1" w:themeTint="BF"/>
    </w:rPr>
  </w:style>
  <w:style w:type="paragraph" w:styleId="ListParagraph">
    <w:name w:val="List Paragraph"/>
    <w:basedOn w:val="Normal"/>
    <w:uiPriority w:val="34"/>
    <w:qFormat/>
    <w:rsid w:val="009A4B1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A4B11"/>
    <w:rPr>
      <w:i/>
      <w:iCs/>
      <w:color w:val="0F4761" w:themeColor="accent1" w:themeShade="BF"/>
    </w:rPr>
  </w:style>
  <w:style w:type="paragraph" w:styleId="IntenseQuote">
    <w:name w:val="Intense Quote"/>
    <w:basedOn w:val="Normal"/>
    <w:next w:val="Normal"/>
    <w:link w:val="IntenseQuoteChar"/>
    <w:uiPriority w:val="30"/>
    <w:qFormat/>
    <w:rsid w:val="009A4B1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4B11"/>
    <w:rPr>
      <w:i/>
      <w:iCs/>
      <w:color w:val="0F4761" w:themeColor="accent1" w:themeShade="BF"/>
    </w:rPr>
  </w:style>
  <w:style w:type="character" w:styleId="IntenseReference">
    <w:name w:val="Intense Reference"/>
    <w:basedOn w:val="DefaultParagraphFont"/>
    <w:uiPriority w:val="32"/>
    <w:qFormat/>
    <w:rsid w:val="009A4B11"/>
    <w:rPr>
      <w:b/>
      <w:bCs/>
      <w:smallCaps/>
      <w:color w:val="0F4761" w:themeColor="accent1" w:themeShade="BF"/>
      <w:spacing w:val="5"/>
    </w:rPr>
  </w:style>
  <w:style w:type="paragraph" w:styleId="Revision">
    <w:name w:val="Revision"/>
    <w:hidden/>
    <w:uiPriority w:val="99"/>
    <w:semiHidden/>
    <w:rsid w:val="002C0C12"/>
    <w:pPr>
      <w:spacing w:after="0"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AD1CDD"/>
    <w:pPr>
      <w:tabs>
        <w:tab w:val="center" w:pos="4680"/>
        <w:tab w:val="right" w:pos="9360"/>
      </w:tabs>
    </w:pPr>
  </w:style>
  <w:style w:type="character" w:customStyle="1" w:styleId="HeaderChar">
    <w:name w:val="Header Char"/>
    <w:basedOn w:val="DefaultParagraphFont"/>
    <w:link w:val="Header"/>
    <w:uiPriority w:val="99"/>
    <w:rsid w:val="00AD1CDD"/>
    <w:rPr>
      <w:rFonts w:ascii="Times New Roman" w:eastAsia="Times New Roman" w:hAnsi="Times New Roman" w:cs="Times New Roman"/>
      <w:kern w:val="0"/>
      <w:lang w:val="es-ES"/>
      <w14:ligatures w14:val="none"/>
    </w:rPr>
  </w:style>
  <w:style w:type="paragraph" w:styleId="Footer">
    <w:name w:val="footer"/>
    <w:basedOn w:val="Normal"/>
    <w:link w:val="FooterChar"/>
    <w:uiPriority w:val="99"/>
    <w:unhideWhenUsed/>
    <w:rsid w:val="00AD1CDD"/>
    <w:pPr>
      <w:tabs>
        <w:tab w:val="center" w:pos="4680"/>
        <w:tab w:val="right" w:pos="9360"/>
      </w:tabs>
    </w:pPr>
  </w:style>
  <w:style w:type="character" w:customStyle="1" w:styleId="FooterChar">
    <w:name w:val="Footer Char"/>
    <w:basedOn w:val="DefaultParagraphFont"/>
    <w:link w:val="Footer"/>
    <w:uiPriority w:val="99"/>
    <w:rsid w:val="00AD1CDD"/>
    <w:rPr>
      <w:rFonts w:ascii="Times New Roman" w:eastAsia="Times New Roman" w:hAnsi="Times New Roman"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1205</Words>
  <Characters>6870</Characters>
  <Application>Microsoft Office Word</Application>
  <DocSecurity>0</DocSecurity>
  <Lines>57</Lines>
  <Paragraphs>16</Paragraphs>
  <ScaleCrop>false</ScaleCrop>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de Andrés</dc:creator>
  <cp:keywords/>
  <dc:description/>
  <cp:lastModifiedBy>María José García</cp:lastModifiedBy>
  <cp:revision>33</cp:revision>
  <dcterms:created xsi:type="dcterms:W3CDTF">2025-10-27T10:28:00Z</dcterms:created>
  <dcterms:modified xsi:type="dcterms:W3CDTF">2025-10-28T15:15:00Z</dcterms:modified>
</cp:coreProperties>
</file>