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B512A" w14:textId="01D6F6F6" w:rsidR="00F2499A" w:rsidRPr="00055339" w:rsidRDefault="00F2499A" w:rsidP="00F2499A">
      <w:pPr>
        <w:spacing w:after="120"/>
        <w:ind w:left="426" w:hanging="426"/>
        <w:contextualSpacing/>
        <w:jc w:val="right"/>
        <w:rPr>
          <w:rFonts w:ascii="Cambria" w:eastAsia="Calibri" w:hAnsi="Cambria"/>
          <w:b/>
          <w:color w:val="00000A"/>
          <w:sz w:val="20"/>
          <w:szCs w:val="20"/>
        </w:rPr>
      </w:pPr>
      <w:r w:rsidRPr="00055339">
        <w:rPr>
          <w:rFonts w:ascii="Cambria" w:hAnsi="Cambria"/>
          <w:b/>
          <w:color w:val="00000A"/>
          <w:sz w:val="20"/>
          <w:szCs w:val="20"/>
        </w:rPr>
        <w:t>Original: inglés</w:t>
      </w:r>
    </w:p>
    <w:p w14:paraId="2BDBEB50" w14:textId="77777777" w:rsidR="00F2499A" w:rsidRPr="00055339" w:rsidRDefault="00F2499A" w:rsidP="00F2499A">
      <w:pPr>
        <w:spacing w:after="120"/>
        <w:ind w:left="426" w:hanging="426"/>
        <w:contextualSpacing/>
        <w:jc w:val="center"/>
        <w:rPr>
          <w:rFonts w:ascii="Cambria" w:eastAsia="Calibri" w:hAnsi="Cambria"/>
          <w:b/>
          <w:color w:val="00000A"/>
          <w:sz w:val="20"/>
          <w:szCs w:val="20"/>
        </w:rPr>
      </w:pPr>
      <w:r w:rsidRPr="00055339">
        <w:rPr>
          <w:rFonts w:ascii="Cambria" w:hAnsi="Cambria"/>
          <w:b/>
          <w:color w:val="00000A"/>
          <w:sz w:val="20"/>
          <w:szCs w:val="20"/>
        </w:rPr>
        <w:t>Cooperación internacional</w:t>
      </w:r>
    </w:p>
    <w:p w14:paraId="1D2E40E7" w14:textId="37AA5B26" w:rsidR="00721EA8" w:rsidRPr="00055339" w:rsidRDefault="00721EA8" w:rsidP="00F2499A">
      <w:pPr>
        <w:spacing w:after="120"/>
        <w:ind w:left="426" w:hanging="426"/>
        <w:contextualSpacing/>
        <w:jc w:val="center"/>
        <w:rPr>
          <w:rFonts w:ascii="Cambria" w:eastAsia="Calibri" w:hAnsi="Cambria"/>
          <w:bCs/>
          <w:i/>
          <w:iCs/>
          <w:color w:val="00000A"/>
          <w:sz w:val="20"/>
          <w:szCs w:val="20"/>
        </w:rPr>
      </w:pPr>
      <w:r w:rsidRPr="00055339">
        <w:rPr>
          <w:rFonts w:ascii="Cambria" w:hAnsi="Cambria"/>
          <w:i/>
          <w:color w:val="00000A"/>
          <w:sz w:val="20"/>
          <w:szCs w:val="20"/>
        </w:rPr>
        <w:t>(Secretaría de ICCAT)</w:t>
      </w:r>
    </w:p>
    <w:p w14:paraId="15C9FA6F" w14:textId="77777777" w:rsidR="00F2499A" w:rsidRPr="00055339" w:rsidRDefault="00F2499A" w:rsidP="00F2499A">
      <w:pPr>
        <w:spacing w:after="120"/>
        <w:ind w:left="426" w:hanging="426"/>
        <w:contextualSpacing/>
        <w:jc w:val="center"/>
        <w:rPr>
          <w:rFonts w:ascii="Cambria" w:eastAsia="Calibri" w:hAnsi="Cambria"/>
          <w:b/>
          <w:color w:val="00000A"/>
          <w:sz w:val="20"/>
          <w:szCs w:val="20"/>
        </w:rPr>
      </w:pPr>
    </w:p>
    <w:p w14:paraId="4131F2D5" w14:textId="2061D040" w:rsidR="00E03A3E" w:rsidRPr="00036907" w:rsidRDefault="00E03A3E" w:rsidP="00E03A3E">
      <w:pPr>
        <w:tabs>
          <w:tab w:val="left" w:pos="851"/>
        </w:tabs>
        <w:spacing w:after="120"/>
        <w:contextualSpacing/>
        <w:jc w:val="both"/>
        <w:rPr>
          <w:rFonts w:ascii="Cambria" w:eastAsia="Calibri" w:hAnsi="Cambria"/>
          <w:color w:val="EE0000"/>
          <w:sz w:val="20"/>
          <w:szCs w:val="20"/>
        </w:rPr>
      </w:pPr>
      <w:bookmarkStart w:id="0" w:name="_Hlk19736811"/>
      <w:r w:rsidRPr="00036907">
        <w:rPr>
          <w:rFonts w:ascii="Cambria" w:hAnsi="Cambria"/>
          <w:b/>
          <w:bCs/>
          <w:color w:val="00000A"/>
          <w:sz w:val="20"/>
          <w:szCs w:val="20"/>
        </w:rPr>
        <w:t>Grupo coordinador de trabajo sobre estadísticas de pesca (CWP-FS) de la Organización para la Alimentación y la Agricultura de Naciones Unidas (FAO)</w:t>
      </w:r>
      <w:r w:rsidRPr="00036907">
        <w:rPr>
          <w:rFonts w:ascii="Cambria" w:hAnsi="Cambria"/>
          <w:color w:val="00000A"/>
          <w:sz w:val="20"/>
          <w:szCs w:val="20"/>
        </w:rPr>
        <w:t xml:space="preserve"> </w:t>
      </w:r>
    </w:p>
    <w:p w14:paraId="343DB690" w14:textId="77777777" w:rsidR="00E03A3E" w:rsidRPr="00055339" w:rsidRDefault="00E03A3E" w:rsidP="00E03A3E">
      <w:pPr>
        <w:tabs>
          <w:tab w:val="left" w:pos="851"/>
        </w:tabs>
        <w:spacing w:after="120"/>
        <w:contextualSpacing/>
        <w:jc w:val="both"/>
        <w:rPr>
          <w:rFonts w:ascii="Cambria" w:eastAsia="Calibri" w:hAnsi="Cambria"/>
          <w:color w:val="00000A"/>
          <w:sz w:val="20"/>
          <w:szCs w:val="20"/>
        </w:rPr>
      </w:pPr>
    </w:p>
    <w:bookmarkEnd w:id="0"/>
    <w:p w14:paraId="3E917C58" w14:textId="06C460C4" w:rsidR="00E03A3E" w:rsidRPr="005B6A81" w:rsidRDefault="00E03A3E" w:rsidP="005753AE">
      <w:pPr>
        <w:tabs>
          <w:tab w:val="left" w:pos="2040"/>
        </w:tabs>
        <w:jc w:val="both"/>
        <w:rPr>
          <w:rFonts w:ascii="Cambria" w:eastAsia="Calibri" w:hAnsi="Cambria"/>
          <w:sz w:val="20"/>
          <w:szCs w:val="20"/>
        </w:rPr>
      </w:pPr>
      <w:r w:rsidRPr="005B6A81">
        <w:rPr>
          <w:rFonts w:ascii="Cambria" w:hAnsi="Cambria"/>
          <w:color w:val="00000A"/>
          <w:sz w:val="20"/>
          <w:szCs w:val="20"/>
        </w:rPr>
        <w:t xml:space="preserve">La Secretaría de ICCAT asistió a dos reuniones, la </w:t>
      </w:r>
      <w:hyperlink r:id="rId7" w:history="1">
        <w:r w:rsidRPr="005B6A81">
          <w:rPr>
            <w:rStyle w:val="Hyperlink"/>
            <w:rFonts w:ascii="Cambria" w:hAnsi="Cambria"/>
            <w:sz w:val="20"/>
            <w:szCs w:val="20"/>
            <w:u w:val="none"/>
          </w:rPr>
          <w:t>9ª Sesión del Grupo de trabajo técnico de FAO-</w:t>
        </w:r>
        <w:proofErr w:type="spellStart"/>
        <w:r w:rsidRPr="005B6A81">
          <w:rPr>
            <w:rStyle w:val="Hyperlink"/>
            <w:rFonts w:ascii="Cambria" w:hAnsi="Cambria"/>
            <w:sz w:val="20"/>
            <w:szCs w:val="20"/>
            <w:u w:val="none"/>
          </w:rPr>
          <w:t>FIRMS</w:t>
        </w:r>
        <w:proofErr w:type="spellEnd"/>
      </w:hyperlink>
      <w:r w:rsidRPr="005B6A81">
        <w:rPr>
          <w:rFonts w:ascii="Cambria" w:hAnsi="Cambria"/>
          <w:sz w:val="20"/>
          <w:szCs w:val="20"/>
        </w:rPr>
        <w:t xml:space="preserve"> (en línea, </w:t>
      </w:r>
      <w:r w:rsidRPr="00055339">
        <w:rPr>
          <w:rFonts w:ascii="Cambria" w:hAnsi="Cambria"/>
          <w:color w:val="00000A"/>
          <w:sz w:val="20"/>
          <w:szCs w:val="20"/>
        </w:rPr>
        <w:t xml:space="preserve">10-13 de diciembre de 2024) y la </w:t>
      </w:r>
      <w:hyperlink r:id="rId8" w:history="1">
        <w:r w:rsidRPr="00055339">
          <w:rPr>
            <w:rStyle w:val="Hyperlink"/>
            <w:rFonts w:ascii="Cambria" w:hAnsi="Cambria"/>
            <w:sz w:val="20"/>
            <w:szCs w:val="20"/>
            <w:u w:val="none"/>
          </w:rPr>
          <w:t>Reunión del Grupo temático de</w:t>
        </w:r>
        <w:r w:rsidRPr="00055339">
          <w:rPr>
            <w:rStyle w:val="Hyperlink"/>
            <w:rFonts w:ascii="Cambria" w:hAnsi="Cambria"/>
            <w:sz w:val="20"/>
            <w:szCs w:val="20"/>
            <w:u w:val="none"/>
          </w:rPr>
          <w:t xml:space="preserve"> </w:t>
        </w:r>
        <w:r w:rsidRPr="00055339">
          <w:rPr>
            <w:rStyle w:val="Hyperlink"/>
            <w:rFonts w:ascii="Cambria" w:hAnsi="Cambria"/>
            <w:sz w:val="20"/>
            <w:szCs w:val="20"/>
            <w:u w:val="none"/>
          </w:rPr>
          <w:t xml:space="preserve">pesca (FS) </w:t>
        </w:r>
      </w:hyperlink>
      <w:r w:rsidRPr="00055339">
        <w:rPr>
          <w:rFonts w:ascii="Cambria" w:hAnsi="Cambria"/>
          <w:color w:val="00000A"/>
          <w:sz w:val="20"/>
          <w:szCs w:val="20"/>
        </w:rPr>
        <w:t xml:space="preserve">(presencial/Copenhague, Dinamarca, del 30 de junio al 4 de julio de 2025). La Secretaría de ICCAT destacó la estrecha colaboración mantenida en 2023 y 2024 con el resto de socios pertinentes del Grupo de coordinación de trabajo (CWP) y sus expertos estadísticos (incluidas las cinco OROP de túnidos), compartiendo las actividades más relevantes llevadas a cabo en el último bienio y contribuyendo a la resolución de diversas cuestiones relacionadas con los datos (correcciones de datos, revisión de los sistemas de codificación existentes, aplicación de las normas y conceptos de armonización de pesquerías del CWP, intercambio de datos, etc.). </w:t>
      </w:r>
      <w:r w:rsidRPr="00055339">
        <w:rPr>
          <w:rFonts w:ascii="Cambria" w:hAnsi="Cambria"/>
          <w:sz w:val="20"/>
          <w:szCs w:val="20"/>
        </w:rPr>
        <w:t xml:space="preserve">Las cinco OROP de túnidos también han informado al CWP sobre el progreso de sus sistemas de gestión de datos en línea, e ICCAT ha presentado el estado actual del IOMS, </w:t>
      </w:r>
      <w:hyperlink r:id="rId9" w:history="1">
        <w:r w:rsidRPr="00055339">
          <w:rPr>
            <w:rStyle w:val="Hyperlink"/>
            <w:rFonts w:ascii="Cambria" w:hAnsi="Cambria"/>
            <w:color w:val="auto"/>
            <w:sz w:val="20"/>
            <w:szCs w:val="20"/>
            <w:u w:val="none"/>
          </w:rPr>
          <w:t xml:space="preserve">Sistema de gestión en línea </w:t>
        </w:r>
        <w:r w:rsidR="00A770AC">
          <w:rPr>
            <w:rStyle w:val="Hyperlink"/>
            <w:rFonts w:ascii="Cambria" w:hAnsi="Cambria"/>
            <w:color w:val="auto"/>
            <w:sz w:val="20"/>
            <w:szCs w:val="20"/>
            <w:u w:val="none"/>
          </w:rPr>
          <w:t xml:space="preserve">integrado </w:t>
        </w:r>
        <w:r w:rsidR="00B3408F">
          <w:rPr>
            <w:rStyle w:val="Hyperlink"/>
            <w:rFonts w:ascii="Cambria" w:hAnsi="Cambria"/>
            <w:color w:val="auto"/>
            <w:sz w:val="20"/>
            <w:szCs w:val="20"/>
            <w:u w:val="none"/>
          </w:rPr>
          <w:t xml:space="preserve">(IOMS) </w:t>
        </w:r>
        <w:r w:rsidR="00A770AC">
          <w:rPr>
            <w:rStyle w:val="Hyperlink"/>
            <w:rFonts w:ascii="Cambria" w:hAnsi="Cambria"/>
            <w:color w:val="auto"/>
            <w:sz w:val="20"/>
            <w:szCs w:val="20"/>
            <w:u w:val="none"/>
          </w:rPr>
          <w:t>de ICCAT</w:t>
        </w:r>
      </w:hyperlink>
      <w:r w:rsidR="005B6A81">
        <w:rPr>
          <w:rFonts w:ascii="Cambria" w:eastAsia="Calibri" w:hAnsi="Cambria"/>
          <w:sz w:val="20"/>
          <w:szCs w:val="20"/>
        </w:rPr>
        <w:t xml:space="preserve">, </w:t>
      </w:r>
      <w:r w:rsidR="00214FDE" w:rsidRPr="00055339">
        <w:rPr>
          <w:rFonts w:ascii="Cambria" w:hAnsi="Cambria"/>
          <w:sz w:val="20"/>
          <w:szCs w:val="20"/>
        </w:rPr>
        <w:t>centrándose sobre todo en el estado de desarrollo, sus especificaciones técnicas y sus principales objetivos a medio/largo plazo.</w:t>
      </w:r>
      <w:r w:rsidR="00214FDE" w:rsidRPr="00055339">
        <w:rPr>
          <w:rFonts w:ascii="Cambria" w:hAnsi="Cambria"/>
          <w:color w:val="00000A"/>
          <w:sz w:val="20"/>
          <w:szCs w:val="20"/>
        </w:rPr>
        <w:t xml:space="preserve"> Las cinco organizaciones regionales de ordenación pesquera de túnidos (OROP de túnidos) confirmaron que han desarrollado (o tienen previsto desarrollar) sistemas de comunicación y difusión de datos en línea. Durante la reunión se observó cómo el intercambio de experiencias y conocimientos sobre este tema entre las OROP de túnidos puede contribuir a largo plazo a armonizar las diferencias entre los distintos sistemas. Otros aspectos relevantes debatidos durante la reunión estuvieron relacionados con el progreso del manual del CWP, las futuras actualizaciones de la Clasificación Estadística Internacional Uniforme de Artes de Pesca (ISSCFG) para atender las necesidades emergentes expresadas por algunas OROP de túnidos (incluida ICCAT), el estado de actualización del </w:t>
      </w:r>
      <w:hyperlink r:id="rId10" w:history="1">
        <w:r w:rsidR="00214FDE" w:rsidRPr="00055339">
          <w:rPr>
            <w:rFonts w:ascii="Cambria" w:hAnsi="Cambria"/>
            <w:color w:val="0563C1"/>
            <w:sz w:val="20"/>
            <w:szCs w:val="20"/>
          </w:rPr>
          <w:t xml:space="preserve">sitio web del </w:t>
        </w:r>
        <w:proofErr w:type="spellStart"/>
        <w:r w:rsidR="00214FDE" w:rsidRPr="00055339">
          <w:rPr>
            <w:rFonts w:ascii="Cambria" w:hAnsi="Cambria"/>
            <w:color w:val="0563C1"/>
            <w:sz w:val="20"/>
            <w:szCs w:val="20"/>
          </w:rPr>
          <w:t>CWP</w:t>
        </w:r>
        <w:proofErr w:type="spellEnd"/>
        <w:r w:rsidR="00214FDE" w:rsidRPr="00055339">
          <w:rPr>
            <w:rFonts w:ascii="Cambria" w:hAnsi="Cambria"/>
            <w:color w:val="0563C1"/>
            <w:sz w:val="20"/>
            <w:szCs w:val="20"/>
          </w:rPr>
          <w:t xml:space="preserve"> de la FAO </w:t>
        </w:r>
      </w:hyperlink>
      <w:r w:rsidR="00214FDE" w:rsidRPr="00055339">
        <w:rPr>
          <w:rFonts w:ascii="Cambria" w:hAnsi="Cambria"/>
          <w:color w:val="00000A"/>
          <w:sz w:val="20"/>
          <w:szCs w:val="20"/>
        </w:rPr>
        <w:t xml:space="preserve"> y el examen de los progresos realizados por los cinco grupos de trabajo </w:t>
      </w:r>
      <w:r w:rsidR="00214FDE" w:rsidRPr="00055339">
        <w:rPr>
          <w:rFonts w:ascii="Cambria" w:hAnsi="Cambria"/>
          <w:i/>
          <w:iCs/>
          <w:color w:val="00000A"/>
          <w:sz w:val="20"/>
          <w:szCs w:val="20"/>
        </w:rPr>
        <w:t>ad hoc</w:t>
      </w:r>
      <w:r w:rsidR="00214FDE" w:rsidRPr="00055339">
        <w:rPr>
          <w:rFonts w:ascii="Cambria" w:hAnsi="Cambria"/>
          <w:color w:val="00000A"/>
          <w:sz w:val="20"/>
          <w:szCs w:val="20"/>
        </w:rPr>
        <w:t xml:space="preserve"> del CWP. Los documentos pertinentes de la reunión están disponibles gratuitamente en el sitio web del CWP.  </w:t>
      </w:r>
    </w:p>
    <w:p w14:paraId="6E5C0120" w14:textId="77777777" w:rsidR="00E03A3E" w:rsidRPr="00055339" w:rsidRDefault="00E03A3E" w:rsidP="00E03A3E">
      <w:pPr>
        <w:tabs>
          <w:tab w:val="left" w:pos="851"/>
        </w:tabs>
        <w:spacing w:after="120"/>
        <w:contextualSpacing/>
        <w:jc w:val="both"/>
        <w:rPr>
          <w:rFonts w:ascii="Cambria" w:eastAsia="Calibri" w:hAnsi="Cambria"/>
          <w:color w:val="00000A"/>
          <w:sz w:val="20"/>
          <w:szCs w:val="20"/>
        </w:rPr>
      </w:pPr>
    </w:p>
    <w:p w14:paraId="5AA41B90" w14:textId="77777777" w:rsidR="00E03A3E" w:rsidRPr="00055339" w:rsidRDefault="00E03A3E" w:rsidP="00E03A3E">
      <w:pPr>
        <w:tabs>
          <w:tab w:val="left" w:pos="851"/>
        </w:tabs>
        <w:spacing w:after="120"/>
        <w:contextualSpacing/>
        <w:jc w:val="both"/>
        <w:rPr>
          <w:rFonts w:ascii="Cambria" w:eastAsia="Calibri" w:hAnsi="Cambria"/>
          <w:color w:val="00000A"/>
          <w:sz w:val="20"/>
          <w:szCs w:val="20"/>
        </w:rPr>
      </w:pPr>
      <w:r w:rsidRPr="00055339">
        <w:rPr>
          <w:rFonts w:ascii="Cambria" w:hAnsi="Cambria"/>
          <w:color w:val="00000A"/>
          <w:sz w:val="20"/>
          <w:szCs w:val="20"/>
        </w:rPr>
        <w:t>El CWP sigue trabajando en la definición de los tipos de captura y esfuerzo. Se propuso ampliar la definición de capturas nominales para incluir las actividades de transbordo. Los representantes de ICCAT expresaron su desacuerdo con esta propuesta, señalando que los transbordos no deberían considerarse parte de la actividad de captura, sino un proceso complementario. Al mismo tiempo, ICCAT hizo hincapié en que los descartes, tanto vivos como muertos, deberían incluirse como parte de las capturas nominales, con estimaciones basadas en análisis científicos. El grupo también revisó las clasificaciones de los artes y acordó incluir en la lista de la ISSCFG el arte de caña y carrete (RR), comúnmente utilizado en ICCAT.</w:t>
      </w:r>
    </w:p>
    <w:p w14:paraId="64C255BA" w14:textId="77777777" w:rsidR="00E03A3E" w:rsidRPr="00055339" w:rsidRDefault="00E03A3E" w:rsidP="00E03A3E">
      <w:pPr>
        <w:tabs>
          <w:tab w:val="left" w:pos="851"/>
        </w:tabs>
        <w:spacing w:after="120"/>
        <w:contextualSpacing/>
        <w:jc w:val="both"/>
        <w:rPr>
          <w:rFonts w:ascii="Cambria" w:eastAsia="Calibri" w:hAnsi="Cambria"/>
          <w:color w:val="00000A"/>
          <w:sz w:val="20"/>
          <w:szCs w:val="20"/>
        </w:rPr>
      </w:pPr>
    </w:p>
    <w:p w14:paraId="0E5FA86D" w14:textId="581BFCE1" w:rsidR="00E03A3E" w:rsidRPr="00055339" w:rsidRDefault="00E03A3E" w:rsidP="004103DD">
      <w:pPr>
        <w:tabs>
          <w:tab w:val="left" w:pos="851"/>
        </w:tabs>
        <w:contextualSpacing/>
        <w:jc w:val="both"/>
        <w:rPr>
          <w:rFonts w:ascii="Cambria" w:eastAsia="Calibri" w:hAnsi="Cambria"/>
          <w:color w:val="00000A"/>
          <w:sz w:val="20"/>
          <w:szCs w:val="20"/>
        </w:rPr>
      </w:pPr>
      <w:r w:rsidRPr="00055339">
        <w:rPr>
          <w:rFonts w:ascii="Cambria" w:hAnsi="Cambria"/>
          <w:color w:val="00000A"/>
          <w:sz w:val="20"/>
          <w:szCs w:val="20"/>
        </w:rPr>
        <w:t xml:space="preserve">ICCAT solicitó orientación al Grupo en relación con los códigos de especies utilizados para designar al pez vela. Históricamente, ICCAT ha utilizado el código "SAI" para referirse a </w:t>
      </w:r>
      <w:proofErr w:type="spellStart"/>
      <w:r w:rsidRPr="00055339">
        <w:rPr>
          <w:rFonts w:ascii="Cambria" w:hAnsi="Cambria"/>
          <w:i/>
          <w:iCs/>
          <w:color w:val="00000A"/>
          <w:sz w:val="20"/>
          <w:szCs w:val="20"/>
        </w:rPr>
        <w:t>Istiophorus</w:t>
      </w:r>
      <w:proofErr w:type="spellEnd"/>
      <w:r w:rsidRPr="00055339">
        <w:rPr>
          <w:rFonts w:ascii="Cambria" w:hAnsi="Cambria"/>
          <w:i/>
          <w:iCs/>
          <w:color w:val="00000A"/>
          <w:sz w:val="20"/>
          <w:szCs w:val="20"/>
        </w:rPr>
        <w:t xml:space="preserve"> </w:t>
      </w:r>
      <w:proofErr w:type="spellStart"/>
      <w:r w:rsidRPr="00055339">
        <w:rPr>
          <w:rFonts w:ascii="Cambria" w:hAnsi="Cambria"/>
          <w:i/>
          <w:iCs/>
          <w:color w:val="00000A"/>
          <w:sz w:val="20"/>
          <w:szCs w:val="20"/>
        </w:rPr>
        <w:t>albicans</w:t>
      </w:r>
      <w:proofErr w:type="spellEnd"/>
      <w:r w:rsidRPr="00055339">
        <w:rPr>
          <w:rFonts w:ascii="Cambria" w:hAnsi="Cambria"/>
          <w:color w:val="00000A"/>
          <w:sz w:val="20"/>
          <w:szCs w:val="20"/>
        </w:rPr>
        <w:t>, basándose en la suposición de que era una especie distinta en el Atlántico. En cambio, la lista del Sistema de información sobre las ciencias acuáticas y la pesca (ASFIS) utiliza el código "</w:t>
      </w:r>
      <w:proofErr w:type="spellStart"/>
      <w:r w:rsidRPr="00055339">
        <w:rPr>
          <w:rFonts w:ascii="Cambria" w:hAnsi="Cambria"/>
          <w:color w:val="00000A"/>
          <w:sz w:val="20"/>
          <w:szCs w:val="20"/>
        </w:rPr>
        <w:t>SFA</w:t>
      </w:r>
      <w:proofErr w:type="spellEnd"/>
      <w:r w:rsidRPr="00055339">
        <w:rPr>
          <w:rFonts w:ascii="Cambria" w:hAnsi="Cambria"/>
          <w:color w:val="00000A"/>
          <w:sz w:val="20"/>
          <w:szCs w:val="20"/>
        </w:rPr>
        <w:t xml:space="preserve">" para </w:t>
      </w:r>
      <w:proofErr w:type="spellStart"/>
      <w:r w:rsidRPr="00055339">
        <w:rPr>
          <w:rFonts w:ascii="Cambria" w:hAnsi="Cambria"/>
          <w:i/>
          <w:iCs/>
          <w:color w:val="00000A"/>
          <w:sz w:val="20"/>
          <w:szCs w:val="20"/>
        </w:rPr>
        <w:t>Istiophorus</w:t>
      </w:r>
      <w:proofErr w:type="spellEnd"/>
      <w:r w:rsidRPr="00055339">
        <w:rPr>
          <w:rFonts w:ascii="Cambria" w:hAnsi="Cambria"/>
          <w:i/>
          <w:iCs/>
          <w:color w:val="00000A"/>
          <w:sz w:val="20"/>
          <w:szCs w:val="20"/>
        </w:rPr>
        <w:t xml:space="preserve"> </w:t>
      </w:r>
      <w:proofErr w:type="spellStart"/>
      <w:r w:rsidRPr="00055339">
        <w:rPr>
          <w:rFonts w:ascii="Cambria" w:hAnsi="Cambria"/>
          <w:i/>
          <w:iCs/>
          <w:color w:val="00000A"/>
          <w:sz w:val="20"/>
          <w:szCs w:val="20"/>
        </w:rPr>
        <w:t>platypterus</w:t>
      </w:r>
      <w:proofErr w:type="spellEnd"/>
      <w:r w:rsidRPr="00055339">
        <w:rPr>
          <w:rFonts w:ascii="Cambria" w:hAnsi="Cambria"/>
          <w:color w:val="00000A"/>
          <w:sz w:val="20"/>
          <w:szCs w:val="20"/>
        </w:rPr>
        <w:t xml:space="preserve">, con un nombre común que sugiere una distribución en el Pacífico. Sin embargo, estudios recientes indican que </w:t>
      </w:r>
      <w:proofErr w:type="spellStart"/>
      <w:r w:rsidRPr="00055339">
        <w:rPr>
          <w:rFonts w:ascii="Cambria" w:hAnsi="Cambria"/>
          <w:i/>
          <w:iCs/>
          <w:color w:val="00000A"/>
          <w:sz w:val="20"/>
          <w:szCs w:val="20"/>
        </w:rPr>
        <w:t>Istiophorus</w:t>
      </w:r>
      <w:proofErr w:type="spellEnd"/>
      <w:r w:rsidRPr="00055339">
        <w:rPr>
          <w:rFonts w:ascii="Cambria" w:hAnsi="Cambria"/>
          <w:i/>
          <w:iCs/>
          <w:color w:val="00000A"/>
          <w:sz w:val="20"/>
          <w:szCs w:val="20"/>
        </w:rPr>
        <w:t xml:space="preserve"> </w:t>
      </w:r>
      <w:proofErr w:type="spellStart"/>
      <w:r w:rsidRPr="00055339">
        <w:rPr>
          <w:rFonts w:ascii="Cambria" w:hAnsi="Cambria"/>
          <w:i/>
          <w:iCs/>
          <w:color w:val="00000A"/>
          <w:sz w:val="20"/>
          <w:szCs w:val="20"/>
        </w:rPr>
        <w:t>platypterus</w:t>
      </w:r>
      <w:proofErr w:type="spellEnd"/>
      <w:r w:rsidRPr="00055339">
        <w:rPr>
          <w:rFonts w:ascii="Cambria" w:hAnsi="Cambria"/>
          <w:color w:val="00000A"/>
          <w:sz w:val="20"/>
          <w:szCs w:val="20"/>
        </w:rPr>
        <w:t xml:space="preserve"> es la única especie válida de pez vela en el Atlántico. En este contexto, ICCAT solicitó asesoramiento sobre si mantener el código "SAI" y actualizar el nombre científico a </w:t>
      </w:r>
      <w:proofErr w:type="spellStart"/>
      <w:r w:rsidRPr="00055339">
        <w:rPr>
          <w:rFonts w:ascii="Cambria" w:hAnsi="Cambria"/>
          <w:i/>
          <w:iCs/>
          <w:color w:val="00000A"/>
          <w:sz w:val="20"/>
          <w:szCs w:val="20"/>
        </w:rPr>
        <w:t>Istiophorus</w:t>
      </w:r>
      <w:proofErr w:type="spellEnd"/>
      <w:r w:rsidRPr="00055339">
        <w:rPr>
          <w:rFonts w:ascii="Cambria" w:hAnsi="Cambria"/>
          <w:i/>
          <w:iCs/>
          <w:color w:val="00000A"/>
          <w:sz w:val="20"/>
          <w:szCs w:val="20"/>
        </w:rPr>
        <w:t xml:space="preserve"> </w:t>
      </w:r>
      <w:proofErr w:type="spellStart"/>
      <w:r w:rsidRPr="00055339">
        <w:rPr>
          <w:rFonts w:ascii="Cambria" w:hAnsi="Cambria"/>
          <w:i/>
          <w:iCs/>
          <w:color w:val="00000A"/>
          <w:sz w:val="20"/>
          <w:szCs w:val="20"/>
        </w:rPr>
        <w:t>platypterus</w:t>
      </w:r>
      <w:proofErr w:type="spellEnd"/>
      <w:r w:rsidRPr="00055339">
        <w:rPr>
          <w:rFonts w:ascii="Cambria" w:hAnsi="Cambria"/>
          <w:color w:val="00000A"/>
          <w:sz w:val="20"/>
          <w:szCs w:val="20"/>
        </w:rPr>
        <w:t>, o adoptar el código "SFA" del ASFIS, lo que requeriría modificar el nombre común asociado. El Grupo aclaró que la lista del ASFIS es una herramienta de trabajo y de apoyo, y que cualquier cambio taxonómico o de codificación acordado por el Comité permanente de investigación y estadísticas (SCRS) debería presentarse formalmente a la Secretaría del CWP. Una vez recibidos, la Secretaría evaluará si los cambios propuestos pueden implementarse directamente o si se requieren medidas alternativas. Esto se considera una tarea rutinaria en la ordenación de las listas de referencia de especies.</w:t>
      </w:r>
    </w:p>
    <w:p w14:paraId="06CD07A3" w14:textId="77777777" w:rsidR="00E03A3E" w:rsidRPr="00055339" w:rsidRDefault="00E03A3E" w:rsidP="00E03A3E">
      <w:pPr>
        <w:tabs>
          <w:tab w:val="left" w:pos="851"/>
        </w:tabs>
        <w:spacing w:after="120"/>
        <w:contextualSpacing/>
        <w:jc w:val="both"/>
        <w:rPr>
          <w:rFonts w:ascii="Cambria" w:eastAsia="Calibri" w:hAnsi="Cambria"/>
          <w:color w:val="00000A"/>
          <w:sz w:val="20"/>
          <w:szCs w:val="20"/>
        </w:rPr>
      </w:pPr>
    </w:p>
    <w:p w14:paraId="02AAA7E0" w14:textId="3F5F0B06" w:rsidR="00E03A3E" w:rsidRDefault="00E03A3E" w:rsidP="00E03A3E">
      <w:pPr>
        <w:tabs>
          <w:tab w:val="left" w:pos="851"/>
        </w:tabs>
        <w:spacing w:after="120"/>
        <w:contextualSpacing/>
        <w:jc w:val="both"/>
        <w:rPr>
          <w:rFonts w:ascii="Cambria" w:hAnsi="Cambria"/>
          <w:color w:val="00000A"/>
          <w:sz w:val="20"/>
          <w:szCs w:val="20"/>
        </w:rPr>
      </w:pPr>
      <w:r w:rsidRPr="00055339">
        <w:rPr>
          <w:rFonts w:ascii="Cambria" w:hAnsi="Cambria"/>
          <w:color w:val="00000A"/>
          <w:sz w:val="20"/>
          <w:szCs w:val="20"/>
        </w:rPr>
        <w:t xml:space="preserve">También se debatió acerca del Grupo de trabajo sobre confidencialidad de los datos y de sus conclusiones. Se reconoció que las recientes reclamaciones de confidencialidad de datos han afectado a las actividades habituales de varios Organismos Regionales de Pesca (ORP) y proveedores de datos. Se subrayó que, si bien la confidencialidad de los datos implica una difusión o publicación restringida, no debería impedir su uso para </w:t>
      </w:r>
      <w:r w:rsidRPr="00055339">
        <w:rPr>
          <w:rFonts w:ascii="Cambria" w:hAnsi="Cambria"/>
          <w:color w:val="00000A"/>
          <w:sz w:val="20"/>
          <w:szCs w:val="20"/>
        </w:rPr>
        <w:lastRenderedPageBreak/>
        <w:t>análisis científicos y evaluaciones de stock. El grupo recomendó la elaboración de directrices para definir los protocolos de confidencialidad y/o la sensibilidad al riesgo de los datos, haciendo hincapié en que los recursos marinos son propiedad común y que las organizaciones regionales de pesca tienen la responsabilidad de supervisar y gestionar dichos recursos basándose en la mejor información científica disponible. La confidencialidad de los datos no debería utilizarse como excusa para incumplir las obligaciones de presentación de datos pesqueros.</w:t>
      </w:r>
    </w:p>
    <w:p w14:paraId="6ECA347D" w14:textId="77777777" w:rsidR="005B6A81" w:rsidRPr="00055339" w:rsidRDefault="005B6A81" w:rsidP="00E03A3E">
      <w:pPr>
        <w:tabs>
          <w:tab w:val="left" w:pos="851"/>
        </w:tabs>
        <w:spacing w:after="120"/>
        <w:contextualSpacing/>
        <w:jc w:val="both"/>
        <w:rPr>
          <w:rFonts w:ascii="Cambria" w:eastAsia="Calibri" w:hAnsi="Cambria"/>
          <w:color w:val="00000A"/>
          <w:sz w:val="20"/>
          <w:szCs w:val="20"/>
        </w:rPr>
      </w:pPr>
    </w:p>
    <w:p w14:paraId="049EEF6E" w14:textId="45B77B0D" w:rsidR="00E03A3E" w:rsidRPr="00055339" w:rsidRDefault="00E03A3E" w:rsidP="00E03A3E">
      <w:pPr>
        <w:tabs>
          <w:tab w:val="left" w:pos="851"/>
        </w:tabs>
        <w:spacing w:after="120"/>
        <w:contextualSpacing/>
        <w:jc w:val="both"/>
        <w:rPr>
          <w:rFonts w:ascii="Cambria" w:eastAsia="Calibri" w:hAnsi="Cambria"/>
          <w:color w:val="00000A"/>
          <w:sz w:val="20"/>
          <w:szCs w:val="20"/>
        </w:rPr>
      </w:pPr>
      <w:r w:rsidRPr="00055339">
        <w:rPr>
          <w:rFonts w:ascii="Cambria" w:hAnsi="Cambria"/>
          <w:sz w:val="20"/>
          <w:szCs w:val="20"/>
        </w:rPr>
        <w:t>El CWP, a través de su Grupo de trabajo sobre armonización de referencias 2, acordó seguir desarrollando la Norma del CWP para la armonización de referencias ampliando su alcance conceptual y facilitando un proceso de estandarización flexible e integrado, con el apoyo de las directrices de implementación digital y la iniciativa del FDI-WG, generalmente llamado</w:t>
      </w:r>
      <w:bookmarkStart w:id="1" w:name="_Hlk208997813"/>
      <w:r w:rsidR="00055339">
        <w:rPr>
          <w:rFonts w:ascii="Cambria" w:hAnsi="Cambria"/>
          <w:sz w:val="20"/>
          <w:szCs w:val="20"/>
        </w:rPr>
        <w:t xml:space="preserve"> </w:t>
      </w:r>
      <w:r w:rsidRPr="00055339">
        <w:rPr>
          <w:rFonts w:ascii="Cambria" w:hAnsi="Cambria"/>
          <w:sz w:val="20"/>
          <w:szCs w:val="20"/>
        </w:rPr>
        <w:t>Grupo de trabajo sobre interoperabilidad de datos pesqueros</w:t>
      </w:r>
      <w:r w:rsidRPr="00055339">
        <w:rPr>
          <w:rFonts w:ascii="Cambria" w:hAnsi="Cambria"/>
          <w:color w:val="00000A"/>
          <w:sz w:val="20"/>
          <w:szCs w:val="20"/>
        </w:rPr>
        <w:t xml:space="preserve"> (FDI-WG) </w:t>
      </w:r>
      <w:bookmarkEnd w:id="1"/>
      <w:r w:rsidRPr="00055339">
        <w:rPr>
          <w:rFonts w:ascii="Cambria" w:hAnsi="Cambria"/>
          <w:sz w:val="20"/>
          <w:szCs w:val="20"/>
        </w:rPr>
        <w:t>.</w:t>
      </w:r>
    </w:p>
    <w:p w14:paraId="6053FAB8" w14:textId="77777777" w:rsidR="00E03A3E" w:rsidRPr="00055339" w:rsidRDefault="00E03A3E" w:rsidP="00E03A3E">
      <w:pPr>
        <w:tabs>
          <w:tab w:val="left" w:pos="851"/>
        </w:tabs>
        <w:spacing w:after="120"/>
        <w:contextualSpacing/>
        <w:jc w:val="both"/>
        <w:rPr>
          <w:rFonts w:ascii="Cambria" w:eastAsia="Calibri" w:hAnsi="Cambria"/>
          <w:color w:val="00000A"/>
          <w:sz w:val="20"/>
          <w:szCs w:val="20"/>
        </w:rPr>
      </w:pPr>
    </w:p>
    <w:p w14:paraId="10C641AF" w14:textId="77777777" w:rsidR="00E03A3E" w:rsidRPr="00055339" w:rsidRDefault="00E03A3E" w:rsidP="00E03A3E">
      <w:pPr>
        <w:tabs>
          <w:tab w:val="left" w:pos="851"/>
        </w:tabs>
        <w:spacing w:after="120"/>
        <w:contextualSpacing/>
        <w:jc w:val="both"/>
        <w:rPr>
          <w:rFonts w:ascii="Cambria" w:eastAsia="Calibri" w:hAnsi="Cambria"/>
          <w:color w:val="00000A"/>
          <w:sz w:val="20"/>
          <w:szCs w:val="20"/>
        </w:rPr>
      </w:pPr>
      <w:r w:rsidRPr="00055339">
        <w:rPr>
          <w:rFonts w:ascii="Cambria" w:hAnsi="Cambria"/>
          <w:color w:val="00000A"/>
          <w:sz w:val="20"/>
          <w:szCs w:val="20"/>
        </w:rPr>
        <w:t xml:space="preserve">El CWP también informó sobre un proyecto para mejorar las estadísticas pesqueras de las pesquerías de recreo en el Consejo internacional para la exploración del mar (ICES)/Europa y su importancia.  Se reconoció que la pesca recreativa se está expandiendo en todo el mundo, en particular la de especies objetivo de alto precio, como los istiofóridos y las especies de grandes túnidos. El CWP acordó un examen exhaustivo de la clasificación de sus códigos de artes de pesca, la actualización de los códigos obsoletos y la propuesta de un protocolo más eficaz y rápido para introducir nuevos artes.    </w:t>
      </w:r>
    </w:p>
    <w:p w14:paraId="20D28C13" w14:textId="77777777" w:rsidR="00E03A3E" w:rsidRPr="00055339" w:rsidRDefault="00E03A3E" w:rsidP="00E03A3E">
      <w:pPr>
        <w:tabs>
          <w:tab w:val="left" w:pos="851"/>
        </w:tabs>
        <w:spacing w:after="120"/>
        <w:contextualSpacing/>
        <w:jc w:val="both"/>
        <w:rPr>
          <w:rFonts w:ascii="Cambria" w:eastAsia="Calibri" w:hAnsi="Cambria"/>
          <w:color w:val="00000A"/>
          <w:sz w:val="20"/>
          <w:szCs w:val="20"/>
        </w:rPr>
      </w:pPr>
    </w:p>
    <w:p w14:paraId="485482E7" w14:textId="77777777" w:rsidR="00E03A3E" w:rsidRPr="00055339" w:rsidRDefault="00E03A3E" w:rsidP="00E03A3E">
      <w:pPr>
        <w:tabs>
          <w:tab w:val="left" w:pos="851"/>
        </w:tabs>
        <w:spacing w:after="120"/>
        <w:contextualSpacing/>
        <w:jc w:val="both"/>
        <w:rPr>
          <w:rFonts w:ascii="Cambria" w:eastAsia="Calibri" w:hAnsi="Cambria"/>
          <w:bCs/>
          <w:iCs/>
          <w:color w:val="00000A"/>
          <w:sz w:val="20"/>
          <w:szCs w:val="20"/>
        </w:rPr>
      </w:pPr>
      <w:r w:rsidRPr="00055339">
        <w:rPr>
          <w:rFonts w:ascii="Cambria" w:hAnsi="Cambria"/>
          <w:color w:val="00000A"/>
          <w:sz w:val="20"/>
          <w:szCs w:val="20"/>
        </w:rPr>
        <w:t xml:space="preserve">Por último, Carlos Mayor, de la Secretaría de ICCAT, fue nombrado vicepresidente del Grupo de pesca de la FAO/CWP para el próximo semestre.  </w:t>
      </w:r>
    </w:p>
    <w:p w14:paraId="6D2EB520" w14:textId="77777777" w:rsidR="00E03A3E" w:rsidRDefault="00E03A3E" w:rsidP="00E03A3E">
      <w:pPr>
        <w:tabs>
          <w:tab w:val="left" w:pos="851"/>
        </w:tabs>
        <w:spacing w:after="120"/>
        <w:contextualSpacing/>
        <w:jc w:val="both"/>
        <w:rPr>
          <w:rFonts w:ascii="Cambria" w:eastAsia="Calibri" w:hAnsi="Cambria"/>
          <w:bCs/>
          <w:iCs/>
          <w:color w:val="00000A"/>
          <w:sz w:val="20"/>
          <w:szCs w:val="20"/>
        </w:rPr>
      </w:pPr>
    </w:p>
    <w:p w14:paraId="18E602FA" w14:textId="77777777" w:rsidR="00036907" w:rsidRPr="00055339" w:rsidRDefault="00036907" w:rsidP="00E03A3E">
      <w:pPr>
        <w:tabs>
          <w:tab w:val="left" w:pos="851"/>
        </w:tabs>
        <w:spacing w:after="120"/>
        <w:contextualSpacing/>
        <w:jc w:val="both"/>
        <w:rPr>
          <w:rFonts w:ascii="Cambria" w:eastAsia="Calibri" w:hAnsi="Cambria"/>
          <w:bCs/>
          <w:iCs/>
          <w:color w:val="00000A"/>
          <w:sz w:val="20"/>
          <w:szCs w:val="20"/>
        </w:rPr>
      </w:pPr>
    </w:p>
    <w:p w14:paraId="33E78B54" w14:textId="52A5B2B1" w:rsidR="00E03A3E" w:rsidRPr="00036907" w:rsidRDefault="00E03A3E" w:rsidP="00E03A3E">
      <w:pPr>
        <w:tabs>
          <w:tab w:val="left" w:pos="851"/>
        </w:tabs>
        <w:spacing w:after="120"/>
        <w:contextualSpacing/>
        <w:jc w:val="both"/>
        <w:rPr>
          <w:rFonts w:ascii="Cambria" w:eastAsia="Calibri" w:hAnsi="Cambria"/>
          <w:b/>
          <w:color w:val="00000A"/>
          <w:sz w:val="20"/>
          <w:szCs w:val="20"/>
        </w:rPr>
      </w:pPr>
      <w:r w:rsidRPr="00036907">
        <w:rPr>
          <w:rFonts w:ascii="Cambria" w:hAnsi="Cambria"/>
          <w:b/>
          <w:bCs/>
          <w:color w:val="00000A"/>
          <w:sz w:val="20"/>
          <w:szCs w:val="20"/>
        </w:rPr>
        <w:t>Sistema de seguimiento de pesquerías y recursos pesqueros (FIRMS)</w:t>
      </w:r>
      <w:r w:rsidRPr="00036907">
        <w:rPr>
          <w:rFonts w:ascii="Cambria" w:hAnsi="Cambria"/>
          <w:color w:val="00000A"/>
          <w:sz w:val="20"/>
          <w:szCs w:val="20"/>
        </w:rPr>
        <w:t xml:space="preserve"> </w:t>
      </w:r>
    </w:p>
    <w:p w14:paraId="54D8F559" w14:textId="77777777" w:rsidR="00E03A3E" w:rsidRPr="00055339" w:rsidRDefault="00E03A3E" w:rsidP="00E03A3E">
      <w:pPr>
        <w:tabs>
          <w:tab w:val="left" w:pos="851"/>
        </w:tabs>
        <w:spacing w:after="120"/>
        <w:contextualSpacing/>
        <w:jc w:val="both"/>
        <w:rPr>
          <w:rFonts w:ascii="Cambria" w:eastAsia="Calibri" w:hAnsi="Cambria"/>
          <w:color w:val="00000A"/>
          <w:sz w:val="20"/>
          <w:szCs w:val="20"/>
        </w:rPr>
      </w:pPr>
    </w:p>
    <w:p w14:paraId="22493D63" w14:textId="46FD545B" w:rsidR="00E03A3E" w:rsidRPr="00055339" w:rsidRDefault="00E03A3E" w:rsidP="00E03A3E">
      <w:pPr>
        <w:tabs>
          <w:tab w:val="left" w:pos="851"/>
        </w:tabs>
        <w:spacing w:after="120"/>
        <w:contextualSpacing/>
        <w:jc w:val="both"/>
        <w:rPr>
          <w:rFonts w:ascii="Cambria" w:eastAsia="Calibri" w:hAnsi="Cambria"/>
          <w:color w:val="00000A"/>
          <w:sz w:val="20"/>
          <w:szCs w:val="20"/>
        </w:rPr>
      </w:pPr>
      <w:r w:rsidRPr="00055339">
        <w:rPr>
          <w:rFonts w:ascii="Cambria" w:hAnsi="Cambria"/>
          <w:color w:val="00000A"/>
          <w:sz w:val="20"/>
          <w:szCs w:val="20"/>
        </w:rPr>
        <w:t xml:space="preserve">ICCAT es socio del sistema </w:t>
      </w:r>
      <w:hyperlink r:id="rId11" w:history="1">
        <w:r w:rsidRPr="00055339">
          <w:rPr>
            <w:rFonts w:ascii="Cambria" w:hAnsi="Cambria"/>
            <w:color w:val="0563C1"/>
            <w:sz w:val="20"/>
            <w:szCs w:val="20"/>
          </w:rPr>
          <w:t>FIRMS</w:t>
        </w:r>
      </w:hyperlink>
      <w:r w:rsidRPr="00055339">
        <w:rPr>
          <w:rFonts w:ascii="Cambria" w:hAnsi="Cambria"/>
          <w:color w:val="00000A"/>
          <w:sz w:val="20"/>
          <w:szCs w:val="20"/>
        </w:rPr>
        <w:t xml:space="preserve"> de la FAO, una iniciativa que proporciona acceso a información sobre ordenación y seguimiento global de los recursos marinos pesqueros. Como tal, la Secretaría proporciona actualizaciones a FIRMS sobre el estado de los stocks de todas las especies de ICCAT evaluadas por el SCRS con la sincronización en el nuevo formato de fichas de datos acordado por el FIRMS de la FAO.</w:t>
      </w:r>
    </w:p>
    <w:p w14:paraId="6EC4C193" w14:textId="77777777" w:rsidR="00E03A3E" w:rsidRPr="00055339" w:rsidRDefault="00E03A3E" w:rsidP="00E03A3E">
      <w:pPr>
        <w:tabs>
          <w:tab w:val="left" w:pos="851"/>
        </w:tabs>
        <w:spacing w:after="120"/>
        <w:contextualSpacing/>
        <w:jc w:val="both"/>
        <w:rPr>
          <w:rFonts w:ascii="Cambria" w:eastAsia="Calibri" w:hAnsi="Cambria"/>
          <w:color w:val="00000A"/>
          <w:sz w:val="20"/>
          <w:szCs w:val="20"/>
        </w:rPr>
      </w:pPr>
    </w:p>
    <w:p w14:paraId="0D43109A" w14:textId="5794F44E" w:rsidR="00E03A3E" w:rsidRPr="00055339" w:rsidRDefault="00E03A3E" w:rsidP="00E03A3E">
      <w:pPr>
        <w:tabs>
          <w:tab w:val="left" w:pos="851"/>
        </w:tabs>
        <w:spacing w:after="120"/>
        <w:contextualSpacing/>
        <w:jc w:val="both"/>
        <w:rPr>
          <w:rFonts w:ascii="Cambria" w:eastAsia="Calibri" w:hAnsi="Cambria"/>
          <w:color w:val="00000A"/>
          <w:sz w:val="20"/>
          <w:szCs w:val="20"/>
        </w:rPr>
      </w:pPr>
      <w:r w:rsidRPr="00055339">
        <w:rPr>
          <w:rFonts w:ascii="Cambria" w:hAnsi="Cambria"/>
          <w:color w:val="00000A"/>
          <w:sz w:val="20"/>
          <w:szCs w:val="20"/>
        </w:rPr>
        <w:t xml:space="preserve">ICCAT participó presencialmente en la 14ª sesión del </w:t>
      </w:r>
      <w:hyperlink r:id="rId12" w:history="1">
        <w:r w:rsidRPr="00055339">
          <w:rPr>
            <w:rFonts w:ascii="Cambria" w:hAnsi="Cambria"/>
            <w:color w:val="0563C1"/>
            <w:sz w:val="20"/>
            <w:szCs w:val="20"/>
          </w:rPr>
          <w:t>Comité directivo</w:t>
        </w:r>
      </w:hyperlink>
      <w:r w:rsidRPr="00055339">
        <w:rPr>
          <w:rFonts w:ascii="Cambria" w:hAnsi="Cambria"/>
          <w:color w:val="00000A"/>
          <w:sz w:val="20"/>
          <w:szCs w:val="20"/>
        </w:rPr>
        <w:t xml:space="preserve"> del FIRMS de la FAO y en la 28ª sesión del CWP de la FAO, celebradas del 30 de junio al 4 de julio en la sede de ICES en Copenhague. Durante el examen y los debates de FIRMS, ICCAT hizo hincapié en la necesidad de incluir la lista completa de especies/stocks altamente migratorios bajo su mandato en los productos </w:t>
      </w:r>
      <w:proofErr w:type="spellStart"/>
      <w:r w:rsidRPr="00055339">
        <w:rPr>
          <w:rFonts w:ascii="Cambria" w:hAnsi="Cambria"/>
          <w:color w:val="00000A"/>
          <w:sz w:val="20"/>
          <w:szCs w:val="20"/>
        </w:rPr>
        <w:t>SoSi</w:t>
      </w:r>
      <w:proofErr w:type="spellEnd"/>
      <w:r w:rsidRPr="00055339">
        <w:rPr>
          <w:rFonts w:ascii="Cambria" w:hAnsi="Cambria"/>
          <w:color w:val="00000A"/>
          <w:sz w:val="20"/>
          <w:szCs w:val="20"/>
        </w:rPr>
        <w:t xml:space="preserve"> de la FAO, así como el estado de los stocks que debe actualizar ICCAT, incluyendo aquellas especies como los tiburones que han sido evaluadas mediante protocolos de evaluación de riesgos. </w:t>
      </w:r>
    </w:p>
    <w:p w14:paraId="60E0A282" w14:textId="77777777" w:rsidR="00E03A3E" w:rsidRPr="00055339" w:rsidRDefault="00E03A3E" w:rsidP="00E03A3E">
      <w:pPr>
        <w:tabs>
          <w:tab w:val="left" w:pos="851"/>
        </w:tabs>
        <w:spacing w:after="120"/>
        <w:contextualSpacing/>
        <w:jc w:val="both"/>
        <w:rPr>
          <w:rFonts w:ascii="Cambria" w:eastAsia="Calibri" w:hAnsi="Cambria"/>
          <w:color w:val="00000A"/>
          <w:sz w:val="20"/>
          <w:szCs w:val="20"/>
        </w:rPr>
      </w:pPr>
    </w:p>
    <w:p w14:paraId="24C748C5" w14:textId="130A49F3" w:rsidR="00E03A3E" w:rsidRPr="00055339" w:rsidRDefault="00E03A3E" w:rsidP="00E03A3E">
      <w:pPr>
        <w:tabs>
          <w:tab w:val="left" w:pos="851"/>
        </w:tabs>
        <w:spacing w:after="120"/>
        <w:contextualSpacing/>
        <w:jc w:val="both"/>
        <w:rPr>
          <w:rFonts w:ascii="Cambria" w:eastAsia="Calibri" w:hAnsi="Cambria"/>
          <w:color w:val="00000A"/>
          <w:sz w:val="20"/>
          <w:szCs w:val="20"/>
        </w:rPr>
      </w:pPr>
      <w:r w:rsidRPr="00055339">
        <w:rPr>
          <w:rFonts w:ascii="Cambria" w:hAnsi="Cambria"/>
          <w:color w:val="00000A"/>
          <w:sz w:val="20"/>
          <w:szCs w:val="20"/>
        </w:rPr>
        <w:t>También se indicó que se consultará al SCRS y a la Comisión de ICCAT sobre su recomendación para informar sobre el estado de los diversos stocks del Grupo de especies de pequeños túnidos, donde se han realizado algunas evaluaciones locales/regionales pero que no han sido adoptadas formalmente por ICCAT (por ejemplo, carite lucio, carite del Atlántico noroeste y stocks del golfo de México).</w:t>
      </w:r>
    </w:p>
    <w:p w14:paraId="0C3F647E" w14:textId="77777777" w:rsidR="00E03A3E" w:rsidRPr="00055339" w:rsidRDefault="00E03A3E" w:rsidP="00E03A3E">
      <w:pPr>
        <w:tabs>
          <w:tab w:val="left" w:pos="851"/>
        </w:tabs>
        <w:spacing w:after="120"/>
        <w:contextualSpacing/>
        <w:jc w:val="both"/>
        <w:rPr>
          <w:rFonts w:ascii="Cambria" w:eastAsia="Calibri" w:hAnsi="Cambria"/>
          <w:color w:val="00000A"/>
          <w:sz w:val="20"/>
          <w:szCs w:val="20"/>
        </w:rPr>
      </w:pPr>
    </w:p>
    <w:p w14:paraId="76FEEEB7" w14:textId="619A1C3C" w:rsidR="00E03A3E" w:rsidRPr="00055339" w:rsidRDefault="00E03A3E" w:rsidP="00E03A3E">
      <w:pPr>
        <w:tabs>
          <w:tab w:val="left" w:pos="851"/>
        </w:tabs>
        <w:spacing w:after="120"/>
        <w:contextualSpacing/>
        <w:jc w:val="both"/>
        <w:rPr>
          <w:rFonts w:ascii="Cambria" w:eastAsia="Calibri" w:hAnsi="Cambria"/>
          <w:color w:val="00000A"/>
          <w:sz w:val="20"/>
          <w:szCs w:val="20"/>
        </w:rPr>
      </w:pPr>
      <w:r w:rsidRPr="00055339">
        <w:rPr>
          <w:rFonts w:ascii="Cambria" w:hAnsi="Cambria"/>
          <w:color w:val="00000A"/>
          <w:sz w:val="20"/>
          <w:szCs w:val="20"/>
        </w:rPr>
        <w:t xml:space="preserve">ICCAT también desempeña un papel activo en el contexto del </w:t>
      </w:r>
      <w:hyperlink r:id="rId13" w:history="1">
        <w:r w:rsidRPr="00055339">
          <w:rPr>
            <w:rFonts w:ascii="Cambria" w:hAnsi="Cambria"/>
            <w:color w:val="0563C1"/>
            <w:sz w:val="20"/>
            <w:szCs w:val="20"/>
          </w:rPr>
          <w:t>Atlas Global de Túnidos (GTA) de FIRMS</w:t>
        </w:r>
      </w:hyperlink>
      <w:r w:rsidRPr="00055339">
        <w:rPr>
          <w:rFonts w:ascii="Cambria" w:hAnsi="Cambria"/>
          <w:color w:val="00000A"/>
          <w:sz w:val="20"/>
          <w:szCs w:val="20"/>
        </w:rPr>
        <w:t xml:space="preserve">, que coteja y armoniza las capturas nominales y las capturas georreferenciadas de las cinco OROP de túnidos, y que se ha actualizado recientemente (mayo de 2024) con los últimos datos de Tarea 1 y Tarea 2 disponibles en el </w:t>
      </w:r>
      <w:hyperlink r:id="rId14" w:history="1">
        <w:r w:rsidRPr="00055339">
          <w:rPr>
            <w:rFonts w:ascii="Cambria" w:hAnsi="Cambria"/>
            <w:color w:val="0563C1"/>
            <w:sz w:val="20"/>
            <w:szCs w:val="20"/>
          </w:rPr>
          <w:t>sitio web de ICCAT</w:t>
        </w:r>
      </w:hyperlink>
      <w:r w:rsidRPr="00055339">
        <w:rPr>
          <w:rFonts w:ascii="Cambria" w:hAnsi="Cambria"/>
          <w:color w:val="00000A"/>
          <w:sz w:val="20"/>
          <w:szCs w:val="20"/>
        </w:rPr>
        <w:t>. Además, se señaló que ICCAT actualizó su política de confidencialidad de datos para garantizar que la futura presentación de datos para el Atlas Global de Túnidos (GTA) seguirá los requisitos de dicha política.</w:t>
      </w:r>
    </w:p>
    <w:p w14:paraId="2D18E47C" w14:textId="77777777" w:rsidR="00E03A3E" w:rsidRPr="00055339" w:rsidRDefault="00E03A3E" w:rsidP="00E03A3E">
      <w:pPr>
        <w:tabs>
          <w:tab w:val="left" w:pos="851"/>
        </w:tabs>
        <w:spacing w:after="120"/>
        <w:contextualSpacing/>
        <w:jc w:val="both"/>
        <w:rPr>
          <w:rFonts w:ascii="Cambria" w:eastAsia="Calibri" w:hAnsi="Cambria"/>
          <w:color w:val="00000A"/>
          <w:sz w:val="20"/>
          <w:szCs w:val="20"/>
        </w:rPr>
      </w:pPr>
    </w:p>
    <w:p w14:paraId="2F022238" w14:textId="1C22E56C" w:rsidR="00E03A3E" w:rsidRPr="00055339" w:rsidRDefault="00E03A3E" w:rsidP="00E03A3E">
      <w:pPr>
        <w:jc w:val="both"/>
        <w:rPr>
          <w:rFonts w:ascii="Cambria" w:hAnsi="Cambria"/>
          <w:sz w:val="20"/>
          <w:szCs w:val="20"/>
        </w:rPr>
      </w:pPr>
      <w:r w:rsidRPr="00055339">
        <w:rPr>
          <w:rFonts w:ascii="Cambria" w:hAnsi="Cambria"/>
          <w:color w:val="00000A"/>
          <w:sz w:val="20"/>
          <w:szCs w:val="20"/>
        </w:rPr>
        <w:t xml:space="preserve">Se presentó una herramienta ampliamente probada para la identificación y definición de las pesquerías de pequeña escala. Se recomendó que la herramienta fuera revisada por el SCRS de ICCAT. Esta herramienta podría ayudar a ICCAT a identificar las pesquerías de pequeña escala entre sus miembros y apoyar el desarrollo de planes de recopilación de datos, así como contribuir a los debates sobre ordenación. Se sugirió que ICCAT se pusiera en contacto con la Comisión del atún </w:t>
      </w:r>
      <w:r w:rsidR="00967CDB">
        <w:rPr>
          <w:rFonts w:ascii="Cambria" w:hAnsi="Cambria"/>
          <w:color w:val="00000A"/>
          <w:sz w:val="20"/>
          <w:szCs w:val="20"/>
        </w:rPr>
        <w:t xml:space="preserve">para el </w:t>
      </w:r>
      <w:r w:rsidRPr="00055339">
        <w:rPr>
          <w:rFonts w:ascii="Cambria" w:hAnsi="Cambria"/>
          <w:color w:val="00000A"/>
          <w:sz w:val="20"/>
          <w:szCs w:val="20"/>
        </w:rPr>
        <w:t xml:space="preserve">océano </w:t>
      </w:r>
      <w:r w:rsidR="00055339">
        <w:rPr>
          <w:rFonts w:ascii="Cambria" w:hAnsi="Cambria"/>
          <w:color w:val="00000A"/>
          <w:sz w:val="20"/>
          <w:szCs w:val="20"/>
        </w:rPr>
        <w:t>Í</w:t>
      </w:r>
      <w:r w:rsidRPr="00055339">
        <w:rPr>
          <w:rFonts w:ascii="Cambria" w:hAnsi="Cambria"/>
          <w:color w:val="00000A"/>
          <w:sz w:val="20"/>
          <w:szCs w:val="20"/>
        </w:rPr>
        <w:t>ndico (IOTC), que desempeñó un papel activo en el desarrollo y la aplicación de esta herramienta.</w:t>
      </w:r>
    </w:p>
    <w:p w14:paraId="706D4FC6" w14:textId="1E1DE42E" w:rsidR="00E03A3E" w:rsidRPr="005B6A81" w:rsidRDefault="00E03A3E" w:rsidP="00E03A3E">
      <w:pPr>
        <w:tabs>
          <w:tab w:val="left" w:pos="851"/>
        </w:tabs>
        <w:spacing w:after="120"/>
        <w:contextualSpacing/>
        <w:jc w:val="both"/>
        <w:rPr>
          <w:rFonts w:ascii="Cambria" w:eastAsia="Calibri" w:hAnsi="Cambria"/>
          <w:iCs/>
          <w:color w:val="00000A"/>
          <w:sz w:val="20"/>
          <w:szCs w:val="20"/>
        </w:rPr>
      </w:pPr>
      <w:r w:rsidRPr="005B6A81">
        <w:rPr>
          <w:rFonts w:ascii="Cambria" w:hAnsi="Cambria"/>
          <w:b/>
          <w:color w:val="00000A"/>
          <w:sz w:val="20"/>
          <w:szCs w:val="20"/>
        </w:rPr>
        <w:t>Resúmenes sobre las ciencias acuáticas y la pesca (ASFA)</w:t>
      </w:r>
    </w:p>
    <w:p w14:paraId="2C9A49B4" w14:textId="77777777" w:rsidR="00E03A3E" w:rsidRPr="005B6A81" w:rsidRDefault="00E03A3E" w:rsidP="00E03A3E">
      <w:pPr>
        <w:tabs>
          <w:tab w:val="left" w:pos="851"/>
        </w:tabs>
        <w:spacing w:after="120"/>
        <w:contextualSpacing/>
        <w:jc w:val="both"/>
        <w:rPr>
          <w:rFonts w:ascii="Cambria" w:eastAsia="Calibri" w:hAnsi="Cambria"/>
          <w:color w:val="00000A"/>
          <w:sz w:val="20"/>
          <w:szCs w:val="20"/>
        </w:rPr>
      </w:pPr>
    </w:p>
    <w:p w14:paraId="360A5216" w14:textId="5958840C" w:rsidR="00E03A3E" w:rsidRPr="005B6A81" w:rsidRDefault="00E03A3E" w:rsidP="005279B6">
      <w:pPr>
        <w:tabs>
          <w:tab w:val="left" w:pos="851"/>
        </w:tabs>
        <w:contextualSpacing/>
        <w:jc w:val="both"/>
        <w:rPr>
          <w:rFonts w:ascii="Cambria" w:eastAsia="Calibri" w:hAnsi="Cambria"/>
          <w:color w:val="00000A"/>
          <w:sz w:val="20"/>
          <w:szCs w:val="20"/>
        </w:rPr>
      </w:pPr>
      <w:r w:rsidRPr="005B6A81">
        <w:rPr>
          <w:rFonts w:ascii="Cambria" w:hAnsi="Cambria"/>
          <w:color w:val="00000A"/>
          <w:sz w:val="20"/>
          <w:szCs w:val="20"/>
        </w:rPr>
        <w:t xml:space="preserve">Desde la última reunión del SCRS, la Secretaría ha preparado 47 entradas nuevas, relativas a los volúmenes 77(8) a 82(7) para la </w:t>
      </w:r>
      <w:hyperlink r:id="rId15" w:history="1">
        <w:r w:rsidRPr="005B6A81">
          <w:rPr>
            <w:rStyle w:val="Hyperlink"/>
            <w:rFonts w:ascii="Cambria" w:hAnsi="Cambria"/>
            <w:i/>
            <w:sz w:val="20"/>
            <w:szCs w:val="20"/>
            <w:u w:val="none"/>
          </w:rPr>
          <w:t xml:space="preserve">Colección de documentos científicos de ICCAT </w:t>
        </w:r>
      </w:hyperlink>
      <w:r w:rsidRPr="005B6A81">
        <w:rPr>
          <w:rFonts w:ascii="Cambria" w:hAnsi="Cambria"/>
          <w:color w:val="00000A"/>
          <w:sz w:val="20"/>
          <w:szCs w:val="20"/>
        </w:rPr>
        <w:t xml:space="preserve"> para la base de datos de ASFA-ProQuest de los documentos publicados en los números más recientes de la </w:t>
      </w:r>
      <w:hyperlink r:id="rId16" w:history="1">
        <w:r w:rsidRPr="005B6A81">
          <w:rPr>
            <w:rStyle w:val="Hyperlink"/>
            <w:rFonts w:ascii="Cambria" w:hAnsi="Cambria"/>
            <w:i/>
            <w:sz w:val="20"/>
            <w:szCs w:val="20"/>
            <w:u w:val="none"/>
          </w:rPr>
          <w:t>Colección de documentos científicos de ICCAT.</w:t>
        </w:r>
      </w:hyperlink>
      <w:r w:rsidRPr="005B6A81">
        <w:rPr>
          <w:rFonts w:ascii="Cambria" w:hAnsi="Cambria"/>
          <w:sz w:val="20"/>
          <w:szCs w:val="20"/>
        </w:rPr>
        <w:t xml:space="preserve"> </w:t>
      </w:r>
      <w:r w:rsidRPr="005B6A81">
        <w:rPr>
          <w:rFonts w:ascii="Cambria" w:hAnsi="Cambria"/>
          <w:color w:val="00000A"/>
          <w:sz w:val="20"/>
          <w:szCs w:val="20"/>
        </w:rPr>
        <w:t xml:space="preserve">De este modo, todos </w:t>
      </w:r>
      <w:hyperlink r:id="rId17" w:history="1">
        <w:r w:rsidRPr="005B6A81">
          <w:rPr>
            <w:rFonts w:ascii="Cambria" w:hAnsi="Cambria"/>
            <w:color w:val="00000A"/>
            <w:sz w:val="20"/>
            <w:szCs w:val="20"/>
          </w:rPr>
          <w:t>estos</w:t>
        </w:r>
      </w:hyperlink>
      <w:r w:rsidRPr="005B6A81">
        <w:rPr>
          <w:rFonts w:ascii="Cambria" w:hAnsi="Cambria"/>
          <w:color w:val="00000A"/>
          <w:sz w:val="20"/>
          <w:szCs w:val="20"/>
        </w:rPr>
        <w:t xml:space="preserve"> documentos están ya a disposición del público en el </w:t>
      </w:r>
      <w:hyperlink r:id="rId18" w:history="1">
        <w:r w:rsidRPr="005B6A81">
          <w:rPr>
            <w:rStyle w:val="Hyperlink"/>
            <w:rFonts w:ascii="Cambria" w:hAnsi="Cambria"/>
            <w:sz w:val="20"/>
            <w:szCs w:val="20"/>
            <w:u w:val="none"/>
          </w:rPr>
          <w:t>sitio web de Pesca y Acuicultura de la FAO</w:t>
        </w:r>
      </w:hyperlink>
      <w:r w:rsidRPr="005B6A81">
        <w:rPr>
          <w:rFonts w:ascii="Cambria" w:hAnsi="Cambria"/>
          <w:color w:val="00000A"/>
          <w:sz w:val="20"/>
          <w:szCs w:val="20"/>
        </w:rPr>
        <w:t xml:space="preserve">. La interfaz </w:t>
      </w:r>
      <w:hyperlink r:id="rId19" w:history="1">
        <w:proofErr w:type="spellStart"/>
        <w:r w:rsidRPr="005B6A81">
          <w:rPr>
            <w:rStyle w:val="Hyperlink"/>
            <w:rFonts w:ascii="Cambria" w:hAnsi="Cambria"/>
            <w:sz w:val="20"/>
            <w:szCs w:val="20"/>
            <w:u w:val="none"/>
          </w:rPr>
          <w:t>OpenASFA</w:t>
        </w:r>
        <w:proofErr w:type="spellEnd"/>
      </w:hyperlink>
      <w:r w:rsidRPr="005B6A81">
        <w:rPr>
          <w:rFonts w:ascii="Cambria" w:hAnsi="Cambria"/>
          <w:color w:val="00000A"/>
          <w:sz w:val="20"/>
          <w:szCs w:val="20"/>
        </w:rPr>
        <w:t xml:space="preserve"> permite la búsqueda libre de todos los registros de </w:t>
      </w:r>
      <w:proofErr w:type="spellStart"/>
      <w:r w:rsidRPr="005B6A81">
        <w:rPr>
          <w:rFonts w:ascii="Cambria" w:hAnsi="Cambria"/>
          <w:color w:val="00000A"/>
          <w:sz w:val="20"/>
          <w:szCs w:val="20"/>
        </w:rPr>
        <w:t>OpenASFA</w:t>
      </w:r>
      <w:proofErr w:type="spellEnd"/>
      <w:r w:rsidRPr="005B6A81">
        <w:rPr>
          <w:rFonts w:ascii="Cambria" w:hAnsi="Cambria"/>
          <w:color w:val="00000A"/>
          <w:sz w:val="20"/>
          <w:szCs w:val="20"/>
        </w:rPr>
        <w:t>.</w:t>
      </w:r>
    </w:p>
    <w:p w14:paraId="44FBEBB6" w14:textId="77777777" w:rsidR="00E03A3E" w:rsidRDefault="00E03A3E" w:rsidP="005279B6">
      <w:pPr>
        <w:tabs>
          <w:tab w:val="left" w:pos="851"/>
        </w:tabs>
        <w:contextualSpacing/>
        <w:jc w:val="both"/>
        <w:rPr>
          <w:rFonts w:ascii="Cambria" w:eastAsia="Calibri" w:hAnsi="Cambria"/>
          <w:b/>
          <w:bCs/>
          <w:i/>
          <w:iCs/>
          <w:color w:val="00000A"/>
          <w:sz w:val="20"/>
          <w:szCs w:val="20"/>
        </w:rPr>
      </w:pPr>
    </w:p>
    <w:p w14:paraId="1D27FB9E" w14:textId="77777777" w:rsidR="00636A25" w:rsidRPr="00055339" w:rsidRDefault="00636A25" w:rsidP="005279B6">
      <w:pPr>
        <w:tabs>
          <w:tab w:val="left" w:pos="851"/>
        </w:tabs>
        <w:contextualSpacing/>
        <w:jc w:val="both"/>
        <w:rPr>
          <w:rFonts w:ascii="Cambria" w:eastAsia="Calibri" w:hAnsi="Cambria"/>
          <w:b/>
          <w:bCs/>
          <w:i/>
          <w:iCs/>
          <w:color w:val="00000A"/>
          <w:sz w:val="20"/>
          <w:szCs w:val="20"/>
        </w:rPr>
      </w:pPr>
    </w:p>
    <w:p w14:paraId="0F8E772B" w14:textId="7406396C" w:rsidR="00E03A3E" w:rsidRPr="00055339" w:rsidRDefault="00E03A3E" w:rsidP="00E03A3E">
      <w:pPr>
        <w:tabs>
          <w:tab w:val="left" w:pos="851"/>
        </w:tabs>
        <w:spacing w:after="120"/>
        <w:contextualSpacing/>
        <w:jc w:val="both"/>
        <w:rPr>
          <w:rFonts w:ascii="Cambria" w:eastAsia="Calibri" w:hAnsi="Cambria"/>
          <w:bCs/>
          <w:color w:val="EE0000"/>
          <w:sz w:val="20"/>
          <w:szCs w:val="20"/>
        </w:rPr>
      </w:pPr>
      <w:r w:rsidRPr="00055339">
        <w:rPr>
          <w:rFonts w:ascii="Cambria" w:hAnsi="Cambria"/>
          <w:b/>
          <w:sz w:val="20"/>
          <w:szCs w:val="20"/>
        </w:rPr>
        <w:t xml:space="preserve">Proyecto </w:t>
      </w:r>
      <w:r w:rsidRPr="00055339">
        <w:rPr>
          <w:rFonts w:ascii="Cambria" w:hAnsi="Cambria"/>
          <w:b/>
          <w:color w:val="00000A"/>
          <w:sz w:val="20"/>
          <w:szCs w:val="20"/>
        </w:rPr>
        <w:t>Atún Océanos Comunes (previamente Fondo para el medio ambiente mundial, GEF)</w:t>
      </w:r>
      <w:r w:rsidRPr="00055339">
        <w:rPr>
          <w:rFonts w:ascii="Cambria" w:hAnsi="Cambria"/>
          <w:color w:val="EE0000"/>
          <w:sz w:val="20"/>
          <w:szCs w:val="20"/>
        </w:rPr>
        <w:t xml:space="preserve"> </w:t>
      </w:r>
    </w:p>
    <w:p w14:paraId="677E5C20" w14:textId="77777777" w:rsidR="00E03A3E" w:rsidRPr="00055339" w:rsidRDefault="00E03A3E" w:rsidP="00E03A3E">
      <w:pPr>
        <w:tabs>
          <w:tab w:val="left" w:pos="851"/>
        </w:tabs>
        <w:spacing w:after="120"/>
        <w:contextualSpacing/>
        <w:jc w:val="both"/>
        <w:rPr>
          <w:rFonts w:ascii="Cambria" w:eastAsia="Calibri" w:hAnsi="Cambria"/>
          <w:b/>
          <w:i/>
          <w:color w:val="00000A"/>
          <w:sz w:val="20"/>
          <w:szCs w:val="20"/>
        </w:rPr>
      </w:pPr>
      <w:r w:rsidRPr="00055339">
        <w:rPr>
          <w:rFonts w:ascii="Cambria" w:hAnsi="Cambria"/>
          <w:b/>
          <w:i/>
          <w:color w:val="00000A"/>
          <w:sz w:val="20"/>
          <w:szCs w:val="20"/>
        </w:rPr>
        <w:t>  </w:t>
      </w:r>
    </w:p>
    <w:p w14:paraId="75A1179B" w14:textId="77777777" w:rsidR="00E03A3E" w:rsidRPr="00055339" w:rsidRDefault="00E03A3E" w:rsidP="00E03A3E">
      <w:pPr>
        <w:tabs>
          <w:tab w:val="left" w:pos="851"/>
        </w:tabs>
        <w:spacing w:after="120"/>
        <w:contextualSpacing/>
        <w:jc w:val="both"/>
        <w:rPr>
          <w:rFonts w:ascii="Cambria" w:eastAsia="Calibri" w:hAnsi="Cambria"/>
          <w:color w:val="00000A"/>
          <w:sz w:val="20"/>
          <w:szCs w:val="20"/>
        </w:rPr>
      </w:pPr>
      <w:r w:rsidRPr="00055339">
        <w:rPr>
          <w:rFonts w:ascii="Cambria" w:hAnsi="Cambria"/>
          <w:color w:val="00000A"/>
          <w:sz w:val="20"/>
          <w:szCs w:val="20"/>
        </w:rPr>
        <w:t>ICCAT tiene cuatro proyectos aprobados para su financiación con fondos del GEF. Estos proyectos forman parte de la iniciativa Océanos Comunes - Utilización sostenible y conservación de la biodiversidad en zonas situadas fuera de la jurisdicción nacional del GEF. Los proyectos han seguido avanzando significativamente hasta 2024 y en 2025, como se indica a continuación. </w:t>
      </w:r>
    </w:p>
    <w:p w14:paraId="4013894C" w14:textId="77777777" w:rsidR="00E03A3E" w:rsidRPr="00055339" w:rsidRDefault="00E03A3E" w:rsidP="00E07D94">
      <w:pPr>
        <w:tabs>
          <w:tab w:val="left" w:pos="851"/>
        </w:tabs>
        <w:contextualSpacing/>
        <w:jc w:val="both"/>
        <w:rPr>
          <w:rFonts w:ascii="Cambria" w:eastAsia="Calibri" w:hAnsi="Cambria"/>
          <w:color w:val="00000A"/>
          <w:sz w:val="20"/>
          <w:szCs w:val="20"/>
        </w:rPr>
      </w:pPr>
      <w:r w:rsidRPr="00055339">
        <w:rPr>
          <w:rFonts w:ascii="Cambria" w:hAnsi="Cambria"/>
          <w:color w:val="00000A"/>
          <w:sz w:val="20"/>
          <w:szCs w:val="20"/>
        </w:rPr>
        <w:t>  </w:t>
      </w:r>
    </w:p>
    <w:p w14:paraId="48870957" w14:textId="77777777" w:rsidR="00E03A3E" w:rsidRPr="00055339" w:rsidRDefault="00E03A3E" w:rsidP="00E07D94">
      <w:pPr>
        <w:tabs>
          <w:tab w:val="left" w:pos="0"/>
        </w:tabs>
        <w:jc w:val="both"/>
        <w:rPr>
          <w:rFonts w:ascii="Cambria" w:eastAsia="Calibri" w:hAnsi="Cambria"/>
          <w:i/>
          <w:iCs/>
          <w:color w:val="00000A"/>
          <w:sz w:val="20"/>
          <w:szCs w:val="20"/>
        </w:rPr>
      </w:pPr>
      <w:r w:rsidRPr="00055339">
        <w:rPr>
          <w:rFonts w:ascii="Cambria" w:hAnsi="Cambria"/>
          <w:i/>
          <w:color w:val="00000A"/>
          <w:sz w:val="20"/>
          <w:szCs w:val="20"/>
        </w:rPr>
        <w:t>Cumplimiento de las medidas de ICCAT (inspección en puerto) </w:t>
      </w:r>
    </w:p>
    <w:p w14:paraId="094D720E" w14:textId="77777777" w:rsidR="00E07D94" w:rsidRPr="00055339" w:rsidRDefault="00E07D94" w:rsidP="00E07D94">
      <w:pPr>
        <w:tabs>
          <w:tab w:val="left" w:pos="851"/>
        </w:tabs>
        <w:contextualSpacing/>
        <w:jc w:val="both"/>
        <w:rPr>
          <w:rFonts w:ascii="Cambria" w:eastAsia="Calibri" w:hAnsi="Cambria"/>
          <w:color w:val="00000A"/>
          <w:sz w:val="20"/>
          <w:szCs w:val="20"/>
        </w:rPr>
      </w:pPr>
    </w:p>
    <w:p w14:paraId="28BF6E1C" w14:textId="1209494B" w:rsidR="00E03A3E" w:rsidRPr="00055339" w:rsidRDefault="00E03A3E" w:rsidP="00E07D94">
      <w:pPr>
        <w:tabs>
          <w:tab w:val="left" w:pos="851"/>
        </w:tabs>
        <w:contextualSpacing/>
        <w:jc w:val="both"/>
        <w:rPr>
          <w:rFonts w:ascii="Cambria" w:eastAsia="Calibri" w:hAnsi="Cambria"/>
          <w:color w:val="00000A"/>
          <w:sz w:val="20"/>
          <w:szCs w:val="20"/>
        </w:rPr>
      </w:pPr>
      <w:r w:rsidRPr="00055339">
        <w:rPr>
          <w:rFonts w:ascii="Cambria" w:hAnsi="Cambria"/>
          <w:color w:val="00000A"/>
          <w:sz w:val="20"/>
          <w:szCs w:val="20"/>
        </w:rPr>
        <w:t>Este proyecto de cinco años pretende mejorar el cumplimiento de las medidas de conservación y ordenación de ICCAT, en particular mediante el refuerzo de la capacidad de inspección en puerto. El proyecto consiste principalmente en incorporar un módulo de ICCAT a los cursos de formación organizados por expertos de las CPC y otras organizaciones. </w:t>
      </w:r>
    </w:p>
    <w:p w14:paraId="52EFF293" w14:textId="77777777" w:rsidR="00E03A3E" w:rsidRPr="00055339" w:rsidRDefault="00E03A3E" w:rsidP="00214FDE">
      <w:pPr>
        <w:tabs>
          <w:tab w:val="left" w:pos="851"/>
        </w:tabs>
        <w:spacing w:after="120"/>
        <w:ind w:left="284"/>
        <w:contextualSpacing/>
        <w:jc w:val="both"/>
        <w:rPr>
          <w:rFonts w:ascii="Cambria" w:eastAsia="Calibri" w:hAnsi="Cambria"/>
          <w:color w:val="00000A"/>
          <w:sz w:val="20"/>
          <w:szCs w:val="20"/>
        </w:rPr>
      </w:pPr>
      <w:r w:rsidRPr="00055339">
        <w:rPr>
          <w:rFonts w:ascii="Cambria" w:hAnsi="Cambria"/>
          <w:color w:val="00000A"/>
          <w:sz w:val="20"/>
          <w:szCs w:val="20"/>
        </w:rPr>
        <w:t>  </w:t>
      </w:r>
    </w:p>
    <w:p w14:paraId="5A39D967" w14:textId="77777777" w:rsidR="00E03A3E" w:rsidRPr="00055339" w:rsidRDefault="00E03A3E" w:rsidP="00E07D94">
      <w:pPr>
        <w:tabs>
          <w:tab w:val="left" w:pos="851"/>
        </w:tabs>
        <w:spacing w:after="120"/>
        <w:contextualSpacing/>
        <w:jc w:val="both"/>
        <w:rPr>
          <w:rFonts w:ascii="Cambria" w:eastAsia="Calibri" w:hAnsi="Cambria"/>
          <w:color w:val="00000A"/>
          <w:sz w:val="20"/>
          <w:szCs w:val="20"/>
        </w:rPr>
      </w:pPr>
      <w:r w:rsidRPr="00055339">
        <w:rPr>
          <w:rFonts w:ascii="Cambria" w:hAnsi="Cambria"/>
          <w:color w:val="00000A"/>
          <w:sz w:val="20"/>
          <w:szCs w:val="20"/>
        </w:rPr>
        <w:t xml:space="preserve">En diciembre de 2024, se llevó a cabo en </w:t>
      </w:r>
      <w:proofErr w:type="spellStart"/>
      <w:r w:rsidRPr="00055339">
        <w:rPr>
          <w:rFonts w:ascii="Cambria" w:hAnsi="Cambria"/>
          <w:color w:val="00000A"/>
          <w:sz w:val="20"/>
          <w:szCs w:val="20"/>
        </w:rPr>
        <w:t>Walvis</w:t>
      </w:r>
      <w:proofErr w:type="spellEnd"/>
      <w:r w:rsidRPr="00055339">
        <w:rPr>
          <w:rFonts w:ascii="Cambria" w:hAnsi="Cambria"/>
          <w:color w:val="00000A"/>
          <w:sz w:val="20"/>
          <w:szCs w:val="20"/>
        </w:rPr>
        <w:t xml:space="preserve"> Bay (Namibia) una evaluación de las necesidades de inspección en puerto, seguida en marzo de 2025 por un curso de formación específico para inspectores en puerto de ICCAT, que reunió a 39 participantes. En estas sesiones se trataron los requisitos de las medidas del Estado rector del puerto, los procedimientos de inspección, la identificación de especies y el uso de herramientas de ICCAT como el Manual de formación de inspectores. </w:t>
      </w:r>
    </w:p>
    <w:p w14:paraId="785622C0" w14:textId="77777777" w:rsidR="00E03A3E" w:rsidRPr="00055339" w:rsidRDefault="00E03A3E" w:rsidP="00214FDE">
      <w:pPr>
        <w:tabs>
          <w:tab w:val="left" w:pos="851"/>
        </w:tabs>
        <w:spacing w:after="120"/>
        <w:ind w:left="284"/>
        <w:contextualSpacing/>
        <w:jc w:val="both"/>
        <w:rPr>
          <w:rFonts w:ascii="Cambria" w:eastAsia="Calibri" w:hAnsi="Cambria"/>
          <w:color w:val="00000A"/>
          <w:sz w:val="20"/>
          <w:szCs w:val="20"/>
        </w:rPr>
      </w:pPr>
      <w:r w:rsidRPr="00055339">
        <w:rPr>
          <w:rFonts w:ascii="Cambria" w:hAnsi="Cambria"/>
          <w:color w:val="00000A"/>
          <w:sz w:val="20"/>
          <w:szCs w:val="20"/>
        </w:rPr>
        <w:t>  </w:t>
      </w:r>
    </w:p>
    <w:p w14:paraId="1B8013E4" w14:textId="77777777" w:rsidR="00E03A3E" w:rsidRPr="00055339" w:rsidRDefault="00E03A3E" w:rsidP="00E07D94">
      <w:pPr>
        <w:tabs>
          <w:tab w:val="left" w:pos="851"/>
        </w:tabs>
        <w:spacing w:after="120"/>
        <w:contextualSpacing/>
        <w:jc w:val="both"/>
        <w:rPr>
          <w:rFonts w:ascii="Cambria" w:eastAsia="Calibri" w:hAnsi="Cambria"/>
          <w:color w:val="00000A"/>
          <w:sz w:val="20"/>
          <w:szCs w:val="20"/>
        </w:rPr>
      </w:pPr>
      <w:r w:rsidRPr="00055339">
        <w:rPr>
          <w:rFonts w:ascii="Cambria" w:hAnsi="Cambria"/>
          <w:color w:val="00000A"/>
          <w:sz w:val="20"/>
          <w:szCs w:val="20"/>
        </w:rPr>
        <w:t>Además, en mayo de 2025 se llevó a cabo en Senegal una misión conjunta de Estadísticas y Cumplimiento con 18 participantes, centrada en la mejora de la comunicación de datos estadísticos y de cumplimiento. Senegal ha creado recientemente un comité técnico nacional de ICCAT, lo que ha permitido una amplia participación institucional. Anteriormente, del 1 al 5 de julio de 2024, se llevó a cabo en São Tomé una misión combinada de estadísticas y cumplimiento, la primera de este tipo en el marco de la Fase II del ABNJ. </w:t>
      </w:r>
    </w:p>
    <w:p w14:paraId="09C5A0A8" w14:textId="77777777" w:rsidR="00E07D94" w:rsidRPr="00055339" w:rsidRDefault="00E07D94" w:rsidP="00E07D94">
      <w:pPr>
        <w:tabs>
          <w:tab w:val="left" w:pos="851"/>
        </w:tabs>
        <w:spacing w:after="120"/>
        <w:contextualSpacing/>
        <w:jc w:val="both"/>
        <w:rPr>
          <w:rFonts w:ascii="Cambria" w:eastAsia="Calibri" w:hAnsi="Cambria"/>
          <w:color w:val="00000A"/>
          <w:sz w:val="20"/>
          <w:szCs w:val="20"/>
        </w:rPr>
      </w:pPr>
    </w:p>
    <w:p w14:paraId="45CDEECC" w14:textId="3FF7E174" w:rsidR="00E03A3E" w:rsidRPr="00055339" w:rsidRDefault="00E03A3E" w:rsidP="00E07D94">
      <w:pPr>
        <w:tabs>
          <w:tab w:val="left" w:pos="851"/>
        </w:tabs>
        <w:contextualSpacing/>
        <w:jc w:val="both"/>
        <w:rPr>
          <w:rFonts w:ascii="Cambria" w:eastAsia="Calibri" w:hAnsi="Cambria"/>
          <w:color w:val="00000A"/>
          <w:sz w:val="20"/>
          <w:szCs w:val="20"/>
        </w:rPr>
      </w:pPr>
      <w:r w:rsidRPr="00055339">
        <w:rPr>
          <w:rFonts w:ascii="Cambria" w:hAnsi="Cambria"/>
          <w:color w:val="00000A"/>
          <w:sz w:val="20"/>
          <w:szCs w:val="20"/>
        </w:rPr>
        <w:t xml:space="preserve">Se han programado futuras actividades de formación, incluidas nuevas sesiones en Senegal (2025), Guinea, Mauritania, São Tomé </w:t>
      </w:r>
      <w:proofErr w:type="spellStart"/>
      <w:r w:rsidRPr="00055339">
        <w:rPr>
          <w:rFonts w:ascii="Cambria" w:hAnsi="Cambria"/>
          <w:color w:val="00000A"/>
          <w:sz w:val="20"/>
          <w:szCs w:val="20"/>
        </w:rPr>
        <w:t>e</w:t>
      </w:r>
      <w:proofErr w:type="spellEnd"/>
      <w:r w:rsidRPr="00055339">
        <w:rPr>
          <w:rFonts w:ascii="Cambria" w:hAnsi="Cambria"/>
          <w:color w:val="00000A"/>
          <w:sz w:val="20"/>
          <w:szCs w:val="20"/>
        </w:rPr>
        <w:t xml:space="preserve"> Príncipe y Surinam, y se han recibido nuevas solicitudes de San Vicente y las Granadinas. Está previsto que Angola acoja una misión de creación de capacidad en 2026. </w:t>
      </w:r>
    </w:p>
    <w:p w14:paraId="084EDE81" w14:textId="77777777" w:rsidR="00E03A3E" w:rsidRPr="00055339" w:rsidRDefault="00E03A3E" w:rsidP="00E07D94">
      <w:pPr>
        <w:tabs>
          <w:tab w:val="left" w:pos="851"/>
        </w:tabs>
        <w:ind w:left="284"/>
        <w:contextualSpacing/>
        <w:jc w:val="both"/>
        <w:rPr>
          <w:rFonts w:ascii="Cambria" w:eastAsia="Calibri" w:hAnsi="Cambria"/>
          <w:color w:val="00000A"/>
          <w:sz w:val="20"/>
          <w:szCs w:val="20"/>
        </w:rPr>
      </w:pPr>
      <w:r w:rsidRPr="00055339">
        <w:rPr>
          <w:rFonts w:ascii="Cambria" w:hAnsi="Cambria"/>
          <w:color w:val="00000A"/>
          <w:sz w:val="20"/>
          <w:szCs w:val="20"/>
        </w:rPr>
        <w:t>  </w:t>
      </w:r>
    </w:p>
    <w:p w14:paraId="54BABEE6" w14:textId="3799D2E9" w:rsidR="00E03A3E" w:rsidRPr="00055339" w:rsidRDefault="00E03A3E" w:rsidP="00E07D94">
      <w:pPr>
        <w:tabs>
          <w:tab w:val="left" w:pos="0"/>
        </w:tabs>
        <w:jc w:val="both"/>
        <w:rPr>
          <w:rFonts w:ascii="Cambria" w:eastAsia="Calibri" w:hAnsi="Cambria"/>
          <w:i/>
          <w:iCs/>
          <w:color w:val="00000A"/>
          <w:sz w:val="20"/>
          <w:szCs w:val="20"/>
        </w:rPr>
      </w:pPr>
      <w:r w:rsidRPr="00055339">
        <w:rPr>
          <w:rFonts w:ascii="Cambria" w:hAnsi="Cambria"/>
          <w:i/>
          <w:color w:val="00000A"/>
          <w:sz w:val="20"/>
          <w:szCs w:val="20"/>
        </w:rPr>
        <w:t xml:space="preserve">Sistema </w:t>
      </w:r>
      <w:r w:rsidR="005B6A81">
        <w:rPr>
          <w:rFonts w:ascii="Cambria" w:hAnsi="Cambria"/>
          <w:i/>
          <w:color w:val="00000A"/>
          <w:sz w:val="20"/>
          <w:szCs w:val="20"/>
        </w:rPr>
        <w:t xml:space="preserve">integrado </w:t>
      </w:r>
      <w:r w:rsidRPr="00055339">
        <w:rPr>
          <w:rFonts w:ascii="Cambria" w:hAnsi="Cambria"/>
          <w:i/>
          <w:color w:val="00000A"/>
          <w:sz w:val="20"/>
          <w:szCs w:val="20"/>
        </w:rPr>
        <w:t>de gestión en línea (IOMS) </w:t>
      </w:r>
    </w:p>
    <w:p w14:paraId="0A2E0FBF" w14:textId="77777777" w:rsidR="00E07D94" w:rsidRPr="00055339" w:rsidRDefault="00E07D94" w:rsidP="00E07D94">
      <w:pPr>
        <w:tabs>
          <w:tab w:val="left" w:pos="851"/>
        </w:tabs>
        <w:ind w:left="284"/>
        <w:contextualSpacing/>
        <w:jc w:val="both"/>
        <w:rPr>
          <w:rFonts w:ascii="Cambria" w:eastAsia="Calibri" w:hAnsi="Cambria"/>
          <w:color w:val="00000A"/>
          <w:sz w:val="20"/>
          <w:szCs w:val="20"/>
        </w:rPr>
      </w:pPr>
    </w:p>
    <w:p w14:paraId="27D01405" w14:textId="7DB0FEDB" w:rsidR="00E03A3E" w:rsidRPr="00055339" w:rsidRDefault="00E03A3E" w:rsidP="00E07D94">
      <w:pPr>
        <w:tabs>
          <w:tab w:val="left" w:pos="851"/>
        </w:tabs>
        <w:contextualSpacing/>
        <w:jc w:val="both"/>
        <w:rPr>
          <w:rFonts w:ascii="Cambria" w:eastAsia="Calibri" w:hAnsi="Cambria"/>
          <w:color w:val="00000A"/>
          <w:sz w:val="20"/>
          <w:szCs w:val="20"/>
        </w:rPr>
      </w:pPr>
      <w:r w:rsidRPr="00055339">
        <w:rPr>
          <w:rFonts w:ascii="Cambria" w:hAnsi="Cambria"/>
          <w:color w:val="00000A"/>
          <w:sz w:val="20"/>
          <w:szCs w:val="20"/>
        </w:rPr>
        <w:t>Este proyecto de cinco años mejora el IOMS de ICCAT, que apoya la gestión centralizada de datos en línea para la comunicación de información, la validación, el almacenamiento y el acceso. Estos sistemas son fundamentales para la implementación eficaz de las medidas de conservación y ordenación. </w:t>
      </w:r>
    </w:p>
    <w:p w14:paraId="749CD81C" w14:textId="77777777" w:rsidR="00E03A3E" w:rsidRPr="00055339" w:rsidRDefault="00E03A3E" w:rsidP="00E07D94">
      <w:pPr>
        <w:tabs>
          <w:tab w:val="left" w:pos="851"/>
        </w:tabs>
        <w:ind w:left="284"/>
        <w:contextualSpacing/>
        <w:jc w:val="both"/>
        <w:rPr>
          <w:rFonts w:ascii="Cambria" w:eastAsia="Calibri" w:hAnsi="Cambria"/>
          <w:color w:val="00000A"/>
          <w:sz w:val="20"/>
          <w:szCs w:val="20"/>
        </w:rPr>
      </w:pPr>
      <w:r w:rsidRPr="00055339">
        <w:rPr>
          <w:rFonts w:ascii="Cambria" w:hAnsi="Cambria"/>
          <w:color w:val="00000A"/>
          <w:sz w:val="20"/>
          <w:szCs w:val="20"/>
        </w:rPr>
        <w:t>  </w:t>
      </w:r>
    </w:p>
    <w:p w14:paraId="401B9146" w14:textId="77777777" w:rsidR="00E03A3E" w:rsidRPr="00055339" w:rsidRDefault="00E03A3E" w:rsidP="00E07D94">
      <w:pPr>
        <w:tabs>
          <w:tab w:val="left" w:pos="851"/>
        </w:tabs>
        <w:spacing w:after="120"/>
        <w:contextualSpacing/>
        <w:jc w:val="both"/>
        <w:rPr>
          <w:rFonts w:ascii="Cambria" w:eastAsia="Calibri" w:hAnsi="Cambria"/>
          <w:color w:val="00000A"/>
          <w:sz w:val="20"/>
          <w:szCs w:val="20"/>
        </w:rPr>
      </w:pPr>
      <w:r w:rsidRPr="00055339">
        <w:rPr>
          <w:rFonts w:ascii="Cambria" w:hAnsi="Cambria"/>
          <w:color w:val="00000A"/>
          <w:sz w:val="20"/>
          <w:szCs w:val="20"/>
        </w:rPr>
        <w:t>En el último año, el IOMS ha experimentado avances significativos. Se han completado varios módulos y API públicas, incluido el Gestor de buques, el Gestor de formularios y el Gestor de puertos. Se ha iniciado el desarrollo de módulos para estadísticas pesqueras (capturas nominales de Tarea 1, captura y esfuerzo de Tarea 2). También se ha avanzado en la eliminación de redundancias en las hojas de comprobación de istiofóridos y tiburones. Ya están en producción dos servicios web públicos del IOMS, incluidos los que apoyan los requisitos de datos de ICCAT y los resúmenes del informe anual de las CPC. Los servicios adicionales, como los registros de buques, están listos para su producción. </w:t>
      </w:r>
    </w:p>
    <w:p w14:paraId="7CA101DE" w14:textId="77777777" w:rsidR="00E03A3E" w:rsidRPr="00055339" w:rsidRDefault="00E03A3E" w:rsidP="00214FDE">
      <w:pPr>
        <w:tabs>
          <w:tab w:val="left" w:pos="851"/>
        </w:tabs>
        <w:spacing w:after="120"/>
        <w:ind w:left="284"/>
        <w:contextualSpacing/>
        <w:jc w:val="both"/>
        <w:rPr>
          <w:rFonts w:ascii="Cambria" w:eastAsia="Calibri" w:hAnsi="Cambria"/>
          <w:color w:val="00000A"/>
          <w:sz w:val="20"/>
          <w:szCs w:val="20"/>
        </w:rPr>
      </w:pPr>
      <w:r w:rsidRPr="00055339">
        <w:rPr>
          <w:rFonts w:ascii="Cambria" w:hAnsi="Cambria"/>
          <w:color w:val="00000A"/>
          <w:sz w:val="20"/>
          <w:szCs w:val="20"/>
        </w:rPr>
        <w:t>  </w:t>
      </w:r>
    </w:p>
    <w:p w14:paraId="47D1A0E0" w14:textId="77777777" w:rsidR="00E03A3E" w:rsidRPr="00055339" w:rsidRDefault="00E03A3E" w:rsidP="00E07D94">
      <w:pPr>
        <w:tabs>
          <w:tab w:val="left" w:pos="851"/>
        </w:tabs>
        <w:spacing w:after="120"/>
        <w:contextualSpacing/>
        <w:jc w:val="both"/>
        <w:rPr>
          <w:rFonts w:ascii="Cambria" w:eastAsia="Calibri" w:hAnsi="Cambria"/>
          <w:color w:val="00000A"/>
          <w:sz w:val="20"/>
          <w:szCs w:val="20"/>
        </w:rPr>
      </w:pPr>
      <w:r w:rsidRPr="00055339">
        <w:rPr>
          <w:rFonts w:ascii="Cambria" w:hAnsi="Cambria"/>
          <w:color w:val="00000A"/>
          <w:sz w:val="20"/>
          <w:szCs w:val="20"/>
        </w:rPr>
        <w:t xml:space="preserve">El proyecto IOMS es de código abierto y su código fuente está disponible bajo licencia GPLv3 en </w:t>
      </w:r>
      <w:proofErr w:type="spellStart"/>
      <w:r w:rsidRPr="00055339">
        <w:rPr>
          <w:rFonts w:ascii="Cambria" w:hAnsi="Cambria"/>
          <w:color w:val="00000A"/>
          <w:sz w:val="20"/>
          <w:szCs w:val="20"/>
        </w:rPr>
        <w:t>GitLab</w:t>
      </w:r>
      <w:proofErr w:type="spellEnd"/>
      <w:r w:rsidRPr="00055339">
        <w:rPr>
          <w:rFonts w:ascii="Cambria" w:hAnsi="Cambria"/>
          <w:color w:val="00000A"/>
          <w:sz w:val="20"/>
          <w:szCs w:val="20"/>
        </w:rPr>
        <w:t>. Se ha avanzado en la documentación de las API públicas de IOMS y está previsto lanzar nuevos servicios web públicos, con el objetivo de contar con más de 10 API en total al final del proyecto.  </w:t>
      </w:r>
    </w:p>
    <w:p w14:paraId="6802F233" w14:textId="77777777" w:rsidR="00E03A3E" w:rsidRPr="00055339" w:rsidRDefault="00E03A3E" w:rsidP="00214FDE">
      <w:pPr>
        <w:tabs>
          <w:tab w:val="left" w:pos="0"/>
        </w:tabs>
        <w:spacing w:after="120"/>
        <w:jc w:val="both"/>
        <w:rPr>
          <w:rFonts w:ascii="Cambria" w:eastAsia="Calibri" w:hAnsi="Cambria"/>
          <w:i/>
          <w:iCs/>
          <w:color w:val="00000A"/>
          <w:sz w:val="20"/>
          <w:szCs w:val="20"/>
        </w:rPr>
      </w:pPr>
      <w:r w:rsidRPr="00055339">
        <w:rPr>
          <w:rFonts w:ascii="Cambria" w:hAnsi="Cambria"/>
          <w:i/>
          <w:color w:val="00000A"/>
          <w:sz w:val="20"/>
          <w:szCs w:val="20"/>
        </w:rPr>
        <w:t>Indicadores y modelos operativos</w:t>
      </w:r>
    </w:p>
    <w:p w14:paraId="6345D848" w14:textId="77777777" w:rsidR="00E03A3E" w:rsidRPr="00055339" w:rsidRDefault="00E03A3E" w:rsidP="00E07D94">
      <w:pPr>
        <w:tabs>
          <w:tab w:val="left" w:pos="851"/>
        </w:tabs>
        <w:jc w:val="both"/>
        <w:rPr>
          <w:rFonts w:ascii="Cambria" w:eastAsia="Cambria" w:hAnsi="Cambria" w:cs="Cambria"/>
          <w:color w:val="00000A"/>
          <w:sz w:val="20"/>
          <w:szCs w:val="20"/>
        </w:rPr>
      </w:pPr>
      <w:r w:rsidRPr="00055339">
        <w:rPr>
          <w:rFonts w:ascii="Cambria" w:hAnsi="Cambria"/>
          <w:color w:val="00000A"/>
          <w:sz w:val="20"/>
          <w:szCs w:val="20"/>
        </w:rPr>
        <w:t>Este proyecto de tres años pretende generar modelos operativos basados en los ecosistemas para poner a prueba los indicadores ecosistémicos y las políticas de ordenación. El objetivo es determinar cuándo unos indicadores determinados reflejan con exactitud el estado del stock o la dinámica del ecosistema.</w:t>
      </w:r>
    </w:p>
    <w:p w14:paraId="5560D303" w14:textId="77777777" w:rsidR="00721EA8" w:rsidRPr="00055339" w:rsidRDefault="00721EA8" w:rsidP="003D7E9C">
      <w:pPr>
        <w:tabs>
          <w:tab w:val="left" w:pos="851"/>
        </w:tabs>
        <w:jc w:val="both"/>
        <w:rPr>
          <w:rFonts w:ascii="Cambria" w:eastAsia="Cambria" w:hAnsi="Cambria" w:cs="Cambria"/>
          <w:color w:val="00000A"/>
          <w:sz w:val="20"/>
          <w:szCs w:val="20"/>
        </w:rPr>
      </w:pPr>
    </w:p>
    <w:p w14:paraId="09872CC8" w14:textId="51E19012" w:rsidR="00E03A3E" w:rsidRPr="00055339" w:rsidRDefault="00E03A3E" w:rsidP="003D7E9C">
      <w:pPr>
        <w:tabs>
          <w:tab w:val="left" w:pos="851"/>
        </w:tabs>
        <w:jc w:val="both"/>
        <w:rPr>
          <w:rFonts w:ascii="Cambria" w:hAnsi="Cambria"/>
          <w:sz w:val="20"/>
          <w:szCs w:val="20"/>
        </w:rPr>
      </w:pPr>
      <w:r w:rsidRPr="00055339">
        <w:rPr>
          <w:rFonts w:ascii="Cambria" w:hAnsi="Cambria"/>
          <w:color w:val="00000A"/>
          <w:sz w:val="20"/>
          <w:szCs w:val="20"/>
        </w:rPr>
        <w:t xml:space="preserve">Los avances continuaron en 2024-2025 con la aplicación de métodos de aprendizaje automático para identificar señales de datos relevantes tanto para las especies evaluadas como para las no evaluadas (véase </w:t>
      </w:r>
      <w:proofErr w:type="spellStart"/>
      <w:r w:rsidRPr="00055339">
        <w:rPr>
          <w:rFonts w:ascii="Cambria" w:hAnsi="Cambria"/>
          <w:color w:val="00000A"/>
          <w:sz w:val="20"/>
          <w:szCs w:val="20"/>
        </w:rPr>
        <w:t>Carruthers</w:t>
      </w:r>
      <w:proofErr w:type="spellEnd"/>
      <w:r w:rsidRPr="00055339">
        <w:rPr>
          <w:rFonts w:ascii="Cambria" w:hAnsi="Cambria"/>
          <w:color w:val="00000A"/>
          <w:sz w:val="20"/>
          <w:szCs w:val="20"/>
        </w:rPr>
        <w:t xml:space="preserve"> </w:t>
      </w:r>
      <w:r w:rsidRPr="00055339">
        <w:rPr>
          <w:rFonts w:ascii="Cambria" w:hAnsi="Cambria"/>
          <w:i/>
          <w:iCs/>
          <w:color w:val="00000A"/>
          <w:sz w:val="20"/>
          <w:szCs w:val="20"/>
        </w:rPr>
        <w:t>et al.</w:t>
      </w:r>
      <w:r w:rsidRPr="00055339">
        <w:rPr>
          <w:rFonts w:ascii="Cambria" w:hAnsi="Cambria"/>
          <w:color w:val="00000A"/>
          <w:sz w:val="20"/>
          <w:szCs w:val="20"/>
        </w:rPr>
        <w:t xml:space="preserve">, 2024). Además, se avanzó en el marco </w:t>
      </w:r>
      <w:proofErr w:type="spellStart"/>
      <w:r w:rsidRPr="00055339">
        <w:rPr>
          <w:rFonts w:ascii="Cambria" w:hAnsi="Cambria"/>
          <w:color w:val="00000A"/>
          <w:sz w:val="20"/>
          <w:szCs w:val="20"/>
        </w:rPr>
        <w:t>ECOtest</w:t>
      </w:r>
      <w:proofErr w:type="spellEnd"/>
      <w:r w:rsidRPr="00055339">
        <w:rPr>
          <w:rFonts w:ascii="Cambria" w:hAnsi="Cambria"/>
          <w:color w:val="00000A"/>
          <w:sz w:val="20"/>
          <w:szCs w:val="20"/>
        </w:rPr>
        <w:t xml:space="preserve"> en cinco OROP de túnidos, con indicadores probados en especies como la aguja azul, el marrajo dientuso, el tiburón azul, el pez espada y el patudo. Los indicadores incluían las capturas, la CPUE, la talla media, la fracción de ejemplares maduros y las pendientes de las tendencias de las capturas, con métricas derivadas como la variabilidad interanual, las medias de las series temporales y las correlaciones residuales. El trabajo está contribuyendo a la integración del cambio climático y de enfoques ecosistémicos en la ordenación de las pesquerías.</w:t>
      </w:r>
    </w:p>
    <w:p w14:paraId="21CDBA57" w14:textId="77777777" w:rsidR="00E03A3E" w:rsidRPr="00055339" w:rsidRDefault="00E03A3E" w:rsidP="003D7E9C">
      <w:pPr>
        <w:tabs>
          <w:tab w:val="left" w:pos="851"/>
        </w:tabs>
        <w:ind w:left="284"/>
        <w:jc w:val="both"/>
        <w:rPr>
          <w:rFonts w:ascii="Cambria" w:eastAsia="Cambria" w:hAnsi="Cambria" w:cs="Cambria"/>
          <w:color w:val="00000A"/>
          <w:sz w:val="20"/>
          <w:szCs w:val="20"/>
        </w:rPr>
      </w:pPr>
    </w:p>
    <w:p w14:paraId="6C727298" w14:textId="77777777" w:rsidR="00E03A3E" w:rsidRPr="00055339" w:rsidRDefault="00E03A3E" w:rsidP="003D7E9C">
      <w:pPr>
        <w:tabs>
          <w:tab w:val="left" w:pos="0"/>
        </w:tabs>
        <w:jc w:val="both"/>
        <w:rPr>
          <w:rFonts w:ascii="Cambria" w:eastAsia="Calibri" w:hAnsi="Cambria"/>
          <w:i/>
          <w:iCs/>
          <w:color w:val="00000A"/>
          <w:sz w:val="20"/>
          <w:szCs w:val="20"/>
        </w:rPr>
      </w:pPr>
      <w:r w:rsidRPr="00055339">
        <w:rPr>
          <w:rFonts w:ascii="Cambria" w:hAnsi="Cambria"/>
          <w:i/>
          <w:color w:val="00000A"/>
          <w:sz w:val="20"/>
          <w:szCs w:val="20"/>
        </w:rPr>
        <w:t>Armonización del trabajo técnico entre las OROP</w:t>
      </w:r>
    </w:p>
    <w:p w14:paraId="12EB1F7B" w14:textId="77777777" w:rsidR="003D7E9C" w:rsidRPr="00055339" w:rsidRDefault="003D7E9C" w:rsidP="003D7E9C">
      <w:pPr>
        <w:tabs>
          <w:tab w:val="left" w:pos="851"/>
        </w:tabs>
        <w:jc w:val="both"/>
        <w:rPr>
          <w:rFonts w:ascii="Cambria" w:eastAsia="Cambria" w:hAnsi="Cambria" w:cs="Cambria"/>
          <w:color w:val="00000A"/>
          <w:sz w:val="20"/>
          <w:szCs w:val="20"/>
        </w:rPr>
      </w:pPr>
    </w:p>
    <w:p w14:paraId="78023589" w14:textId="16032D3C" w:rsidR="00E03A3E" w:rsidRPr="00055339" w:rsidRDefault="00E03A3E" w:rsidP="003D7E9C">
      <w:pPr>
        <w:tabs>
          <w:tab w:val="left" w:pos="851"/>
        </w:tabs>
        <w:jc w:val="both"/>
        <w:rPr>
          <w:rFonts w:ascii="Cambria" w:eastAsia="Cambria" w:hAnsi="Cambria" w:cs="Cambria"/>
          <w:color w:val="00000A"/>
          <w:sz w:val="20"/>
          <w:szCs w:val="20"/>
        </w:rPr>
      </w:pPr>
      <w:r w:rsidRPr="00055339">
        <w:rPr>
          <w:rFonts w:ascii="Cambria" w:hAnsi="Cambria"/>
          <w:color w:val="00000A"/>
          <w:sz w:val="20"/>
          <w:szCs w:val="20"/>
        </w:rPr>
        <w:t>Este proyecto de tres años proporciona apoyo técnico para la armonización del trabajo entre las OROP de túnidos. El objetivo es coordinar los retos comunes y comunicar mensajes clave sobre los avances en la ordenación de las pesquerías, especialmente en el contexto de los debates en curso sobre BBNJ y el proceso de revisión del Acuerdo de las Naciones Unidas sobre Poblaciones de Peces.</w:t>
      </w:r>
    </w:p>
    <w:p w14:paraId="5E2B5756" w14:textId="77777777" w:rsidR="00E07D94" w:rsidRPr="00055339" w:rsidRDefault="00E07D94" w:rsidP="00E07D94">
      <w:pPr>
        <w:tabs>
          <w:tab w:val="left" w:pos="851"/>
        </w:tabs>
        <w:jc w:val="both"/>
        <w:rPr>
          <w:rFonts w:ascii="Cambria" w:hAnsi="Cambria"/>
          <w:sz w:val="20"/>
          <w:szCs w:val="20"/>
        </w:rPr>
      </w:pPr>
    </w:p>
    <w:p w14:paraId="07CCAF33" w14:textId="22CE449F" w:rsidR="00E03A3E" w:rsidRPr="00055339" w:rsidRDefault="00E03A3E" w:rsidP="00E07D94">
      <w:pPr>
        <w:tabs>
          <w:tab w:val="left" w:pos="851"/>
        </w:tabs>
        <w:jc w:val="both"/>
        <w:rPr>
          <w:rFonts w:ascii="Cambria" w:eastAsia="Cambria" w:hAnsi="Cambria" w:cs="Cambria"/>
          <w:color w:val="00000A"/>
          <w:sz w:val="20"/>
          <w:szCs w:val="20"/>
        </w:rPr>
      </w:pPr>
      <w:r w:rsidRPr="00055339">
        <w:rPr>
          <w:rFonts w:ascii="Cambria" w:hAnsi="Cambria"/>
          <w:color w:val="00000A"/>
          <w:sz w:val="20"/>
          <w:szCs w:val="20"/>
        </w:rPr>
        <w:t xml:space="preserve">En enero de 2025, se celebró en la sede de la FAO en Roma el primero de los tres talleres conjuntos de las OROP, centrado en la captura fortuita. Las actas se publicarán en </w:t>
      </w:r>
      <w:proofErr w:type="spellStart"/>
      <w:r w:rsidRPr="00055339">
        <w:rPr>
          <w:rFonts w:ascii="Cambria" w:hAnsi="Cambria"/>
          <w:color w:val="00000A"/>
          <w:sz w:val="20"/>
          <w:szCs w:val="20"/>
        </w:rPr>
        <w:t>Fisheries</w:t>
      </w:r>
      <w:proofErr w:type="spellEnd"/>
      <w:r w:rsidRPr="00055339">
        <w:rPr>
          <w:rFonts w:ascii="Cambria" w:hAnsi="Cambria"/>
          <w:color w:val="00000A"/>
          <w:sz w:val="20"/>
          <w:szCs w:val="20"/>
        </w:rPr>
        <w:t xml:space="preserve"> </w:t>
      </w:r>
      <w:proofErr w:type="spellStart"/>
      <w:r w:rsidRPr="00055339">
        <w:rPr>
          <w:rFonts w:ascii="Cambria" w:hAnsi="Cambria"/>
          <w:color w:val="00000A"/>
          <w:sz w:val="20"/>
          <w:szCs w:val="20"/>
        </w:rPr>
        <w:t>Research</w:t>
      </w:r>
      <w:proofErr w:type="spellEnd"/>
      <w:r w:rsidRPr="00055339">
        <w:rPr>
          <w:rFonts w:ascii="Cambria" w:hAnsi="Cambria"/>
          <w:color w:val="00000A"/>
          <w:sz w:val="20"/>
          <w:szCs w:val="20"/>
        </w:rPr>
        <w:t>. Están previstos otros dos talleres: uno sobre la MSE en enero de 2026 y otro sobre métodos de evaluación de stock en 2027. Estas actividades proporcionan una sólida plataforma de colaboración entre las OROP y apoyan la integración de las prioridades globales en la ordenación regional de las pesquerías.</w:t>
      </w:r>
    </w:p>
    <w:p w14:paraId="5269F6B1" w14:textId="77777777" w:rsidR="00E03A3E" w:rsidRDefault="00E03A3E" w:rsidP="00E03A3E">
      <w:pPr>
        <w:rPr>
          <w:rFonts w:ascii="Cambria" w:hAnsi="Cambria"/>
          <w:sz w:val="20"/>
          <w:szCs w:val="20"/>
        </w:rPr>
      </w:pPr>
    </w:p>
    <w:p w14:paraId="0FF5C0E6" w14:textId="77777777" w:rsidR="00636A25" w:rsidRPr="00055339" w:rsidRDefault="00636A25" w:rsidP="00E03A3E">
      <w:pPr>
        <w:rPr>
          <w:rFonts w:ascii="Cambria" w:hAnsi="Cambria"/>
          <w:sz w:val="20"/>
          <w:szCs w:val="20"/>
        </w:rPr>
      </w:pPr>
    </w:p>
    <w:p w14:paraId="4629C2DC" w14:textId="667FDFFD" w:rsidR="00E03A3E" w:rsidRPr="00055339" w:rsidRDefault="00E03A3E" w:rsidP="00E03A3E">
      <w:pPr>
        <w:tabs>
          <w:tab w:val="left" w:pos="851"/>
        </w:tabs>
        <w:spacing w:after="120"/>
        <w:contextualSpacing/>
        <w:jc w:val="both"/>
        <w:rPr>
          <w:rFonts w:ascii="Cambria" w:eastAsia="Calibri" w:hAnsi="Cambria"/>
          <w:b/>
          <w:iCs/>
          <w:color w:val="00000A"/>
          <w:sz w:val="20"/>
          <w:szCs w:val="20"/>
        </w:rPr>
      </w:pPr>
      <w:r w:rsidRPr="00055339">
        <w:rPr>
          <w:rFonts w:ascii="Cambria" w:hAnsi="Cambria"/>
          <w:b/>
          <w:color w:val="00000A"/>
          <w:sz w:val="20"/>
          <w:szCs w:val="20"/>
        </w:rPr>
        <w:t xml:space="preserve">Acuerdo de colaboración con la Comisión de Pesca para el Atlántico </w:t>
      </w:r>
      <w:r w:rsidR="005B6A81">
        <w:rPr>
          <w:rFonts w:ascii="Cambria" w:hAnsi="Cambria"/>
          <w:b/>
          <w:color w:val="00000A"/>
          <w:sz w:val="20"/>
          <w:szCs w:val="20"/>
        </w:rPr>
        <w:t>Centro-O</w:t>
      </w:r>
      <w:r w:rsidRPr="00055339">
        <w:rPr>
          <w:rFonts w:ascii="Cambria" w:hAnsi="Cambria"/>
          <w:b/>
          <w:color w:val="00000A"/>
          <w:sz w:val="20"/>
          <w:szCs w:val="20"/>
        </w:rPr>
        <w:t>ccidental (</w:t>
      </w:r>
      <w:proofErr w:type="spellStart"/>
      <w:r w:rsidR="005B6A81">
        <w:rPr>
          <w:rFonts w:ascii="Cambria" w:hAnsi="Cambria"/>
          <w:b/>
          <w:color w:val="00000A"/>
          <w:sz w:val="20"/>
          <w:szCs w:val="20"/>
        </w:rPr>
        <w:t>COPACO</w:t>
      </w:r>
      <w:proofErr w:type="spellEnd"/>
      <w:r w:rsidRPr="00055339">
        <w:rPr>
          <w:rFonts w:ascii="Cambria" w:hAnsi="Cambria"/>
          <w:b/>
          <w:color w:val="00000A"/>
          <w:sz w:val="20"/>
          <w:szCs w:val="20"/>
        </w:rPr>
        <w:t xml:space="preserve">) </w:t>
      </w:r>
    </w:p>
    <w:p w14:paraId="4B25549A" w14:textId="77777777" w:rsidR="00E03A3E" w:rsidRPr="00055339" w:rsidRDefault="00E03A3E" w:rsidP="00E03A3E">
      <w:pPr>
        <w:tabs>
          <w:tab w:val="left" w:pos="851"/>
        </w:tabs>
        <w:spacing w:after="120"/>
        <w:contextualSpacing/>
        <w:jc w:val="both"/>
        <w:rPr>
          <w:rFonts w:ascii="Cambria" w:eastAsia="Calibri" w:hAnsi="Cambria"/>
          <w:color w:val="00000A"/>
          <w:sz w:val="20"/>
          <w:szCs w:val="20"/>
        </w:rPr>
      </w:pPr>
    </w:p>
    <w:p w14:paraId="722B7A40" w14:textId="478F45B4" w:rsidR="00E03A3E" w:rsidRPr="00055339" w:rsidRDefault="00E03A3E" w:rsidP="00E03A3E">
      <w:pPr>
        <w:tabs>
          <w:tab w:val="left" w:pos="851"/>
        </w:tabs>
        <w:spacing w:after="120"/>
        <w:contextualSpacing/>
        <w:jc w:val="both"/>
        <w:rPr>
          <w:rFonts w:ascii="Cambria" w:eastAsia="Calibri" w:hAnsi="Cambria"/>
          <w:bCs/>
          <w:iCs/>
          <w:color w:val="00000A"/>
          <w:sz w:val="20"/>
          <w:szCs w:val="20"/>
        </w:rPr>
      </w:pPr>
      <w:r w:rsidRPr="00055339">
        <w:rPr>
          <w:rFonts w:ascii="Cambria" w:hAnsi="Cambria"/>
          <w:color w:val="00000A"/>
          <w:sz w:val="20"/>
          <w:szCs w:val="20"/>
        </w:rPr>
        <w:t>Tras la firma del</w:t>
      </w:r>
      <w:r w:rsidRPr="00055339">
        <w:rPr>
          <w:rFonts w:ascii="Cambria" w:hAnsi="Cambria"/>
          <w:i/>
          <w:iCs/>
          <w:color w:val="00000A"/>
          <w:sz w:val="20"/>
          <w:szCs w:val="20"/>
        </w:rPr>
        <w:t xml:space="preserve"> Intercambio de cartas de acuerdo entre la FAO e ICCAT</w:t>
      </w:r>
      <w:r w:rsidRPr="00055339">
        <w:rPr>
          <w:rFonts w:ascii="Cambria" w:hAnsi="Cambria"/>
          <w:color w:val="00000A"/>
          <w:sz w:val="20"/>
          <w:szCs w:val="20"/>
        </w:rPr>
        <w:t xml:space="preserve"> en marzo de 2024, entre el 7 y el 8 de mayo de 2025 tuvo lugar en Ciudad de Panamá (Panamá) la primera iniciativa conjunta: el primer taller técnico de ICCAT/ COPACO, con el apoyo financiero del Fondo especial para datos de Estados Unidos de ICCAT.  A este taller asistieron un total de 40 expertos de 19 Estados, además de las Secretarías de ICCAT y de la COPACO, y personal de la FAO. El objetivo del taller era establecer el marco para los debates sobre la mejora de la recopilación y comunicación de datos pesqueros en la región del Caribe, mientras que las presentaciones de las organizaciones abordaron el estado actual de la recopilación y comunicación de datos estadísticos pesqueros, haciendo hincapié en las estrategias utilizadas por ICCAT y la COPACO en materia de obligaciones de comunicación. Los participantes debatieron la posibilidad de establecer un conjunto mínimo de variables comunes armonizadas entre la COPACO e ICCAT para permitir a los miembros utilizar un formato de intercambio de datos único y armonizado sobre la base de "tarea de datos". Sin embargo, se reconocieron varias limitaciones prácticas (por ejemplo, las diferencias en las clasificaciones regionales, las especies gestionadas y los costes operativos de los países). En consecuencia, en el taller se acordó avanzar en una estrategia práctica de interoperabilidad de los datos pesqueros basada en la Interoperabilidad de los datos pesqueros (FDI): los países mantendrían sus sistemas nacionales al tiempo que utilizarían conceptos estandarizados y exportaciones automatizadas (</w:t>
      </w:r>
      <w:r w:rsidRPr="00055339">
        <w:rPr>
          <w:rFonts w:ascii="Cambria" w:hAnsi="Cambria"/>
          <w:i/>
          <w:iCs/>
          <w:color w:val="00000A"/>
          <w:sz w:val="20"/>
          <w:szCs w:val="20"/>
        </w:rPr>
        <w:t>scripts</w:t>
      </w:r>
      <w:r w:rsidRPr="00055339">
        <w:rPr>
          <w:rFonts w:ascii="Cambria" w:hAnsi="Cambria"/>
          <w:color w:val="00000A"/>
          <w:sz w:val="20"/>
          <w:szCs w:val="20"/>
        </w:rPr>
        <w:t>, modelos, validadores) para generar los formatos requeridos por cada organización (ICCAT, COPACO, FAO). Se aprobó un plan destinado a establecer una estrategia práctica de interoperabilidad de los datos pesqueros basada en las mejores prácticas y en modelos estandarizados, que se espera facilite el proceso de comunicación tanto a ICCAT como a la COPACO. Para más detalles, consúltese el documento "</w:t>
      </w:r>
      <w:r w:rsidRPr="00055339">
        <w:rPr>
          <w:rFonts w:ascii="Cambria" w:hAnsi="Cambria"/>
          <w:color w:val="000000"/>
          <w:sz w:val="20"/>
          <w:szCs w:val="20"/>
        </w:rPr>
        <w:t xml:space="preserve">Informe de las primeras jornadas de trabajo técnico ICCAT-COPACO" </w:t>
      </w:r>
      <w:r w:rsidRPr="00055339">
        <w:rPr>
          <w:rFonts w:ascii="Cambria" w:hAnsi="Cambria"/>
          <w:color w:val="00000A"/>
          <w:sz w:val="20"/>
          <w:szCs w:val="20"/>
        </w:rPr>
        <w:t>SCRS/2025/146.</w:t>
      </w:r>
    </w:p>
    <w:p w14:paraId="08FDCF15" w14:textId="77777777" w:rsidR="00E03A3E" w:rsidRPr="00055339" w:rsidRDefault="00E03A3E" w:rsidP="00E03A3E">
      <w:pPr>
        <w:tabs>
          <w:tab w:val="left" w:pos="851"/>
        </w:tabs>
        <w:spacing w:after="120"/>
        <w:contextualSpacing/>
        <w:jc w:val="both"/>
        <w:rPr>
          <w:rFonts w:ascii="Cambria" w:eastAsia="Calibri" w:hAnsi="Cambria"/>
          <w:bCs/>
          <w:iCs/>
          <w:color w:val="00000A"/>
          <w:sz w:val="20"/>
          <w:szCs w:val="20"/>
        </w:rPr>
      </w:pPr>
    </w:p>
    <w:p w14:paraId="0BFE066A" w14:textId="323B9843" w:rsidR="00E03A3E" w:rsidRPr="00055339" w:rsidRDefault="00E03A3E" w:rsidP="00E03A3E">
      <w:pPr>
        <w:tabs>
          <w:tab w:val="left" w:pos="851"/>
        </w:tabs>
        <w:spacing w:after="120"/>
        <w:contextualSpacing/>
        <w:jc w:val="both"/>
        <w:rPr>
          <w:rFonts w:ascii="Cambria" w:eastAsia="Calibri" w:hAnsi="Cambria"/>
          <w:bCs/>
          <w:iCs/>
          <w:color w:val="00000A"/>
          <w:sz w:val="20"/>
          <w:szCs w:val="20"/>
        </w:rPr>
      </w:pPr>
      <w:r w:rsidRPr="00055339">
        <w:rPr>
          <w:rFonts w:ascii="Cambria" w:hAnsi="Cambria"/>
          <w:sz w:val="20"/>
          <w:szCs w:val="20"/>
        </w:rPr>
        <w:t xml:space="preserve">Además, el secretario ejecutivo asistió a la </w:t>
      </w:r>
      <w:hyperlink r:id="rId20" w:history="1">
        <w:r w:rsidRPr="00055339">
          <w:rPr>
            <w:rStyle w:val="Hyperlink"/>
            <w:rFonts w:ascii="Cambria" w:hAnsi="Cambria"/>
            <w:sz w:val="20"/>
            <w:szCs w:val="20"/>
            <w:u w:val="none"/>
          </w:rPr>
          <w:t xml:space="preserve">20ª sesión de la Comisión de </w:t>
        </w:r>
        <w:r w:rsidR="005B6A81" w:rsidRPr="00055339">
          <w:rPr>
            <w:rStyle w:val="Hyperlink"/>
            <w:rFonts w:ascii="Cambria" w:hAnsi="Cambria"/>
            <w:sz w:val="20"/>
            <w:szCs w:val="20"/>
            <w:u w:val="none"/>
          </w:rPr>
          <w:t xml:space="preserve">Pesca </w:t>
        </w:r>
        <w:r w:rsidRPr="00055339">
          <w:rPr>
            <w:rStyle w:val="Hyperlink"/>
            <w:rFonts w:ascii="Cambria" w:hAnsi="Cambria"/>
            <w:sz w:val="20"/>
            <w:szCs w:val="20"/>
            <w:u w:val="none"/>
          </w:rPr>
          <w:t xml:space="preserve">del Atlántico </w:t>
        </w:r>
        <w:r w:rsidR="005B6A81">
          <w:rPr>
            <w:rStyle w:val="Hyperlink"/>
            <w:rFonts w:ascii="Cambria" w:hAnsi="Cambria"/>
            <w:sz w:val="20"/>
            <w:szCs w:val="20"/>
            <w:u w:val="none"/>
          </w:rPr>
          <w:t>Centro-O</w:t>
        </w:r>
        <w:r w:rsidRPr="00055339">
          <w:rPr>
            <w:rStyle w:val="Hyperlink"/>
            <w:rFonts w:ascii="Cambria" w:hAnsi="Cambria"/>
            <w:sz w:val="20"/>
            <w:szCs w:val="20"/>
            <w:u w:val="none"/>
          </w:rPr>
          <w:t>ccidental (FI-739-20)</w:t>
        </w:r>
      </w:hyperlink>
      <w:r w:rsidRPr="00055339">
        <w:rPr>
          <w:rFonts w:ascii="Cambria" w:hAnsi="Cambria"/>
          <w:sz w:val="20"/>
          <w:szCs w:val="20"/>
        </w:rPr>
        <w:t>, donde destacó la primera iniciativa conjunta de las dos organizaciones y reiteró la disponibilidad de ICCAT para seguir mejorando la cooperación entre ellas.</w:t>
      </w:r>
      <w:r w:rsidRPr="00055339">
        <w:rPr>
          <w:rFonts w:ascii="Cambria" w:hAnsi="Cambria"/>
          <w:color w:val="00000A"/>
          <w:sz w:val="20"/>
          <w:szCs w:val="20"/>
        </w:rPr>
        <w:t xml:space="preserve"> </w:t>
      </w:r>
    </w:p>
    <w:p w14:paraId="2B48C350" w14:textId="77777777" w:rsidR="00E03A3E" w:rsidRDefault="00E03A3E" w:rsidP="00E03A3E">
      <w:pPr>
        <w:tabs>
          <w:tab w:val="left" w:pos="851"/>
        </w:tabs>
        <w:spacing w:after="120"/>
        <w:contextualSpacing/>
        <w:jc w:val="both"/>
        <w:rPr>
          <w:rFonts w:ascii="Cambria" w:eastAsia="Calibri" w:hAnsi="Cambria"/>
          <w:color w:val="00000A"/>
          <w:sz w:val="20"/>
          <w:szCs w:val="20"/>
        </w:rPr>
      </w:pPr>
    </w:p>
    <w:p w14:paraId="3157CE50" w14:textId="77777777" w:rsidR="00636A25" w:rsidRPr="00055339" w:rsidRDefault="00636A25" w:rsidP="00E03A3E">
      <w:pPr>
        <w:tabs>
          <w:tab w:val="left" w:pos="851"/>
        </w:tabs>
        <w:spacing w:after="120"/>
        <w:contextualSpacing/>
        <w:jc w:val="both"/>
        <w:rPr>
          <w:rFonts w:ascii="Cambria" w:eastAsia="Calibri" w:hAnsi="Cambria"/>
          <w:color w:val="00000A"/>
          <w:sz w:val="20"/>
          <w:szCs w:val="20"/>
        </w:rPr>
      </w:pPr>
    </w:p>
    <w:p w14:paraId="21798D63" w14:textId="32DD85F0" w:rsidR="00E03A3E" w:rsidRPr="00055339" w:rsidRDefault="00E03A3E" w:rsidP="00E03A3E">
      <w:pPr>
        <w:tabs>
          <w:tab w:val="left" w:pos="851"/>
        </w:tabs>
        <w:spacing w:after="120"/>
        <w:contextualSpacing/>
        <w:jc w:val="both"/>
        <w:rPr>
          <w:rFonts w:ascii="Cambria" w:eastAsia="Calibri" w:hAnsi="Cambria"/>
          <w:b/>
          <w:iCs/>
          <w:color w:val="00000A"/>
          <w:sz w:val="20"/>
          <w:szCs w:val="20"/>
        </w:rPr>
      </w:pPr>
      <w:r w:rsidRPr="00055339">
        <w:rPr>
          <w:rFonts w:ascii="Cambria" w:hAnsi="Cambria"/>
          <w:b/>
          <w:color w:val="00000A"/>
          <w:sz w:val="20"/>
          <w:szCs w:val="20"/>
        </w:rPr>
        <w:t>Consejo Internacional para la Exploración del mar (ICES)</w:t>
      </w:r>
    </w:p>
    <w:p w14:paraId="4F31C0B7" w14:textId="77777777" w:rsidR="00E03A3E" w:rsidRPr="00055339" w:rsidRDefault="00E03A3E" w:rsidP="00E03A3E">
      <w:pPr>
        <w:tabs>
          <w:tab w:val="left" w:pos="851"/>
        </w:tabs>
        <w:spacing w:after="120"/>
        <w:contextualSpacing/>
        <w:jc w:val="both"/>
        <w:rPr>
          <w:rFonts w:ascii="Cambria" w:eastAsia="Calibri" w:hAnsi="Cambria"/>
          <w:color w:val="00000A"/>
          <w:sz w:val="20"/>
          <w:szCs w:val="20"/>
        </w:rPr>
      </w:pPr>
    </w:p>
    <w:p w14:paraId="42BB1DB3" w14:textId="6E71A229" w:rsidR="00E03A3E" w:rsidRPr="00055339" w:rsidRDefault="00E03A3E" w:rsidP="00E03A3E">
      <w:pPr>
        <w:tabs>
          <w:tab w:val="left" w:pos="851"/>
        </w:tabs>
        <w:spacing w:after="120"/>
        <w:contextualSpacing/>
        <w:jc w:val="both"/>
        <w:rPr>
          <w:rFonts w:ascii="Cambria" w:eastAsia="Calibri" w:hAnsi="Cambria"/>
          <w:color w:val="00000A"/>
          <w:sz w:val="20"/>
          <w:szCs w:val="20"/>
        </w:rPr>
      </w:pPr>
      <w:r w:rsidRPr="00055339">
        <w:rPr>
          <w:rFonts w:ascii="Cambria" w:hAnsi="Cambria"/>
          <w:color w:val="00000A"/>
          <w:sz w:val="20"/>
          <w:szCs w:val="20"/>
        </w:rPr>
        <w:t xml:space="preserve">Tras la aprobación de la Comisión en noviembre de 2024, los dos secretarios ejecutivos firmaron un Memorando de Entendimiento entre ICCAT y el ICES el 22 de enero de 2025. </w:t>
      </w:r>
      <w:r w:rsidRPr="00055339">
        <w:rPr>
          <w:rFonts w:ascii="Cambria" w:hAnsi="Cambria"/>
          <w:sz w:val="20"/>
          <w:szCs w:val="20"/>
        </w:rPr>
        <w:t xml:space="preserve">Este </w:t>
      </w:r>
      <w:hyperlink r:id="rId21" w:history="1">
        <w:r w:rsidRPr="00055339">
          <w:rPr>
            <w:rStyle w:val="Hyperlink"/>
            <w:rFonts w:ascii="Cambria" w:hAnsi="Cambria"/>
            <w:sz w:val="20"/>
            <w:szCs w:val="20"/>
            <w:u w:val="none"/>
          </w:rPr>
          <w:t xml:space="preserve">Memorando de </w:t>
        </w:r>
        <w:r w:rsidR="00176518">
          <w:rPr>
            <w:rStyle w:val="Hyperlink"/>
            <w:rFonts w:ascii="Cambria" w:hAnsi="Cambria"/>
            <w:sz w:val="20"/>
            <w:szCs w:val="20"/>
            <w:u w:val="none"/>
          </w:rPr>
          <w:t>e</w:t>
        </w:r>
        <w:r w:rsidRPr="00055339">
          <w:rPr>
            <w:rStyle w:val="Hyperlink"/>
            <w:rFonts w:ascii="Cambria" w:hAnsi="Cambria"/>
            <w:sz w:val="20"/>
            <w:szCs w:val="20"/>
            <w:u w:val="none"/>
          </w:rPr>
          <w:t>ntendimiento incluye el intercambio de datos y conocimientos especializados</w:t>
        </w:r>
      </w:hyperlink>
      <w:r w:rsidRPr="00055339">
        <w:rPr>
          <w:rFonts w:ascii="Cambria" w:hAnsi="Cambria"/>
          <w:sz w:val="20"/>
          <w:szCs w:val="20"/>
        </w:rPr>
        <w:t>, en particular, aunque no exclusivamente, en lo que respecta a la evaluación conjunta del stock de especies de elasmobranquios, así como en cuestiones relacionadas con el cambio climático y la MSE.</w:t>
      </w:r>
    </w:p>
    <w:p w14:paraId="0D52A07B" w14:textId="77777777" w:rsidR="00890A85" w:rsidRDefault="00890A85" w:rsidP="00E03A3E">
      <w:pPr>
        <w:tabs>
          <w:tab w:val="left" w:pos="851"/>
        </w:tabs>
        <w:spacing w:after="120"/>
        <w:contextualSpacing/>
        <w:jc w:val="both"/>
        <w:rPr>
          <w:rFonts w:ascii="Cambria" w:eastAsia="Calibri" w:hAnsi="Cambria"/>
          <w:color w:val="00000A"/>
          <w:sz w:val="20"/>
          <w:szCs w:val="20"/>
        </w:rPr>
      </w:pPr>
    </w:p>
    <w:p w14:paraId="657311ED" w14:textId="77777777" w:rsidR="00636A25" w:rsidRPr="00055339" w:rsidRDefault="00636A25" w:rsidP="00E03A3E">
      <w:pPr>
        <w:tabs>
          <w:tab w:val="left" w:pos="851"/>
        </w:tabs>
        <w:spacing w:after="120"/>
        <w:contextualSpacing/>
        <w:jc w:val="both"/>
        <w:rPr>
          <w:rFonts w:ascii="Cambria" w:eastAsia="Calibri" w:hAnsi="Cambria"/>
          <w:color w:val="00000A"/>
          <w:sz w:val="20"/>
          <w:szCs w:val="20"/>
        </w:rPr>
      </w:pPr>
    </w:p>
    <w:p w14:paraId="5C785235" w14:textId="3A97B419" w:rsidR="00890A85" w:rsidRPr="00055339" w:rsidRDefault="00117298" w:rsidP="00E03A3E">
      <w:pPr>
        <w:tabs>
          <w:tab w:val="left" w:pos="851"/>
        </w:tabs>
        <w:spacing w:after="120"/>
        <w:contextualSpacing/>
        <w:jc w:val="both"/>
        <w:rPr>
          <w:rFonts w:ascii="Cambria" w:eastAsia="Calibri" w:hAnsi="Cambria"/>
          <w:b/>
          <w:iCs/>
          <w:color w:val="00000A"/>
          <w:sz w:val="20"/>
          <w:szCs w:val="20"/>
        </w:rPr>
      </w:pPr>
      <w:r w:rsidRPr="00055339">
        <w:rPr>
          <w:rFonts w:ascii="Cambria" w:hAnsi="Cambria"/>
          <w:b/>
          <w:color w:val="00000A"/>
          <w:sz w:val="20"/>
          <w:szCs w:val="20"/>
        </w:rPr>
        <w:t>Comisión para la conservación del atún rojo del Sur (CCSBT)</w:t>
      </w:r>
    </w:p>
    <w:p w14:paraId="1F6F211D" w14:textId="77777777" w:rsidR="00E03A3E" w:rsidRPr="00055339" w:rsidRDefault="00E03A3E" w:rsidP="00E03A3E">
      <w:pPr>
        <w:tabs>
          <w:tab w:val="left" w:pos="851"/>
        </w:tabs>
        <w:spacing w:after="120"/>
        <w:contextualSpacing/>
        <w:jc w:val="both"/>
        <w:rPr>
          <w:rFonts w:ascii="Cambria" w:eastAsia="Calibri" w:hAnsi="Cambria"/>
          <w:color w:val="00000A"/>
          <w:sz w:val="20"/>
          <w:szCs w:val="20"/>
        </w:rPr>
      </w:pPr>
    </w:p>
    <w:p w14:paraId="7F8F1853" w14:textId="3E6A010A" w:rsidR="00F0218B" w:rsidRPr="00055339" w:rsidRDefault="00C23975" w:rsidP="00C23975">
      <w:pPr>
        <w:tabs>
          <w:tab w:val="left" w:pos="851"/>
        </w:tabs>
        <w:spacing w:after="120"/>
        <w:contextualSpacing/>
        <w:jc w:val="both"/>
        <w:rPr>
          <w:rFonts w:ascii="Cambria" w:eastAsia="Calibri" w:hAnsi="Cambria"/>
          <w:color w:val="00000A"/>
          <w:sz w:val="20"/>
          <w:szCs w:val="20"/>
        </w:rPr>
      </w:pPr>
      <w:r w:rsidRPr="00055339">
        <w:rPr>
          <w:rFonts w:ascii="Cambria" w:hAnsi="Cambria"/>
          <w:sz w:val="20"/>
          <w:szCs w:val="20"/>
        </w:rPr>
        <w:t xml:space="preserve">El </w:t>
      </w:r>
      <w:hyperlink r:id="rId22" w:history="1">
        <w:r w:rsidRPr="00055339">
          <w:rPr>
            <w:rStyle w:val="Hyperlink"/>
            <w:rFonts w:ascii="Cambria" w:hAnsi="Cambria"/>
            <w:sz w:val="20"/>
            <w:szCs w:val="20"/>
            <w:u w:val="none"/>
          </w:rPr>
          <w:t xml:space="preserve">"Memorando de </w:t>
        </w:r>
        <w:r w:rsidR="00176518">
          <w:rPr>
            <w:rStyle w:val="Hyperlink"/>
            <w:rFonts w:ascii="Cambria" w:hAnsi="Cambria"/>
            <w:sz w:val="20"/>
            <w:szCs w:val="20"/>
            <w:u w:val="none"/>
          </w:rPr>
          <w:t>e</w:t>
        </w:r>
        <w:r w:rsidRPr="00055339">
          <w:rPr>
            <w:rStyle w:val="Hyperlink"/>
            <w:rFonts w:ascii="Cambria" w:hAnsi="Cambria"/>
            <w:sz w:val="20"/>
            <w:szCs w:val="20"/>
            <w:u w:val="none"/>
          </w:rPr>
          <w:t>ntendimiento entre las secretarías de la CCSBT y de ICCAT para el transbordo en el mar de grandes buques pesqueros</w:t>
        </w:r>
      </w:hyperlink>
      <w:r w:rsidRPr="00055339">
        <w:rPr>
          <w:rFonts w:ascii="Cambria" w:hAnsi="Cambria"/>
          <w:sz w:val="20"/>
          <w:szCs w:val="20"/>
        </w:rPr>
        <w:t xml:space="preserve"> se actualizó a principios de 2025.</w:t>
      </w:r>
      <w:r w:rsidRPr="00055339">
        <w:rPr>
          <w:rFonts w:ascii="Cambria" w:hAnsi="Cambria"/>
          <w:color w:val="00000A"/>
          <w:sz w:val="20"/>
          <w:szCs w:val="20"/>
        </w:rPr>
        <w:t xml:space="preserve"> </w:t>
      </w:r>
      <w:r w:rsidRPr="00055339">
        <w:rPr>
          <w:rFonts w:ascii="Cambria" w:hAnsi="Cambria"/>
          <w:sz w:val="20"/>
          <w:szCs w:val="20"/>
        </w:rPr>
        <w:t>Este Memorando de Entendimiento se aplica a los transbordos en el mar de atún rojo del sur (SBT) dentro de la zona del Convenio de ICCAT, por LSTLV con capacidad de congelación que sean miembros/Partes contratantes (CPC)</w:t>
      </w:r>
      <w:r w:rsidR="00CE672C" w:rsidRPr="00055339">
        <w:rPr>
          <w:rStyle w:val="FootnoteReference"/>
          <w:rFonts w:ascii="Cambria" w:eastAsiaTheme="majorEastAsia" w:hAnsi="Cambria"/>
          <w:sz w:val="20"/>
          <w:szCs w:val="20"/>
        </w:rPr>
        <w:footnoteReference w:id="1"/>
      </w:r>
      <w:r w:rsidRPr="00055339">
        <w:rPr>
          <w:rFonts w:ascii="Cambria" w:hAnsi="Cambria"/>
          <w:sz w:val="20"/>
          <w:szCs w:val="20"/>
        </w:rPr>
        <w:t xml:space="preserve"> tanto de la CCSBT como de ICCAT y se limita además a las CPC que participan en el programa regional de observadores tanto de la CCSBT como de ICCAT.</w:t>
      </w:r>
    </w:p>
    <w:p w14:paraId="7A0A1310" w14:textId="77777777" w:rsidR="00F0218B" w:rsidRDefault="00F0218B" w:rsidP="00E03A3E">
      <w:pPr>
        <w:tabs>
          <w:tab w:val="left" w:pos="851"/>
        </w:tabs>
        <w:spacing w:after="120"/>
        <w:contextualSpacing/>
        <w:jc w:val="both"/>
        <w:rPr>
          <w:rFonts w:ascii="Cambria" w:eastAsia="Calibri" w:hAnsi="Cambria"/>
          <w:color w:val="00000A"/>
          <w:sz w:val="20"/>
          <w:szCs w:val="20"/>
        </w:rPr>
      </w:pPr>
    </w:p>
    <w:p w14:paraId="74E8BA2C" w14:textId="77777777" w:rsidR="00636A25" w:rsidRPr="00055339" w:rsidRDefault="00636A25" w:rsidP="00E03A3E">
      <w:pPr>
        <w:tabs>
          <w:tab w:val="left" w:pos="851"/>
        </w:tabs>
        <w:spacing w:after="120"/>
        <w:contextualSpacing/>
        <w:jc w:val="both"/>
        <w:rPr>
          <w:rFonts w:ascii="Cambria" w:eastAsia="Calibri" w:hAnsi="Cambria"/>
          <w:color w:val="00000A"/>
          <w:sz w:val="20"/>
          <w:szCs w:val="20"/>
        </w:rPr>
      </w:pPr>
    </w:p>
    <w:p w14:paraId="1812E9EB" w14:textId="5A5152B5" w:rsidR="0008370B" w:rsidRPr="00055339" w:rsidRDefault="006455A7" w:rsidP="00E03A3E">
      <w:pPr>
        <w:tabs>
          <w:tab w:val="left" w:pos="851"/>
        </w:tabs>
        <w:spacing w:after="120"/>
        <w:contextualSpacing/>
        <w:jc w:val="both"/>
        <w:rPr>
          <w:rFonts w:ascii="Cambria" w:hAnsi="Cambria"/>
          <w:b/>
          <w:sz w:val="20"/>
          <w:szCs w:val="20"/>
        </w:rPr>
      </w:pPr>
      <w:r w:rsidRPr="00055339">
        <w:rPr>
          <w:rFonts w:ascii="Cambria" w:hAnsi="Cambria"/>
          <w:b/>
          <w:sz w:val="20"/>
          <w:szCs w:val="20"/>
        </w:rPr>
        <w:t>Comisión General de Pesca del Mediterráneo (GFCM)</w:t>
      </w:r>
    </w:p>
    <w:p w14:paraId="1B187B45" w14:textId="77777777" w:rsidR="0008370B" w:rsidRPr="00055339" w:rsidRDefault="0008370B" w:rsidP="00E03A3E">
      <w:pPr>
        <w:tabs>
          <w:tab w:val="left" w:pos="851"/>
        </w:tabs>
        <w:spacing w:after="120"/>
        <w:contextualSpacing/>
        <w:jc w:val="both"/>
        <w:rPr>
          <w:rFonts w:ascii="Cambria" w:eastAsia="Calibri" w:hAnsi="Cambria"/>
          <w:color w:val="00000A"/>
          <w:sz w:val="20"/>
          <w:szCs w:val="20"/>
        </w:rPr>
      </w:pPr>
    </w:p>
    <w:p w14:paraId="35F132A7" w14:textId="588A2DD7" w:rsidR="0008370B" w:rsidRPr="00055339" w:rsidRDefault="0008370B" w:rsidP="0008370B">
      <w:pPr>
        <w:tabs>
          <w:tab w:val="left" w:pos="851"/>
        </w:tabs>
        <w:spacing w:after="120"/>
        <w:contextualSpacing/>
        <w:jc w:val="both"/>
        <w:rPr>
          <w:rFonts w:ascii="Cambria" w:eastAsia="Calibri" w:hAnsi="Cambria"/>
          <w:color w:val="00000A"/>
          <w:sz w:val="20"/>
          <w:szCs w:val="20"/>
        </w:rPr>
      </w:pPr>
      <w:r w:rsidRPr="00055339">
        <w:rPr>
          <w:rFonts w:ascii="Cambria" w:hAnsi="Cambria"/>
          <w:color w:val="00000A"/>
          <w:sz w:val="20"/>
          <w:szCs w:val="20"/>
        </w:rPr>
        <w:t>En el marco de la Carta del Acuerdo con la GFCM, la colaboración con esta OROP ha seguido desarrollándose y reforzándose en ámbitos de interés mutuo para ambas organizaciones. Durante 2025 esta colaboración se ha centrado principalmente en cuestiones de cumplimiento. De acuerdo con las peticiones de sus respectivas comisiones, el personal de las secretarías de la CGPM y de ICCAT celebró reuniones presenciales y en línea para compartir puntos de vista, plantear cuestiones y debatir un enfoque común sobre temas clave de cumplimiento, como: el VMS; el Programa conjunto de inspección internacional; la comprobación cruzada de las listas de buques IUU; y, el procedimiento de revisión del cumplimiento de las medidas de conservación y ordenación. A la luz de los debates previstos en la sesión anual de ICCAT, la Secretaría de ICCAT está dispuesta a cooperar y coordinarse con la Secretaría de la GFCM para apoyar la evaluación y el impacto del uso de redes de deriva en el Mediterráneo.</w:t>
      </w:r>
    </w:p>
    <w:p w14:paraId="16A38B7D" w14:textId="77777777" w:rsidR="0036784C" w:rsidRDefault="0036784C" w:rsidP="0036784C">
      <w:pPr>
        <w:tabs>
          <w:tab w:val="left" w:pos="851"/>
        </w:tabs>
        <w:spacing w:after="120"/>
        <w:contextualSpacing/>
        <w:jc w:val="both"/>
        <w:rPr>
          <w:rFonts w:ascii="Cambria" w:eastAsia="Calibri" w:hAnsi="Cambria"/>
          <w:color w:val="00000A"/>
          <w:sz w:val="20"/>
          <w:szCs w:val="20"/>
        </w:rPr>
      </w:pPr>
    </w:p>
    <w:p w14:paraId="3C8EDC98" w14:textId="77777777" w:rsidR="00636A25" w:rsidRPr="00055339" w:rsidRDefault="00636A25" w:rsidP="0036784C">
      <w:pPr>
        <w:tabs>
          <w:tab w:val="left" w:pos="851"/>
        </w:tabs>
        <w:spacing w:after="120"/>
        <w:contextualSpacing/>
        <w:jc w:val="both"/>
        <w:rPr>
          <w:rFonts w:ascii="Cambria" w:eastAsia="Calibri" w:hAnsi="Cambria"/>
          <w:color w:val="00000A"/>
          <w:sz w:val="20"/>
          <w:szCs w:val="20"/>
        </w:rPr>
      </w:pPr>
    </w:p>
    <w:p w14:paraId="03731CEB" w14:textId="26AFDBA8" w:rsidR="00EC53D1" w:rsidRPr="00055339" w:rsidRDefault="0036784C" w:rsidP="0036784C">
      <w:pPr>
        <w:tabs>
          <w:tab w:val="left" w:pos="851"/>
        </w:tabs>
        <w:spacing w:after="120"/>
        <w:contextualSpacing/>
        <w:jc w:val="both"/>
        <w:rPr>
          <w:rFonts w:ascii="Cambria" w:hAnsi="Cambria"/>
          <w:b/>
          <w:sz w:val="20"/>
          <w:szCs w:val="20"/>
        </w:rPr>
      </w:pPr>
      <w:r w:rsidRPr="00055339">
        <w:rPr>
          <w:rFonts w:ascii="Cambria" w:hAnsi="Cambria"/>
          <w:b/>
          <w:sz w:val="20"/>
          <w:szCs w:val="20"/>
        </w:rPr>
        <w:t>Comisión de Pesca del Atlántico Nordeste (NEAFC)</w:t>
      </w:r>
    </w:p>
    <w:p w14:paraId="1091E80B" w14:textId="77777777" w:rsidR="00F30015" w:rsidRPr="00055339" w:rsidRDefault="00F30015" w:rsidP="00E03A3E">
      <w:pPr>
        <w:tabs>
          <w:tab w:val="left" w:pos="851"/>
        </w:tabs>
        <w:spacing w:after="120"/>
        <w:contextualSpacing/>
        <w:jc w:val="both"/>
        <w:rPr>
          <w:rFonts w:ascii="Cambria" w:eastAsia="Calibri" w:hAnsi="Cambria"/>
          <w:color w:val="00000A"/>
          <w:sz w:val="20"/>
          <w:szCs w:val="20"/>
        </w:rPr>
      </w:pPr>
    </w:p>
    <w:p w14:paraId="44CC53DE" w14:textId="76800F01" w:rsidR="006D30B9" w:rsidRPr="00055339" w:rsidRDefault="006D30B9" w:rsidP="006D30B9">
      <w:pPr>
        <w:tabs>
          <w:tab w:val="left" w:pos="851"/>
        </w:tabs>
        <w:spacing w:after="120"/>
        <w:contextualSpacing/>
        <w:jc w:val="both"/>
        <w:rPr>
          <w:rFonts w:ascii="Cambria" w:eastAsia="Calibri" w:hAnsi="Cambria"/>
          <w:color w:val="00000A"/>
          <w:sz w:val="20"/>
          <w:szCs w:val="20"/>
        </w:rPr>
      </w:pPr>
      <w:r w:rsidRPr="00055339">
        <w:rPr>
          <w:rFonts w:ascii="Cambria" w:hAnsi="Cambria"/>
          <w:color w:val="00000A"/>
          <w:sz w:val="20"/>
          <w:szCs w:val="20"/>
        </w:rPr>
        <w:t xml:space="preserve">A raíz de las consultas realizadas por la NEAFC sobre asuntos relacionados con los buques pesqueros que faenan en las zonas de solapamiento de ambas organizaciones y sus actividades conexas, como la comunicación y el transbordo de buques que enarbolan pabellón de sus miembros, ICCAT y la NEAFC celebraron reuniones para buscar aclaraciones. Las dos secretarías acordaron entonces que un marco formal abarcaría la cooperación en materia de intercambio de datos e información, así como, en términos más generales, en relación con el seguimiento, el control y la vigilancia (MCS), el intercambio de experiencias sobre avances técnicos y su aplicación, como el Sistema electrónico de comunicación de información (ERS), UN FLUX, el Sistema de seguimiento de buques (VMS), y estaría abierto a otros temas pertinentes de su interés. </w:t>
      </w:r>
    </w:p>
    <w:p w14:paraId="2F642221" w14:textId="77777777" w:rsidR="006D30B9" w:rsidRPr="00055339" w:rsidRDefault="006D30B9" w:rsidP="006D30B9">
      <w:pPr>
        <w:tabs>
          <w:tab w:val="left" w:pos="851"/>
        </w:tabs>
        <w:spacing w:after="120"/>
        <w:contextualSpacing/>
        <w:jc w:val="both"/>
        <w:rPr>
          <w:rFonts w:ascii="Cambria" w:eastAsia="Calibri" w:hAnsi="Cambria"/>
          <w:color w:val="00000A"/>
          <w:sz w:val="20"/>
          <w:szCs w:val="20"/>
        </w:rPr>
      </w:pPr>
    </w:p>
    <w:p w14:paraId="6DBA396C" w14:textId="3E6FEDC6" w:rsidR="006D30B9" w:rsidRPr="00055339" w:rsidRDefault="006D30B9" w:rsidP="006D30B9">
      <w:pPr>
        <w:tabs>
          <w:tab w:val="left" w:pos="851"/>
        </w:tabs>
        <w:spacing w:after="120"/>
        <w:contextualSpacing/>
        <w:jc w:val="both"/>
        <w:rPr>
          <w:rFonts w:ascii="Cambria" w:eastAsia="Calibri" w:hAnsi="Cambria"/>
          <w:color w:val="00000A"/>
          <w:sz w:val="20"/>
          <w:szCs w:val="20"/>
        </w:rPr>
      </w:pPr>
      <w:r w:rsidRPr="00055339">
        <w:rPr>
          <w:rFonts w:ascii="Cambria" w:hAnsi="Cambria"/>
          <w:color w:val="00000A"/>
          <w:sz w:val="20"/>
          <w:szCs w:val="20"/>
        </w:rPr>
        <w:t>La Secretaría de ICCAT ha recibido un borrador inicial de la NEAFC, pero está preparando un borrador de documento simplificado para formalizar este acuerdo, que se comunicará a la Secretaría de la NEAFC para su revisión y evaluación en el periodo intersesiones de 2026, antes de someterlo a la consideración de la Comisión.</w:t>
      </w:r>
    </w:p>
    <w:p w14:paraId="6E4A65DF" w14:textId="03B31F8B" w:rsidR="0092394F" w:rsidRPr="00055339" w:rsidRDefault="0092394F" w:rsidP="00E03A3E">
      <w:pPr>
        <w:tabs>
          <w:tab w:val="left" w:pos="851"/>
        </w:tabs>
        <w:spacing w:after="120"/>
        <w:contextualSpacing/>
        <w:jc w:val="both"/>
        <w:rPr>
          <w:rFonts w:ascii="Cambria" w:eastAsia="Calibri" w:hAnsi="Cambria"/>
          <w:b/>
          <w:bCs/>
          <w:color w:val="00000A"/>
          <w:sz w:val="20"/>
          <w:szCs w:val="20"/>
        </w:rPr>
      </w:pPr>
      <w:r w:rsidRPr="00055339">
        <w:rPr>
          <w:rFonts w:ascii="Cambria" w:hAnsi="Cambria"/>
          <w:b/>
          <w:sz w:val="20"/>
          <w:szCs w:val="20"/>
        </w:rPr>
        <w:t>Iniciativa Océanos Sostenibles - Diálogo mundial (SOI)</w:t>
      </w:r>
    </w:p>
    <w:p w14:paraId="23AC6857" w14:textId="77777777" w:rsidR="0092394F" w:rsidRPr="00055339" w:rsidRDefault="0092394F" w:rsidP="00214FDE">
      <w:pPr>
        <w:tabs>
          <w:tab w:val="left" w:pos="851"/>
        </w:tabs>
        <w:contextualSpacing/>
        <w:jc w:val="both"/>
        <w:rPr>
          <w:rFonts w:ascii="Cambria" w:eastAsia="Calibri" w:hAnsi="Cambria"/>
          <w:b/>
          <w:bCs/>
          <w:color w:val="00000A"/>
          <w:sz w:val="20"/>
          <w:szCs w:val="20"/>
        </w:rPr>
      </w:pPr>
    </w:p>
    <w:p w14:paraId="5F57798A" w14:textId="56C87D22" w:rsidR="000E3428" w:rsidRPr="00055339" w:rsidRDefault="0066306B" w:rsidP="000E3428">
      <w:pPr>
        <w:pStyle w:val="Default"/>
        <w:jc w:val="both"/>
        <w:rPr>
          <w:rFonts w:ascii="Cambria" w:hAnsi="Cambria" w:cs="Times New Roman"/>
          <w:sz w:val="20"/>
          <w:szCs w:val="20"/>
        </w:rPr>
      </w:pPr>
      <w:r w:rsidRPr="00055339">
        <w:rPr>
          <w:rFonts w:ascii="Cambria" w:hAnsi="Cambria"/>
          <w:sz w:val="20"/>
          <w:szCs w:val="20"/>
        </w:rPr>
        <w:t xml:space="preserve">SOI celebró un taller intersesiones en junio en Niza (Francia). Se presentaron varias actualizaciones regionales sobre actividades intersectoriales de cooperación y coordinación regional. En cumplimiento de los objetivos de SOI, que consisten principalmente en fomentar la cooperación y la coordinación entre las instituciones que operan en las mismas zonas marítimas, las organizaciones se informaron mutuamente de sus últimos avances y actividades de cooperación. Sus presentaciones, a las que siguieron las relativas al Marco mundial para la biodiversidad de Kunming-Montreal y al Acuerdo BBNJ, dieron lugar a debates que pusieron de relieve la necesidad de mejorar la cooperación y la coordinación a los niveles pertinentes, sobre todo teniendo en cuenta la aplicación de estos instrumentos globales. Se animó encarecidamente a los participantes a proseguir estos esfuerzos y a transmitir el mensaje en sus organizaciones.  </w:t>
      </w:r>
    </w:p>
    <w:p w14:paraId="260526F0" w14:textId="77777777" w:rsidR="00CD134A" w:rsidRPr="00055339" w:rsidRDefault="00CD134A" w:rsidP="000E3428">
      <w:pPr>
        <w:pStyle w:val="Default"/>
        <w:jc w:val="both"/>
        <w:rPr>
          <w:rFonts w:ascii="Cambria" w:hAnsi="Cambria" w:cs="Times New Roman"/>
          <w:sz w:val="20"/>
          <w:szCs w:val="20"/>
        </w:rPr>
      </w:pPr>
    </w:p>
    <w:p w14:paraId="39DE9433" w14:textId="77777777" w:rsidR="000E3428" w:rsidRPr="00055339" w:rsidRDefault="000E3428" w:rsidP="00214FDE">
      <w:pPr>
        <w:pStyle w:val="Default"/>
        <w:jc w:val="both"/>
        <w:rPr>
          <w:rFonts w:ascii="Cambria" w:hAnsi="Cambria"/>
          <w:sz w:val="20"/>
          <w:szCs w:val="20"/>
        </w:rPr>
      </w:pPr>
      <w:r w:rsidRPr="00055339">
        <w:rPr>
          <w:rFonts w:ascii="Cambria" w:hAnsi="Cambria"/>
          <w:sz w:val="20"/>
          <w:szCs w:val="20"/>
        </w:rPr>
        <w:t xml:space="preserve">Está previsto que la 5ª Reunión de SOI - Diálogo mundial se celebre en 2026 en Seúl (Corea) durante 3-4 días.    </w:t>
      </w:r>
    </w:p>
    <w:p w14:paraId="73218D86" w14:textId="77777777" w:rsidR="007815D4" w:rsidRDefault="007815D4" w:rsidP="00E03A3E">
      <w:pPr>
        <w:tabs>
          <w:tab w:val="left" w:pos="851"/>
        </w:tabs>
        <w:spacing w:after="120"/>
        <w:contextualSpacing/>
        <w:jc w:val="both"/>
        <w:rPr>
          <w:rFonts w:ascii="Cambria" w:eastAsia="Calibri" w:hAnsi="Cambria"/>
          <w:b/>
          <w:bCs/>
          <w:color w:val="00000A"/>
          <w:sz w:val="20"/>
          <w:szCs w:val="20"/>
        </w:rPr>
      </w:pPr>
    </w:p>
    <w:p w14:paraId="16C274EA" w14:textId="77777777" w:rsidR="00636A25" w:rsidRPr="00055339" w:rsidRDefault="00636A25" w:rsidP="00E03A3E">
      <w:pPr>
        <w:tabs>
          <w:tab w:val="left" w:pos="851"/>
        </w:tabs>
        <w:spacing w:after="120"/>
        <w:contextualSpacing/>
        <w:jc w:val="both"/>
        <w:rPr>
          <w:rFonts w:ascii="Cambria" w:eastAsia="Calibri" w:hAnsi="Cambria"/>
          <w:b/>
          <w:bCs/>
          <w:color w:val="00000A"/>
          <w:sz w:val="20"/>
          <w:szCs w:val="20"/>
        </w:rPr>
      </w:pPr>
    </w:p>
    <w:p w14:paraId="679D3262" w14:textId="407C143F" w:rsidR="00E03A3E" w:rsidRPr="00055339" w:rsidRDefault="00E03A3E" w:rsidP="00E03A3E">
      <w:pPr>
        <w:tabs>
          <w:tab w:val="left" w:pos="851"/>
        </w:tabs>
        <w:spacing w:after="120"/>
        <w:contextualSpacing/>
        <w:jc w:val="both"/>
        <w:rPr>
          <w:rFonts w:ascii="Cambria" w:eastAsia="Calibri" w:hAnsi="Cambria"/>
          <w:color w:val="00000A"/>
          <w:sz w:val="20"/>
          <w:szCs w:val="20"/>
        </w:rPr>
      </w:pPr>
      <w:r w:rsidRPr="00055339">
        <w:rPr>
          <w:rFonts w:ascii="Cambria" w:hAnsi="Cambria"/>
          <w:b/>
          <w:color w:val="00000A"/>
          <w:sz w:val="20"/>
          <w:szCs w:val="20"/>
        </w:rPr>
        <w:t>Biodiversidad más allá de las jurisdicciones nacionales (BBNJ)</w:t>
      </w:r>
    </w:p>
    <w:p w14:paraId="14A2CE31" w14:textId="77777777" w:rsidR="00E03A3E" w:rsidRPr="00055339" w:rsidRDefault="00E03A3E" w:rsidP="00E03A3E">
      <w:pPr>
        <w:jc w:val="both"/>
        <w:rPr>
          <w:rFonts w:ascii="Cambria" w:hAnsi="Cambria"/>
          <w:color w:val="00000A"/>
          <w:sz w:val="20"/>
          <w:szCs w:val="20"/>
        </w:rPr>
      </w:pPr>
    </w:p>
    <w:p w14:paraId="72709CE6" w14:textId="03B6B068" w:rsidR="00957CA6" w:rsidRPr="00055339" w:rsidRDefault="00E03A3E" w:rsidP="00E03A3E">
      <w:pPr>
        <w:jc w:val="both"/>
        <w:rPr>
          <w:rFonts w:ascii="Cambria" w:hAnsi="Cambria"/>
          <w:color w:val="00000A"/>
          <w:sz w:val="20"/>
          <w:szCs w:val="20"/>
        </w:rPr>
      </w:pPr>
      <w:r w:rsidRPr="00055339">
        <w:rPr>
          <w:rFonts w:ascii="Cambria" w:hAnsi="Cambria"/>
          <w:sz w:val="20"/>
          <w:szCs w:val="20"/>
        </w:rPr>
        <w:t xml:space="preserve">El secretario ejecutivo asistió a la </w:t>
      </w:r>
      <w:hyperlink r:id="rId23" w:history="1">
        <w:r w:rsidRPr="00055339">
          <w:rPr>
            <w:rStyle w:val="Hyperlink"/>
            <w:rFonts w:ascii="Cambria" w:hAnsi="Cambria"/>
            <w:sz w:val="20"/>
            <w:szCs w:val="20"/>
            <w:u w:val="none"/>
          </w:rPr>
          <w:t>Segunda sesión de la Comisión preparatoria del Acuerdo BBNJ</w:t>
        </w:r>
      </w:hyperlink>
      <w:r w:rsidRPr="00055339">
        <w:rPr>
          <w:rFonts w:ascii="Cambria" w:hAnsi="Cambria"/>
          <w:sz w:val="20"/>
          <w:szCs w:val="20"/>
        </w:rPr>
        <w:t>, celebrada en Nueva York (EE. UU.) del 18 al 29 de agosto de 2025.</w:t>
      </w:r>
      <w:r w:rsidRPr="00055339">
        <w:rPr>
          <w:rFonts w:ascii="Cambria" w:hAnsi="Cambria"/>
          <w:color w:val="00000A"/>
          <w:sz w:val="20"/>
          <w:szCs w:val="20"/>
        </w:rPr>
        <w:t xml:space="preserve"> La Comisión preparatoria prosiguió el trabajo de revisión de los textos básicos que rigen el funcionamiento de los distintos órganos subsidiarios de la BBNJ, pero no pudo concluirlos. Los copresidentes propusieron preparar versiones revisadas de los documentos debatidos, y un proceso entre sesiones que permita a las delegaciones contribuir </w:t>
      </w:r>
      <w:r w:rsidRPr="00176518">
        <w:rPr>
          <w:rFonts w:ascii="Cambria" w:hAnsi="Cambria"/>
          <w:color w:val="00000A"/>
          <w:sz w:val="20"/>
          <w:szCs w:val="20"/>
        </w:rPr>
        <w:t>a realizar los ajustes necesarios en los documentos y avanzar en los debates antes de la tercera sesión de la Comisión preparatoria, que se celebrará del 23 de marzo al 2 de abril de 2026. También señalaron que el objetivo es llegar a la primera reunión de la Conferencia de las partes con los textos finalizados. Dado que el número de partes en la BBNJ supera ya las 60, el instrumento entrará en vigor el 17 de enero de 2026. Durante los debates sobre la cooperación con los instrumentos y marcos internacionales existentes, ICCAT presentó una "</w:t>
      </w:r>
      <w:hyperlink r:id="rId24" w:history="1">
        <w:r w:rsidRPr="00176518">
          <w:rPr>
            <w:rStyle w:val="Hyperlink"/>
            <w:rFonts w:ascii="Cambria" w:hAnsi="Cambria"/>
            <w:sz w:val="20"/>
            <w:szCs w:val="20"/>
            <w:u w:val="none"/>
          </w:rPr>
          <w:t>Declaración conjunta de las cinco secretarías de las OROP</w:t>
        </w:r>
      </w:hyperlink>
      <w:r w:rsidRPr="00176518">
        <w:rPr>
          <w:rFonts w:ascii="Cambria" w:hAnsi="Cambria"/>
          <w:color w:val="00000A"/>
          <w:sz w:val="20"/>
          <w:szCs w:val="20"/>
        </w:rPr>
        <w:t>", recordando sus mandatos y el trabajo que llevan a cabo, al tiempo que solicitaban una cooperación efectiva.</w:t>
      </w:r>
      <w:r w:rsidRPr="00055339">
        <w:rPr>
          <w:rFonts w:ascii="Cambria" w:hAnsi="Cambria"/>
          <w:color w:val="00000A"/>
          <w:sz w:val="20"/>
          <w:szCs w:val="20"/>
        </w:rPr>
        <w:t xml:space="preserve"> </w:t>
      </w:r>
    </w:p>
    <w:p w14:paraId="54ED313E" w14:textId="77777777" w:rsidR="00CD134A" w:rsidRPr="00055339" w:rsidRDefault="00CD134A" w:rsidP="00E03A3E">
      <w:pPr>
        <w:jc w:val="both"/>
        <w:rPr>
          <w:rFonts w:ascii="Cambria" w:hAnsi="Cambria"/>
          <w:color w:val="00000A"/>
          <w:sz w:val="20"/>
          <w:szCs w:val="20"/>
        </w:rPr>
      </w:pPr>
    </w:p>
    <w:p w14:paraId="44CCF98E" w14:textId="2CED9DD7" w:rsidR="00E03A3E" w:rsidRPr="00055339" w:rsidRDefault="00957CA6" w:rsidP="00E03A3E">
      <w:pPr>
        <w:jc w:val="both"/>
        <w:rPr>
          <w:rFonts w:ascii="Cambria" w:hAnsi="Cambria"/>
          <w:color w:val="00000A"/>
          <w:sz w:val="20"/>
          <w:szCs w:val="20"/>
        </w:rPr>
      </w:pPr>
      <w:r w:rsidRPr="00055339">
        <w:rPr>
          <w:rFonts w:ascii="Cambria" w:hAnsi="Cambria"/>
          <w:color w:val="00000A"/>
          <w:sz w:val="20"/>
          <w:szCs w:val="20"/>
        </w:rPr>
        <w:t xml:space="preserve">Es importante reclamar una vez más una mayor participación de los expertos pesqueros de las CPC, con el fin de defender, en particular en esta fase del proceso, una representación adecuada de los conocimientos pesqueros en los órganos pertinentes del Acuerdo.  </w:t>
      </w:r>
    </w:p>
    <w:p w14:paraId="5A079B0E" w14:textId="77777777" w:rsidR="0037775D" w:rsidRPr="00055339" w:rsidRDefault="0037775D" w:rsidP="0037775D">
      <w:pPr>
        <w:jc w:val="both"/>
        <w:rPr>
          <w:rFonts w:ascii="Cambria" w:hAnsi="Cambria"/>
          <w:color w:val="00000A"/>
          <w:sz w:val="20"/>
          <w:szCs w:val="20"/>
        </w:rPr>
      </w:pPr>
    </w:p>
    <w:p w14:paraId="4999802A" w14:textId="77777777" w:rsidR="00036907" w:rsidRDefault="00036907" w:rsidP="00214FDE">
      <w:pPr>
        <w:jc w:val="both"/>
        <w:rPr>
          <w:rFonts w:ascii="Cambria" w:hAnsi="Cambria"/>
          <w:b/>
          <w:color w:val="00000A"/>
          <w:sz w:val="20"/>
          <w:szCs w:val="20"/>
        </w:rPr>
      </w:pPr>
    </w:p>
    <w:p w14:paraId="12FD2DE5" w14:textId="1B41E276" w:rsidR="00FB70EF" w:rsidRPr="00055339" w:rsidRDefault="000A3341" w:rsidP="00214FDE">
      <w:pPr>
        <w:jc w:val="both"/>
        <w:rPr>
          <w:rFonts w:ascii="Cambria" w:hAnsi="Cambria"/>
          <w:b/>
          <w:bCs/>
          <w:color w:val="00000A"/>
          <w:sz w:val="20"/>
          <w:szCs w:val="20"/>
        </w:rPr>
      </w:pPr>
      <w:r w:rsidRPr="00055339">
        <w:rPr>
          <w:rFonts w:ascii="Cambria" w:hAnsi="Cambria"/>
          <w:b/>
          <w:color w:val="00000A"/>
          <w:sz w:val="20"/>
          <w:szCs w:val="20"/>
        </w:rPr>
        <w:t>Taller mundial sobre evaluación de estrategias de ordenación (MSE) para el tiburón azul</w:t>
      </w:r>
    </w:p>
    <w:p w14:paraId="160C335D" w14:textId="77777777" w:rsidR="00225DD0" w:rsidRPr="00055339" w:rsidRDefault="00225DD0" w:rsidP="00214FDE">
      <w:pPr>
        <w:jc w:val="both"/>
        <w:rPr>
          <w:rFonts w:ascii="Cambria" w:hAnsi="Cambria"/>
          <w:sz w:val="20"/>
          <w:szCs w:val="20"/>
        </w:rPr>
      </w:pPr>
    </w:p>
    <w:p w14:paraId="072C481B" w14:textId="30A1CF96" w:rsidR="000A3341" w:rsidRPr="00055339" w:rsidRDefault="00374501" w:rsidP="00214FDE">
      <w:pPr>
        <w:jc w:val="both"/>
        <w:rPr>
          <w:rFonts w:ascii="Cambria" w:hAnsi="Cambria"/>
          <w:sz w:val="20"/>
          <w:szCs w:val="20"/>
        </w:rPr>
      </w:pPr>
      <w:r w:rsidRPr="00055339">
        <w:rPr>
          <w:rFonts w:ascii="Cambria" w:hAnsi="Cambria"/>
          <w:sz w:val="20"/>
          <w:szCs w:val="20"/>
        </w:rPr>
        <w:t xml:space="preserve">Del 14 al 16 de octubre de 2025 se celebró en Roma (Italia) el Taller mundial sobre evaluación de estrategias de ordenación para el tiburón azul, organizado por </w:t>
      </w:r>
      <w:proofErr w:type="spellStart"/>
      <w:r w:rsidRPr="00055339">
        <w:rPr>
          <w:rFonts w:ascii="Cambria" w:hAnsi="Cambria"/>
          <w:sz w:val="20"/>
          <w:szCs w:val="20"/>
        </w:rPr>
        <w:t>The</w:t>
      </w:r>
      <w:proofErr w:type="spellEnd"/>
      <w:r w:rsidRPr="00055339">
        <w:rPr>
          <w:rFonts w:ascii="Cambria" w:hAnsi="Cambria"/>
          <w:sz w:val="20"/>
          <w:szCs w:val="20"/>
        </w:rPr>
        <w:t xml:space="preserve"> </w:t>
      </w:r>
      <w:proofErr w:type="spellStart"/>
      <w:r w:rsidRPr="00055339">
        <w:rPr>
          <w:rFonts w:ascii="Cambria" w:hAnsi="Cambria"/>
          <w:sz w:val="20"/>
          <w:szCs w:val="20"/>
        </w:rPr>
        <w:t>Ocean</w:t>
      </w:r>
      <w:proofErr w:type="spellEnd"/>
      <w:r w:rsidRPr="00055339">
        <w:rPr>
          <w:rFonts w:ascii="Cambria" w:hAnsi="Cambria"/>
          <w:sz w:val="20"/>
          <w:szCs w:val="20"/>
        </w:rPr>
        <w:t xml:space="preserve"> </w:t>
      </w:r>
      <w:proofErr w:type="spellStart"/>
      <w:r w:rsidRPr="00055339">
        <w:rPr>
          <w:rFonts w:ascii="Cambria" w:hAnsi="Cambria"/>
          <w:sz w:val="20"/>
          <w:szCs w:val="20"/>
        </w:rPr>
        <w:t>Foundation</w:t>
      </w:r>
      <w:proofErr w:type="spellEnd"/>
      <w:r w:rsidRPr="00055339">
        <w:rPr>
          <w:rFonts w:ascii="Cambria" w:hAnsi="Cambria"/>
          <w:sz w:val="20"/>
          <w:szCs w:val="20"/>
        </w:rPr>
        <w:t xml:space="preserve"> y </w:t>
      </w:r>
      <w:proofErr w:type="spellStart"/>
      <w:r w:rsidRPr="00055339">
        <w:rPr>
          <w:rFonts w:ascii="Cambria" w:hAnsi="Cambria"/>
          <w:sz w:val="20"/>
          <w:szCs w:val="20"/>
        </w:rPr>
        <w:t>The</w:t>
      </w:r>
      <w:proofErr w:type="spellEnd"/>
      <w:r w:rsidRPr="00055339">
        <w:rPr>
          <w:rFonts w:ascii="Cambria" w:hAnsi="Cambria"/>
          <w:sz w:val="20"/>
          <w:szCs w:val="20"/>
        </w:rPr>
        <w:t xml:space="preserve"> Pew </w:t>
      </w:r>
      <w:proofErr w:type="spellStart"/>
      <w:r w:rsidRPr="00055339">
        <w:rPr>
          <w:rFonts w:ascii="Cambria" w:hAnsi="Cambria"/>
          <w:sz w:val="20"/>
          <w:szCs w:val="20"/>
        </w:rPr>
        <w:t>Charitable</w:t>
      </w:r>
      <w:proofErr w:type="spellEnd"/>
      <w:r w:rsidRPr="00055339">
        <w:rPr>
          <w:rFonts w:ascii="Cambria" w:hAnsi="Cambria"/>
          <w:sz w:val="20"/>
          <w:szCs w:val="20"/>
        </w:rPr>
        <w:t xml:space="preserve"> </w:t>
      </w:r>
      <w:proofErr w:type="spellStart"/>
      <w:r w:rsidRPr="00055339">
        <w:rPr>
          <w:rFonts w:ascii="Cambria" w:hAnsi="Cambria"/>
          <w:sz w:val="20"/>
          <w:szCs w:val="20"/>
        </w:rPr>
        <w:t>Trusts</w:t>
      </w:r>
      <w:proofErr w:type="spellEnd"/>
      <w:r w:rsidRPr="00055339">
        <w:rPr>
          <w:rFonts w:ascii="Cambria" w:hAnsi="Cambria"/>
          <w:sz w:val="20"/>
          <w:szCs w:val="20"/>
        </w:rPr>
        <w:t xml:space="preserve"> con el apoyo de </w:t>
      </w:r>
      <w:proofErr w:type="spellStart"/>
      <w:r w:rsidRPr="00055339">
        <w:rPr>
          <w:rFonts w:ascii="Cambria" w:hAnsi="Cambria"/>
          <w:sz w:val="20"/>
          <w:szCs w:val="20"/>
        </w:rPr>
        <w:t>Oceankind</w:t>
      </w:r>
      <w:proofErr w:type="spellEnd"/>
      <w:r w:rsidRPr="00055339">
        <w:rPr>
          <w:rFonts w:ascii="Cambria" w:hAnsi="Cambria"/>
          <w:sz w:val="20"/>
          <w:szCs w:val="20"/>
        </w:rPr>
        <w:t xml:space="preserve">, la Paul M. Angell </w:t>
      </w:r>
      <w:proofErr w:type="spellStart"/>
      <w:r w:rsidRPr="00055339">
        <w:rPr>
          <w:rFonts w:ascii="Cambria" w:hAnsi="Cambria"/>
          <w:sz w:val="20"/>
          <w:szCs w:val="20"/>
        </w:rPr>
        <w:t>Family</w:t>
      </w:r>
      <w:proofErr w:type="spellEnd"/>
      <w:r w:rsidRPr="00055339">
        <w:rPr>
          <w:rFonts w:ascii="Cambria" w:hAnsi="Cambria"/>
          <w:sz w:val="20"/>
          <w:szCs w:val="20"/>
        </w:rPr>
        <w:t xml:space="preserve"> </w:t>
      </w:r>
      <w:proofErr w:type="spellStart"/>
      <w:r w:rsidRPr="00055339">
        <w:rPr>
          <w:rFonts w:ascii="Cambria" w:hAnsi="Cambria"/>
          <w:sz w:val="20"/>
          <w:szCs w:val="20"/>
        </w:rPr>
        <w:t>Foundation</w:t>
      </w:r>
      <w:proofErr w:type="spellEnd"/>
      <w:r w:rsidRPr="00055339">
        <w:rPr>
          <w:rFonts w:ascii="Cambria" w:hAnsi="Cambria"/>
          <w:sz w:val="20"/>
          <w:szCs w:val="20"/>
        </w:rPr>
        <w:t xml:space="preserve"> y el Programa de océanos comunes de la FAO. La reunión congregó a científicos de las cinco OROP de túnidos para avanzar en los enfoques armonizados de la MSE para el tiburón azul (</w:t>
      </w:r>
      <w:proofErr w:type="spellStart"/>
      <w:r w:rsidRPr="00055339">
        <w:rPr>
          <w:rFonts w:ascii="Cambria" w:hAnsi="Cambria"/>
          <w:i/>
          <w:sz w:val="20"/>
          <w:szCs w:val="20"/>
        </w:rPr>
        <w:t>Prionace</w:t>
      </w:r>
      <w:proofErr w:type="spellEnd"/>
      <w:r w:rsidRPr="00055339">
        <w:rPr>
          <w:rFonts w:ascii="Cambria" w:hAnsi="Cambria"/>
          <w:i/>
          <w:sz w:val="20"/>
          <w:szCs w:val="20"/>
        </w:rPr>
        <w:t xml:space="preserve"> glauca</w:t>
      </w:r>
      <w:r w:rsidRPr="00055339">
        <w:rPr>
          <w:rFonts w:ascii="Cambria" w:hAnsi="Cambria"/>
          <w:sz w:val="20"/>
          <w:szCs w:val="20"/>
        </w:rPr>
        <w:t xml:space="preserve">). Los participantes repasaron los avances regionales en lo relativo a la ciencia del tiburón azul, aclararon conceptos de MSE y realizaron prácticas de formación y análisis utilizando la plataforma </w:t>
      </w:r>
      <w:proofErr w:type="spellStart"/>
      <w:r w:rsidRPr="00055339">
        <w:rPr>
          <w:rFonts w:ascii="Cambria" w:hAnsi="Cambria"/>
          <w:sz w:val="20"/>
          <w:szCs w:val="20"/>
        </w:rPr>
        <w:t>openMSE</w:t>
      </w:r>
      <w:proofErr w:type="spellEnd"/>
      <w:r w:rsidRPr="00055339">
        <w:rPr>
          <w:rFonts w:ascii="Cambria" w:hAnsi="Cambria"/>
          <w:sz w:val="20"/>
          <w:szCs w:val="20"/>
        </w:rPr>
        <w:t xml:space="preserve">. Las sesiones técnicas se centraron en el condicionamiento del modelo operativo, los objetivos de ordenación y las métricas de rendimiento, mientras que los debates hicieron hincapié en la transparencia y la reproducibilidad. Los análisis realizados en el taller podrían ampliarse en el futuro. </w:t>
      </w:r>
    </w:p>
    <w:p w14:paraId="47A79675" w14:textId="77777777" w:rsidR="00D50F8C" w:rsidRPr="00055339" w:rsidRDefault="00D50F8C" w:rsidP="00F475A0">
      <w:pPr>
        <w:jc w:val="both"/>
        <w:rPr>
          <w:rFonts w:ascii="Cambria" w:hAnsi="Cambria"/>
          <w:sz w:val="20"/>
          <w:szCs w:val="20"/>
        </w:rPr>
      </w:pPr>
    </w:p>
    <w:p w14:paraId="104A9382" w14:textId="77777777" w:rsidR="00EB522F" w:rsidRPr="00055339" w:rsidRDefault="00EB522F" w:rsidP="00214FDE">
      <w:pPr>
        <w:jc w:val="both"/>
        <w:rPr>
          <w:rFonts w:ascii="Cambria" w:hAnsi="Cambria"/>
          <w:sz w:val="20"/>
          <w:szCs w:val="20"/>
        </w:rPr>
      </w:pPr>
    </w:p>
    <w:p w14:paraId="7E4D3963" w14:textId="77777777" w:rsidR="00221766" w:rsidRPr="00055339" w:rsidRDefault="00221766" w:rsidP="00214FDE">
      <w:pPr>
        <w:jc w:val="both"/>
        <w:rPr>
          <w:rFonts w:ascii="Cambria" w:hAnsi="Cambria"/>
          <w:b/>
          <w:bCs/>
          <w:sz w:val="20"/>
          <w:szCs w:val="20"/>
        </w:rPr>
      </w:pPr>
      <w:r w:rsidRPr="00055339">
        <w:rPr>
          <w:rFonts w:ascii="Cambria" w:hAnsi="Cambria"/>
          <w:b/>
          <w:sz w:val="20"/>
          <w:szCs w:val="20"/>
        </w:rPr>
        <w:t>Taller FAO-RFB de la región atlántica sobre cambio climático y gobernanza de la pesca</w:t>
      </w:r>
    </w:p>
    <w:p w14:paraId="3C8E1162" w14:textId="77777777" w:rsidR="00221766" w:rsidRPr="00055339" w:rsidRDefault="00221766" w:rsidP="00214FDE">
      <w:pPr>
        <w:jc w:val="both"/>
        <w:rPr>
          <w:rFonts w:ascii="Cambria" w:hAnsi="Cambria"/>
          <w:b/>
          <w:bCs/>
          <w:sz w:val="20"/>
          <w:szCs w:val="20"/>
        </w:rPr>
      </w:pPr>
    </w:p>
    <w:p w14:paraId="739F8326" w14:textId="20A9E1F5" w:rsidR="00221766" w:rsidRPr="00055339" w:rsidRDefault="00221766" w:rsidP="00214FDE">
      <w:pPr>
        <w:jc w:val="both"/>
        <w:rPr>
          <w:rFonts w:ascii="Cambria" w:hAnsi="Cambria"/>
          <w:sz w:val="20"/>
          <w:szCs w:val="20"/>
        </w:rPr>
      </w:pPr>
      <w:r w:rsidRPr="00055339">
        <w:rPr>
          <w:rFonts w:ascii="Cambria" w:hAnsi="Cambria"/>
          <w:sz w:val="20"/>
          <w:szCs w:val="20"/>
        </w:rPr>
        <w:t>El Taller FAO-RFB de la región atlántica, organizado por la FAO en cooperación con la Universidad de Rhodes, se celebró en Ciudad del Cabo, Sudáfrica, los días 21 y 22 de octubre de 2025. El taller reunió a representantes de organismos regionales de pesca de todo el Atlántico para reforzar la colaboración y elaborar pautas orientativas sobre la integración del cambio climático en la gobernanza de la pesca. Los participantes revisaron la base científica de los impactos climáticos sobre los recursos marinos compartidos y debatieron sobre mandatos legales, coordinación institucional y enfoques de ordenación adaptativa. Las sesiones de trabajo hicieron hincapié en la necesidad de armonizar los sistemas de datos, los marcos basados en los ecosistemas y el desarrollo de capacidades para mejorar la resiliencia en todas las regiones. Entre las buenas prácticas cabe citar las iniciativas de colaboración de datos, la integración socioeconómica y el uso de herramientas normalizadas en aras de la transparencia y la comparabilidad. La FAO consolidará estos resultados en unas orientaciones perfeccionadas sobre las ORP y el cambio climático, que se presentarán en la próxima reunión de la RSN en apoyo de las prácticas compartidas de gobernanza climática.</w:t>
      </w:r>
    </w:p>
    <w:p w14:paraId="3FA223D0" w14:textId="77777777" w:rsidR="00EB522F" w:rsidRPr="00055339" w:rsidRDefault="00EB522F" w:rsidP="00214FDE">
      <w:pPr>
        <w:jc w:val="both"/>
        <w:rPr>
          <w:rFonts w:ascii="Cambria" w:hAnsi="Cambria"/>
          <w:sz w:val="20"/>
          <w:szCs w:val="20"/>
        </w:rPr>
      </w:pPr>
    </w:p>
    <w:sectPr w:rsidR="00EB522F" w:rsidRPr="00055339" w:rsidSect="00F2499A">
      <w:headerReference w:type="default" r:id="rId25"/>
      <w:footerReference w:type="default" r:id="rId26"/>
      <w:pgSz w:w="12240" w:h="15840"/>
      <w:pgMar w:top="1440" w:right="1440" w:bottom="1440" w:left="1440" w:header="850"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1F907" w14:textId="77777777" w:rsidR="009A17FB" w:rsidRDefault="009A17FB" w:rsidP="00F2499A">
      <w:r>
        <w:separator/>
      </w:r>
    </w:p>
  </w:endnote>
  <w:endnote w:type="continuationSeparator" w:id="0">
    <w:p w14:paraId="2AF4BAC0" w14:textId="77777777" w:rsidR="009A17FB" w:rsidRDefault="009A17FB" w:rsidP="00F2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DEC37" w14:textId="6EF3621B" w:rsidR="00A15558" w:rsidRPr="00A15558" w:rsidRDefault="00636A25" w:rsidP="00A15558">
    <w:pPr>
      <w:tabs>
        <w:tab w:val="center" w:pos="4535"/>
        <w:tab w:val="center" w:pos="4680"/>
        <w:tab w:val="left" w:pos="6150"/>
        <w:tab w:val="right" w:pos="9360"/>
      </w:tabs>
      <w:jc w:val="center"/>
      <w:rPr>
        <w:rFonts w:ascii="Cambria" w:hAnsi="Cambria"/>
        <w:sz w:val="20"/>
        <w:szCs w:val="20"/>
      </w:rPr>
    </w:pPr>
    <w:sdt>
      <w:sdtPr>
        <w:rPr>
          <w:rFonts w:ascii="Cambria" w:eastAsia="Calibri" w:hAnsi="Cambria" w:cs="Calibri"/>
          <w:sz w:val="20"/>
          <w:szCs w:val="20"/>
        </w:rPr>
        <w:id w:val="399259623"/>
        <w:docPartObj>
          <w:docPartGallery w:val="Page Numbers (Top of Page)"/>
          <w:docPartUnique/>
        </w:docPartObj>
      </w:sdtPr>
      <w:sdtEndPr/>
      <w:sdtContent>
        <w:r w:rsidR="00A15558" w:rsidRPr="00FD26B9">
          <w:rPr>
            <w:rFonts w:ascii="Cambria" w:eastAsia="Calibri" w:hAnsi="Cambria" w:cs="Calibri"/>
            <w:sz w:val="20"/>
          </w:rPr>
          <w:fldChar w:fldCharType="begin"/>
        </w:r>
        <w:r w:rsidR="00A15558" w:rsidRPr="00FD26B9">
          <w:rPr>
            <w:rFonts w:ascii="Cambria" w:eastAsia="Calibri" w:hAnsi="Cambria" w:cs="Calibri"/>
            <w:sz w:val="20"/>
          </w:rPr>
          <w:instrText xml:space="preserve"> PAGE </w:instrText>
        </w:r>
        <w:r w:rsidR="00A15558" w:rsidRPr="00FD26B9">
          <w:rPr>
            <w:rFonts w:ascii="Cambria" w:eastAsia="Calibri" w:hAnsi="Cambria" w:cs="Calibri"/>
            <w:sz w:val="20"/>
          </w:rPr>
          <w:fldChar w:fldCharType="separate"/>
        </w:r>
        <w:r w:rsidR="00A15558">
          <w:rPr>
            <w:rFonts w:ascii="Cambria" w:eastAsia="Calibri" w:hAnsi="Cambria" w:cs="Calibri"/>
            <w:sz w:val="20"/>
          </w:rPr>
          <w:t>1</w:t>
        </w:r>
        <w:r w:rsidR="00A15558" w:rsidRPr="00FD26B9">
          <w:rPr>
            <w:rFonts w:ascii="Cambria" w:eastAsia="Calibri" w:hAnsi="Cambria" w:cs="Calibri"/>
            <w:sz w:val="20"/>
          </w:rPr>
          <w:fldChar w:fldCharType="end"/>
        </w:r>
        <w:r w:rsidR="00721EA8">
          <w:rPr>
            <w:rFonts w:ascii="Cambria" w:hAnsi="Cambria"/>
            <w:sz w:val="20"/>
          </w:rPr>
          <w:t xml:space="preserve"> / </w:t>
        </w:r>
        <w:r w:rsidR="00A15558" w:rsidRPr="00FD26B9">
          <w:rPr>
            <w:rFonts w:ascii="Cambria" w:eastAsia="Calibri" w:hAnsi="Cambria" w:cs="Calibri"/>
            <w:sz w:val="20"/>
          </w:rPr>
          <w:fldChar w:fldCharType="begin"/>
        </w:r>
        <w:r w:rsidR="00A15558" w:rsidRPr="00FD26B9">
          <w:rPr>
            <w:rFonts w:ascii="Cambria" w:eastAsia="Calibri" w:hAnsi="Cambria" w:cs="Calibri"/>
            <w:sz w:val="20"/>
          </w:rPr>
          <w:instrText xml:space="preserve"> NUMPAGES  </w:instrText>
        </w:r>
        <w:r w:rsidR="00A15558" w:rsidRPr="00FD26B9">
          <w:rPr>
            <w:rFonts w:ascii="Cambria" w:eastAsia="Calibri" w:hAnsi="Cambria" w:cs="Calibri"/>
            <w:sz w:val="20"/>
          </w:rPr>
          <w:fldChar w:fldCharType="separate"/>
        </w:r>
        <w:r w:rsidR="00A15558">
          <w:rPr>
            <w:rFonts w:ascii="Cambria" w:eastAsia="Calibri" w:hAnsi="Cambria" w:cs="Calibri"/>
            <w:sz w:val="20"/>
          </w:rPr>
          <w:t>4</w:t>
        </w:r>
        <w:r w:rsidR="00A15558" w:rsidRPr="00FD26B9">
          <w:rPr>
            <w:rFonts w:ascii="Cambria" w:eastAsia="Calibri" w:hAnsi="Cambria" w:cs="Calibri"/>
            <w:sz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4B9B0" w14:textId="77777777" w:rsidR="009A17FB" w:rsidRDefault="009A17FB" w:rsidP="00F2499A">
      <w:r>
        <w:separator/>
      </w:r>
    </w:p>
  </w:footnote>
  <w:footnote w:type="continuationSeparator" w:id="0">
    <w:p w14:paraId="7DEF05AC" w14:textId="77777777" w:rsidR="009A17FB" w:rsidRDefault="009A17FB" w:rsidP="00F2499A">
      <w:r>
        <w:continuationSeparator/>
      </w:r>
    </w:p>
  </w:footnote>
  <w:footnote w:id="1">
    <w:p w14:paraId="2851033A" w14:textId="77777777" w:rsidR="00CE672C" w:rsidRPr="00214FDE" w:rsidRDefault="00CE672C" w:rsidP="00214FDE">
      <w:pPr>
        <w:pStyle w:val="FootnoteText"/>
        <w:spacing w:after="0"/>
        <w:jc w:val="both"/>
        <w:rPr>
          <w:rFonts w:ascii="Cambria" w:hAnsi="Cambria"/>
          <w:sz w:val="18"/>
          <w:szCs w:val="18"/>
        </w:rPr>
      </w:pPr>
      <w:r>
        <w:rPr>
          <w:rStyle w:val="FootnoteReference"/>
          <w:rFonts w:ascii="Cambria" w:hAnsi="Cambria"/>
          <w:sz w:val="16"/>
          <w:szCs w:val="16"/>
        </w:rPr>
        <w:footnoteRef/>
      </w:r>
      <w:r>
        <w:rPr>
          <w:rFonts w:ascii="Cambria" w:hAnsi="Cambria"/>
          <w:sz w:val="16"/>
        </w:rPr>
        <w:t xml:space="preserve"> "Miembros" incluye a los no miembros colaboradores y "CPC" incluye a las Partes, Entidades y Entidades pesqueras no contratantes colaboradoras.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D6231" w14:textId="27D58BFD" w:rsidR="00F2499A" w:rsidRPr="00F2499A" w:rsidRDefault="00F2499A" w:rsidP="00F2499A">
    <w:pPr>
      <w:tabs>
        <w:tab w:val="center" w:pos="4680"/>
        <w:tab w:val="left" w:pos="6520"/>
        <w:tab w:val="right" w:pos="9360"/>
        <w:tab w:val="right" w:pos="14240"/>
      </w:tabs>
      <w:jc w:val="right"/>
      <w:rPr>
        <w:rFonts w:ascii="Cambria" w:eastAsia="Cambria" w:hAnsi="Cambria" w:cs="Cambria"/>
        <w:b/>
        <w:sz w:val="20"/>
        <w:szCs w:val="20"/>
      </w:rPr>
    </w:pPr>
    <w:r>
      <w:rPr>
        <w:rFonts w:ascii="Cambria" w:hAnsi="Cambria"/>
        <w:b/>
        <w:sz w:val="20"/>
      </w:rPr>
      <w:t>PLE_106/2025</w:t>
    </w:r>
  </w:p>
  <w:p w14:paraId="4B1A8517" w14:textId="16A71239" w:rsidR="00F2499A" w:rsidRDefault="00F2499A" w:rsidP="00F2499A">
    <w:pPr>
      <w:tabs>
        <w:tab w:val="center" w:pos="4680"/>
        <w:tab w:val="right" w:pos="9360"/>
      </w:tabs>
      <w:jc w:val="right"/>
    </w:pPr>
    <w:r>
      <w:rPr>
        <w:rFonts w:ascii="Cambria" w:hAnsi="Cambria"/>
        <w:b/>
        <w:color w:val="000000"/>
        <w:sz w:val="16"/>
      </w:rPr>
      <w:t>13/11/2023 16:25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C20734"/>
    <w:multiLevelType w:val="hybridMultilevel"/>
    <w:tmpl w:val="ECD0A1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6165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A3E"/>
    <w:rsid w:val="00036907"/>
    <w:rsid w:val="00055339"/>
    <w:rsid w:val="0008370B"/>
    <w:rsid w:val="000A3341"/>
    <w:rsid w:val="000E3428"/>
    <w:rsid w:val="00101259"/>
    <w:rsid w:val="00111E18"/>
    <w:rsid w:val="001133CD"/>
    <w:rsid w:val="00117298"/>
    <w:rsid w:val="00151D8C"/>
    <w:rsid w:val="0015429A"/>
    <w:rsid w:val="00160B06"/>
    <w:rsid w:val="00176518"/>
    <w:rsid w:val="00180BDE"/>
    <w:rsid w:val="001B01A8"/>
    <w:rsid w:val="001C6DBA"/>
    <w:rsid w:val="002031E0"/>
    <w:rsid w:val="00214FDE"/>
    <w:rsid w:val="00221766"/>
    <w:rsid w:val="00225DD0"/>
    <w:rsid w:val="00297934"/>
    <w:rsid w:val="002D0BED"/>
    <w:rsid w:val="002D14D2"/>
    <w:rsid w:val="002E522F"/>
    <w:rsid w:val="003202BF"/>
    <w:rsid w:val="0035289C"/>
    <w:rsid w:val="00356313"/>
    <w:rsid w:val="0036784C"/>
    <w:rsid w:val="00374501"/>
    <w:rsid w:val="0037775D"/>
    <w:rsid w:val="00384BFA"/>
    <w:rsid w:val="003D7E9C"/>
    <w:rsid w:val="004103DD"/>
    <w:rsid w:val="004419CC"/>
    <w:rsid w:val="00445FC0"/>
    <w:rsid w:val="00475333"/>
    <w:rsid w:val="004C59C2"/>
    <w:rsid w:val="005279B6"/>
    <w:rsid w:val="0055319F"/>
    <w:rsid w:val="005546F0"/>
    <w:rsid w:val="005753AE"/>
    <w:rsid w:val="00581EC5"/>
    <w:rsid w:val="00587ED0"/>
    <w:rsid w:val="005B6A81"/>
    <w:rsid w:val="005C2239"/>
    <w:rsid w:val="005D1DA7"/>
    <w:rsid w:val="005E6CA3"/>
    <w:rsid w:val="006312B9"/>
    <w:rsid w:val="00636A25"/>
    <w:rsid w:val="006455A7"/>
    <w:rsid w:val="00660DF1"/>
    <w:rsid w:val="0066306B"/>
    <w:rsid w:val="00663991"/>
    <w:rsid w:val="00694319"/>
    <w:rsid w:val="006A00A3"/>
    <w:rsid w:val="006C5A7F"/>
    <w:rsid w:val="006D30B9"/>
    <w:rsid w:val="006F4CF1"/>
    <w:rsid w:val="007203E9"/>
    <w:rsid w:val="00721EA8"/>
    <w:rsid w:val="00740BD0"/>
    <w:rsid w:val="0074792B"/>
    <w:rsid w:val="007815D4"/>
    <w:rsid w:val="00787C92"/>
    <w:rsid w:val="0080394C"/>
    <w:rsid w:val="00852FED"/>
    <w:rsid w:val="00890A85"/>
    <w:rsid w:val="00903C5D"/>
    <w:rsid w:val="0092394F"/>
    <w:rsid w:val="00936F2F"/>
    <w:rsid w:val="00957CA6"/>
    <w:rsid w:val="009650D8"/>
    <w:rsid w:val="009657CA"/>
    <w:rsid w:val="00967CDB"/>
    <w:rsid w:val="009823EA"/>
    <w:rsid w:val="009A17FB"/>
    <w:rsid w:val="009B7AE9"/>
    <w:rsid w:val="009F43A7"/>
    <w:rsid w:val="00A15558"/>
    <w:rsid w:val="00A16B4E"/>
    <w:rsid w:val="00A20117"/>
    <w:rsid w:val="00A6111F"/>
    <w:rsid w:val="00A64F65"/>
    <w:rsid w:val="00A770AC"/>
    <w:rsid w:val="00A94B48"/>
    <w:rsid w:val="00B3408F"/>
    <w:rsid w:val="00B61511"/>
    <w:rsid w:val="00B6377A"/>
    <w:rsid w:val="00B67695"/>
    <w:rsid w:val="00BF5F1A"/>
    <w:rsid w:val="00BF666F"/>
    <w:rsid w:val="00C00597"/>
    <w:rsid w:val="00C23975"/>
    <w:rsid w:val="00C75CA9"/>
    <w:rsid w:val="00C91C26"/>
    <w:rsid w:val="00CA27E6"/>
    <w:rsid w:val="00CD134A"/>
    <w:rsid w:val="00CE1808"/>
    <w:rsid w:val="00CE672C"/>
    <w:rsid w:val="00CF7E74"/>
    <w:rsid w:val="00D066D8"/>
    <w:rsid w:val="00D3425C"/>
    <w:rsid w:val="00D50F8C"/>
    <w:rsid w:val="00D5411F"/>
    <w:rsid w:val="00D60236"/>
    <w:rsid w:val="00D73C45"/>
    <w:rsid w:val="00DA3238"/>
    <w:rsid w:val="00DA7D4E"/>
    <w:rsid w:val="00DC0335"/>
    <w:rsid w:val="00DC6473"/>
    <w:rsid w:val="00E03A3E"/>
    <w:rsid w:val="00E07D94"/>
    <w:rsid w:val="00E10F65"/>
    <w:rsid w:val="00E17DC2"/>
    <w:rsid w:val="00E20FF2"/>
    <w:rsid w:val="00E54F3A"/>
    <w:rsid w:val="00EB522F"/>
    <w:rsid w:val="00EC53D1"/>
    <w:rsid w:val="00EC5401"/>
    <w:rsid w:val="00F0218B"/>
    <w:rsid w:val="00F2499A"/>
    <w:rsid w:val="00F30015"/>
    <w:rsid w:val="00F475A0"/>
    <w:rsid w:val="00F53157"/>
    <w:rsid w:val="00F67584"/>
    <w:rsid w:val="00F9580D"/>
    <w:rsid w:val="00FB70EF"/>
    <w:rsid w:val="00FF782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811B0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3A3E"/>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E03A3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03A3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03A3E"/>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03A3E"/>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E03A3E"/>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E03A3E"/>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E03A3E"/>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E03A3E"/>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E03A3E"/>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3A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3A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3A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3A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3A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3A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3A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3A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3A3E"/>
    <w:rPr>
      <w:rFonts w:eastAsiaTheme="majorEastAsia" w:cstheme="majorBidi"/>
      <w:color w:val="272727" w:themeColor="text1" w:themeTint="D8"/>
    </w:rPr>
  </w:style>
  <w:style w:type="paragraph" w:styleId="Title">
    <w:name w:val="Title"/>
    <w:basedOn w:val="Normal"/>
    <w:next w:val="Normal"/>
    <w:link w:val="TitleChar"/>
    <w:uiPriority w:val="10"/>
    <w:qFormat/>
    <w:rsid w:val="00E03A3E"/>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03A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3A3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03A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3A3E"/>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E03A3E"/>
    <w:rPr>
      <w:i/>
      <w:iCs/>
      <w:color w:val="404040" w:themeColor="text1" w:themeTint="BF"/>
    </w:rPr>
  </w:style>
  <w:style w:type="paragraph" w:styleId="ListParagraph">
    <w:name w:val="List Paragraph"/>
    <w:basedOn w:val="Normal"/>
    <w:uiPriority w:val="34"/>
    <w:qFormat/>
    <w:rsid w:val="00E03A3E"/>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E03A3E"/>
    <w:rPr>
      <w:i/>
      <w:iCs/>
      <w:color w:val="0F4761" w:themeColor="accent1" w:themeShade="BF"/>
    </w:rPr>
  </w:style>
  <w:style w:type="paragraph" w:styleId="IntenseQuote">
    <w:name w:val="Intense Quote"/>
    <w:basedOn w:val="Normal"/>
    <w:next w:val="Normal"/>
    <w:link w:val="IntenseQuoteChar"/>
    <w:uiPriority w:val="30"/>
    <w:qFormat/>
    <w:rsid w:val="00E03A3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E03A3E"/>
    <w:rPr>
      <w:i/>
      <w:iCs/>
      <w:color w:val="0F4761" w:themeColor="accent1" w:themeShade="BF"/>
    </w:rPr>
  </w:style>
  <w:style w:type="character" w:styleId="IntenseReference">
    <w:name w:val="Intense Reference"/>
    <w:basedOn w:val="DefaultParagraphFont"/>
    <w:uiPriority w:val="32"/>
    <w:qFormat/>
    <w:rsid w:val="00E03A3E"/>
    <w:rPr>
      <w:b/>
      <w:bCs/>
      <w:smallCaps/>
      <w:color w:val="0F4761" w:themeColor="accent1" w:themeShade="BF"/>
      <w:spacing w:val="5"/>
    </w:rPr>
  </w:style>
  <w:style w:type="character" w:styleId="Hyperlink">
    <w:name w:val="Hyperlink"/>
    <w:basedOn w:val="DefaultParagraphFont"/>
    <w:uiPriority w:val="99"/>
    <w:unhideWhenUsed/>
    <w:rsid w:val="00E03A3E"/>
    <w:rPr>
      <w:color w:val="467886" w:themeColor="hyperlink"/>
      <w:u w:val="single"/>
    </w:rPr>
  </w:style>
  <w:style w:type="paragraph" w:styleId="Header">
    <w:name w:val="header"/>
    <w:basedOn w:val="Normal"/>
    <w:link w:val="HeaderChar"/>
    <w:uiPriority w:val="99"/>
    <w:unhideWhenUsed/>
    <w:rsid w:val="00F2499A"/>
    <w:pPr>
      <w:tabs>
        <w:tab w:val="center" w:pos="4680"/>
        <w:tab w:val="right" w:pos="9360"/>
      </w:tabs>
    </w:pPr>
  </w:style>
  <w:style w:type="character" w:customStyle="1" w:styleId="HeaderChar">
    <w:name w:val="Header Char"/>
    <w:basedOn w:val="DefaultParagraphFont"/>
    <w:link w:val="Header"/>
    <w:uiPriority w:val="99"/>
    <w:rsid w:val="00F2499A"/>
    <w:rPr>
      <w:rFonts w:ascii="Times New Roman" w:eastAsia="Times New Roman" w:hAnsi="Times New Roman" w:cs="Times New Roman"/>
      <w:kern w:val="0"/>
      <w:lang w:val="es-ES"/>
      <w14:ligatures w14:val="none"/>
    </w:rPr>
  </w:style>
  <w:style w:type="paragraph" w:styleId="Footer">
    <w:name w:val="footer"/>
    <w:basedOn w:val="Normal"/>
    <w:link w:val="FooterChar"/>
    <w:uiPriority w:val="99"/>
    <w:unhideWhenUsed/>
    <w:rsid w:val="00F2499A"/>
    <w:pPr>
      <w:tabs>
        <w:tab w:val="center" w:pos="4680"/>
        <w:tab w:val="right" w:pos="9360"/>
      </w:tabs>
    </w:pPr>
  </w:style>
  <w:style w:type="character" w:customStyle="1" w:styleId="FooterChar">
    <w:name w:val="Footer Char"/>
    <w:basedOn w:val="DefaultParagraphFont"/>
    <w:link w:val="Footer"/>
    <w:uiPriority w:val="99"/>
    <w:rsid w:val="00F2499A"/>
    <w:rPr>
      <w:rFonts w:ascii="Times New Roman" w:eastAsia="Times New Roman" w:hAnsi="Times New Roman" w:cs="Times New Roman"/>
      <w:kern w:val="0"/>
      <w:lang w:val="es-ES"/>
      <w14:ligatures w14:val="none"/>
    </w:rPr>
  </w:style>
  <w:style w:type="paragraph" w:styleId="Revision">
    <w:name w:val="Revision"/>
    <w:hidden/>
    <w:uiPriority w:val="99"/>
    <w:semiHidden/>
    <w:rsid w:val="00A20117"/>
    <w:pPr>
      <w:spacing w:after="0" w:line="240" w:lineRule="auto"/>
    </w:pPr>
    <w:rPr>
      <w:rFonts w:ascii="Times New Roman" w:eastAsia="Times New Roman" w:hAnsi="Times New Roman" w:cs="Times New Roman"/>
      <w:kern w:val="0"/>
      <w14:ligatures w14:val="none"/>
    </w:rPr>
  </w:style>
  <w:style w:type="paragraph" w:customStyle="1" w:styleId="Default">
    <w:name w:val="Default"/>
    <w:rsid w:val="000E3428"/>
    <w:pPr>
      <w:autoSpaceDE w:val="0"/>
      <w:autoSpaceDN w:val="0"/>
      <w:adjustRightInd w:val="0"/>
      <w:spacing w:after="0" w:line="240" w:lineRule="auto"/>
    </w:pPr>
    <w:rPr>
      <w:rFonts w:ascii="Arial" w:hAnsi="Arial" w:cs="Arial"/>
      <w:color w:val="000000"/>
      <w:kern w:val="0"/>
    </w:rPr>
  </w:style>
  <w:style w:type="character" w:styleId="CommentReference">
    <w:name w:val="annotation reference"/>
    <w:basedOn w:val="DefaultParagraphFont"/>
    <w:uiPriority w:val="99"/>
    <w:semiHidden/>
    <w:unhideWhenUsed/>
    <w:rsid w:val="009F43A7"/>
    <w:rPr>
      <w:sz w:val="16"/>
      <w:szCs w:val="16"/>
    </w:rPr>
  </w:style>
  <w:style w:type="paragraph" w:styleId="CommentText">
    <w:name w:val="annotation text"/>
    <w:basedOn w:val="Normal"/>
    <w:link w:val="CommentTextChar"/>
    <w:uiPriority w:val="99"/>
    <w:unhideWhenUsed/>
    <w:rsid w:val="009F43A7"/>
    <w:rPr>
      <w:sz w:val="20"/>
      <w:szCs w:val="20"/>
    </w:rPr>
  </w:style>
  <w:style w:type="character" w:customStyle="1" w:styleId="CommentTextChar">
    <w:name w:val="Comment Text Char"/>
    <w:basedOn w:val="DefaultParagraphFont"/>
    <w:link w:val="CommentText"/>
    <w:uiPriority w:val="99"/>
    <w:rsid w:val="009F43A7"/>
    <w:rPr>
      <w:rFonts w:ascii="Times New Roman" w:eastAsia="Times New Roman" w:hAnsi="Times New Roman" w:cs="Times New Roman"/>
      <w:kern w:val="0"/>
      <w:sz w:val="20"/>
      <w:szCs w:val="20"/>
      <w:lang w:val="es-ES"/>
      <w14:ligatures w14:val="none"/>
    </w:rPr>
  </w:style>
  <w:style w:type="paragraph" w:styleId="CommentSubject">
    <w:name w:val="annotation subject"/>
    <w:basedOn w:val="CommentText"/>
    <w:next w:val="CommentText"/>
    <w:link w:val="CommentSubjectChar"/>
    <w:uiPriority w:val="99"/>
    <w:semiHidden/>
    <w:unhideWhenUsed/>
    <w:rsid w:val="009F43A7"/>
    <w:rPr>
      <w:b/>
      <w:bCs/>
    </w:rPr>
  </w:style>
  <w:style w:type="character" w:customStyle="1" w:styleId="CommentSubjectChar">
    <w:name w:val="Comment Subject Char"/>
    <w:basedOn w:val="CommentTextChar"/>
    <w:link w:val="CommentSubject"/>
    <w:uiPriority w:val="99"/>
    <w:semiHidden/>
    <w:rsid w:val="009F43A7"/>
    <w:rPr>
      <w:rFonts w:ascii="Times New Roman" w:eastAsia="Times New Roman" w:hAnsi="Times New Roman" w:cs="Times New Roman"/>
      <w:b/>
      <w:bCs/>
      <w:kern w:val="0"/>
      <w:sz w:val="20"/>
      <w:szCs w:val="20"/>
      <w:lang w:val="es-ES"/>
      <w14:ligatures w14:val="none"/>
    </w:rPr>
  </w:style>
  <w:style w:type="character" w:styleId="UnresolvedMention">
    <w:name w:val="Unresolved Mention"/>
    <w:basedOn w:val="DefaultParagraphFont"/>
    <w:uiPriority w:val="99"/>
    <w:semiHidden/>
    <w:unhideWhenUsed/>
    <w:rsid w:val="00F0218B"/>
    <w:rPr>
      <w:color w:val="605E5C"/>
      <w:shd w:val="clear" w:color="auto" w:fill="E1DFDD"/>
    </w:rPr>
  </w:style>
  <w:style w:type="paragraph" w:styleId="FootnoteText">
    <w:name w:val="footnote text"/>
    <w:basedOn w:val="Normal"/>
    <w:link w:val="FootnoteTextChar"/>
    <w:uiPriority w:val="99"/>
    <w:semiHidden/>
    <w:unhideWhenUsed/>
    <w:rsid w:val="00CE672C"/>
    <w:pPr>
      <w:spacing w:after="200" w:line="276" w:lineRule="auto"/>
    </w:pPr>
    <w:rPr>
      <w:rFonts w:ascii="Calibri" w:eastAsia="Calibri" w:hAnsi="Calibri"/>
      <w:sz w:val="20"/>
      <w:szCs w:val="20"/>
    </w:rPr>
  </w:style>
  <w:style w:type="character" w:customStyle="1" w:styleId="FootnoteTextChar">
    <w:name w:val="Footnote Text Char"/>
    <w:basedOn w:val="DefaultParagraphFont"/>
    <w:link w:val="FootnoteText"/>
    <w:uiPriority w:val="99"/>
    <w:semiHidden/>
    <w:rsid w:val="00CE672C"/>
    <w:rPr>
      <w:rFonts w:ascii="Calibri" w:eastAsia="Calibri" w:hAnsi="Calibri" w:cs="Times New Roman"/>
      <w:kern w:val="0"/>
      <w:sz w:val="20"/>
      <w:szCs w:val="20"/>
      <w:lang w:val="es-ES"/>
      <w14:ligatures w14:val="none"/>
    </w:rPr>
  </w:style>
  <w:style w:type="character" w:styleId="FootnoteReference">
    <w:name w:val="footnote reference"/>
    <w:basedOn w:val="DefaultParagraphFont"/>
    <w:uiPriority w:val="99"/>
    <w:semiHidden/>
    <w:unhideWhenUsed/>
    <w:rsid w:val="00CE672C"/>
    <w:rPr>
      <w:vertAlign w:val="superscript"/>
    </w:rPr>
  </w:style>
  <w:style w:type="character" w:styleId="FollowedHyperlink">
    <w:name w:val="FollowedHyperlink"/>
    <w:basedOn w:val="DefaultParagraphFont"/>
    <w:uiPriority w:val="99"/>
    <w:semiHidden/>
    <w:unhideWhenUsed/>
    <w:rsid w:val="00D3425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o.org/cwp-on-fishery-statistics/es/" TargetMode="External"/><Relationship Id="rId13" Type="http://schemas.openxmlformats.org/officeDocument/2006/relationships/hyperlink" Target="https://www.fao.org/fishery/en/collection/firms-tuna-atlas" TargetMode="External"/><Relationship Id="rId18" Type="http://schemas.openxmlformats.org/officeDocument/2006/relationships/hyperlink" Target="https://www.fao.org/fishery/es"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iccat.int/Documents/Cooperation/MoU_ICCAT_ICES_2025_SPA.pdf" TargetMode="External"/><Relationship Id="rId7" Type="http://schemas.openxmlformats.org/officeDocument/2006/relationships/hyperlink" Target="https://www.fao.org/fishery/es/meeting/41467" TargetMode="External"/><Relationship Id="rId12" Type="http://schemas.openxmlformats.org/officeDocument/2006/relationships/hyperlink" Target="https://firms.fao.org/firms/meeting/41509/en" TargetMode="External"/><Relationship Id="rId17" Type="http://schemas.openxmlformats.org/officeDocument/2006/relationships/hyperlink" Target="https://www.iccat.int/es/pubs_CVSP.html"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iccat.int/es/pubs_CVSP.html" TargetMode="External"/><Relationship Id="rId20" Type="http://schemas.openxmlformats.org/officeDocument/2006/relationships/hyperlink" Target="https://www.fao.org/fishery/en/meeting/4151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firms.fao.org/firms/es" TargetMode="External"/><Relationship Id="rId24" Type="http://schemas.openxmlformats.org/officeDocument/2006/relationships/hyperlink" Target="https://www.un.org/bbnjagreement/sites/default/files/2025-08/Five%20Tuna%20Regional%20Fisheries%20Management%20Organizations%20Secretariats%20IFBs%2028Aug.pdf" TargetMode="External"/><Relationship Id="rId5" Type="http://schemas.openxmlformats.org/officeDocument/2006/relationships/footnotes" Target="footnotes.xml"/><Relationship Id="rId15" Type="http://schemas.openxmlformats.org/officeDocument/2006/relationships/hyperlink" Target="https://www.iccat.int/es/pubs_CVSP.html" TargetMode="External"/><Relationship Id="rId23" Type="http://schemas.openxmlformats.org/officeDocument/2006/relationships/hyperlink" Target="https://www.un.org/bbnjagreement/es/meetings/preparatory-commission/documents/second-session-18-29-august-2025" TargetMode="External"/><Relationship Id="rId28" Type="http://schemas.openxmlformats.org/officeDocument/2006/relationships/theme" Target="theme/theme1.xml"/><Relationship Id="rId10" Type="http://schemas.openxmlformats.org/officeDocument/2006/relationships/hyperlink" Target="https://www.fao.org/cwp-on-fishery-statistics/meetings/es/" TargetMode="External"/><Relationship Id="rId19" Type="http://schemas.openxmlformats.org/officeDocument/2006/relationships/hyperlink" Target="https://www.fao.org/fishery/es/openasfa" TargetMode="External"/><Relationship Id="rId4" Type="http://schemas.openxmlformats.org/officeDocument/2006/relationships/webSettings" Target="webSettings.xml"/><Relationship Id="rId9" Type="http://schemas.openxmlformats.org/officeDocument/2006/relationships/hyperlink" Target="https://www.iccat.int/es/IOMS.html" TargetMode="External"/><Relationship Id="rId14" Type="http://schemas.openxmlformats.org/officeDocument/2006/relationships/hyperlink" Target="https://www.iccat.int/es/" TargetMode="External"/><Relationship Id="rId22" Type="http://schemas.openxmlformats.org/officeDocument/2006/relationships/hyperlink" Target="https://www.iccat.int/Documents/Cooperation/MoU_ICCAT_CCSBT_2025_SPA.pdf"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4256</Words>
  <Characters>23411</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2025-11-07T13:39:00Z</dcterms:created>
  <dcterms:modified xsi:type="dcterms:W3CDTF">2025-11-14T15:15:00Z</dcterms:modified>
</cp:coreProperties>
</file>