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B512A" w14:textId="01D6F6F6" w:rsidR="00F2499A" w:rsidRPr="00DB13EC" w:rsidRDefault="00F2499A" w:rsidP="00F2499A">
      <w:pPr>
        <w:spacing w:after="120"/>
        <w:ind w:left="426" w:hanging="426"/>
        <w:contextualSpacing/>
        <w:jc w:val="right"/>
        <w:rPr>
          <w:rFonts w:ascii="Cambria" w:eastAsia="Calibri" w:hAnsi="Cambria"/>
          <w:b/>
          <w:color w:val="00000A"/>
          <w:sz w:val="20"/>
          <w:szCs w:val="20"/>
        </w:rPr>
      </w:pPr>
      <w:r w:rsidRPr="00DB13EC">
        <w:rPr>
          <w:rFonts w:ascii="Cambria" w:hAnsi="Cambria"/>
          <w:b/>
          <w:color w:val="00000A"/>
          <w:sz w:val="20"/>
          <w:szCs w:val="20"/>
        </w:rPr>
        <w:t>Original : anglais</w:t>
      </w:r>
    </w:p>
    <w:p w14:paraId="17837372" w14:textId="77777777" w:rsidR="008C013A" w:rsidRPr="00DB13EC" w:rsidRDefault="008C013A" w:rsidP="00F2499A">
      <w:pPr>
        <w:spacing w:after="120"/>
        <w:ind w:left="426" w:hanging="426"/>
        <w:contextualSpacing/>
        <w:jc w:val="center"/>
        <w:rPr>
          <w:rFonts w:ascii="Cambria" w:hAnsi="Cambria"/>
          <w:b/>
          <w:color w:val="00000A"/>
          <w:sz w:val="20"/>
          <w:szCs w:val="20"/>
        </w:rPr>
      </w:pPr>
    </w:p>
    <w:p w14:paraId="2BDBEB50" w14:textId="46ADE052" w:rsidR="00F2499A" w:rsidRPr="00DB13EC" w:rsidRDefault="00F2499A" w:rsidP="00F2499A">
      <w:pPr>
        <w:spacing w:after="120"/>
        <w:ind w:left="426" w:hanging="426"/>
        <w:contextualSpacing/>
        <w:jc w:val="center"/>
        <w:rPr>
          <w:rFonts w:ascii="Cambria" w:eastAsia="Calibri" w:hAnsi="Cambria"/>
          <w:b/>
          <w:color w:val="00000A"/>
          <w:sz w:val="20"/>
          <w:szCs w:val="20"/>
        </w:rPr>
      </w:pPr>
      <w:r w:rsidRPr="00DB13EC">
        <w:rPr>
          <w:rFonts w:ascii="Cambria" w:hAnsi="Cambria"/>
          <w:b/>
          <w:color w:val="00000A"/>
          <w:sz w:val="20"/>
          <w:szCs w:val="20"/>
        </w:rPr>
        <w:t>Coopération internationale</w:t>
      </w:r>
    </w:p>
    <w:p w14:paraId="1D2E40E7" w14:textId="37AA5B26" w:rsidR="00721EA8" w:rsidRPr="00DB13EC" w:rsidRDefault="00721EA8" w:rsidP="00F2499A">
      <w:pPr>
        <w:spacing w:after="120"/>
        <w:ind w:left="426" w:hanging="426"/>
        <w:contextualSpacing/>
        <w:jc w:val="center"/>
        <w:rPr>
          <w:rFonts w:ascii="Cambria" w:eastAsia="Calibri" w:hAnsi="Cambria"/>
          <w:bCs/>
          <w:i/>
          <w:iCs/>
          <w:color w:val="00000A"/>
          <w:sz w:val="20"/>
          <w:szCs w:val="20"/>
        </w:rPr>
      </w:pPr>
      <w:r w:rsidRPr="00DB13EC">
        <w:rPr>
          <w:rFonts w:ascii="Cambria" w:hAnsi="Cambria"/>
          <w:bCs/>
          <w:i/>
          <w:iCs/>
          <w:color w:val="00000A"/>
          <w:sz w:val="20"/>
          <w:szCs w:val="20"/>
        </w:rPr>
        <w:t>(Secrétariat de l’ICCAT)</w:t>
      </w:r>
    </w:p>
    <w:p w14:paraId="15C9FA6F" w14:textId="77777777" w:rsidR="00F2499A" w:rsidRPr="00DB13EC" w:rsidRDefault="00F2499A" w:rsidP="00F2499A">
      <w:pPr>
        <w:spacing w:after="120"/>
        <w:ind w:left="426" w:hanging="426"/>
        <w:contextualSpacing/>
        <w:jc w:val="center"/>
        <w:rPr>
          <w:rFonts w:ascii="Cambria" w:eastAsia="Calibri" w:hAnsi="Cambria"/>
          <w:b/>
          <w:color w:val="00000A"/>
          <w:sz w:val="20"/>
          <w:szCs w:val="20"/>
        </w:rPr>
      </w:pPr>
    </w:p>
    <w:p w14:paraId="4131F2D5" w14:textId="2061D040" w:rsidR="00E03A3E" w:rsidRPr="00DB13EC" w:rsidRDefault="00E03A3E" w:rsidP="00E03A3E">
      <w:pPr>
        <w:tabs>
          <w:tab w:val="left" w:pos="851"/>
        </w:tabs>
        <w:spacing w:after="120"/>
        <w:contextualSpacing/>
        <w:jc w:val="both"/>
        <w:rPr>
          <w:rFonts w:ascii="Cambria" w:eastAsia="Calibri" w:hAnsi="Cambria"/>
          <w:color w:val="EE0000"/>
          <w:sz w:val="20"/>
          <w:szCs w:val="20"/>
        </w:rPr>
      </w:pPr>
      <w:bookmarkStart w:id="0" w:name="_Hlk19736811"/>
      <w:r w:rsidRPr="00DB13EC">
        <w:rPr>
          <w:rFonts w:ascii="Cambria" w:hAnsi="Cambria"/>
          <w:b/>
          <w:color w:val="00000A"/>
          <w:sz w:val="20"/>
          <w:szCs w:val="20"/>
        </w:rPr>
        <w:t xml:space="preserve">Groupe de travail chargé de coordonner les statistiques des pêches (CWP-FS) de l’Organisation des Nations Unies pour l’alimentation et l’agriculture </w:t>
      </w:r>
      <w:r w:rsidRPr="00DB13EC">
        <w:rPr>
          <w:rFonts w:ascii="Cambria" w:hAnsi="Cambria"/>
          <w:b/>
          <w:bCs/>
          <w:color w:val="00000A"/>
          <w:sz w:val="20"/>
          <w:szCs w:val="20"/>
        </w:rPr>
        <w:t>(FAO)</w:t>
      </w:r>
      <w:r w:rsidRPr="00DB13EC">
        <w:rPr>
          <w:rFonts w:ascii="Cambria" w:hAnsi="Cambria"/>
          <w:color w:val="00000A"/>
          <w:sz w:val="20"/>
          <w:szCs w:val="20"/>
        </w:rPr>
        <w:t xml:space="preserve"> </w:t>
      </w:r>
    </w:p>
    <w:p w14:paraId="343DB690"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bookmarkEnd w:id="0"/>
    <w:p w14:paraId="3E917C58" w14:textId="1456CAB3" w:rsidR="00E03A3E" w:rsidRPr="00DB13EC" w:rsidRDefault="00E03A3E" w:rsidP="005753AE">
      <w:pPr>
        <w:tabs>
          <w:tab w:val="left" w:pos="2040"/>
        </w:tabs>
        <w:jc w:val="both"/>
        <w:rPr>
          <w:rFonts w:ascii="Cambria" w:eastAsia="Calibri" w:hAnsi="Cambria"/>
          <w:color w:val="00000A"/>
          <w:sz w:val="20"/>
          <w:szCs w:val="20"/>
        </w:rPr>
      </w:pPr>
      <w:r w:rsidRPr="00DB13EC">
        <w:rPr>
          <w:rFonts w:ascii="Cambria" w:hAnsi="Cambria"/>
          <w:sz w:val="20"/>
          <w:szCs w:val="20"/>
        </w:rPr>
        <w:t xml:space="preserve">Le Secrétariat de l'ICCAT a participé à deux réunions : </w:t>
      </w:r>
      <w:hyperlink r:id="rId10" w:history="1">
        <w:r w:rsidRPr="00DB13EC">
          <w:rPr>
            <w:rStyle w:val="Lienhypertexte"/>
            <w:rFonts w:ascii="Cambria" w:hAnsi="Cambria"/>
            <w:bCs/>
            <w:iCs/>
            <w:color w:val="auto"/>
            <w:sz w:val="20"/>
            <w:szCs w:val="20"/>
            <w:u w:val="none"/>
          </w:rPr>
          <w:t>la neuvième session du Groupe de travail technique FAO/</w:t>
        </w:r>
        <w:proofErr w:type="spellStart"/>
        <w:r w:rsidRPr="00DB13EC">
          <w:rPr>
            <w:rStyle w:val="Lienhypertexte"/>
            <w:rFonts w:ascii="Cambria" w:hAnsi="Cambria"/>
            <w:bCs/>
            <w:iCs/>
            <w:color w:val="auto"/>
            <w:sz w:val="20"/>
            <w:szCs w:val="20"/>
            <w:u w:val="none"/>
          </w:rPr>
          <w:t>FIRMS</w:t>
        </w:r>
        <w:proofErr w:type="spellEnd"/>
        <w:r w:rsidRPr="00DB13EC">
          <w:rPr>
            <w:rStyle w:val="Lienhypertexte"/>
            <w:rFonts w:ascii="Cambria" w:hAnsi="Cambria"/>
            <w:bCs/>
            <w:iCs/>
            <w:color w:val="auto"/>
            <w:sz w:val="20"/>
            <w:szCs w:val="20"/>
            <w:u w:val="none"/>
          </w:rPr>
          <w:t>, (en ligne/</w:t>
        </w:r>
      </w:hyperlink>
      <w:r w:rsidRPr="00DB13EC">
        <w:rPr>
          <w:rFonts w:ascii="Cambria" w:hAnsi="Cambria"/>
          <w:sz w:val="20"/>
          <w:szCs w:val="20"/>
        </w:rPr>
        <w:t xml:space="preserve">10-13 décembre 2024) et la réunion du </w:t>
      </w:r>
      <w:hyperlink r:id="rId11" w:history="1">
        <w:r w:rsidRPr="00DB13EC">
          <w:rPr>
            <w:rStyle w:val="Lienhypertexte"/>
            <w:rFonts w:ascii="Cambria" w:hAnsi="Cambria"/>
            <w:sz w:val="20"/>
            <w:szCs w:val="20"/>
            <w:u w:val="none"/>
          </w:rPr>
          <w:t>CWP sur les statistiques des pêches, Groupe thématique sur les pêches (FS)</w:t>
        </w:r>
      </w:hyperlink>
      <w:r w:rsidRPr="00DB13EC">
        <w:rPr>
          <w:rFonts w:ascii="Cambria" w:hAnsi="Cambria"/>
          <w:sz w:val="20"/>
          <w:szCs w:val="20"/>
        </w:rPr>
        <w:t xml:space="preserve"> (en p</w:t>
      </w:r>
      <w:r w:rsidR="00C82E08" w:rsidRPr="00DB13EC">
        <w:rPr>
          <w:rFonts w:ascii="Cambria" w:hAnsi="Cambria"/>
          <w:sz w:val="20"/>
          <w:szCs w:val="20"/>
        </w:rPr>
        <w:t>résentiel</w:t>
      </w:r>
      <w:r w:rsidRPr="00DB13EC">
        <w:rPr>
          <w:rFonts w:ascii="Cambria" w:hAnsi="Cambria"/>
          <w:sz w:val="20"/>
          <w:szCs w:val="20"/>
        </w:rPr>
        <w:t>/Copenhague (Danemark), du 30 juin au 4 juillet 2025).</w:t>
      </w:r>
      <w:r w:rsidRPr="00DB13EC">
        <w:rPr>
          <w:rFonts w:ascii="Cambria" w:hAnsi="Cambria"/>
          <w:color w:val="00000A"/>
          <w:sz w:val="20"/>
          <w:szCs w:val="20"/>
        </w:rPr>
        <w:t xml:space="preserve"> Le Secrétariat de l'ICCAT a souligné l'étroite collaboration maintenue en 2023 et 2024 avec tous les autres partenaires pertinents du Groupe de travail de coordination (CWP) et leurs experts statistiques (y compris les cinq ORGPt) en partageant les activités les plus pertinentes réalisées au cours du dernier exercice biennal et en contribuant à la résolution de diverses questions relatives aux données (corrections des données, révision des systèmes de codification existants, application des normes et concepts d'harmonisation des pêcheries du CWP, échange de données, etc.). </w:t>
      </w:r>
      <w:r w:rsidRPr="00DB13EC">
        <w:rPr>
          <w:rFonts w:ascii="Cambria" w:hAnsi="Cambria"/>
          <w:sz w:val="20"/>
          <w:szCs w:val="20"/>
        </w:rPr>
        <w:t xml:space="preserve">Les cinq ORGPt ont également informé le CWP de l'état d'avancement de leurs systèmes de gestion de données en ligne, l'ICCAT présentant l’état actuel du </w:t>
      </w:r>
      <w:hyperlink r:id="rId12" w:history="1">
        <w:r w:rsidRPr="00DB13EC">
          <w:rPr>
            <w:rStyle w:val="Lienhypertexte"/>
            <w:rFonts w:ascii="Cambria" w:hAnsi="Cambria"/>
            <w:color w:val="auto"/>
            <w:sz w:val="20"/>
            <w:szCs w:val="20"/>
            <w:u w:val="none"/>
          </w:rPr>
          <w:t>Système intégré de gestion en ligne de l’ICCAT (</w:t>
        </w:r>
        <w:proofErr w:type="spellStart"/>
        <w:r w:rsidRPr="00DB13EC">
          <w:rPr>
            <w:rStyle w:val="Lienhypertexte"/>
            <w:rFonts w:ascii="Cambria" w:hAnsi="Cambria"/>
            <w:color w:val="auto"/>
            <w:sz w:val="20"/>
            <w:szCs w:val="20"/>
            <w:u w:val="none"/>
          </w:rPr>
          <w:t>IOMS</w:t>
        </w:r>
        <w:proofErr w:type="spellEnd"/>
        <w:r w:rsidRPr="00DB13EC">
          <w:rPr>
            <w:rStyle w:val="Lienhypertexte"/>
            <w:rFonts w:ascii="Cambria" w:hAnsi="Cambria"/>
            <w:color w:val="auto"/>
            <w:sz w:val="20"/>
            <w:szCs w:val="20"/>
            <w:u w:val="none"/>
          </w:rPr>
          <w:t>)</w:t>
        </w:r>
      </w:hyperlink>
      <w:r w:rsidR="00214FDE" w:rsidRPr="00DB13EC">
        <w:rPr>
          <w:rFonts w:ascii="Cambria" w:hAnsi="Cambria"/>
          <w:sz w:val="20"/>
          <w:szCs w:val="20"/>
        </w:rPr>
        <w:t>, en se concentrant principalement sur l'état de développement, ses spécifications techniques et les principaux objectifs à moyen et long terme.</w:t>
      </w:r>
      <w:r w:rsidR="00214FDE" w:rsidRPr="00DB13EC">
        <w:rPr>
          <w:rFonts w:ascii="Cambria" w:hAnsi="Cambria"/>
          <w:color w:val="00000A"/>
          <w:sz w:val="20"/>
          <w:szCs w:val="20"/>
        </w:rPr>
        <w:t xml:space="preserve"> Les cinq organisations régionales de gestion des pêches thonières (ORGPt) ont toutes confirmé qu'elles avaient développé (ou prévoyaient de développer) des systèmes de déclaration et de diffusion des données en ligne. Au cours de la réunion, il a été noté que le partage d'expériences et de connaissances sur ce sujet entre les ORGPt peut contribuer à harmoniser encore davantage les différences entre les divers systèmes à long terme. </w:t>
      </w:r>
      <w:r w:rsidR="00214FDE" w:rsidRPr="00DB13EC">
        <w:rPr>
          <w:rFonts w:ascii="Cambria" w:hAnsi="Cambria"/>
          <w:sz w:val="20"/>
          <w:szCs w:val="20"/>
        </w:rPr>
        <w:t>D'autres aspects pertinents discutés au cours de la réunion ont porté sur les progrès du manuel du CWP, les futures mises à jour de la classification statistique internationale type des engins de pêche (</w:t>
      </w:r>
      <w:proofErr w:type="spellStart"/>
      <w:r w:rsidR="00214FDE" w:rsidRPr="00DB13EC">
        <w:rPr>
          <w:rFonts w:ascii="Cambria" w:hAnsi="Cambria"/>
          <w:sz w:val="20"/>
          <w:szCs w:val="20"/>
        </w:rPr>
        <w:t>ISSCFG</w:t>
      </w:r>
      <w:proofErr w:type="spellEnd"/>
      <w:r w:rsidR="00214FDE" w:rsidRPr="00DB13EC">
        <w:rPr>
          <w:rFonts w:ascii="Cambria" w:hAnsi="Cambria"/>
          <w:sz w:val="20"/>
          <w:szCs w:val="20"/>
        </w:rPr>
        <w:t>) afin de répondre aux besoins émergents exprimés par certaines ORGPt (y compris l'ICCAT), la situation de la mise à jour du</w:t>
      </w:r>
      <w:r w:rsidR="008C013A" w:rsidRPr="00DB13EC">
        <w:rPr>
          <w:rFonts w:ascii="Cambria" w:hAnsi="Cambria"/>
          <w:sz w:val="20"/>
          <w:szCs w:val="20"/>
        </w:rPr>
        <w:t xml:space="preserve"> </w:t>
      </w:r>
      <w:hyperlink r:id="rId13" w:history="1">
        <w:r w:rsidR="00214FDE" w:rsidRPr="00DB13EC">
          <w:rPr>
            <w:rFonts w:ascii="Cambria" w:hAnsi="Cambria"/>
            <w:color w:val="0563C1"/>
            <w:sz w:val="20"/>
            <w:szCs w:val="20"/>
          </w:rPr>
          <w:t>site web d</w:t>
        </w:r>
        <w:r w:rsidR="00214FDE" w:rsidRPr="00DB13EC">
          <w:rPr>
            <w:rFonts w:ascii="Cambria" w:hAnsi="Cambria"/>
            <w:color w:val="0563C1"/>
            <w:sz w:val="20"/>
            <w:szCs w:val="20"/>
          </w:rPr>
          <w:t>u</w:t>
        </w:r>
        <w:r w:rsidR="00214FDE" w:rsidRPr="00DB13EC">
          <w:rPr>
            <w:rFonts w:ascii="Cambria" w:hAnsi="Cambria"/>
            <w:color w:val="0563C1"/>
            <w:sz w:val="20"/>
            <w:szCs w:val="20"/>
          </w:rPr>
          <w:t xml:space="preserve"> CWP de la FAO</w:t>
        </w:r>
      </w:hyperlink>
      <w:r w:rsidR="00214FDE" w:rsidRPr="00DB13EC">
        <w:rPr>
          <w:rFonts w:ascii="Cambria" w:hAnsi="Cambria"/>
          <w:sz w:val="20"/>
          <w:szCs w:val="20"/>
        </w:rPr>
        <w:t xml:space="preserve"> et l'examen des progrès réalisés par les cinq groupes de travail ad hoc du CWP.</w:t>
      </w:r>
      <w:r w:rsidR="00214FDE" w:rsidRPr="00DB13EC">
        <w:rPr>
          <w:rFonts w:ascii="Cambria" w:hAnsi="Cambria"/>
          <w:color w:val="00000A"/>
          <w:sz w:val="20"/>
          <w:szCs w:val="20"/>
        </w:rPr>
        <w:t xml:space="preserve"> Les documents pertinents de la réunion sont accessibles librement sur le site web du CWP.</w:t>
      </w:r>
    </w:p>
    <w:p w14:paraId="6E5C0120"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5AA41B90" w14:textId="2E73D6D9"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Le CWP poursuit ses travaux sur la définition des types de prise et d'effort. Il a été proposé d'élargir la définition des prises nominales pour y inclure les activités de transbordement. Les représentants de l’ICCAT ont exprimé leur désaccord avec cette proposition, notant que les transbordements ne devraient pas être considérés comme faisant partie de l'activité de capture, mais plutôt comme un processus complémentaire. Dans le même temps, l’ICCAT a souligné que les rejets, tant vivants que morts, dev</w:t>
      </w:r>
      <w:r w:rsidR="00A9205C" w:rsidRPr="00DB13EC">
        <w:rPr>
          <w:rFonts w:ascii="Cambria" w:hAnsi="Cambria"/>
          <w:color w:val="00000A"/>
          <w:sz w:val="20"/>
          <w:szCs w:val="20"/>
        </w:rPr>
        <w:t>r</w:t>
      </w:r>
      <w:r w:rsidRPr="00DB13EC">
        <w:rPr>
          <w:rFonts w:ascii="Cambria" w:hAnsi="Cambria"/>
          <w:color w:val="00000A"/>
          <w:sz w:val="20"/>
          <w:szCs w:val="20"/>
        </w:rPr>
        <w:t>aient être inclus dans les prises nominales, les estimations étant fondées sur des analyses scientifiques. Le groupe a également examiné les classifications des engins et a convenu d'inclure dans la liste de l'</w:t>
      </w:r>
      <w:proofErr w:type="spellStart"/>
      <w:r w:rsidRPr="00DB13EC">
        <w:rPr>
          <w:rFonts w:ascii="Cambria" w:hAnsi="Cambria"/>
          <w:color w:val="00000A"/>
          <w:sz w:val="20"/>
          <w:szCs w:val="20"/>
        </w:rPr>
        <w:t>ISSCFG</w:t>
      </w:r>
      <w:proofErr w:type="spellEnd"/>
      <w:r w:rsidRPr="00DB13EC">
        <w:rPr>
          <w:rFonts w:ascii="Cambria" w:hAnsi="Cambria"/>
          <w:color w:val="00000A"/>
          <w:sz w:val="20"/>
          <w:szCs w:val="20"/>
        </w:rPr>
        <w:t xml:space="preserve"> l'engin de pêche à la canne et au moulinet (</w:t>
      </w:r>
      <w:proofErr w:type="spellStart"/>
      <w:r w:rsidRPr="00DB13EC">
        <w:rPr>
          <w:rFonts w:ascii="Cambria" w:hAnsi="Cambria"/>
          <w:color w:val="00000A"/>
          <w:sz w:val="20"/>
          <w:szCs w:val="20"/>
        </w:rPr>
        <w:t>RR</w:t>
      </w:r>
      <w:proofErr w:type="spellEnd"/>
      <w:r w:rsidRPr="00DB13EC">
        <w:rPr>
          <w:rFonts w:ascii="Cambria" w:hAnsi="Cambria"/>
          <w:color w:val="00000A"/>
          <w:sz w:val="20"/>
          <w:szCs w:val="20"/>
        </w:rPr>
        <w:t>), couramment utilisé à l’ICCAT.</w:t>
      </w:r>
    </w:p>
    <w:p w14:paraId="64C255BA"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0E5FA86D" w14:textId="72E2FBD2" w:rsidR="00E03A3E" w:rsidRPr="00DB13EC" w:rsidRDefault="00E03A3E" w:rsidP="004103DD">
      <w:pPr>
        <w:tabs>
          <w:tab w:val="left" w:pos="851"/>
        </w:tabs>
        <w:contextualSpacing/>
        <w:jc w:val="both"/>
        <w:rPr>
          <w:rFonts w:ascii="Cambria" w:eastAsia="Calibri" w:hAnsi="Cambria"/>
          <w:color w:val="00000A"/>
          <w:sz w:val="20"/>
          <w:szCs w:val="20"/>
        </w:rPr>
      </w:pPr>
      <w:r w:rsidRPr="00DB13EC">
        <w:rPr>
          <w:rFonts w:ascii="Cambria" w:hAnsi="Cambria"/>
          <w:color w:val="00000A"/>
          <w:sz w:val="20"/>
          <w:szCs w:val="20"/>
        </w:rPr>
        <w:t xml:space="preserve">L’ICCAT a </w:t>
      </w:r>
      <w:r w:rsidR="005015B5" w:rsidRPr="00DB13EC">
        <w:rPr>
          <w:rFonts w:ascii="Cambria" w:hAnsi="Cambria"/>
          <w:color w:val="00000A"/>
          <w:sz w:val="20"/>
          <w:szCs w:val="20"/>
        </w:rPr>
        <w:t xml:space="preserve">sollicité les </w:t>
      </w:r>
      <w:r w:rsidRPr="00DB13EC">
        <w:rPr>
          <w:rFonts w:ascii="Cambria" w:hAnsi="Cambria"/>
          <w:color w:val="00000A"/>
          <w:sz w:val="20"/>
          <w:szCs w:val="20"/>
        </w:rPr>
        <w:t>orientation</w:t>
      </w:r>
      <w:r w:rsidR="005015B5" w:rsidRPr="00DB13EC">
        <w:rPr>
          <w:rFonts w:ascii="Cambria" w:hAnsi="Cambria"/>
          <w:color w:val="00000A"/>
          <w:sz w:val="20"/>
          <w:szCs w:val="20"/>
        </w:rPr>
        <w:t>s</w:t>
      </w:r>
      <w:r w:rsidRPr="00DB13EC">
        <w:rPr>
          <w:rFonts w:ascii="Cambria" w:hAnsi="Cambria"/>
          <w:color w:val="00000A"/>
          <w:sz w:val="20"/>
          <w:szCs w:val="20"/>
        </w:rPr>
        <w:t xml:space="preserve"> </w:t>
      </w:r>
      <w:r w:rsidR="005015B5" w:rsidRPr="00DB13EC">
        <w:rPr>
          <w:rFonts w:ascii="Cambria" w:hAnsi="Cambria"/>
          <w:color w:val="00000A"/>
          <w:sz w:val="20"/>
          <w:szCs w:val="20"/>
        </w:rPr>
        <w:t>d</w:t>
      </w:r>
      <w:r w:rsidRPr="00DB13EC">
        <w:rPr>
          <w:rFonts w:ascii="Cambria" w:hAnsi="Cambria"/>
          <w:color w:val="00000A"/>
          <w:sz w:val="20"/>
          <w:szCs w:val="20"/>
        </w:rPr>
        <w:t xml:space="preserve">u groupe concernant les codes d'espèces utilisés pour désigner le voilier. Historiquement, l’ICCAT a utilisé le code « SAI » pour désigner </w:t>
      </w:r>
      <w:proofErr w:type="spellStart"/>
      <w:r w:rsidRPr="00DB13EC">
        <w:rPr>
          <w:rFonts w:ascii="Cambria" w:hAnsi="Cambria"/>
          <w:i/>
          <w:color w:val="00000A"/>
          <w:sz w:val="20"/>
          <w:szCs w:val="20"/>
        </w:rPr>
        <w:t>Istiophorus</w:t>
      </w:r>
      <w:proofErr w:type="spellEnd"/>
      <w:r w:rsidRPr="00DB13EC">
        <w:rPr>
          <w:rFonts w:ascii="Cambria" w:hAnsi="Cambria"/>
          <w:i/>
          <w:color w:val="00000A"/>
          <w:sz w:val="20"/>
          <w:szCs w:val="20"/>
        </w:rPr>
        <w:t xml:space="preserve"> </w:t>
      </w:r>
      <w:proofErr w:type="spellStart"/>
      <w:r w:rsidRPr="00DB13EC">
        <w:rPr>
          <w:rFonts w:ascii="Cambria" w:hAnsi="Cambria"/>
          <w:i/>
          <w:color w:val="00000A"/>
          <w:sz w:val="20"/>
          <w:szCs w:val="20"/>
        </w:rPr>
        <w:t>albicans</w:t>
      </w:r>
      <w:proofErr w:type="spellEnd"/>
      <w:r w:rsidRPr="00DB13EC">
        <w:rPr>
          <w:rFonts w:ascii="Cambria" w:hAnsi="Cambria"/>
          <w:color w:val="00000A"/>
          <w:sz w:val="20"/>
          <w:szCs w:val="20"/>
        </w:rPr>
        <w:t>, en partant du principe qu'il s'agissait d'une espèce à part entière dans l'Atlantique. En revanche, la liste d</w:t>
      </w:r>
      <w:r w:rsidR="004D790C" w:rsidRPr="00DB13EC">
        <w:rPr>
          <w:rFonts w:ascii="Cambria" w:hAnsi="Cambria"/>
          <w:color w:val="00000A"/>
          <w:sz w:val="20"/>
          <w:szCs w:val="20"/>
        </w:rPr>
        <w:t>u S</w:t>
      </w:r>
      <w:r w:rsidR="004D790C" w:rsidRPr="00DB13EC">
        <w:rPr>
          <w:rFonts w:ascii="Cambria" w:hAnsi="Cambria"/>
          <w:color w:val="00000A"/>
          <w:sz w:val="20"/>
          <w:szCs w:val="20"/>
        </w:rPr>
        <w:t>ystème d'information sur les sciences aquatiques et la pêche</w:t>
      </w:r>
      <w:r w:rsidR="004D790C" w:rsidRPr="00DB13EC">
        <w:rPr>
          <w:rFonts w:ascii="Cambria" w:hAnsi="Cambria"/>
          <w:color w:val="00000A"/>
          <w:sz w:val="20"/>
          <w:szCs w:val="20"/>
        </w:rPr>
        <w:t xml:space="preserve"> </w:t>
      </w:r>
      <w:r w:rsidRPr="00DB13EC">
        <w:rPr>
          <w:rFonts w:ascii="Cambria" w:hAnsi="Cambria"/>
          <w:color w:val="00000A"/>
          <w:sz w:val="20"/>
          <w:szCs w:val="20"/>
        </w:rPr>
        <w:t>(</w:t>
      </w:r>
      <w:proofErr w:type="spellStart"/>
      <w:r w:rsidRPr="00DB13EC">
        <w:rPr>
          <w:rFonts w:ascii="Cambria" w:hAnsi="Cambria"/>
          <w:color w:val="00000A"/>
          <w:sz w:val="20"/>
          <w:szCs w:val="20"/>
        </w:rPr>
        <w:t>ASFIS</w:t>
      </w:r>
      <w:proofErr w:type="spellEnd"/>
      <w:r w:rsidRPr="00DB13EC">
        <w:rPr>
          <w:rFonts w:ascii="Cambria" w:hAnsi="Cambria"/>
          <w:color w:val="00000A"/>
          <w:sz w:val="20"/>
          <w:szCs w:val="20"/>
        </w:rPr>
        <w:t>) utilise le code « </w:t>
      </w:r>
      <w:proofErr w:type="spellStart"/>
      <w:r w:rsidRPr="00DB13EC">
        <w:rPr>
          <w:rFonts w:ascii="Cambria" w:hAnsi="Cambria"/>
          <w:color w:val="00000A"/>
          <w:sz w:val="20"/>
          <w:szCs w:val="20"/>
        </w:rPr>
        <w:t>SFA</w:t>
      </w:r>
      <w:proofErr w:type="spellEnd"/>
      <w:r w:rsidRPr="00DB13EC">
        <w:rPr>
          <w:rFonts w:ascii="Cambria" w:hAnsi="Cambria"/>
          <w:color w:val="00000A"/>
          <w:sz w:val="20"/>
          <w:szCs w:val="20"/>
        </w:rPr>
        <w:t xml:space="preserve"> » pour </w:t>
      </w:r>
      <w:proofErr w:type="spellStart"/>
      <w:r w:rsidRPr="00DB13EC">
        <w:rPr>
          <w:rFonts w:ascii="Cambria" w:hAnsi="Cambria"/>
          <w:i/>
          <w:color w:val="00000A"/>
          <w:sz w:val="20"/>
          <w:szCs w:val="20"/>
        </w:rPr>
        <w:t>Istiophorus</w:t>
      </w:r>
      <w:proofErr w:type="spellEnd"/>
      <w:r w:rsidRPr="00DB13EC">
        <w:rPr>
          <w:rFonts w:ascii="Cambria" w:hAnsi="Cambria"/>
          <w:i/>
          <w:color w:val="00000A"/>
          <w:sz w:val="20"/>
          <w:szCs w:val="20"/>
        </w:rPr>
        <w:t xml:space="preserve"> </w:t>
      </w:r>
      <w:proofErr w:type="spellStart"/>
      <w:r w:rsidRPr="00DB13EC">
        <w:rPr>
          <w:rFonts w:ascii="Cambria" w:hAnsi="Cambria"/>
          <w:i/>
          <w:color w:val="00000A"/>
          <w:sz w:val="20"/>
          <w:szCs w:val="20"/>
        </w:rPr>
        <w:t>platypterus</w:t>
      </w:r>
      <w:proofErr w:type="spellEnd"/>
      <w:r w:rsidRPr="00DB13EC">
        <w:rPr>
          <w:rFonts w:ascii="Cambria" w:hAnsi="Cambria"/>
          <w:color w:val="00000A"/>
          <w:sz w:val="20"/>
          <w:szCs w:val="20"/>
        </w:rPr>
        <w:t>, dont le nom commun suggère une distribution dans le Pacifique. Cependant, des études récentes indiquent qu'</w:t>
      </w:r>
      <w:proofErr w:type="spellStart"/>
      <w:r w:rsidRPr="00DB13EC">
        <w:rPr>
          <w:rFonts w:ascii="Cambria" w:hAnsi="Cambria"/>
          <w:i/>
          <w:color w:val="00000A"/>
          <w:sz w:val="20"/>
          <w:szCs w:val="20"/>
        </w:rPr>
        <w:t>Istiophorus</w:t>
      </w:r>
      <w:proofErr w:type="spellEnd"/>
      <w:r w:rsidRPr="00DB13EC">
        <w:rPr>
          <w:rFonts w:ascii="Cambria" w:hAnsi="Cambria"/>
          <w:i/>
          <w:color w:val="00000A"/>
          <w:sz w:val="20"/>
          <w:szCs w:val="20"/>
        </w:rPr>
        <w:t xml:space="preserve"> </w:t>
      </w:r>
      <w:proofErr w:type="spellStart"/>
      <w:r w:rsidRPr="00DB13EC">
        <w:rPr>
          <w:rFonts w:ascii="Cambria" w:hAnsi="Cambria"/>
          <w:i/>
          <w:color w:val="00000A"/>
          <w:sz w:val="20"/>
          <w:szCs w:val="20"/>
        </w:rPr>
        <w:t>platypterus</w:t>
      </w:r>
      <w:proofErr w:type="spellEnd"/>
      <w:r w:rsidRPr="00DB13EC">
        <w:rPr>
          <w:rFonts w:ascii="Cambria" w:hAnsi="Cambria"/>
          <w:color w:val="00000A"/>
          <w:sz w:val="20"/>
          <w:szCs w:val="20"/>
        </w:rPr>
        <w:t xml:space="preserve"> est la seule espèce valide de voilier dans l'Atlantique. Dans ce contexte, l’ICCAT a demandé un avis </w:t>
      </w:r>
      <w:r w:rsidR="00B727BD" w:rsidRPr="00DB13EC">
        <w:rPr>
          <w:rFonts w:ascii="Cambria" w:hAnsi="Cambria"/>
          <w:color w:val="00000A"/>
          <w:sz w:val="20"/>
          <w:szCs w:val="20"/>
        </w:rPr>
        <w:t xml:space="preserve">quant à </w:t>
      </w:r>
      <w:r w:rsidRPr="00DB13EC">
        <w:rPr>
          <w:rFonts w:ascii="Cambria" w:hAnsi="Cambria"/>
          <w:color w:val="00000A"/>
          <w:sz w:val="20"/>
          <w:szCs w:val="20"/>
        </w:rPr>
        <w:t xml:space="preserve">savoir s'il </w:t>
      </w:r>
      <w:r w:rsidR="00B727BD" w:rsidRPr="00DB13EC">
        <w:rPr>
          <w:rFonts w:ascii="Cambria" w:hAnsi="Cambria"/>
          <w:color w:val="00000A"/>
          <w:sz w:val="20"/>
          <w:szCs w:val="20"/>
        </w:rPr>
        <w:t xml:space="preserve">convenait de </w:t>
      </w:r>
      <w:r w:rsidRPr="00DB13EC">
        <w:rPr>
          <w:rFonts w:ascii="Cambria" w:hAnsi="Cambria"/>
          <w:color w:val="00000A"/>
          <w:sz w:val="20"/>
          <w:szCs w:val="20"/>
        </w:rPr>
        <w:t xml:space="preserve">conserver le code « SAI » tout en actualisant le nom scientifique en </w:t>
      </w:r>
      <w:proofErr w:type="spellStart"/>
      <w:r w:rsidRPr="00DB13EC">
        <w:rPr>
          <w:rFonts w:ascii="Cambria" w:hAnsi="Cambria"/>
          <w:i/>
          <w:color w:val="00000A"/>
          <w:sz w:val="20"/>
          <w:szCs w:val="20"/>
        </w:rPr>
        <w:t>Istiophorus</w:t>
      </w:r>
      <w:proofErr w:type="spellEnd"/>
      <w:r w:rsidRPr="00DB13EC">
        <w:rPr>
          <w:rFonts w:ascii="Cambria" w:hAnsi="Cambria"/>
          <w:i/>
          <w:color w:val="00000A"/>
          <w:sz w:val="20"/>
          <w:szCs w:val="20"/>
        </w:rPr>
        <w:t xml:space="preserve"> </w:t>
      </w:r>
      <w:proofErr w:type="spellStart"/>
      <w:r w:rsidRPr="00DB13EC">
        <w:rPr>
          <w:rFonts w:ascii="Cambria" w:hAnsi="Cambria"/>
          <w:i/>
          <w:color w:val="00000A"/>
          <w:sz w:val="20"/>
          <w:szCs w:val="20"/>
        </w:rPr>
        <w:t>platypterus</w:t>
      </w:r>
      <w:proofErr w:type="spellEnd"/>
      <w:r w:rsidRPr="00DB13EC">
        <w:rPr>
          <w:rFonts w:ascii="Cambria" w:hAnsi="Cambria"/>
          <w:color w:val="00000A"/>
          <w:sz w:val="20"/>
          <w:szCs w:val="20"/>
        </w:rPr>
        <w:t xml:space="preserve">, ou </w:t>
      </w:r>
      <w:r w:rsidR="00B727BD" w:rsidRPr="00DB13EC">
        <w:rPr>
          <w:rFonts w:ascii="Cambria" w:hAnsi="Cambria"/>
          <w:color w:val="00000A"/>
          <w:sz w:val="20"/>
          <w:szCs w:val="20"/>
        </w:rPr>
        <w:t>d’</w:t>
      </w:r>
      <w:r w:rsidRPr="00DB13EC">
        <w:rPr>
          <w:rFonts w:ascii="Cambria" w:hAnsi="Cambria"/>
          <w:color w:val="00000A"/>
          <w:sz w:val="20"/>
          <w:szCs w:val="20"/>
        </w:rPr>
        <w:t xml:space="preserve">adopter le code </w:t>
      </w:r>
      <w:proofErr w:type="spellStart"/>
      <w:r w:rsidRPr="00DB13EC">
        <w:rPr>
          <w:rFonts w:ascii="Cambria" w:hAnsi="Cambria"/>
          <w:color w:val="00000A"/>
          <w:sz w:val="20"/>
          <w:szCs w:val="20"/>
        </w:rPr>
        <w:t>ASFIS</w:t>
      </w:r>
      <w:proofErr w:type="spellEnd"/>
      <w:r w:rsidRPr="00DB13EC">
        <w:rPr>
          <w:rFonts w:ascii="Cambria" w:hAnsi="Cambria"/>
          <w:color w:val="00000A"/>
          <w:sz w:val="20"/>
          <w:szCs w:val="20"/>
        </w:rPr>
        <w:t xml:space="preserve"> « </w:t>
      </w:r>
      <w:proofErr w:type="spellStart"/>
      <w:r w:rsidRPr="00DB13EC">
        <w:rPr>
          <w:rFonts w:ascii="Cambria" w:hAnsi="Cambria"/>
          <w:color w:val="00000A"/>
          <w:sz w:val="20"/>
          <w:szCs w:val="20"/>
        </w:rPr>
        <w:t>SFA</w:t>
      </w:r>
      <w:proofErr w:type="spellEnd"/>
      <w:r w:rsidRPr="00DB13EC">
        <w:rPr>
          <w:rFonts w:ascii="Cambria" w:hAnsi="Cambria"/>
          <w:color w:val="00000A"/>
          <w:sz w:val="20"/>
          <w:szCs w:val="20"/>
        </w:rPr>
        <w:t xml:space="preserve"> », ce qui impliquerait une modification du nom commun associé. Le Groupe a précisé que la liste </w:t>
      </w:r>
      <w:proofErr w:type="spellStart"/>
      <w:r w:rsidRPr="00DB13EC">
        <w:rPr>
          <w:rFonts w:ascii="Cambria" w:hAnsi="Cambria"/>
          <w:color w:val="00000A"/>
          <w:sz w:val="20"/>
          <w:szCs w:val="20"/>
        </w:rPr>
        <w:t>ASFIS</w:t>
      </w:r>
      <w:proofErr w:type="spellEnd"/>
      <w:r w:rsidRPr="00DB13EC">
        <w:rPr>
          <w:rFonts w:ascii="Cambria" w:hAnsi="Cambria"/>
          <w:color w:val="00000A"/>
          <w:sz w:val="20"/>
          <w:szCs w:val="20"/>
        </w:rPr>
        <w:t xml:space="preserve"> est un outil de travail et de soutien, et que tout changement taxonomique ou de codage convenu par le Comité permanent pour la recherche et les statistiques (</w:t>
      </w:r>
      <w:proofErr w:type="spellStart"/>
      <w:r w:rsidRPr="00DB13EC">
        <w:rPr>
          <w:rFonts w:ascii="Cambria" w:hAnsi="Cambria"/>
          <w:color w:val="00000A"/>
          <w:sz w:val="20"/>
          <w:szCs w:val="20"/>
        </w:rPr>
        <w:t>SCRS</w:t>
      </w:r>
      <w:proofErr w:type="spellEnd"/>
      <w:r w:rsidRPr="00DB13EC">
        <w:rPr>
          <w:rFonts w:ascii="Cambria" w:hAnsi="Cambria"/>
          <w:color w:val="00000A"/>
          <w:sz w:val="20"/>
          <w:szCs w:val="20"/>
        </w:rPr>
        <w:t>) doit être formellement soumis au Secrétariat du CWP. Dès réception, le Secrétariat évaluera si les changements proposés peuvent être mis en œuvre directement ou si d'autres mesures sont nécessaires. Cette opération est considérée comme une tâche de routine dans la gestion des listes de référence des espèces.</w:t>
      </w:r>
    </w:p>
    <w:p w14:paraId="06CD07A3"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02AAA7E0" w14:textId="447C4E92" w:rsidR="00E03A3E" w:rsidRPr="00DB13EC" w:rsidRDefault="00E03A3E" w:rsidP="00E03A3E">
      <w:pPr>
        <w:tabs>
          <w:tab w:val="left" w:pos="851"/>
        </w:tabs>
        <w:spacing w:after="120"/>
        <w:contextualSpacing/>
        <w:jc w:val="both"/>
        <w:rPr>
          <w:rFonts w:ascii="Cambria" w:hAnsi="Cambria"/>
          <w:color w:val="00000A"/>
          <w:sz w:val="20"/>
          <w:szCs w:val="20"/>
        </w:rPr>
      </w:pPr>
      <w:r w:rsidRPr="00DB13EC">
        <w:rPr>
          <w:rFonts w:ascii="Cambria" w:hAnsi="Cambria"/>
          <w:color w:val="00000A"/>
          <w:sz w:val="20"/>
          <w:szCs w:val="20"/>
        </w:rPr>
        <w:t xml:space="preserve">Le </w:t>
      </w:r>
      <w:r w:rsidR="00203386" w:rsidRPr="00DB13EC">
        <w:rPr>
          <w:rFonts w:ascii="Cambria" w:hAnsi="Cambria"/>
          <w:color w:val="00000A"/>
          <w:sz w:val="20"/>
          <w:szCs w:val="20"/>
        </w:rPr>
        <w:t>G</w:t>
      </w:r>
      <w:r w:rsidRPr="00DB13EC">
        <w:rPr>
          <w:rFonts w:ascii="Cambria" w:hAnsi="Cambria"/>
          <w:color w:val="00000A"/>
          <w:sz w:val="20"/>
          <w:szCs w:val="20"/>
        </w:rPr>
        <w:t xml:space="preserve">roupe de travail sur la confidentialité des données et ses conclusions ont également été </w:t>
      </w:r>
      <w:r w:rsidR="00534240" w:rsidRPr="00DB13EC">
        <w:rPr>
          <w:rFonts w:ascii="Cambria" w:hAnsi="Cambria"/>
          <w:color w:val="00000A"/>
          <w:sz w:val="20"/>
          <w:szCs w:val="20"/>
        </w:rPr>
        <w:t>discut</w:t>
      </w:r>
      <w:r w:rsidRPr="00DB13EC">
        <w:rPr>
          <w:rFonts w:ascii="Cambria" w:hAnsi="Cambria"/>
          <w:color w:val="00000A"/>
          <w:sz w:val="20"/>
          <w:szCs w:val="20"/>
        </w:rPr>
        <w:t xml:space="preserve">és. Il a été reconnu que les récentes demandes de confidentialité des données ont affecté les activités régulières de </w:t>
      </w:r>
      <w:r w:rsidRPr="00DB13EC">
        <w:rPr>
          <w:rFonts w:ascii="Cambria" w:hAnsi="Cambria"/>
          <w:color w:val="00000A"/>
          <w:sz w:val="20"/>
          <w:szCs w:val="20"/>
        </w:rPr>
        <w:lastRenderedPageBreak/>
        <w:t>plusieurs organismes régionaux de pêche (</w:t>
      </w:r>
      <w:proofErr w:type="spellStart"/>
      <w:r w:rsidRPr="00DB13EC">
        <w:rPr>
          <w:rFonts w:ascii="Cambria" w:hAnsi="Cambria"/>
          <w:color w:val="00000A"/>
          <w:sz w:val="20"/>
          <w:szCs w:val="20"/>
        </w:rPr>
        <w:t>ORP</w:t>
      </w:r>
      <w:proofErr w:type="spellEnd"/>
      <w:r w:rsidRPr="00DB13EC">
        <w:rPr>
          <w:rFonts w:ascii="Cambria" w:hAnsi="Cambria"/>
          <w:color w:val="00000A"/>
          <w:sz w:val="20"/>
          <w:szCs w:val="20"/>
        </w:rPr>
        <w:t xml:space="preserve">) et fournisseurs de données. Il a été souligné que si la confidentialité des données implique une restriction de la diffusion ou de la publication, elle ne doit pas empêcher l'utilisation des données à des fins d'analyse scientifique et d'évaluation des stocks. Le groupe a recommandé l'élaboration de lignes directrices pour définir les protocoles de confidentialité et/ou la sensibilité aux risques des données, soulignant que les ressources marines sont des biens communs et que les organisations régionales de pêche ont la responsabilité de surveiller et de gérer ces ressources sur la base des meilleures informations scientifiques disponibles. La confidentialité des données ne doit pas servir d'excuse pour </w:t>
      </w:r>
      <w:r w:rsidR="00825257" w:rsidRPr="00DB13EC">
        <w:rPr>
          <w:rFonts w:ascii="Cambria" w:hAnsi="Cambria"/>
          <w:color w:val="00000A"/>
          <w:sz w:val="20"/>
          <w:szCs w:val="20"/>
        </w:rPr>
        <w:t xml:space="preserve">se soustraire aux </w:t>
      </w:r>
      <w:r w:rsidRPr="00DB13EC">
        <w:rPr>
          <w:rFonts w:ascii="Cambria" w:hAnsi="Cambria"/>
          <w:color w:val="00000A"/>
          <w:sz w:val="20"/>
          <w:szCs w:val="20"/>
        </w:rPr>
        <w:t xml:space="preserve">obligations en matière de </w:t>
      </w:r>
      <w:r w:rsidR="00825257" w:rsidRPr="00DB13EC">
        <w:rPr>
          <w:rFonts w:ascii="Cambria" w:hAnsi="Cambria"/>
          <w:color w:val="00000A"/>
          <w:sz w:val="20"/>
          <w:szCs w:val="20"/>
        </w:rPr>
        <w:t xml:space="preserve">soumission </w:t>
      </w:r>
      <w:r w:rsidRPr="00DB13EC">
        <w:rPr>
          <w:rFonts w:ascii="Cambria" w:hAnsi="Cambria"/>
          <w:color w:val="00000A"/>
          <w:sz w:val="20"/>
          <w:szCs w:val="20"/>
        </w:rPr>
        <w:t>des données sur la pêche.</w:t>
      </w:r>
    </w:p>
    <w:p w14:paraId="15B607FC" w14:textId="77777777" w:rsidR="008E2905" w:rsidRPr="00DB13EC" w:rsidRDefault="008E2905" w:rsidP="00E03A3E">
      <w:pPr>
        <w:tabs>
          <w:tab w:val="left" w:pos="851"/>
        </w:tabs>
        <w:spacing w:after="120"/>
        <w:contextualSpacing/>
        <w:jc w:val="both"/>
        <w:rPr>
          <w:rFonts w:ascii="Cambria" w:eastAsia="Calibri" w:hAnsi="Cambria"/>
          <w:color w:val="00000A"/>
          <w:sz w:val="20"/>
          <w:szCs w:val="20"/>
        </w:rPr>
      </w:pPr>
    </w:p>
    <w:p w14:paraId="049EEF6E" w14:textId="536B5E79"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sz w:val="20"/>
          <w:szCs w:val="20"/>
        </w:rPr>
        <w:t xml:space="preserve">Le CWP, par l'intermédiaire de son </w:t>
      </w:r>
      <w:r w:rsidR="002E200B" w:rsidRPr="00DB13EC">
        <w:rPr>
          <w:rFonts w:ascii="Cambria" w:hAnsi="Cambria"/>
          <w:sz w:val="20"/>
          <w:szCs w:val="20"/>
        </w:rPr>
        <w:t>G</w:t>
      </w:r>
      <w:r w:rsidRPr="00DB13EC">
        <w:rPr>
          <w:rFonts w:ascii="Cambria" w:hAnsi="Cambria"/>
          <w:sz w:val="20"/>
          <w:szCs w:val="20"/>
        </w:rPr>
        <w:t>roupe de travail sur l'harmonisation des références 2, a accepté de poursuivre le développement de la norme du CWP pour l'harmonisation des références en élargissant sa portée conceptuelle et en facilitant un processus de standardisation flexible et intégré, soutenu par les lignes directrices de mise en œuvre numérique et l'initiative du « </w:t>
      </w:r>
      <w:proofErr w:type="spellStart"/>
      <w:r w:rsidRPr="00DB13EC">
        <w:rPr>
          <w:rFonts w:ascii="Cambria" w:hAnsi="Cambria"/>
          <w:sz w:val="20"/>
          <w:szCs w:val="20"/>
        </w:rPr>
        <w:t>FDI-WG</w:t>
      </w:r>
      <w:proofErr w:type="spellEnd"/>
      <w:r w:rsidRPr="00DB13EC">
        <w:rPr>
          <w:rFonts w:ascii="Cambria" w:hAnsi="Cambria"/>
          <w:sz w:val="20"/>
          <w:szCs w:val="20"/>
        </w:rPr>
        <w:t xml:space="preserve"> », généralement appelé </w:t>
      </w:r>
      <w:bookmarkStart w:id="1" w:name="_Hlk208997813"/>
      <w:r w:rsidRPr="00DB13EC">
        <w:rPr>
          <w:rFonts w:ascii="Cambria" w:hAnsi="Cambria"/>
          <w:sz w:val="20"/>
          <w:szCs w:val="20"/>
        </w:rPr>
        <w:t>Groupe de travail sur l'interopérabilité des données de pêche (</w:t>
      </w:r>
      <w:proofErr w:type="spellStart"/>
      <w:r w:rsidRPr="00DB13EC">
        <w:rPr>
          <w:rFonts w:ascii="Cambria" w:hAnsi="Cambria"/>
          <w:sz w:val="20"/>
          <w:szCs w:val="20"/>
        </w:rPr>
        <w:t>FDI-WG</w:t>
      </w:r>
      <w:proofErr w:type="spellEnd"/>
      <w:r w:rsidRPr="00DB13EC">
        <w:rPr>
          <w:rFonts w:ascii="Cambria" w:hAnsi="Cambria"/>
          <w:sz w:val="20"/>
          <w:szCs w:val="20"/>
        </w:rPr>
        <w:t>)</w:t>
      </w:r>
      <w:bookmarkEnd w:id="1"/>
      <w:r w:rsidRPr="00DB13EC">
        <w:rPr>
          <w:rFonts w:ascii="Cambria" w:hAnsi="Cambria"/>
          <w:sz w:val="20"/>
          <w:szCs w:val="20"/>
        </w:rPr>
        <w:t>.</w:t>
      </w:r>
    </w:p>
    <w:p w14:paraId="6053FAB8"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10C641AF" w14:textId="578CEC90"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Le CWP a également fait état d'un projet visant à améliorer les statistiques de la pêche récréative au Conseil international pour l'exploration de la mer (</w:t>
      </w:r>
      <w:proofErr w:type="spellStart"/>
      <w:r w:rsidR="00090267" w:rsidRPr="00DB13EC">
        <w:rPr>
          <w:rFonts w:ascii="Cambria" w:hAnsi="Cambria"/>
          <w:color w:val="00000A"/>
          <w:sz w:val="20"/>
          <w:szCs w:val="20"/>
        </w:rPr>
        <w:t>CIEM</w:t>
      </w:r>
      <w:proofErr w:type="spellEnd"/>
      <w:r w:rsidRPr="00DB13EC">
        <w:rPr>
          <w:rFonts w:ascii="Cambria" w:hAnsi="Cambria"/>
          <w:color w:val="00000A"/>
          <w:sz w:val="20"/>
          <w:szCs w:val="20"/>
        </w:rPr>
        <w:t>)/Europe et leur importance</w:t>
      </w:r>
      <w:r w:rsidR="002E463F" w:rsidRPr="00DB13EC">
        <w:rPr>
          <w:rFonts w:ascii="Cambria" w:hAnsi="Cambria"/>
          <w:color w:val="00000A"/>
          <w:sz w:val="20"/>
          <w:szCs w:val="20"/>
        </w:rPr>
        <w:t>.</w:t>
      </w:r>
      <w:r w:rsidRPr="00DB13EC">
        <w:rPr>
          <w:rFonts w:ascii="Cambria" w:hAnsi="Cambria"/>
          <w:color w:val="00000A"/>
          <w:sz w:val="20"/>
          <w:szCs w:val="20"/>
        </w:rPr>
        <w:t xml:space="preserve"> Il a été reconnu que la pêche récréative se développe dans le monde entier, en particulier pour les espèces cibles récréatives à prix élevé, y compris les </w:t>
      </w:r>
      <w:proofErr w:type="spellStart"/>
      <w:r w:rsidRPr="00DB13EC">
        <w:rPr>
          <w:rFonts w:ascii="Cambria" w:hAnsi="Cambria"/>
          <w:color w:val="00000A"/>
          <w:sz w:val="20"/>
          <w:szCs w:val="20"/>
        </w:rPr>
        <w:t>istiophoridés</w:t>
      </w:r>
      <w:proofErr w:type="spellEnd"/>
      <w:r w:rsidRPr="00DB13EC">
        <w:rPr>
          <w:rFonts w:ascii="Cambria" w:hAnsi="Cambria"/>
          <w:color w:val="00000A"/>
          <w:sz w:val="20"/>
          <w:szCs w:val="20"/>
        </w:rPr>
        <w:t xml:space="preserve"> et les grands thonidés. Le CWP a convenu d'une révision complète de sa classification des codes d'engins, d'une mise à jour des codes obsolètes et d'une proposition de protocole plus efficace et plus rapide pour l'introduction de nouveaux engins.    </w:t>
      </w:r>
    </w:p>
    <w:p w14:paraId="20D28C13"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485482E7" w14:textId="77777777" w:rsidR="00E03A3E" w:rsidRPr="00DB13EC" w:rsidRDefault="00E03A3E" w:rsidP="00E03A3E">
      <w:pPr>
        <w:tabs>
          <w:tab w:val="left" w:pos="851"/>
        </w:tabs>
        <w:spacing w:after="120"/>
        <w:contextualSpacing/>
        <w:jc w:val="both"/>
        <w:rPr>
          <w:rFonts w:ascii="Cambria" w:eastAsia="Calibri" w:hAnsi="Cambria"/>
          <w:bCs/>
          <w:iCs/>
          <w:color w:val="00000A"/>
          <w:sz w:val="20"/>
          <w:szCs w:val="20"/>
        </w:rPr>
      </w:pPr>
      <w:r w:rsidRPr="00DB13EC">
        <w:rPr>
          <w:rFonts w:ascii="Cambria" w:hAnsi="Cambria"/>
          <w:color w:val="00000A"/>
          <w:sz w:val="20"/>
          <w:szCs w:val="20"/>
        </w:rPr>
        <w:t>Finalement, M. Carlos Mayor du Secrétariat de l’ICCAT a été nommé Vice-président du Groupe sur les pêches du CWP/FAO pour le prochain semestre.</w:t>
      </w:r>
      <w:r w:rsidRPr="00DB13EC">
        <w:rPr>
          <w:rFonts w:ascii="Cambria" w:hAnsi="Cambria"/>
          <w:bCs/>
          <w:iCs/>
          <w:color w:val="00000A"/>
          <w:sz w:val="20"/>
          <w:szCs w:val="20"/>
        </w:rPr>
        <w:t xml:space="preserve">  </w:t>
      </w:r>
    </w:p>
    <w:p w14:paraId="2D3CA3F6" w14:textId="77777777" w:rsidR="004419CC" w:rsidRPr="00DB13EC" w:rsidRDefault="004419CC" w:rsidP="00E03A3E">
      <w:pPr>
        <w:tabs>
          <w:tab w:val="left" w:pos="851"/>
        </w:tabs>
        <w:spacing w:after="120"/>
        <w:contextualSpacing/>
        <w:jc w:val="both"/>
        <w:rPr>
          <w:rFonts w:ascii="Cambria" w:eastAsia="Calibri" w:hAnsi="Cambria"/>
          <w:bCs/>
          <w:iCs/>
          <w:color w:val="00000A"/>
          <w:sz w:val="20"/>
          <w:szCs w:val="20"/>
        </w:rPr>
      </w:pPr>
    </w:p>
    <w:p w14:paraId="2BAAB98A" w14:textId="77777777" w:rsidR="008C013A" w:rsidRPr="00DB13EC" w:rsidRDefault="008C013A" w:rsidP="00E03A3E">
      <w:pPr>
        <w:tabs>
          <w:tab w:val="left" w:pos="851"/>
        </w:tabs>
        <w:spacing w:after="120"/>
        <w:contextualSpacing/>
        <w:jc w:val="both"/>
        <w:rPr>
          <w:rFonts w:ascii="Cambria" w:eastAsia="Calibri" w:hAnsi="Cambria"/>
          <w:bCs/>
          <w:iCs/>
          <w:color w:val="00000A"/>
          <w:sz w:val="20"/>
          <w:szCs w:val="20"/>
        </w:rPr>
      </w:pPr>
    </w:p>
    <w:p w14:paraId="33E78B54" w14:textId="52A5B2B1" w:rsidR="00E03A3E" w:rsidRPr="00DB13EC" w:rsidRDefault="00E03A3E" w:rsidP="00E03A3E">
      <w:pPr>
        <w:tabs>
          <w:tab w:val="left" w:pos="851"/>
        </w:tabs>
        <w:spacing w:after="120"/>
        <w:contextualSpacing/>
        <w:jc w:val="both"/>
        <w:rPr>
          <w:rFonts w:ascii="Cambria" w:eastAsia="Calibri" w:hAnsi="Cambria"/>
          <w:b/>
          <w:iCs/>
          <w:color w:val="00000A"/>
          <w:sz w:val="20"/>
          <w:szCs w:val="20"/>
        </w:rPr>
      </w:pPr>
      <w:r w:rsidRPr="00DB13EC">
        <w:rPr>
          <w:rFonts w:ascii="Cambria" w:hAnsi="Cambria"/>
          <w:b/>
          <w:iCs/>
          <w:color w:val="00000A"/>
          <w:sz w:val="20"/>
          <w:szCs w:val="20"/>
        </w:rPr>
        <w:t>Système de suivi des ressources halieutiques et des pêcheries (</w:t>
      </w:r>
      <w:proofErr w:type="spellStart"/>
      <w:r w:rsidRPr="00DB13EC">
        <w:rPr>
          <w:rFonts w:ascii="Cambria" w:hAnsi="Cambria"/>
          <w:b/>
          <w:iCs/>
          <w:color w:val="00000A"/>
          <w:sz w:val="20"/>
          <w:szCs w:val="20"/>
        </w:rPr>
        <w:t>FIRMS</w:t>
      </w:r>
      <w:proofErr w:type="spellEnd"/>
      <w:r w:rsidRPr="00DB13EC">
        <w:rPr>
          <w:rFonts w:ascii="Cambria" w:hAnsi="Cambria"/>
          <w:b/>
          <w:iCs/>
          <w:color w:val="00000A"/>
          <w:sz w:val="20"/>
          <w:szCs w:val="20"/>
        </w:rPr>
        <w:t>)</w:t>
      </w:r>
      <w:r w:rsidRPr="00DB13EC">
        <w:rPr>
          <w:rFonts w:ascii="Cambria" w:hAnsi="Cambria"/>
          <w:iCs/>
          <w:color w:val="00000A"/>
          <w:sz w:val="20"/>
          <w:szCs w:val="20"/>
        </w:rPr>
        <w:t xml:space="preserve"> </w:t>
      </w:r>
    </w:p>
    <w:p w14:paraId="54D8F559"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22493D63" w14:textId="4251A2F4"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sz w:val="20"/>
          <w:szCs w:val="20"/>
        </w:rPr>
        <w:t xml:space="preserve">L’ICCAT est un partenaire du système </w:t>
      </w:r>
      <w:hyperlink r:id="rId14" w:history="1">
        <w:proofErr w:type="spellStart"/>
        <w:r w:rsidRPr="00DB13EC">
          <w:rPr>
            <w:rFonts w:ascii="Cambria" w:hAnsi="Cambria"/>
            <w:color w:val="00000A"/>
            <w:sz w:val="20"/>
            <w:szCs w:val="20"/>
          </w:rPr>
          <w:t>FIRMS</w:t>
        </w:r>
        <w:proofErr w:type="spellEnd"/>
      </w:hyperlink>
      <w:r w:rsidRPr="00DB13EC">
        <w:rPr>
          <w:rFonts w:ascii="Cambria" w:hAnsi="Cambria"/>
          <w:color w:val="00000A"/>
          <w:sz w:val="20"/>
          <w:szCs w:val="20"/>
        </w:rPr>
        <w:t xml:space="preserve"> de la FAO, une initiative qui donne accès à des informations sur le suivi et la gestion à échelle mondiale des ressources marines et halieutiques. À ce titre, le Secrétariat fournit des mises à jour au </w:t>
      </w:r>
      <w:proofErr w:type="spellStart"/>
      <w:r w:rsidRPr="00DB13EC">
        <w:rPr>
          <w:rFonts w:ascii="Cambria" w:hAnsi="Cambria"/>
          <w:color w:val="00000A"/>
          <w:sz w:val="20"/>
          <w:szCs w:val="20"/>
        </w:rPr>
        <w:t>FIRMS</w:t>
      </w:r>
      <w:proofErr w:type="spellEnd"/>
      <w:r w:rsidRPr="00DB13EC">
        <w:rPr>
          <w:rFonts w:ascii="Cambria" w:hAnsi="Cambria"/>
          <w:color w:val="00000A"/>
          <w:sz w:val="20"/>
          <w:szCs w:val="20"/>
        </w:rPr>
        <w:t xml:space="preserve"> concernant l'état des stocks de toutes les espèces de l'ICCAT, tel</w:t>
      </w:r>
      <w:r w:rsidR="002E463F" w:rsidRPr="00DB13EC">
        <w:rPr>
          <w:rFonts w:ascii="Cambria" w:hAnsi="Cambria"/>
          <w:color w:val="00000A"/>
          <w:sz w:val="20"/>
          <w:szCs w:val="20"/>
        </w:rPr>
        <w:t>les</w:t>
      </w:r>
      <w:r w:rsidRPr="00DB13EC">
        <w:rPr>
          <w:rFonts w:ascii="Cambria" w:hAnsi="Cambria"/>
          <w:color w:val="00000A"/>
          <w:sz w:val="20"/>
          <w:szCs w:val="20"/>
        </w:rPr>
        <w:t xml:space="preserve"> qu'évalué</w:t>
      </w:r>
      <w:r w:rsidR="002E463F" w:rsidRPr="00DB13EC">
        <w:rPr>
          <w:rFonts w:ascii="Cambria" w:hAnsi="Cambria"/>
          <w:color w:val="00000A"/>
          <w:sz w:val="20"/>
          <w:szCs w:val="20"/>
        </w:rPr>
        <w:t>es</w:t>
      </w:r>
      <w:r w:rsidRPr="00DB13EC">
        <w:rPr>
          <w:rFonts w:ascii="Cambria" w:hAnsi="Cambria"/>
          <w:color w:val="00000A"/>
          <w:sz w:val="20"/>
          <w:szCs w:val="20"/>
        </w:rPr>
        <w:t xml:space="preserve"> par le </w:t>
      </w:r>
      <w:proofErr w:type="spellStart"/>
      <w:r w:rsidRPr="00DB13EC">
        <w:rPr>
          <w:rFonts w:ascii="Cambria" w:hAnsi="Cambria"/>
          <w:color w:val="00000A"/>
          <w:sz w:val="20"/>
          <w:szCs w:val="20"/>
        </w:rPr>
        <w:t>SCRS</w:t>
      </w:r>
      <w:proofErr w:type="spellEnd"/>
      <w:r w:rsidRPr="00DB13EC">
        <w:rPr>
          <w:rFonts w:ascii="Cambria" w:hAnsi="Cambria"/>
          <w:color w:val="00000A"/>
          <w:sz w:val="20"/>
          <w:szCs w:val="20"/>
        </w:rPr>
        <w:t xml:space="preserve">, avec la synchronisation dans le nouveau format de fiches techniques convenu par le </w:t>
      </w:r>
      <w:proofErr w:type="spellStart"/>
      <w:r w:rsidRPr="00DB13EC">
        <w:rPr>
          <w:rFonts w:ascii="Cambria" w:hAnsi="Cambria"/>
          <w:color w:val="00000A"/>
          <w:sz w:val="20"/>
          <w:szCs w:val="20"/>
        </w:rPr>
        <w:t>FIRMS</w:t>
      </w:r>
      <w:proofErr w:type="spellEnd"/>
      <w:r w:rsidRPr="00DB13EC">
        <w:rPr>
          <w:rFonts w:ascii="Cambria" w:hAnsi="Cambria"/>
          <w:color w:val="00000A"/>
          <w:sz w:val="20"/>
          <w:szCs w:val="20"/>
        </w:rPr>
        <w:t>/FAO.</w:t>
      </w:r>
    </w:p>
    <w:p w14:paraId="6EC4C193"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0D43109A" w14:textId="778FC3DA"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sz w:val="20"/>
          <w:szCs w:val="20"/>
        </w:rPr>
        <w:t xml:space="preserve">L'ICCAT a participé en présentiel à la 14e session du </w:t>
      </w:r>
      <w:hyperlink r:id="rId15" w:history="1">
        <w:r w:rsidRPr="00DB13EC">
          <w:rPr>
            <w:rFonts w:ascii="Cambria" w:hAnsi="Cambria"/>
            <w:color w:val="0563C1"/>
            <w:sz w:val="20"/>
            <w:szCs w:val="20"/>
          </w:rPr>
          <w:t>Comité dir</w:t>
        </w:r>
        <w:r w:rsidRPr="00DB13EC">
          <w:rPr>
            <w:rFonts w:ascii="Cambria" w:hAnsi="Cambria"/>
            <w:color w:val="0563C1"/>
            <w:sz w:val="20"/>
            <w:szCs w:val="20"/>
          </w:rPr>
          <w:t>e</w:t>
        </w:r>
        <w:r w:rsidRPr="00DB13EC">
          <w:rPr>
            <w:rFonts w:ascii="Cambria" w:hAnsi="Cambria"/>
            <w:color w:val="0563C1"/>
            <w:sz w:val="20"/>
            <w:szCs w:val="20"/>
          </w:rPr>
          <w:t>cteur</w:t>
        </w:r>
      </w:hyperlink>
      <w:r w:rsidRPr="00DB13EC">
        <w:rPr>
          <w:rFonts w:ascii="Cambria" w:hAnsi="Cambria"/>
          <w:sz w:val="20"/>
          <w:szCs w:val="20"/>
        </w:rPr>
        <w:t xml:space="preserve"> du </w:t>
      </w:r>
      <w:proofErr w:type="spellStart"/>
      <w:r w:rsidRPr="00DB13EC">
        <w:rPr>
          <w:rFonts w:ascii="Cambria" w:hAnsi="Cambria"/>
          <w:sz w:val="20"/>
          <w:szCs w:val="20"/>
        </w:rPr>
        <w:t>FIRMS</w:t>
      </w:r>
      <w:proofErr w:type="spellEnd"/>
      <w:r w:rsidRPr="00DB13EC">
        <w:rPr>
          <w:rFonts w:ascii="Cambria" w:hAnsi="Cambria"/>
          <w:sz w:val="20"/>
          <w:szCs w:val="20"/>
        </w:rPr>
        <w:t xml:space="preserve">/FAO et à la 28e session du CWP/FAO, qui </w:t>
      </w:r>
      <w:r w:rsidR="00313174" w:rsidRPr="00DB13EC">
        <w:rPr>
          <w:rFonts w:ascii="Cambria" w:hAnsi="Cambria"/>
          <w:sz w:val="20"/>
          <w:szCs w:val="20"/>
        </w:rPr>
        <w:t>ont</w:t>
      </w:r>
      <w:r w:rsidRPr="00DB13EC">
        <w:rPr>
          <w:rFonts w:ascii="Cambria" w:hAnsi="Cambria"/>
          <w:sz w:val="20"/>
          <w:szCs w:val="20"/>
        </w:rPr>
        <w:t xml:space="preserve"> eu lieu du 30 juin au 4 juillet au siège d</w:t>
      </w:r>
      <w:r w:rsidR="00090267" w:rsidRPr="00DB13EC">
        <w:rPr>
          <w:rFonts w:ascii="Cambria" w:hAnsi="Cambria"/>
          <w:sz w:val="20"/>
          <w:szCs w:val="20"/>
        </w:rPr>
        <w:t xml:space="preserve">u </w:t>
      </w:r>
      <w:proofErr w:type="spellStart"/>
      <w:r w:rsidR="00090267" w:rsidRPr="00DB13EC">
        <w:rPr>
          <w:rFonts w:ascii="Cambria" w:hAnsi="Cambria"/>
          <w:sz w:val="20"/>
          <w:szCs w:val="20"/>
        </w:rPr>
        <w:t>CIEM</w:t>
      </w:r>
      <w:proofErr w:type="spellEnd"/>
      <w:r w:rsidR="00090267" w:rsidRPr="00DB13EC">
        <w:rPr>
          <w:rFonts w:ascii="Cambria" w:hAnsi="Cambria"/>
          <w:sz w:val="20"/>
          <w:szCs w:val="20"/>
        </w:rPr>
        <w:t xml:space="preserve"> </w:t>
      </w:r>
      <w:r w:rsidRPr="00DB13EC">
        <w:rPr>
          <w:rFonts w:ascii="Cambria" w:hAnsi="Cambria"/>
          <w:sz w:val="20"/>
          <w:szCs w:val="20"/>
        </w:rPr>
        <w:t>à Copenhague.</w:t>
      </w:r>
      <w:r w:rsidRPr="00DB13EC">
        <w:rPr>
          <w:rFonts w:ascii="Cambria" w:hAnsi="Cambria"/>
          <w:color w:val="00000A"/>
          <w:sz w:val="20"/>
          <w:szCs w:val="20"/>
        </w:rPr>
        <w:t xml:space="preserve"> Au cours de l'examen et des discussions de </w:t>
      </w:r>
      <w:proofErr w:type="spellStart"/>
      <w:r w:rsidRPr="00DB13EC">
        <w:rPr>
          <w:rFonts w:ascii="Cambria" w:hAnsi="Cambria"/>
          <w:color w:val="00000A"/>
          <w:sz w:val="20"/>
          <w:szCs w:val="20"/>
        </w:rPr>
        <w:t>FIRMS</w:t>
      </w:r>
      <w:proofErr w:type="spellEnd"/>
      <w:r w:rsidRPr="00DB13EC">
        <w:rPr>
          <w:rFonts w:ascii="Cambria" w:hAnsi="Cambria"/>
          <w:color w:val="00000A"/>
          <w:sz w:val="20"/>
          <w:szCs w:val="20"/>
        </w:rPr>
        <w:t xml:space="preserve">, l’ICCAT a souligné la nécessité d'inclure la liste complète des espèces/stocks de grands migrateurs relevant de son mandat dans les produits </w:t>
      </w:r>
      <w:proofErr w:type="spellStart"/>
      <w:r w:rsidRPr="00DB13EC">
        <w:rPr>
          <w:rFonts w:ascii="Cambria" w:hAnsi="Cambria"/>
          <w:color w:val="00000A"/>
          <w:sz w:val="20"/>
          <w:szCs w:val="20"/>
        </w:rPr>
        <w:t>SoSi</w:t>
      </w:r>
      <w:proofErr w:type="spellEnd"/>
      <w:r w:rsidRPr="00DB13EC">
        <w:rPr>
          <w:rFonts w:ascii="Cambria" w:hAnsi="Cambria"/>
          <w:color w:val="00000A"/>
          <w:sz w:val="20"/>
          <w:szCs w:val="20"/>
        </w:rPr>
        <w:t xml:space="preserve"> de la FAO, ainsi que l'état des stocks devant être mis à jour par l’ICCAT, y compris pour les espèces de requins qui ont été évaluées par des protocoles d'évaluation des risques. </w:t>
      </w:r>
    </w:p>
    <w:p w14:paraId="60E0A282"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24C748C5" w14:textId="2D2995BC"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 xml:space="preserve">Il a également été indiqué que le </w:t>
      </w:r>
      <w:proofErr w:type="spellStart"/>
      <w:r w:rsidRPr="00DB13EC">
        <w:rPr>
          <w:rFonts w:ascii="Cambria" w:hAnsi="Cambria"/>
          <w:color w:val="00000A"/>
          <w:sz w:val="20"/>
          <w:szCs w:val="20"/>
        </w:rPr>
        <w:t>SCRS</w:t>
      </w:r>
      <w:proofErr w:type="spellEnd"/>
      <w:r w:rsidRPr="00DB13EC">
        <w:rPr>
          <w:rFonts w:ascii="Cambria" w:hAnsi="Cambria"/>
          <w:color w:val="00000A"/>
          <w:sz w:val="20"/>
          <w:szCs w:val="20"/>
        </w:rPr>
        <w:t xml:space="preserve"> et la Commission de l’ICCAT seront consultés sur leur recommandation </w:t>
      </w:r>
      <w:r w:rsidR="009650AD" w:rsidRPr="00DB13EC">
        <w:rPr>
          <w:rFonts w:ascii="Cambria" w:hAnsi="Cambria"/>
          <w:color w:val="00000A"/>
          <w:sz w:val="20"/>
          <w:szCs w:val="20"/>
        </w:rPr>
        <w:t xml:space="preserve">de communiquer l'état </w:t>
      </w:r>
      <w:r w:rsidRPr="00DB13EC">
        <w:rPr>
          <w:rFonts w:ascii="Cambria" w:hAnsi="Cambria"/>
          <w:color w:val="00000A"/>
          <w:sz w:val="20"/>
          <w:szCs w:val="20"/>
        </w:rPr>
        <w:t xml:space="preserve">des divers stocks du Groupe d'espèces sur les thonidés mineurs lorsque certaines évaluations locales/régionales ont été réalisées mais n'ont pas été formellement adoptées par l'ICCAT (par exemple, </w:t>
      </w:r>
      <w:proofErr w:type="spellStart"/>
      <w:r w:rsidRPr="00DB13EC">
        <w:rPr>
          <w:rFonts w:ascii="Cambria" w:hAnsi="Cambria"/>
          <w:color w:val="00000A"/>
          <w:sz w:val="20"/>
          <w:szCs w:val="20"/>
        </w:rPr>
        <w:t>thazard</w:t>
      </w:r>
      <w:proofErr w:type="spellEnd"/>
      <w:r w:rsidRPr="00DB13EC">
        <w:rPr>
          <w:rFonts w:ascii="Cambria" w:hAnsi="Cambria"/>
          <w:color w:val="00000A"/>
          <w:sz w:val="20"/>
          <w:szCs w:val="20"/>
        </w:rPr>
        <w:t xml:space="preserve"> barré et </w:t>
      </w:r>
      <w:proofErr w:type="spellStart"/>
      <w:r w:rsidRPr="00DB13EC">
        <w:rPr>
          <w:rFonts w:ascii="Cambria" w:hAnsi="Cambria"/>
          <w:color w:val="00000A"/>
          <w:sz w:val="20"/>
          <w:szCs w:val="20"/>
        </w:rPr>
        <w:t>thazard</w:t>
      </w:r>
      <w:proofErr w:type="spellEnd"/>
      <w:r w:rsidRPr="00DB13EC">
        <w:rPr>
          <w:rFonts w:ascii="Cambria" w:hAnsi="Cambria"/>
          <w:color w:val="00000A"/>
          <w:sz w:val="20"/>
          <w:szCs w:val="20"/>
        </w:rPr>
        <w:t xml:space="preserve"> serra dans les stocks de l'Atlantique Nord-Ouest et du golfe du Mexique).</w:t>
      </w:r>
    </w:p>
    <w:p w14:paraId="0C3F647E"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76FEEEB7" w14:textId="6E9B6E05"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sz w:val="20"/>
          <w:szCs w:val="20"/>
        </w:rPr>
        <w:t>L'ICCAT joue également un rôle actif dans le cadre de l’</w:t>
      </w:r>
      <w:hyperlink r:id="rId16" w:history="1">
        <w:r w:rsidRPr="00DB13EC">
          <w:rPr>
            <w:rFonts w:ascii="Cambria" w:hAnsi="Cambria"/>
            <w:color w:val="0563C1"/>
            <w:sz w:val="20"/>
            <w:szCs w:val="20"/>
          </w:rPr>
          <w:t xml:space="preserve">Atlas mondial des thons de </w:t>
        </w:r>
        <w:proofErr w:type="spellStart"/>
        <w:r w:rsidRPr="00DB13EC">
          <w:rPr>
            <w:rFonts w:ascii="Cambria" w:hAnsi="Cambria"/>
            <w:color w:val="0563C1"/>
            <w:sz w:val="20"/>
            <w:szCs w:val="20"/>
          </w:rPr>
          <w:t>FIRMS</w:t>
        </w:r>
        <w:proofErr w:type="spellEnd"/>
      </w:hyperlink>
      <w:r w:rsidRPr="00DB13EC">
        <w:rPr>
          <w:rFonts w:ascii="Cambria" w:hAnsi="Cambria"/>
          <w:sz w:val="20"/>
          <w:szCs w:val="20"/>
        </w:rPr>
        <w:t xml:space="preserve"> (</w:t>
      </w:r>
      <w:proofErr w:type="spellStart"/>
      <w:r w:rsidRPr="00DB13EC">
        <w:rPr>
          <w:rFonts w:ascii="Cambria" w:hAnsi="Cambria"/>
          <w:sz w:val="20"/>
          <w:szCs w:val="20"/>
        </w:rPr>
        <w:t>GTA</w:t>
      </w:r>
      <w:proofErr w:type="spellEnd"/>
      <w:r w:rsidRPr="00DB13EC">
        <w:rPr>
          <w:rFonts w:ascii="Cambria" w:hAnsi="Cambria"/>
          <w:sz w:val="20"/>
          <w:szCs w:val="20"/>
        </w:rPr>
        <w:t>)</w:t>
      </w:r>
      <w:r w:rsidRPr="00DB13EC">
        <w:rPr>
          <w:rFonts w:ascii="Cambria" w:hAnsi="Cambria"/>
          <w:color w:val="00000A"/>
          <w:sz w:val="20"/>
          <w:szCs w:val="20"/>
        </w:rPr>
        <w:t xml:space="preserve"> qui rassemble et harmonise les captures nominales et les captures géoréférencées des cinq ORGPt, et qui a été récemment (mai 2024) mis à jour avec les dernières données de la tâche 1 et de la tâche 2, telles que disponibles sur le </w:t>
      </w:r>
      <w:hyperlink r:id="rId17" w:history="1">
        <w:r w:rsidRPr="00DB13EC">
          <w:rPr>
            <w:rFonts w:ascii="Cambria" w:hAnsi="Cambria"/>
            <w:color w:val="0563C1"/>
            <w:sz w:val="20"/>
            <w:szCs w:val="20"/>
          </w:rPr>
          <w:t>site web de l'ICCAT</w:t>
        </w:r>
      </w:hyperlink>
      <w:r w:rsidRPr="00DB13EC">
        <w:rPr>
          <w:rFonts w:ascii="Cambria" w:hAnsi="Cambria"/>
          <w:sz w:val="20"/>
          <w:szCs w:val="20"/>
        </w:rPr>
        <w:t>.</w:t>
      </w:r>
      <w:r w:rsidRPr="00DB13EC">
        <w:rPr>
          <w:rFonts w:ascii="Cambria" w:hAnsi="Cambria"/>
          <w:color w:val="00000A"/>
          <w:sz w:val="20"/>
          <w:szCs w:val="20"/>
        </w:rPr>
        <w:t xml:space="preserve"> Il a également été noté que l'ICCAT a mis à jour sa politique de confidentialité en matière de données afin de garantir que les futures soumissions de données </w:t>
      </w:r>
      <w:r w:rsidR="00477ED4" w:rsidRPr="00DB13EC">
        <w:rPr>
          <w:rFonts w:ascii="Cambria" w:hAnsi="Cambria"/>
          <w:color w:val="00000A"/>
          <w:sz w:val="20"/>
          <w:szCs w:val="20"/>
        </w:rPr>
        <w:t xml:space="preserve">au </w:t>
      </w:r>
      <w:proofErr w:type="spellStart"/>
      <w:r w:rsidRPr="00DB13EC">
        <w:rPr>
          <w:rFonts w:ascii="Cambria" w:hAnsi="Cambria"/>
          <w:color w:val="00000A"/>
          <w:sz w:val="20"/>
          <w:szCs w:val="20"/>
        </w:rPr>
        <w:t>GTA</w:t>
      </w:r>
      <w:proofErr w:type="spellEnd"/>
      <w:r w:rsidRPr="00DB13EC">
        <w:rPr>
          <w:rFonts w:ascii="Cambria" w:hAnsi="Cambria"/>
          <w:color w:val="00000A"/>
          <w:sz w:val="20"/>
          <w:szCs w:val="20"/>
        </w:rPr>
        <w:t xml:space="preserve"> suivront les exigences de cette politique.</w:t>
      </w:r>
    </w:p>
    <w:p w14:paraId="2D18E47C"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2F022238" w14:textId="7501E724" w:rsidR="00E03A3E" w:rsidRPr="00DB13EC" w:rsidRDefault="00E03A3E" w:rsidP="00E03A3E">
      <w:pPr>
        <w:jc w:val="both"/>
        <w:rPr>
          <w:rFonts w:ascii="Cambria" w:hAnsi="Cambria"/>
          <w:color w:val="00000A"/>
          <w:sz w:val="20"/>
          <w:szCs w:val="20"/>
        </w:rPr>
      </w:pPr>
      <w:r w:rsidRPr="00DB13EC">
        <w:rPr>
          <w:rFonts w:ascii="Cambria" w:hAnsi="Cambria"/>
          <w:color w:val="00000A"/>
          <w:sz w:val="20"/>
          <w:szCs w:val="20"/>
        </w:rPr>
        <w:t>Un outil largement testé pour l'identification et la définition des pêcheries à petite échelle (</w:t>
      </w:r>
      <w:proofErr w:type="spellStart"/>
      <w:r w:rsidRPr="00DB13EC">
        <w:rPr>
          <w:rFonts w:ascii="Cambria" w:hAnsi="Cambria"/>
          <w:color w:val="00000A"/>
          <w:sz w:val="20"/>
          <w:szCs w:val="20"/>
        </w:rPr>
        <w:t>SSF</w:t>
      </w:r>
      <w:proofErr w:type="spellEnd"/>
      <w:r w:rsidRPr="00DB13EC">
        <w:rPr>
          <w:rFonts w:ascii="Cambria" w:hAnsi="Cambria"/>
          <w:color w:val="00000A"/>
          <w:sz w:val="20"/>
          <w:szCs w:val="20"/>
        </w:rPr>
        <w:t xml:space="preserve">) a été présenté. Il a été recommandé que cet outil soit examiné par le </w:t>
      </w:r>
      <w:proofErr w:type="spellStart"/>
      <w:r w:rsidRPr="00DB13EC">
        <w:rPr>
          <w:rFonts w:ascii="Cambria" w:hAnsi="Cambria"/>
          <w:color w:val="00000A"/>
          <w:sz w:val="20"/>
          <w:szCs w:val="20"/>
        </w:rPr>
        <w:t>SCRS</w:t>
      </w:r>
      <w:proofErr w:type="spellEnd"/>
      <w:r w:rsidRPr="00DB13EC">
        <w:rPr>
          <w:rFonts w:ascii="Cambria" w:hAnsi="Cambria"/>
          <w:color w:val="00000A"/>
          <w:sz w:val="20"/>
          <w:szCs w:val="20"/>
        </w:rPr>
        <w:t xml:space="preserve"> de l’ICCAT. Cet outil pourrait permettre à l’ICCAT d’identifier des </w:t>
      </w:r>
      <w:proofErr w:type="spellStart"/>
      <w:r w:rsidRPr="00DB13EC">
        <w:rPr>
          <w:rFonts w:ascii="Cambria" w:hAnsi="Cambria"/>
          <w:color w:val="00000A"/>
          <w:sz w:val="20"/>
          <w:szCs w:val="20"/>
        </w:rPr>
        <w:t>SSF</w:t>
      </w:r>
      <w:proofErr w:type="spellEnd"/>
      <w:r w:rsidRPr="00DB13EC">
        <w:rPr>
          <w:rFonts w:ascii="Cambria" w:hAnsi="Cambria"/>
          <w:color w:val="00000A"/>
          <w:sz w:val="20"/>
          <w:szCs w:val="20"/>
        </w:rPr>
        <w:t xml:space="preserve"> parmi ses membres</w:t>
      </w:r>
      <w:r w:rsidR="00AB7047" w:rsidRPr="00DB13EC">
        <w:rPr>
          <w:rFonts w:ascii="Cambria" w:hAnsi="Cambria"/>
          <w:color w:val="00000A"/>
          <w:sz w:val="20"/>
          <w:szCs w:val="20"/>
        </w:rPr>
        <w:t>,</w:t>
      </w:r>
      <w:r w:rsidRPr="00DB13EC">
        <w:rPr>
          <w:rFonts w:ascii="Cambria" w:hAnsi="Cambria"/>
          <w:color w:val="00000A"/>
          <w:sz w:val="20"/>
          <w:szCs w:val="20"/>
        </w:rPr>
        <w:t xml:space="preserve"> de soutenir le développement de mécanismes de collecte de données </w:t>
      </w:r>
      <w:r w:rsidRPr="00DB13EC">
        <w:rPr>
          <w:rFonts w:ascii="Cambria" w:hAnsi="Cambria"/>
          <w:color w:val="00000A"/>
          <w:sz w:val="20"/>
          <w:szCs w:val="20"/>
        </w:rPr>
        <w:lastRenderedPageBreak/>
        <w:t>et de contribuer aux discussions de gestion. Il a été suggéré que l’ICCAT prenne contact avec la Commission des thons de l'océan Indien (</w:t>
      </w:r>
      <w:proofErr w:type="spellStart"/>
      <w:r w:rsidR="009853B1" w:rsidRPr="00DB13EC">
        <w:rPr>
          <w:rFonts w:ascii="Cambria" w:hAnsi="Cambria"/>
          <w:color w:val="00000A"/>
          <w:sz w:val="20"/>
          <w:szCs w:val="20"/>
        </w:rPr>
        <w:t>CTOI</w:t>
      </w:r>
      <w:proofErr w:type="spellEnd"/>
      <w:r w:rsidRPr="00DB13EC">
        <w:rPr>
          <w:rFonts w:ascii="Cambria" w:hAnsi="Cambria"/>
          <w:color w:val="00000A"/>
          <w:sz w:val="20"/>
          <w:szCs w:val="20"/>
        </w:rPr>
        <w:t>), qui a joué un rôle actif dans le développement et l'application de cet outil.</w:t>
      </w:r>
    </w:p>
    <w:p w14:paraId="7842BD8A" w14:textId="77777777" w:rsidR="00D47809" w:rsidRPr="00DB13EC" w:rsidRDefault="00D47809" w:rsidP="00E03A3E">
      <w:pPr>
        <w:jc w:val="both"/>
        <w:rPr>
          <w:rFonts w:ascii="Cambria" w:hAnsi="Cambria"/>
          <w:color w:val="00000A"/>
          <w:sz w:val="20"/>
          <w:szCs w:val="20"/>
        </w:rPr>
      </w:pPr>
    </w:p>
    <w:p w14:paraId="29DFFE29" w14:textId="77777777" w:rsidR="00D47809" w:rsidRPr="00DB13EC" w:rsidRDefault="00D47809" w:rsidP="00E03A3E">
      <w:pPr>
        <w:jc w:val="both"/>
        <w:rPr>
          <w:rFonts w:ascii="Cambria" w:hAnsi="Cambria"/>
          <w:sz w:val="20"/>
          <w:szCs w:val="20"/>
        </w:rPr>
      </w:pPr>
    </w:p>
    <w:p w14:paraId="706D4FC6" w14:textId="76A7DE61" w:rsidR="00E03A3E" w:rsidRPr="00DB13EC" w:rsidRDefault="00D47809" w:rsidP="00E03A3E">
      <w:pPr>
        <w:tabs>
          <w:tab w:val="left" w:pos="851"/>
        </w:tabs>
        <w:spacing w:after="120"/>
        <w:contextualSpacing/>
        <w:jc w:val="both"/>
        <w:rPr>
          <w:rFonts w:ascii="Cambria" w:eastAsia="Calibri" w:hAnsi="Cambria"/>
          <w:iCs/>
          <w:color w:val="00000A"/>
          <w:sz w:val="20"/>
          <w:szCs w:val="20"/>
        </w:rPr>
      </w:pPr>
      <w:r w:rsidRPr="00D47809">
        <w:rPr>
          <w:rFonts w:ascii="Cambria" w:hAnsi="Cambria"/>
          <w:b/>
          <w:bCs/>
          <w:iCs/>
          <w:color w:val="00000A"/>
          <w:sz w:val="20"/>
          <w:szCs w:val="20"/>
        </w:rPr>
        <w:t>Résumés des sciences aquatiques et halieutiques</w:t>
      </w:r>
      <w:r w:rsidRPr="00DB13EC">
        <w:rPr>
          <w:rFonts w:ascii="Cambria" w:hAnsi="Cambria"/>
          <w:b/>
          <w:bCs/>
          <w:iCs/>
          <w:color w:val="00000A"/>
          <w:sz w:val="20"/>
          <w:szCs w:val="20"/>
        </w:rPr>
        <w:t xml:space="preserve"> </w:t>
      </w:r>
      <w:r w:rsidR="00E03A3E" w:rsidRPr="00DB13EC">
        <w:rPr>
          <w:rFonts w:ascii="Cambria" w:hAnsi="Cambria"/>
          <w:b/>
          <w:iCs/>
          <w:color w:val="00000A"/>
          <w:sz w:val="20"/>
          <w:szCs w:val="20"/>
        </w:rPr>
        <w:t>(ASFA)</w:t>
      </w:r>
    </w:p>
    <w:p w14:paraId="2C9A49B4"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360A5216" w14:textId="7BF7B9B1" w:rsidR="00E03A3E" w:rsidRPr="00DB13EC" w:rsidRDefault="00E03A3E" w:rsidP="005279B6">
      <w:pPr>
        <w:tabs>
          <w:tab w:val="left" w:pos="851"/>
        </w:tabs>
        <w:contextualSpacing/>
        <w:jc w:val="both"/>
        <w:rPr>
          <w:rFonts w:ascii="Cambria" w:eastAsia="Calibri" w:hAnsi="Cambria"/>
          <w:color w:val="00000A"/>
          <w:sz w:val="20"/>
          <w:szCs w:val="20"/>
        </w:rPr>
      </w:pPr>
      <w:r w:rsidRPr="00DB13EC">
        <w:rPr>
          <w:rFonts w:ascii="Cambria" w:hAnsi="Cambria"/>
          <w:sz w:val="20"/>
          <w:szCs w:val="20"/>
        </w:rPr>
        <w:t xml:space="preserve">Depuis la dernière réunion du </w:t>
      </w:r>
      <w:proofErr w:type="spellStart"/>
      <w:r w:rsidRPr="00DB13EC">
        <w:rPr>
          <w:rFonts w:ascii="Cambria" w:hAnsi="Cambria"/>
          <w:sz w:val="20"/>
          <w:szCs w:val="20"/>
        </w:rPr>
        <w:t>SCRS</w:t>
      </w:r>
      <w:proofErr w:type="spellEnd"/>
      <w:r w:rsidRPr="00DB13EC">
        <w:rPr>
          <w:rFonts w:ascii="Cambria" w:hAnsi="Cambria"/>
          <w:sz w:val="20"/>
          <w:szCs w:val="20"/>
        </w:rPr>
        <w:t xml:space="preserve">, le Secrétariat a préparé 47 nouvelles entrées, concernant les Volumes 77(8) à 82(7) du </w:t>
      </w:r>
      <w:hyperlink r:id="rId18" w:history="1">
        <w:r w:rsidRPr="00DB13EC">
          <w:rPr>
            <w:rStyle w:val="Lienhypertexte"/>
            <w:rFonts w:ascii="Cambria" w:hAnsi="Cambria"/>
            <w:i/>
            <w:sz w:val="20"/>
            <w:szCs w:val="20"/>
            <w:u w:val="none"/>
          </w:rPr>
          <w:t>Recueil de documents scientifiques de l'ICCAT</w:t>
        </w:r>
      </w:hyperlink>
      <w:r w:rsidRPr="00DB13EC">
        <w:rPr>
          <w:rFonts w:ascii="Cambria" w:hAnsi="Cambria"/>
          <w:color w:val="00000A"/>
          <w:sz w:val="20"/>
          <w:szCs w:val="20"/>
        </w:rPr>
        <w:t xml:space="preserve"> </w:t>
      </w:r>
      <w:r w:rsidRPr="00DB13EC">
        <w:rPr>
          <w:rFonts w:ascii="Cambria" w:hAnsi="Cambria"/>
          <w:sz w:val="20"/>
          <w:szCs w:val="20"/>
        </w:rPr>
        <w:t>pour la base de données ASFA-</w:t>
      </w:r>
      <w:proofErr w:type="spellStart"/>
      <w:r w:rsidRPr="00DB13EC">
        <w:rPr>
          <w:rFonts w:ascii="Cambria" w:hAnsi="Cambria"/>
          <w:sz w:val="20"/>
          <w:szCs w:val="20"/>
        </w:rPr>
        <w:t>ProQuest</w:t>
      </w:r>
      <w:proofErr w:type="spellEnd"/>
      <w:r w:rsidRPr="00DB13EC">
        <w:rPr>
          <w:rFonts w:ascii="Cambria" w:hAnsi="Cambria"/>
          <w:sz w:val="20"/>
          <w:szCs w:val="20"/>
        </w:rPr>
        <w:t xml:space="preserve">, à partir des documents publiés dans les numéros les plus récents du </w:t>
      </w:r>
      <w:hyperlink r:id="rId19" w:history="1">
        <w:r w:rsidRPr="00DB13EC">
          <w:rPr>
            <w:rStyle w:val="Lienhypertexte"/>
            <w:rFonts w:ascii="Cambria" w:hAnsi="Cambria"/>
            <w:i/>
            <w:iCs/>
            <w:sz w:val="20"/>
            <w:szCs w:val="20"/>
            <w:u w:val="none"/>
          </w:rPr>
          <w:t>Recueil de documents scientifiques de l’ICCAT</w:t>
        </w:r>
      </w:hyperlink>
      <w:r w:rsidRPr="00DB13EC">
        <w:rPr>
          <w:rFonts w:ascii="Cambria" w:hAnsi="Cambria"/>
          <w:sz w:val="20"/>
          <w:szCs w:val="20"/>
        </w:rPr>
        <w:t xml:space="preserve">. Ainsi, tous ces documents sont désormais accessibles au public sur le </w:t>
      </w:r>
      <w:hyperlink r:id="rId20" w:history="1">
        <w:r w:rsidRPr="00DB13EC">
          <w:rPr>
            <w:rStyle w:val="Lienhypertexte"/>
            <w:rFonts w:ascii="Cambria" w:hAnsi="Cambria"/>
            <w:sz w:val="20"/>
            <w:szCs w:val="20"/>
            <w:u w:val="none"/>
          </w:rPr>
          <w:t>site web de la FAO consacré à la pêche et à l'aquaculture</w:t>
        </w:r>
      </w:hyperlink>
      <w:r w:rsidRPr="00DB13EC">
        <w:rPr>
          <w:rFonts w:ascii="Cambria" w:hAnsi="Cambria"/>
          <w:sz w:val="20"/>
          <w:szCs w:val="20"/>
        </w:rPr>
        <w:t>.</w:t>
      </w:r>
      <w:r w:rsidRPr="00DB13EC">
        <w:rPr>
          <w:rFonts w:ascii="Cambria" w:hAnsi="Cambria"/>
          <w:color w:val="00000A"/>
          <w:sz w:val="20"/>
          <w:szCs w:val="20"/>
        </w:rPr>
        <w:t xml:space="preserve"> </w:t>
      </w:r>
      <w:r w:rsidRPr="00DB13EC">
        <w:rPr>
          <w:rFonts w:ascii="Cambria" w:hAnsi="Cambria"/>
          <w:sz w:val="20"/>
          <w:szCs w:val="20"/>
        </w:rPr>
        <w:t xml:space="preserve">L’interface </w:t>
      </w:r>
      <w:r w:rsidRPr="00DB13EC">
        <w:rPr>
          <w:rFonts w:ascii="Cambria" w:hAnsi="Cambria"/>
          <w:color w:val="00000A"/>
          <w:sz w:val="20"/>
          <w:szCs w:val="20"/>
        </w:rPr>
        <w:t>de</w:t>
      </w:r>
      <w:r w:rsidR="00B60AA8" w:rsidRPr="00DB13EC">
        <w:rPr>
          <w:rFonts w:ascii="Cambria" w:hAnsi="Cambria"/>
          <w:color w:val="00000A"/>
          <w:sz w:val="20"/>
          <w:szCs w:val="20"/>
        </w:rPr>
        <w:t xml:space="preserve"> </w:t>
      </w:r>
      <w:hyperlink r:id="rId21" w:history="1">
        <w:proofErr w:type="spellStart"/>
        <w:r w:rsidRPr="00DB13EC">
          <w:rPr>
            <w:rStyle w:val="Lienhypertexte"/>
            <w:rFonts w:ascii="Cambria" w:hAnsi="Cambria"/>
            <w:sz w:val="20"/>
            <w:szCs w:val="20"/>
          </w:rPr>
          <w:t>OpenASFA</w:t>
        </w:r>
        <w:proofErr w:type="spellEnd"/>
      </w:hyperlink>
      <w:r w:rsidRPr="00DB13EC">
        <w:rPr>
          <w:rFonts w:ascii="Cambria" w:hAnsi="Cambria"/>
          <w:sz w:val="20"/>
          <w:szCs w:val="20"/>
        </w:rPr>
        <w:t xml:space="preserve"> permet de rechercher librement tous les registres de </w:t>
      </w:r>
      <w:proofErr w:type="spellStart"/>
      <w:r w:rsidRPr="00DB13EC">
        <w:rPr>
          <w:rFonts w:ascii="Cambria" w:hAnsi="Cambria"/>
          <w:sz w:val="20"/>
          <w:szCs w:val="20"/>
        </w:rPr>
        <w:t>OpenASFA</w:t>
      </w:r>
      <w:proofErr w:type="spellEnd"/>
      <w:r w:rsidRPr="00DB13EC">
        <w:rPr>
          <w:rFonts w:ascii="Cambria" w:hAnsi="Cambria"/>
          <w:sz w:val="20"/>
          <w:szCs w:val="20"/>
        </w:rPr>
        <w:t>.</w:t>
      </w:r>
    </w:p>
    <w:p w14:paraId="44FBEBB6" w14:textId="77777777" w:rsidR="00E03A3E" w:rsidRPr="00DB13EC" w:rsidRDefault="00E03A3E" w:rsidP="005279B6">
      <w:pPr>
        <w:tabs>
          <w:tab w:val="left" w:pos="851"/>
        </w:tabs>
        <w:contextualSpacing/>
        <w:jc w:val="both"/>
        <w:rPr>
          <w:rFonts w:ascii="Cambria" w:eastAsia="Calibri" w:hAnsi="Cambria"/>
          <w:b/>
          <w:bCs/>
          <w:i/>
          <w:iCs/>
          <w:color w:val="00000A"/>
          <w:sz w:val="20"/>
          <w:szCs w:val="20"/>
        </w:rPr>
      </w:pPr>
    </w:p>
    <w:p w14:paraId="4A0EE972" w14:textId="77777777" w:rsidR="008C013A" w:rsidRPr="00DB13EC" w:rsidRDefault="008C013A" w:rsidP="005279B6">
      <w:pPr>
        <w:tabs>
          <w:tab w:val="left" w:pos="851"/>
        </w:tabs>
        <w:contextualSpacing/>
        <w:jc w:val="both"/>
        <w:rPr>
          <w:rFonts w:ascii="Cambria" w:eastAsia="Calibri" w:hAnsi="Cambria"/>
          <w:b/>
          <w:bCs/>
          <w:i/>
          <w:iCs/>
          <w:color w:val="00000A"/>
          <w:sz w:val="20"/>
          <w:szCs w:val="20"/>
        </w:rPr>
      </w:pPr>
    </w:p>
    <w:p w14:paraId="3F8E46ED" w14:textId="4EA47A08" w:rsidR="00951BFB" w:rsidRPr="00DB13EC" w:rsidRDefault="00E03A3E" w:rsidP="00E03A3E">
      <w:pPr>
        <w:tabs>
          <w:tab w:val="left" w:pos="851"/>
        </w:tabs>
        <w:spacing w:after="120"/>
        <w:contextualSpacing/>
        <w:jc w:val="both"/>
        <w:rPr>
          <w:rFonts w:ascii="Cambria" w:eastAsia="Calibri" w:hAnsi="Cambria"/>
          <w:bCs/>
          <w:color w:val="EE0000"/>
          <w:sz w:val="20"/>
          <w:szCs w:val="20"/>
        </w:rPr>
      </w:pPr>
      <w:r w:rsidRPr="00DB13EC">
        <w:rPr>
          <w:rFonts w:ascii="Cambria" w:hAnsi="Cambria"/>
          <w:b/>
          <w:sz w:val="20"/>
          <w:szCs w:val="20"/>
        </w:rPr>
        <w:t>Projet thonier des océans communs (ancien projet du Fonds pour l'environnement mondial (</w:t>
      </w:r>
      <w:proofErr w:type="spellStart"/>
      <w:r w:rsidRPr="00DB13EC">
        <w:rPr>
          <w:rFonts w:ascii="Cambria" w:hAnsi="Cambria"/>
          <w:b/>
          <w:sz w:val="20"/>
          <w:szCs w:val="20"/>
        </w:rPr>
        <w:t>GEF</w:t>
      </w:r>
      <w:proofErr w:type="spellEnd"/>
      <w:r w:rsidRPr="00DB13EC">
        <w:rPr>
          <w:rFonts w:ascii="Cambria" w:hAnsi="Cambria"/>
          <w:b/>
          <w:sz w:val="20"/>
          <w:szCs w:val="20"/>
        </w:rPr>
        <w:t>))</w:t>
      </w:r>
    </w:p>
    <w:p w14:paraId="677E5C20" w14:textId="5BD6191D" w:rsidR="00E03A3E" w:rsidRPr="00DB13EC" w:rsidRDefault="00E03A3E" w:rsidP="00E03A3E">
      <w:pPr>
        <w:tabs>
          <w:tab w:val="left" w:pos="851"/>
        </w:tabs>
        <w:spacing w:after="120"/>
        <w:contextualSpacing/>
        <w:jc w:val="both"/>
        <w:rPr>
          <w:rFonts w:ascii="Cambria" w:eastAsia="Calibri" w:hAnsi="Cambria"/>
          <w:bCs/>
          <w:color w:val="EE0000"/>
          <w:sz w:val="20"/>
          <w:szCs w:val="20"/>
        </w:rPr>
      </w:pPr>
      <w:r w:rsidRPr="00DB13EC">
        <w:rPr>
          <w:rFonts w:ascii="Cambria" w:hAnsi="Cambria"/>
          <w:b/>
          <w:bCs/>
          <w:i/>
          <w:iCs/>
          <w:color w:val="00000A"/>
          <w:sz w:val="20"/>
          <w:szCs w:val="20"/>
        </w:rPr>
        <w:t> </w:t>
      </w:r>
    </w:p>
    <w:p w14:paraId="75A1179B" w14:textId="4A6174D1"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 xml:space="preserve">Quatre projets de l'ICCAT ont été approuvés pour un financement par le biais des fonds du </w:t>
      </w:r>
      <w:proofErr w:type="spellStart"/>
      <w:r w:rsidRPr="00DB13EC">
        <w:rPr>
          <w:rFonts w:ascii="Cambria" w:hAnsi="Cambria"/>
          <w:color w:val="00000A"/>
          <w:sz w:val="20"/>
          <w:szCs w:val="20"/>
        </w:rPr>
        <w:t>GEF</w:t>
      </w:r>
      <w:proofErr w:type="spellEnd"/>
      <w:r w:rsidRPr="00DB13EC">
        <w:rPr>
          <w:rFonts w:ascii="Cambria" w:hAnsi="Cambria"/>
          <w:color w:val="00000A"/>
          <w:sz w:val="20"/>
          <w:szCs w:val="20"/>
        </w:rPr>
        <w:t xml:space="preserve">. Ces projets font partie de l’initiative « Océans communs - utilisation durable et conservation de la biodiversité dans les zones situées au-delà de la juridiction nationale » du </w:t>
      </w:r>
      <w:proofErr w:type="spellStart"/>
      <w:r w:rsidRPr="00DB13EC">
        <w:rPr>
          <w:rFonts w:ascii="Cambria" w:hAnsi="Cambria"/>
          <w:color w:val="00000A"/>
          <w:sz w:val="20"/>
          <w:szCs w:val="20"/>
        </w:rPr>
        <w:t>GEF</w:t>
      </w:r>
      <w:proofErr w:type="spellEnd"/>
      <w:r w:rsidRPr="00DB13EC">
        <w:rPr>
          <w:rFonts w:ascii="Cambria" w:hAnsi="Cambria"/>
          <w:color w:val="00000A"/>
          <w:sz w:val="20"/>
          <w:szCs w:val="20"/>
        </w:rPr>
        <w:t xml:space="preserve">. Les projets ont continué à progresser de manière significative </w:t>
      </w:r>
      <w:r w:rsidR="00591BDE" w:rsidRPr="00DB13EC">
        <w:rPr>
          <w:rFonts w:ascii="Cambria" w:hAnsi="Cambria"/>
          <w:color w:val="00000A"/>
          <w:sz w:val="20"/>
          <w:szCs w:val="20"/>
        </w:rPr>
        <w:t>jusqu’</w:t>
      </w:r>
      <w:r w:rsidRPr="00DB13EC">
        <w:rPr>
          <w:rFonts w:ascii="Cambria" w:hAnsi="Cambria"/>
          <w:color w:val="00000A"/>
          <w:sz w:val="20"/>
          <w:szCs w:val="20"/>
        </w:rPr>
        <w:t>en 2024 et en 2025, comme indiqué ci-dessous.</w:t>
      </w:r>
    </w:p>
    <w:p w14:paraId="4013894C" w14:textId="77777777" w:rsidR="00E03A3E" w:rsidRPr="00DB13EC" w:rsidRDefault="00E03A3E" w:rsidP="00E07D94">
      <w:pPr>
        <w:tabs>
          <w:tab w:val="left" w:pos="851"/>
        </w:tabs>
        <w:contextualSpacing/>
        <w:jc w:val="both"/>
        <w:rPr>
          <w:rFonts w:ascii="Cambria" w:eastAsia="Calibri" w:hAnsi="Cambria"/>
          <w:color w:val="00000A"/>
          <w:sz w:val="20"/>
          <w:szCs w:val="20"/>
        </w:rPr>
      </w:pPr>
      <w:r w:rsidRPr="00DB13EC">
        <w:rPr>
          <w:rFonts w:ascii="Cambria" w:hAnsi="Cambria"/>
          <w:color w:val="00000A"/>
          <w:sz w:val="20"/>
          <w:szCs w:val="20"/>
        </w:rPr>
        <w:t>  </w:t>
      </w:r>
    </w:p>
    <w:p w14:paraId="48870957" w14:textId="77777777" w:rsidR="00E03A3E" w:rsidRPr="00DB13EC" w:rsidRDefault="00E03A3E" w:rsidP="00E07D94">
      <w:pPr>
        <w:tabs>
          <w:tab w:val="left" w:pos="0"/>
        </w:tabs>
        <w:jc w:val="both"/>
        <w:rPr>
          <w:rFonts w:ascii="Cambria" w:eastAsia="Calibri" w:hAnsi="Cambria"/>
          <w:i/>
          <w:iCs/>
          <w:color w:val="00000A"/>
          <w:sz w:val="20"/>
          <w:szCs w:val="20"/>
        </w:rPr>
      </w:pPr>
      <w:r w:rsidRPr="00DB13EC">
        <w:rPr>
          <w:rFonts w:ascii="Cambria" w:hAnsi="Cambria"/>
          <w:i/>
          <w:iCs/>
          <w:color w:val="00000A"/>
          <w:sz w:val="20"/>
          <w:szCs w:val="20"/>
        </w:rPr>
        <w:t>Application des mesures de l’ICCAT (inspection au port) </w:t>
      </w:r>
    </w:p>
    <w:p w14:paraId="094D720E" w14:textId="77777777" w:rsidR="00E07D94" w:rsidRPr="00DB13EC" w:rsidRDefault="00E07D94" w:rsidP="00E07D94">
      <w:pPr>
        <w:tabs>
          <w:tab w:val="left" w:pos="851"/>
        </w:tabs>
        <w:contextualSpacing/>
        <w:jc w:val="both"/>
        <w:rPr>
          <w:rFonts w:ascii="Cambria" w:eastAsia="Calibri" w:hAnsi="Cambria"/>
          <w:color w:val="00000A"/>
          <w:sz w:val="20"/>
          <w:szCs w:val="20"/>
        </w:rPr>
      </w:pPr>
    </w:p>
    <w:p w14:paraId="28BF6E1C" w14:textId="4DE9B89E" w:rsidR="00E03A3E" w:rsidRPr="00DB13EC" w:rsidRDefault="00E03A3E" w:rsidP="00E07D94">
      <w:pPr>
        <w:tabs>
          <w:tab w:val="left" w:pos="851"/>
        </w:tabs>
        <w:contextualSpacing/>
        <w:jc w:val="both"/>
        <w:rPr>
          <w:rFonts w:ascii="Cambria" w:eastAsia="Calibri" w:hAnsi="Cambria"/>
          <w:color w:val="00000A"/>
          <w:sz w:val="20"/>
          <w:szCs w:val="20"/>
        </w:rPr>
      </w:pPr>
      <w:r w:rsidRPr="00DB13EC">
        <w:rPr>
          <w:rFonts w:ascii="Cambria" w:hAnsi="Cambria"/>
          <w:color w:val="00000A"/>
          <w:sz w:val="20"/>
          <w:szCs w:val="20"/>
        </w:rPr>
        <w:t xml:space="preserve">Ce projet quinquennal vise à améliorer l’application des mesures de conservation et de gestion de l’ICCAT, notamment en renforçant la capacité d'inspection au port. Le projet consiste principalement à incorporer un module ICCAT dans les cours de formation organisés par les experts des </w:t>
      </w:r>
      <w:proofErr w:type="spellStart"/>
      <w:r w:rsidRPr="00DB13EC">
        <w:rPr>
          <w:rFonts w:ascii="Cambria" w:hAnsi="Cambria"/>
          <w:color w:val="00000A"/>
          <w:sz w:val="20"/>
          <w:szCs w:val="20"/>
        </w:rPr>
        <w:t>CPC</w:t>
      </w:r>
      <w:proofErr w:type="spellEnd"/>
      <w:r w:rsidRPr="00DB13EC">
        <w:rPr>
          <w:rFonts w:ascii="Cambria" w:hAnsi="Cambria"/>
          <w:color w:val="00000A"/>
          <w:sz w:val="20"/>
          <w:szCs w:val="20"/>
        </w:rPr>
        <w:t xml:space="preserve"> et d'autres organisations.</w:t>
      </w:r>
    </w:p>
    <w:p w14:paraId="52EFF293" w14:textId="77777777" w:rsidR="00E03A3E" w:rsidRPr="00DB13EC" w:rsidRDefault="00E03A3E" w:rsidP="00214FDE">
      <w:pPr>
        <w:tabs>
          <w:tab w:val="left" w:pos="851"/>
        </w:tabs>
        <w:spacing w:after="120"/>
        <w:ind w:left="284"/>
        <w:contextualSpacing/>
        <w:jc w:val="both"/>
        <w:rPr>
          <w:rFonts w:ascii="Cambria" w:eastAsia="Calibri" w:hAnsi="Cambria"/>
          <w:color w:val="00000A"/>
          <w:sz w:val="20"/>
          <w:szCs w:val="20"/>
        </w:rPr>
      </w:pPr>
      <w:r w:rsidRPr="00DB13EC">
        <w:rPr>
          <w:rFonts w:ascii="Cambria" w:hAnsi="Cambria"/>
          <w:color w:val="00000A"/>
          <w:sz w:val="20"/>
          <w:szCs w:val="20"/>
        </w:rPr>
        <w:t>  </w:t>
      </w:r>
    </w:p>
    <w:p w14:paraId="5A39D967" w14:textId="1A5C6FA6" w:rsidR="00E03A3E" w:rsidRPr="00DB13EC" w:rsidRDefault="00E03A3E" w:rsidP="00E07D94">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 xml:space="preserve">En décembre 2024, une évaluation des besoins en matière d'inspection portuaire a été réalisée à </w:t>
      </w:r>
      <w:proofErr w:type="spellStart"/>
      <w:r w:rsidRPr="00DB13EC">
        <w:rPr>
          <w:rFonts w:ascii="Cambria" w:hAnsi="Cambria"/>
          <w:color w:val="00000A"/>
          <w:sz w:val="20"/>
          <w:szCs w:val="20"/>
        </w:rPr>
        <w:t>Walvis</w:t>
      </w:r>
      <w:proofErr w:type="spellEnd"/>
      <w:r w:rsidRPr="00DB13EC">
        <w:rPr>
          <w:rFonts w:ascii="Cambria" w:hAnsi="Cambria"/>
          <w:color w:val="00000A"/>
          <w:sz w:val="20"/>
          <w:szCs w:val="20"/>
        </w:rPr>
        <w:t xml:space="preserve"> Bay (Namibie), suivie en mars 2025 d'un cours de formation dédié aux inspecteurs portuaires de l’ICCAT, qui a rassemblé 39 participants. Ces sessions ont porté sur les exigences des mesures du ressort de l'État du port, les procédures d'inspection, l'identification des espèces et l'utilisation des outils de l’ICCAT, tels que le manuel de formation des inspecteurs.</w:t>
      </w:r>
    </w:p>
    <w:p w14:paraId="785622C0" w14:textId="77777777" w:rsidR="00E03A3E" w:rsidRPr="00DB13EC" w:rsidRDefault="00E03A3E" w:rsidP="00214FDE">
      <w:pPr>
        <w:tabs>
          <w:tab w:val="left" w:pos="851"/>
        </w:tabs>
        <w:spacing w:after="120"/>
        <w:ind w:left="284"/>
        <w:contextualSpacing/>
        <w:jc w:val="both"/>
        <w:rPr>
          <w:rFonts w:ascii="Cambria" w:eastAsia="Calibri" w:hAnsi="Cambria"/>
          <w:color w:val="00000A"/>
          <w:sz w:val="20"/>
          <w:szCs w:val="20"/>
        </w:rPr>
      </w:pPr>
      <w:r w:rsidRPr="00DB13EC">
        <w:rPr>
          <w:rFonts w:ascii="Cambria" w:hAnsi="Cambria"/>
          <w:color w:val="00000A"/>
          <w:sz w:val="20"/>
          <w:szCs w:val="20"/>
        </w:rPr>
        <w:t>  </w:t>
      </w:r>
    </w:p>
    <w:p w14:paraId="1B8013E4" w14:textId="6733FC82" w:rsidR="00E03A3E" w:rsidRPr="00DB13EC" w:rsidRDefault="00E03A3E" w:rsidP="00E07D94">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En outre, une mission conjointe sur les statistiques et l’application a été menée au Sénégal en mai 2025 avec 18 participants, se concentrant sur l'amélioration de la déclaration des données statistiques et d’application. Le Sénégal a récemment mis en place un comité technique national de l’ICCAT, permettant une large participation institutionnelle. Auparavant, une mission combinée de statistiques et d’application a été menée à São Tomé du 1er au 5 juillet 2024, marquant la première mission de ce type dans le cadre de la phase II de l'</w:t>
      </w:r>
      <w:proofErr w:type="spellStart"/>
      <w:r w:rsidRPr="00DB13EC">
        <w:rPr>
          <w:rFonts w:ascii="Cambria" w:hAnsi="Cambria"/>
          <w:color w:val="00000A"/>
          <w:sz w:val="20"/>
          <w:szCs w:val="20"/>
        </w:rPr>
        <w:t>ABNJ</w:t>
      </w:r>
      <w:proofErr w:type="spellEnd"/>
      <w:r w:rsidRPr="00DB13EC">
        <w:rPr>
          <w:rFonts w:ascii="Cambria" w:hAnsi="Cambria"/>
          <w:color w:val="00000A"/>
          <w:sz w:val="20"/>
          <w:szCs w:val="20"/>
        </w:rPr>
        <w:t>. </w:t>
      </w:r>
    </w:p>
    <w:p w14:paraId="09C5A0A8" w14:textId="77777777" w:rsidR="00E07D94" w:rsidRPr="00DB13EC" w:rsidRDefault="00E07D94" w:rsidP="00E07D94">
      <w:pPr>
        <w:tabs>
          <w:tab w:val="left" w:pos="851"/>
        </w:tabs>
        <w:spacing w:after="120"/>
        <w:contextualSpacing/>
        <w:jc w:val="both"/>
        <w:rPr>
          <w:rFonts w:ascii="Cambria" w:eastAsia="Calibri" w:hAnsi="Cambria"/>
          <w:color w:val="00000A"/>
          <w:sz w:val="20"/>
          <w:szCs w:val="20"/>
        </w:rPr>
      </w:pPr>
    </w:p>
    <w:p w14:paraId="45CDEECC" w14:textId="33EF44C2" w:rsidR="00E03A3E" w:rsidRPr="00DB13EC" w:rsidRDefault="00E03A3E" w:rsidP="00E07D94">
      <w:pPr>
        <w:tabs>
          <w:tab w:val="left" w:pos="851"/>
        </w:tabs>
        <w:contextualSpacing/>
        <w:jc w:val="both"/>
        <w:rPr>
          <w:rFonts w:ascii="Cambria" w:eastAsia="Calibri" w:hAnsi="Cambria"/>
          <w:color w:val="00000A"/>
          <w:sz w:val="20"/>
          <w:szCs w:val="20"/>
        </w:rPr>
      </w:pPr>
      <w:r w:rsidRPr="00DB13EC">
        <w:rPr>
          <w:rFonts w:ascii="Cambria" w:hAnsi="Cambria"/>
          <w:color w:val="00000A"/>
          <w:sz w:val="20"/>
          <w:szCs w:val="20"/>
        </w:rPr>
        <w:t xml:space="preserve">De futures activités de formation sont prévues, y compris d'autres sessions au Sénégal (2025), en Guinée, en Mauritanie, à </w:t>
      </w:r>
      <w:r w:rsidR="00AC29B7" w:rsidRPr="00DB13EC">
        <w:rPr>
          <w:rFonts w:ascii="Cambria" w:hAnsi="Cambria"/>
          <w:color w:val="00000A"/>
          <w:sz w:val="20"/>
          <w:szCs w:val="20"/>
        </w:rPr>
        <w:t>São Tomé et Príncipe</w:t>
      </w:r>
      <w:r w:rsidR="00AC29B7" w:rsidRPr="00DB13EC">
        <w:rPr>
          <w:rFonts w:ascii="Cambria" w:hAnsi="Cambria"/>
          <w:color w:val="00000A"/>
          <w:sz w:val="20"/>
          <w:szCs w:val="20"/>
        </w:rPr>
        <w:t xml:space="preserve"> </w:t>
      </w:r>
      <w:r w:rsidRPr="00DB13EC">
        <w:rPr>
          <w:rFonts w:ascii="Cambria" w:hAnsi="Cambria"/>
          <w:color w:val="00000A"/>
          <w:sz w:val="20"/>
          <w:szCs w:val="20"/>
        </w:rPr>
        <w:t>et au Suriname, avec de nouvelles demandes reçues de Saint-Vincent-et-les-Grenadines. L'Angola devrait accueillir une mission de renforcement des capacités en 2026. </w:t>
      </w:r>
    </w:p>
    <w:p w14:paraId="084EDE81" w14:textId="77777777" w:rsidR="00E03A3E" w:rsidRPr="00DB13EC" w:rsidRDefault="00E03A3E" w:rsidP="00E07D94">
      <w:pPr>
        <w:tabs>
          <w:tab w:val="left" w:pos="851"/>
        </w:tabs>
        <w:ind w:left="284"/>
        <w:contextualSpacing/>
        <w:jc w:val="both"/>
        <w:rPr>
          <w:rFonts w:ascii="Cambria" w:eastAsia="Calibri" w:hAnsi="Cambria"/>
          <w:color w:val="00000A"/>
          <w:sz w:val="20"/>
          <w:szCs w:val="20"/>
        </w:rPr>
      </w:pPr>
      <w:r w:rsidRPr="00DB13EC">
        <w:rPr>
          <w:rFonts w:ascii="Cambria" w:hAnsi="Cambria"/>
          <w:color w:val="00000A"/>
          <w:sz w:val="20"/>
          <w:szCs w:val="20"/>
        </w:rPr>
        <w:t>  </w:t>
      </w:r>
    </w:p>
    <w:p w14:paraId="54BABEE6" w14:textId="77777777" w:rsidR="00E03A3E" w:rsidRPr="00DB13EC" w:rsidRDefault="00E03A3E" w:rsidP="00E07D94">
      <w:pPr>
        <w:tabs>
          <w:tab w:val="left" w:pos="0"/>
        </w:tabs>
        <w:jc w:val="both"/>
        <w:rPr>
          <w:rFonts w:ascii="Cambria" w:eastAsia="Calibri" w:hAnsi="Cambria"/>
          <w:i/>
          <w:iCs/>
          <w:color w:val="00000A"/>
          <w:sz w:val="20"/>
          <w:szCs w:val="20"/>
        </w:rPr>
      </w:pPr>
      <w:r w:rsidRPr="00DB13EC">
        <w:rPr>
          <w:rFonts w:ascii="Cambria" w:hAnsi="Cambria"/>
          <w:i/>
          <w:iCs/>
          <w:color w:val="00000A"/>
          <w:sz w:val="20"/>
          <w:szCs w:val="20"/>
        </w:rPr>
        <w:t>Système intégré de gestion en ligne (</w:t>
      </w:r>
      <w:proofErr w:type="spellStart"/>
      <w:r w:rsidRPr="00DB13EC">
        <w:rPr>
          <w:rFonts w:ascii="Cambria" w:hAnsi="Cambria"/>
          <w:i/>
          <w:iCs/>
          <w:color w:val="00000A"/>
          <w:sz w:val="20"/>
          <w:szCs w:val="20"/>
        </w:rPr>
        <w:t>IOMS</w:t>
      </w:r>
      <w:proofErr w:type="spellEnd"/>
      <w:r w:rsidRPr="00DB13EC">
        <w:rPr>
          <w:rFonts w:ascii="Cambria" w:hAnsi="Cambria"/>
          <w:i/>
          <w:iCs/>
          <w:color w:val="00000A"/>
          <w:sz w:val="20"/>
          <w:szCs w:val="20"/>
        </w:rPr>
        <w:t>) </w:t>
      </w:r>
    </w:p>
    <w:p w14:paraId="0A2E0FBF" w14:textId="77777777" w:rsidR="00E07D94" w:rsidRPr="00DB13EC" w:rsidRDefault="00E07D94" w:rsidP="00E07D94">
      <w:pPr>
        <w:tabs>
          <w:tab w:val="left" w:pos="851"/>
        </w:tabs>
        <w:ind w:left="284"/>
        <w:contextualSpacing/>
        <w:jc w:val="both"/>
        <w:rPr>
          <w:rFonts w:ascii="Cambria" w:eastAsia="Calibri" w:hAnsi="Cambria"/>
          <w:color w:val="00000A"/>
          <w:sz w:val="20"/>
          <w:szCs w:val="20"/>
        </w:rPr>
      </w:pPr>
    </w:p>
    <w:p w14:paraId="27D01405" w14:textId="39C7D84F" w:rsidR="00E03A3E" w:rsidRPr="00DB13EC" w:rsidRDefault="00E03A3E" w:rsidP="00E07D94">
      <w:pPr>
        <w:tabs>
          <w:tab w:val="left" w:pos="851"/>
        </w:tabs>
        <w:contextualSpacing/>
        <w:jc w:val="both"/>
        <w:rPr>
          <w:rFonts w:ascii="Cambria" w:eastAsia="Calibri" w:hAnsi="Cambria"/>
          <w:color w:val="00000A"/>
          <w:sz w:val="20"/>
          <w:szCs w:val="20"/>
        </w:rPr>
      </w:pPr>
      <w:r w:rsidRPr="00DB13EC">
        <w:rPr>
          <w:rFonts w:ascii="Cambria" w:hAnsi="Cambria"/>
          <w:color w:val="00000A"/>
          <w:sz w:val="20"/>
          <w:szCs w:val="20"/>
        </w:rPr>
        <w:t>Ce projet quinquennal améliore l’</w:t>
      </w:r>
      <w:proofErr w:type="spellStart"/>
      <w:r w:rsidRPr="00DB13EC">
        <w:rPr>
          <w:rFonts w:ascii="Cambria" w:hAnsi="Cambria"/>
          <w:color w:val="00000A"/>
          <w:sz w:val="20"/>
          <w:szCs w:val="20"/>
        </w:rPr>
        <w:t>IOMS</w:t>
      </w:r>
      <w:proofErr w:type="spellEnd"/>
      <w:r w:rsidRPr="00DB13EC">
        <w:rPr>
          <w:rFonts w:ascii="Cambria" w:hAnsi="Cambria"/>
          <w:color w:val="00000A"/>
          <w:sz w:val="20"/>
          <w:szCs w:val="20"/>
        </w:rPr>
        <w:t xml:space="preserve"> de l’ICCAT, qui permet une gestion centralisée des données en ligne pour la déclaration, la validation, le stockage et l'accès. Ces systèmes sont essentiels à la mise en œuvre efficace des mesures de conservation et de gestion.</w:t>
      </w:r>
    </w:p>
    <w:p w14:paraId="749CD81C" w14:textId="77777777" w:rsidR="00E03A3E" w:rsidRPr="00DB13EC" w:rsidRDefault="00E03A3E" w:rsidP="00E07D94">
      <w:pPr>
        <w:tabs>
          <w:tab w:val="left" w:pos="851"/>
        </w:tabs>
        <w:ind w:left="284"/>
        <w:contextualSpacing/>
        <w:jc w:val="both"/>
        <w:rPr>
          <w:rFonts w:ascii="Cambria" w:eastAsia="Calibri" w:hAnsi="Cambria"/>
          <w:color w:val="00000A"/>
          <w:sz w:val="20"/>
          <w:szCs w:val="20"/>
        </w:rPr>
      </w:pPr>
      <w:r w:rsidRPr="00DB13EC">
        <w:rPr>
          <w:rFonts w:ascii="Cambria" w:hAnsi="Cambria"/>
          <w:color w:val="00000A"/>
          <w:sz w:val="20"/>
          <w:szCs w:val="20"/>
        </w:rPr>
        <w:t>  </w:t>
      </w:r>
    </w:p>
    <w:p w14:paraId="401B9146" w14:textId="42C228FD" w:rsidR="00E03A3E" w:rsidRPr="00DB13EC" w:rsidRDefault="00E03A3E" w:rsidP="00E07D94">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Au cours de l'année écoulée, l'</w:t>
      </w:r>
      <w:proofErr w:type="spellStart"/>
      <w:r w:rsidRPr="00DB13EC">
        <w:rPr>
          <w:rFonts w:ascii="Cambria" w:hAnsi="Cambria"/>
          <w:color w:val="00000A"/>
          <w:sz w:val="20"/>
          <w:szCs w:val="20"/>
        </w:rPr>
        <w:t>IOMS</w:t>
      </w:r>
      <w:proofErr w:type="spellEnd"/>
      <w:r w:rsidRPr="00DB13EC">
        <w:rPr>
          <w:rFonts w:ascii="Cambria" w:hAnsi="Cambria"/>
          <w:color w:val="00000A"/>
          <w:sz w:val="20"/>
          <w:szCs w:val="20"/>
        </w:rPr>
        <w:t xml:space="preserve"> a connu des avancées significatives. Plusieurs modules et API publiques ont été achevés, notamment le gestionnaire de navires, le gestionnaire de formulaires et le gestionnaire de ports. Le développement de modules pour les statistiques de pêche a commencé (prises nominales de la tâche 1, prise et effort de la tâche 2). Les travaux ont également progressé en ce qui concerne l'élimination de la redondance dans les feuilles de contrôle s’appliquant aux requins et aux </w:t>
      </w:r>
      <w:proofErr w:type="spellStart"/>
      <w:r w:rsidRPr="00DB13EC">
        <w:rPr>
          <w:rFonts w:ascii="Cambria" w:hAnsi="Cambria"/>
          <w:color w:val="00000A"/>
          <w:sz w:val="20"/>
          <w:szCs w:val="20"/>
        </w:rPr>
        <w:t>istiophoridés</w:t>
      </w:r>
      <w:proofErr w:type="spellEnd"/>
      <w:r w:rsidRPr="00DB13EC">
        <w:rPr>
          <w:rFonts w:ascii="Cambria" w:hAnsi="Cambria"/>
          <w:color w:val="00000A"/>
          <w:sz w:val="20"/>
          <w:szCs w:val="20"/>
        </w:rPr>
        <w:t>. Deux services web publics de l'</w:t>
      </w:r>
      <w:proofErr w:type="spellStart"/>
      <w:r w:rsidRPr="00DB13EC">
        <w:rPr>
          <w:rFonts w:ascii="Cambria" w:hAnsi="Cambria"/>
          <w:color w:val="00000A"/>
          <w:sz w:val="20"/>
          <w:szCs w:val="20"/>
        </w:rPr>
        <w:t>IOMS</w:t>
      </w:r>
      <w:proofErr w:type="spellEnd"/>
      <w:r w:rsidRPr="00DB13EC">
        <w:rPr>
          <w:rFonts w:ascii="Cambria" w:hAnsi="Cambria"/>
          <w:color w:val="00000A"/>
          <w:sz w:val="20"/>
          <w:szCs w:val="20"/>
        </w:rPr>
        <w:t xml:space="preserve"> sont déjà en production, y compris ceux qui soutiennent les exigences en matière de données de l’ICCAT et les </w:t>
      </w:r>
      <w:r w:rsidRPr="00DB13EC">
        <w:rPr>
          <w:rFonts w:ascii="Cambria" w:hAnsi="Cambria"/>
          <w:color w:val="00000A"/>
          <w:sz w:val="20"/>
          <w:szCs w:val="20"/>
        </w:rPr>
        <w:lastRenderedPageBreak/>
        <w:t xml:space="preserve">résumés des rapports annuels des </w:t>
      </w:r>
      <w:proofErr w:type="spellStart"/>
      <w:r w:rsidRPr="00DB13EC">
        <w:rPr>
          <w:rFonts w:ascii="Cambria" w:hAnsi="Cambria"/>
          <w:color w:val="00000A"/>
          <w:sz w:val="20"/>
          <w:szCs w:val="20"/>
        </w:rPr>
        <w:t>CPC</w:t>
      </w:r>
      <w:proofErr w:type="spellEnd"/>
      <w:r w:rsidRPr="00DB13EC">
        <w:rPr>
          <w:rFonts w:ascii="Cambria" w:hAnsi="Cambria"/>
          <w:color w:val="00000A"/>
          <w:sz w:val="20"/>
          <w:szCs w:val="20"/>
        </w:rPr>
        <w:t>. Des services supplémentaires, tels que les registres des navires, sont prêts à être mis en production.</w:t>
      </w:r>
    </w:p>
    <w:p w14:paraId="7CA101DE" w14:textId="77777777" w:rsidR="00E03A3E" w:rsidRPr="00DB13EC" w:rsidRDefault="00E03A3E" w:rsidP="00214FDE">
      <w:pPr>
        <w:tabs>
          <w:tab w:val="left" w:pos="851"/>
        </w:tabs>
        <w:spacing w:after="120"/>
        <w:ind w:left="284"/>
        <w:contextualSpacing/>
        <w:jc w:val="both"/>
        <w:rPr>
          <w:rFonts w:ascii="Cambria" w:eastAsia="Calibri" w:hAnsi="Cambria"/>
          <w:color w:val="00000A"/>
          <w:sz w:val="20"/>
          <w:szCs w:val="20"/>
        </w:rPr>
      </w:pPr>
      <w:r w:rsidRPr="00DB13EC">
        <w:rPr>
          <w:rFonts w:ascii="Cambria" w:hAnsi="Cambria"/>
          <w:color w:val="00000A"/>
          <w:sz w:val="20"/>
          <w:szCs w:val="20"/>
        </w:rPr>
        <w:t>  </w:t>
      </w:r>
    </w:p>
    <w:p w14:paraId="47D1A0E0" w14:textId="2DAB4708" w:rsidR="00E03A3E" w:rsidRPr="00DB13EC" w:rsidRDefault="00E03A3E" w:rsidP="00E07D94">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 xml:space="preserve">Le projet </w:t>
      </w:r>
      <w:proofErr w:type="spellStart"/>
      <w:r w:rsidRPr="00DB13EC">
        <w:rPr>
          <w:rFonts w:ascii="Cambria" w:hAnsi="Cambria"/>
          <w:color w:val="00000A"/>
          <w:sz w:val="20"/>
          <w:szCs w:val="20"/>
        </w:rPr>
        <w:t>IOMS</w:t>
      </w:r>
      <w:proofErr w:type="spellEnd"/>
      <w:r w:rsidRPr="00DB13EC">
        <w:rPr>
          <w:rFonts w:ascii="Cambria" w:hAnsi="Cambria"/>
          <w:color w:val="00000A"/>
          <w:sz w:val="20"/>
          <w:szCs w:val="20"/>
        </w:rPr>
        <w:t xml:space="preserve"> est en open-source, le code source étant disponible sous licence GPLv3 sur </w:t>
      </w:r>
      <w:proofErr w:type="spellStart"/>
      <w:r w:rsidRPr="00DB13EC">
        <w:rPr>
          <w:rFonts w:ascii="Cambria" w:hAnsi="Cambria"/>
          <w:color w:val="00000A"/>
          <w:sz w:val="20"/>
          <w:szCs w:val="20"/>
        </w:rPr>
        <w:t>GitLab</w:t>
      </w:r>
      <w:proofErr w:type="spellEnd"/>
      <w:r w:rsidRPr="00DB13EC">
        <w:rPr>
          <w:rFonts w:ascii="Cambria" w:hAnsi="Cambria"/>
          <w:color w:val="00000A"/>
          <w:sz w:val="20"/>
          <w:szCs w:val="20"/>
        </w:rPr>
        <w:t>. La documentation des API publiques de l'</w:t>
      </w:r>
      <w:proofErr w:type="spellStart"/>
      <w:r w:rsidRPr="00DB13EC">
        <w:rPr>
          <w:rFonts w:ascii="Cambria" w:hAnsi="Cambria"/>
          <w:color w:val="00000A"/>
          <w:sz w:val="20"/>
          <w:szCs w:val="20"/>
        </w:rPr>
        <w:t>IOMS</w:t>
      </w:r>
      <w:proofErr w:type="spellEnd"/>
      <w:r w:rsidRPr="00DB13EC">
        <w:rPr>
          <w:rFonts w:ascii="Cambria" w:hAnsi="Cambria"/>
          <w:color w:val="00000A"/>
          <w:sz w:val="20"/>
          <w:szCs w:val="20"/>
        </w:rPr>
        <w:t xml:space="preserve"> a progressé et de nouveaux services web publics devraient mis en production, l'objectif étant d'atteindre plus de 10 API au total à la fin du projet. </w:t>
      </w:r>
    </w:p>
    <w:p w14:paraId="50159BB3" w14:textId="1ED0BE92" w:rsidR="00E03A3E" w:rsidRPr="00DB13EC" w:rsidRDefault="00E03A3E" w:rsidP="00214FDE">
      <w:pPr>
        <w:tabs>
          <w:tab w:val="left" w:pos="851"/>
        </w:tabs>
        <w:spacing w:after="120"/>
        <w:ind w:left="284"/>
        <w:contextualSpacing/>
        <w:jc w:val="both"/>
        <w:rPr>
          <w:rFonts w:ascii="Cambria" w:eastAsia="Calibri" w:hAnsi="Cambria"/>
          <w:b/>
          <w:bCs/>
          <w:i/>
          <w:iCs/>
          <w:color w:val="00000A"/>
          <w:sz w:val="20"/>
          <w:szCs w:val="20"/>
        </w:rPr>
      </w:pPr>
    </w:p>
    <w:p w14:paraId="6802F233" w14:textId="77777777" w:rsidR="00E03A3E" w:rsidRPr="00DB13EC" w:rsidRDefault="00E03A3E" w:rsidP="00214FDE">
      <w:pPr>
        <w:tabs>
          <w:tab w:val="left" w:pos="0"/>
        </w:tabs>
        <w:spacing w:after="120"/>
        <w:jc w:val="both"/>
        <w:rPr>
          <w:rFonts w:ascii="Cambria" w:eastAsia="Calibri" w:hAnsi="Cambria"/>
          <w:i/>
          <w:iCs/>
          <w:color w:val="00000A"/>
          <w:sz w:val="20"/>
          <w:szCs w:val="20"/>
        </w:rPr>
      </w:pPr>
      <w:r w:rsidRPr="00DB13EC">
        <w:rPr>
          <w:rFonts w:ascii="Cambria" w:hAnsi="Cambria"/>
          <w:i/>
          <w:iCs/>
          <w:color w:val="00000A"/>
          <w:sz w:val="20"/>
          <w:szCs w:val="20"/>
        </w:rPr>
        <w:t>Indicateurs et modèles opérationnels</w:t>
      </w:r>
    </w:p>
    <w:p w14:paraId="6345D848" w14:textId="77777777" w:rsidR="00E03A3E" w:rsidRPr="00DB13EC" w:rsidRDefault="00E03A3E" w:rsidP="00E07D94">
      <w:pPr>
        <w:tabs>
          <w:tab w:val="left" w:pos="851"/>
        </w:tabs>
        <w:jc w:val="both"/>
        <w:rPr>
          <w:rFonts w:ascii="Cambria" w:eastAsia="Cambria" w:hAnsi="Cambria" w:cs="Cambria"/>
          <w:color w:val="00000A"/>
          <w:sz w:val="20"/>
          <w:szCs w:val="20"/>
        </w:rPr>
      </w:pPr>
      <w:r w:rsidRPr="00DB13EC">
        <w:rPr>
          <w:rFonts w:ascii="Cambria" w:hAnsi="Cambria"/>
          <w:color w:val="00000A"/>
          <w:sz w:val="20"/>
          <w:szCs w:val="20"/>
        </w:rPr>
        <w:t>Ce projet, d'une durée de trois ans, vise à générer des modèles opérationnels basés sur les écosystèmes afin de tester les indicateurs des écosystèmes et les politiques de gestion. L'objectif est de déterminer quand des indicateurs donnés reflètent avec précision l'état des stocks ou la dynamique de l'écosystème.</w:t>
      </w:r>
    </w:p>
    <w:p w14:paraId="5560D303" w14:textId="77777777" w:rsidR="00721EA8" w:rsidRPr="00DB13EC" w:rsidRDefault="00721EA8" w:rsidP="003D7E9C">
      <w:pPr>
        <w:tabs>
          <w:tab w:val="left" w:pos="851"/>
        </w:tabs>
        <w:jc w:val="both"/>
        <w:rPr>
          <w:rFonts w:ascii="Cambria" w:eastAsia="Cambria" w:hAnsi="Cambria" w:cs="Cambria"/>
          <w:color w:val="00000A"/>
          <w:sz w:val="20"/>
          <w:szCs w:val="20"/>
        </w:rPr>
      </w:pPr>
    </w:p>
    <w:p w14:paraId="09872CC8" w14:textId="51E19012" w:rsidR="00E03A3E" w:rsidRPr="00DB13EC" w:rsidRDefault="00E03A3E" w:rsidP="003D7E9C">
      <w:pPr>
        <w:tabs>
          <w:tab w:val="left" w:pos="851"/>
        </w:tabs>
        <w:jc w:val="both"/>
        <w:rPr>
          <w:rFonts w:ascii="Cambria" w:hAnsi="Cambria"/>
          <w:sz w:val="20"/>
          <w:szCs w:val="20"/>
        </w:rPr>
      </w:pPr>
      <w:r w:rsidRPr="00DB13EC">
        <w:rPr>
          <w:rFonts w:ascii="Cambria" w:hAnsi="Cambria"/>
          <w:color w:val="00000A"/>
          <w:sz w:val="20"/>
          <w:szCs w:val="20"/>
        </w:rPr>
        <w:t xml:space="preserve">Les progrès se sont poursuivis en 2024-2025 avec l'application de méthodes d'apprentissage automatique pour identifier les signaux de données pertinents pour les espèces évaluées et non évaluées (voir </w:t>
      </w:r>
      <w:proofErr w:type="spellStart"/>
      <w:r w:rsidRPr="00DB13EC">
        <w:rPr>
          <w:rFonts w:ascii="Cambria" w:hAnsi="Cambria"/>
          <w:color w:val="00000A"/>
          <w:sz w:val="20"/>
          <w:szCs w:val="20"/>
        </w:rPr>
        <w:t>Carruthers</w:t>
      </w:r>
      <w:proofErr w:type="spellEnd"/>
      <w:r w:rsidRPr="00DB13EC">
        <w:rPr>
          <w:rFonts w:ascii="Cambria" w:hAnsi="Cambria"/>
          <w:color w:val="00000A"/>
          <w:sz w:val="20"/>
          <w:szCs w:val="20"/>
        </w:rPr>
        <w:t xml:space="preserve"> </w:t>
      </w:r>
      <w:r w:rsidRPr="00DB13EC">
        <w:rPr>
          <w:rFonts w:ascii="Cambria" w:hAnsi="Cambria"/>
          <w:i/>
          <w:color w:val="00000A"/>
          <w:sz w:val="20"/>
          <w:szCs w:val="20"/>
        </w:rPr>
        <w:t>et al</w:t>
      </w:r>
      <w:r w:rsidRPr="00DB13EC">
        <w:rPr>
          <w:rFonts w:ascii="Cambria" w:hAnsi="Cambria"/>
          <w:color w:val="00000A"/>
          <w:sz w:val="20"/>
          <w:szCs w:val="20"/>
        </w:rPr>
        <w:t xml:space="preserve">., 2024). En outre, le cadre </w:t>
      </w:r>
      <w:proofErr w:type="spellStart"/>
      <w:r w:rsidRPr="00DB13EC">
        <w:rPr>
          <w:rFonts w:ascii="Cambria" w:hAnsi="Cambria"/>
          <w:color w:val="00000A"/>
          <w:sz w:val="20"/>
          <w:szCs w:val="20"/>
        </w:rPr>
        <w:t>ECOtest</w:t>
      </w:r>
      <w:proofErr w:type="spellEnd"/>
      <w:r w:rsidRPr="00DB13EC">
        <w:rPr>
          <w:rFonts w:ascii="Cambria" w:hAnsi="Cambria"/>
          <w:color w:val="00000A"/>
          <w:sz w:val="20"/>
          <w:szCs w:val="20"/>
        </w:rPr>
        <w:t xml:space="preserve"> de cinq ORGPt a progressé, avec des indicateurs testés sur des espèces telles que le makaire bleu, le requin-taupe bleu, le requin peau bleue, l'espadon et le thon obèse. Les indicateurs comprenaient les captures, les </w:t>
      </w:r>
      <w:proofErr w:type="spellStart"/>
      <w:r w:rsidRPr="00DB13EC">
        <w:rPr>
          <w:rFonts w:ascii="Cambria" w:hAnsi="Cambria"/>
          <w:color w:val="00000A"/>
          <w:sz w:val="20"/>
          <w:szCs w:val="20"/>
        </w:rPr>
        <w:t>CPUE</w:t>
      </w:r>
      <w:proofErr w:type="spellEnd"/>
      <w:r w:rsidRPr="00DB13EC">
        <w:rPr>
          <w:rFonts w:ascii="Cambria" w:hAnsi="Cambria"/>
          <w:color w:val="00000A"/>
          <w:sz w:val="20"/>
          <w:szCs w:val="20"/>
        </w:rPr>
        <w:t>, la longueur moyenne, la fraction mature et les pentes de tendance des captures, avec des mesures dérivées telles que la variabilité interannuelle, les moyennes des séries temporelles et les corrélations résiduelles. Ce travail contribue à l'intégration du changement climatique et des approches écosystémiques dans la gestion de la pêche.</w:t>
      </w:r>
    </w:p>
    <w:p w14:paraId="21CDBA57" w14:textId="77777777" w:rsidR="00E03A3E" w:rsidRPr="00DB13EC" w:rsidRDefault="00E03A3E" w:rsidP="003D7E9C">
      <w:pPr>
        <w:tabs>
          <w:tab w:val="left" w:pos="851"/>
        </w:tabs>
        <w:ind w:left="284"/>
        <w:jc w:val="both"/>
        <w:rPr>
          <w:rFonts w:ascii="Cambria" w:eastAsia="Cambria" w:hAnsi="Cambria" w:cs="Cambria"/>
          <w:color w:val="00000A"/>
          <w:sz w:val="20"/>
          <w:szCs w:val="20"/>
        </w:rPr>
      </w:pPr>
    </w:p>
    <w:p w14:paraId="6C727298" w14:textId="77777777" w:rsidR="00E03A3E" w:rsidRPr="00DB13EC" w:rsidRDefault="00E03A3E" w:rsidP="003D7E9C">
      <w:pPr>
        <w:tabs>
          <w:tab w:val="left" w:pos="0"/>
        </w:tabs>
        <w:jc w:val="both"/>
        <w:rPr>
          <w:rFonts w:ascii="Cambria" w:eastAsia="Calibri" w:hAnsi="Cambria"/>
          <w:i/>
          <w:iCs/>
          <w:color w:val="00000A"/>
          <w:sz w:val="20"/>
          <w:szCs w:val="20"/>
        </w:rPr>
      </w:pPr>
      <w:r w:rsidRPr="00DB13EC">
        <w:rPr>
          <w:rFonts w:ascii="Cambria" w:hAnsi="Cambria"/>
          <w:i/>
          <w:iCs/>
          <w:color w:val="00000A"/>
          <w:sz w:val="20"/>
          <w:szCs w:val="20"/>
        </w:rPr>
        <w:t xml:space="preserve">Harmonisation des travaux techniques entre les </w:t>
      </w:r>
      <w:proofErr w:type="spellStart"/>
      <w:r w:rsidRPr="00DB13EC">
        <w:rPr>
          <w:rFonts w:ascii="Cambria" w:hAnsi="Cambria"/>
          <w:i/>
          <w:iCs/>
          <w:color w:val="00000A"/>
          <w:sz w:val="20"/>
          <w:szCs w:val="20"/>
        </w:rPr>
        <w:t>ORGP</w:t>
      </w:r>
      <w:proofErr w:type="spellEnd"/>
    </w:p>
    <w:p w14:paraId="12EB1F7B" w14:textId="77777777" w:rsidR="003D7E9C" w:rsidRPr="00DB13EC" w:rsidRDefault="003D7E9C" w:rsidP="003D7E9C">
      <w:pPr>
        <w:tabs>
          <w:tab w:val="left" w:pos="851"/>
        </w:tabs>
        <w:jc w:val="both"/>
        <w:rPr>
          <w:rFonts w:ascii="Cambria" w:eastAsia="Cambria" w:hAnsi="Cambria" w:cs="Cambria"/>
          <w:color w:val="00000A"/>
          <w:sz w:val="20"/>
          <w:szCs w:val="20"/>
        </w:rPr>
      </w:pPr>
    </w:p>
    <w:p w14:paraId="78023589" w14:textId="2D2BF994" w:rsidR="00E03A3E" w:rsidRPr="00DB13EC" w:rsidRDefault="00E03A3E" w:rsidP="003D7E9C">
      <w:pPr>
        <w:tabs>
          <w:tab w:val="left" w:pos="851"/>
        </w:tabs>
        <w:jc w:val="both"/>
        <w:rPr>
          <w:rFonts w:ascii="Cambria" w:eastAsia="Cambria" w:hAnsi="Cambria" w:cs="Cambria"/>
          <w:color w:val="00000A"/>
          <w:sz w:val="20"/>
          <w:szCs w:val="20"/>
        </w:rPr>
      </w:pPr>
      <w:r w:rsidRPr="00DB13EC">
        <w:rPr>
          <w:rFonts w:ascii="Cambria" w:hAnsi="Cambria"/>
          <w:color w:val="00000A"/>
          <w:sz w:val="20"/>
          <w:szCs w:val="20"/>
        </w:rPr>
        <w:t xml:space="preserve">Ce projet de trois ans apporte un soutien technique à l'harmonisation des travaux entre les ORGPt. L'objectif est de coordonner les défis communs et de communiquer des messages clés sur les progrès réalisés en matière de gestion de la pêche, en particulier dans le contexte des discussions en cours sur l’accord </w:t>
      </w:r>
      <w:proofErr w:type="spellStart"/>
      <w:r w:rsidRPr="00DB13EC">
        <w:rPr>
          <w:rFonts w:ascii="Cambria" w:hAnsi="Cambria"/>
          <w:color w:val="00000A"/>
          <w:sz w:val="20"/>
          <w:szCs w:val="20"/>
        </w:rPr>
        <w:t>BBNJ</w:t>
      </w:r>
      <w:proofErr w:type="spellEnd"/>
      <w:r w:rsidRPr="00DB13EC">
        <w:rPr>
          <w:rFonts w:ascii="Cambria" w:hAnsi="Cambria"/>
          <w:color w:val="00000A"/>
          <w:sz w:val="20"/>
          <w:szCs w:val="20"/>
        </w:rPr>
        <w:t xml:space="preserve"> et du processus de révision de l'</w:t>
      </w:r>
      <w:r w:rsidR="00113956" w:rsidRPr="00DB13EC">
        <w:rPr>
          <w:rFonts w:ascii="Cambria" w:hAnsi="Cambria"/>
          <w:color w:val="00000A"/>
          <w:sz w:val="20"/>
          <w:szCs w:val="20"/>
        </w:rPr>
        <w:t>A</w:t>
      </w:r>
      <w:r w:rsidRPr="00DB13EC">
        <w:rPr>
          <w:rFonts w:ascii="Cambria" w:hAnsi="Cambria"/>
          <w:color w:val="00000A"/>
          <w:sz w:val="20"/>
          <w:szCs w:val="20"/>
        </w:rPr>
        <w:t>ccord des Nations Unies sur les stocks de poissons.</w:t>
      </w:r>
    </w:p>
    <w:p w14:paraId="5E2B5756" w14:textId="77777777" w:rsidR="00E07D94" w:rsidRPr="00DB13EC" w:rsidRDefault="00E07D94" w:rsidP="00E07D94">
      <w:pPr>
        <w:tabs>
          <w:tab w:val="left" w:pos="851"/>
        </w:tabs>
        <w:jc w:val="both"/>
        <w:rPr>
          <w:rFonts w:ascii="Cambria" w:hAnsi="Cambria"/>
          <w:sz w:val="20"/>
          <w:szCs w:val="20"/>
        </w:rPr>
      </w:pPr>
    </w:p>
    <w:p w14:paraId="07CCAF33" w14:textId="1496C9DB" w:rsidR="00E03A3E" w:rsidRPr="00DB13EC" w:rsidRDefault="00E03A3E" w:rsidP="00E07D94">
      <w:pPr>
        <w:tabs>
          <w:tab w:val="left" w:pos="851"/>
        </w:tabs>
        <w:jc w:val="both"/>
        <w:rPr>
          <w:rFonts w:ascii="Cambria" w:eastAsia="Cambria" w:hAnsi="Cambria" w:cs="Cambria"/>
          <w:color w:val="00000A"/>
          <w:sz w:val="20"/>
          <w:szCs w:val="20"/>
        </w:rPr>
      </w:pPr>
      <w:r w:rsidRPr="00DB13EC">
        <w:rPr>
          <w:rFonts w:ascii="Cambria" w:hAnsi="Cambria"/>
          <w:color w:val="00000A"/>
          <w:sz w:val="20"/>
          <w:szCs w:val="20"/>
        </w:rPr>
        <w:t xml:space="preserve">En janvier 2025, le premier des trois ateliers conjoints des </w:t>
      </w:r>
      <w:proofErr w:type="spellStart"/>
      <w:r w:rsidRPr="00DB13EC">
        <w:rPr>
          <w:rFonts w:ascii="Cambria" w:hAnsi="Cambria"/>
          <w:color w:val="00000A"/>
          <w:sz w:val="20"/>
          <w:szCs w:val="20"/>
        </w:rPr>
        <w:t>ORGP</w:t>
      </w:r>
      <w:proofErr w:type="spellEnd"/>
      <w:r w:rsidRPr="00DB13EC">
        <w:rPr>
          <w:rFonts w:ascii="Cambria" w:hAnsi="Cambria"/>
          <w:color w:val="00000A"/>
          <w:sz w:val="20"/>
          <w:szCs w:val="20"/>
        </w:rPr>
        <w:t xml:space="preserve"> s'est tenu au siège de la FAO à Rome, axé sur les prises accessoires. Les comptes-rendus seront publiés dans </w:t>
      </w:r>
      <w:proofErr w:type="spellStart"/>
      <w:r w:rsidRPr="00DB13EC">
        <w:rPr>
          <w:rFonts w:ascii="Cambria" w:hAnsi="Cambria"/>
          <w:color w:val="00000A"/>
          <w:sz w:val="20"/>
          <w:szCs w:val="20"/>
        </w:rPr>
        <w:t>Fisheries</w:t>
      </w:r>
      <w:proofErr w:type="spellEnd"/>
      <w:r w:rsidRPr="00DB13EC">
        <w:rPr>
          <w:rFonts w:ascii="Cambria" w:hAnsi="Cambria"/>
          <w:color w:val="00000A"/>
          <w:sz w:val="20"/>
          <w:szCs w:val="20"/>
        </w:rPr>
        <w:t xml:space="preserve"> </w:t>
      </w:r>
      <w:proofErr w:type="spellStart"/>
      <w:r w:rsidRPr="00DB13EC">
        <w:rPr>
          <w:rFonts w:ascii="Cambria" w:hAnsi="Cambria"/>
          <w:color w:val="00000A"/>
          <w:sz w:val="20"/>
          <w:szCs w:val="20"/>
        </w:rPr>
        <w:t>Research</w:t>
      </w:r>
      <w:proofErr w:type="spellEnd"/>
      <w:r w:rsidRPr="00DB13EC">
        <w:rPr>
          <w:rFonts w:ascii="Cambria" w:hAnsi="Cambria"/>
          <w:color w:val="00000A"/>
          <w:sz w:val="20"/>
          <w:szCs w:val="20"/>
        </w:rPr>
        <w:t>. Deux autres ateliers sont prévus</w:t>
      </w:r>
      <w:r w:rsidR="00D74B0E" w:rsidRPr="00DB13EC">
        <w:rPr>
          <w:rFonts w:ascii="Cambria" w:hAnsi="Cambria"/>
          <w:color w:val="00000A"/>
          <w:sz w:val="20"/>
          <w:szCs w:val="20"/>
        </w:rPr>
        <w:t> :</w:t>
      </w:r>
      <w:r w:rsidRPr="00DB13EC">
        <w:rPr>
          <w:rFonts w:ascii="Cambria" w:hAnsi="Cambria"/>
          <w:color w:val="00000A"/>
          <w:sz w:val="20"/>
          <w:szCs w:val="20"/>
        </w:rPr>
        <w:t xml:space="preserve"> un sur la </w:t>
      </w:r>
      <w:proofErr w:type="spellStart"/>
      <w:r w:rsidRPr="00DB13EC">
        <w:rPr>
          <w:rFonts w:ascii="Cambria" w:hAnsi="Cambria"/>
          <w:color w:val="00000A"/>
          <w:sz w:val="20"/>
          <w:szCs w:val="20"/>
        </w:rPr>
        <w:t>MSE</w:t>
      </w:r>
      <w:proofErr w:type="spellEnd"/>
      <w:r w:rsidRPr="00DB13EC">
        <w:rPr>
          <w:rFonts w:ascii="Cambria" w:hAnsi="Cambria"/>
          <w:color w:val="00000A"/>
          <w:sz w:val="20"/>
          <w:szCs w:val="20"/>
        </w:rPr>
        <w:t xml:space="preserve"> en janvier 2026 et un autre sur les méthodes d'évaluation des stocks en 2027. Ces activités constituent une plate-forme solide pour la collaboration entre les </w:t>
      </w:r>
      <w:proofErr w:type="spellStart"/>
      <w:r w:rsidRPr="00DB13EC">
        <w:rPr>
          <w:rFonts w:ascii="Cambria" w:hAnsi="Cambria"/>
          <w:color w:val="00000A"/>
          <w:sz w:val="20"/>
          <w:szCs w:val="20"/>
        </w:rPr>
        <w:t>ORGP</w:t>
      </w:r>
      <w:proofErr w:type="spellEnd"/>
      <w:r w:rsidRPr="00DB13EC">
        <w:rPr>
          <w:rFonts w:ascii="Cambria" w:hAnsi="Cambria"/>
          <w:color w:val="00000A"/>
          <w:sz w:val="20"/>
          <w:szCs w:val="20"/>
        </w:rPr>
        <w:t xml:space="preserve"> et soutiennent l'intégration des priorités mondiales dans la gestion régionale des pêches.</w:t>
      </w:r>
    </w:p>
    <w:p w14:paraId="5269F6B1" w14:textId="77777777" w:rsidR="00E03A3E" w:rsidRPr="00DB13EC" w:rsidRDefault="00E03A3E" w:rsidP="00E03A3E">
      <w:pPr>
        <w:rPr>
          <w:rFonts w:ascii="Cambria" w:hAnsi="Cambria"/>
          <w:sz w:val="20"/>
          <w:szCs w:val="20"/>
        </w:rPr>
      </w:pPr>
    </w:p>
    <w:p w14:paraId="4339F3D1" w14:textId="77777777" w:rsidR="004419CC" w:rsidRPr="00DB13EC" w:rsidRDefault="004419CC" w:rsidP="00E03A3E">
      <w:pPr>
        <w:rPr>
          <w:rFonts w:ascii="Cambria" w:hAnsi="Cambria"/>
          <w:sz w:val="20"/>
          <w:szCs w:val="20"/>
        </w:rPr>
      </w:pPr>
    </w:p>
    <w:p w14:paraId="4629C2DC" w14:textId="0D4E324B" w:rsidR="00E03A3E" w:rsidRPr="00DB13EC" w:rsidRDefault="00E03A3E" w:rsidP="00E03A3E">
      <w:pPr>
        <w:tabs>
          <w:tab w:val="left" w:pos="851"/>
        </w:tabs>
        <w:spacing w:after="120"/>
        <w:contextualSpacing/>
        <w:jc w:val="both"/>
        <w:rPr>
          <w:rFonts w:ascii="Cambria" w:eastAsia="Calibri" w:hAnsi="Cambria"/>
          <w:b/>
          <w:iCs/>
          <w:color w:val="00000A"/>
          <w:sz w:val="20"/>
          <w:szCs w:val="20"/>
        </w:rPr>
      </w:pPr>
      <w:r w:rsidRPr="00DB13EC">
        <w:rPr>
          <w:rFonts w:ascii="Cambria" w:hAnsi="Cambria"/>
          <w:b/>
          <w:iCs/>
          <w:color w:val="00000A"/>
          <w:sz w:val="20"/>
          <w:szCs w:val="20"/>
        </w:rPr>
        <w:t>Accord de coopération avec la Commission des pêches pour l'Atlantique Centre-Ouest (</w:t>
      </w:r>
      <w:proofErr w:type="spellStart"/>
      <w:r w:rsidR="00090267" w:rsidRPr="00DB13EC">
        <w:rPr>
          <w:rFonts w:ascii="Cambria" w:hAnsi="Cambria"/>
          <w:b/>
          <w:iCs/>
          <w:color w:val="00000A"/>
          <w:sz w:val="20"/>
          <w:szCs w:val="20"/>
        </w:rPr>
        <w:t>COPACO</w:t>
      </w:r>
      <w:proofErr w:type="spellEnd"/>
      <w:r w:rsidRPr="00DB13EC">
        <w:rPr>
          <w:rFonts w:ascii="Cambria" w:hAnsi="Cambria"/>
          <w:b/>
          <w:iCs/>
          <w:color w:val="00000A"/>
          <w:sz w:val="20"/>
          <w:szCs w:val="20"/>
        </w:rPr>
        <w:t>)</w:t>
      </w:r>
    </w:p>
    <w:p w14:paraId="4B25549A"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722B7A40" w14:textId="029FA6C0" w:rsidR="00E03A3E" w:rsidRPr="00DB13EC" w:rsidRDefault="00E03A3E" w:rsidP="00E03A3E">
      <w:pPr>
        <w:tabs>
          <w:tab w:val="left" w:pos="851"/>
        </w:tabs>
        <w:spacing w:after="120"/>
        <w:contextualSpacing/>
        <w:jc w:val="both"/>
        <w:rPr>
          <w:rFonts w:ascii="Cambria" w:eastAsia="Calibri" w:hAnsi="Cambria"/>
          <w:bCs/>
          <w:iCs/>
          <w:color w:val="00000A"/>
          <w:sz w:val="20"/>
          <w:szCs w:val="20"/>
        </w:rPr>
      </w:pPr>
      <w:r w:rsidRPr="00DB13EC">
        <w:rPr>
          <w:rFonts w:ascii="Cambria" w:hAnsi="Cambria"/>
          <w:bCs/>
          <w:iCs/>
          <w:color w:val="00000A"/>
          <w:sz w:val="20"/>
          <w:szCs w:val="20"/>
        </w:rPr>
        <w:t>Faisant suite à la signature de l'Échange de lettres d'accord entre la FAO et l’ICCAT en mars 2024, la première initiative conjointe a eu lieu les 7 et 8 mai 2025 à Panama City (Panama)</w:t>
      </w:r>
      <w:r w:rsidR="00655C09" w:rsidRPr="00DB13EC">
        <w:rPr>
          <w:rFonts w:ascii="Cambria" w:hAnsi="Cambria"/>
          <w:bCs/>
          <w:iCs/>
          <w:color w:val="00000A"/>
          <w:sz w:val="20"/>
          <w:szCs w:val="20"/>
        </w:rPr>
        <w:t> :</w:t>
      </w:r>
      <w:r w:rsidRPr="00DB13EC">
        <w:rPr>
          <w:rFonts w:ascii="Cambria" w:hAnsi="Cambria"/>
          <w:bCs/>
          <w:iCs/>
          <w:color w:val="00000A"/>
          <w:sz w:val="20"/>
          <w:szCs w:val="20"/>
        </w:rPr>
        <w:t xml:space="preserve"> le premier Atelier technique ICCAT/</w:t>
      </w:r>
      <w:proofErr w:type="spellStart"/>
      <w:r w:rsidR="00090267" w:rsidRPr="00DB13EC">
        <w:rPr>
          <w:rFonts w:ascii="Cambria" w:hAnsi="Cambria"/>
          <w:bCs/>
          <w:iCs/>
          <w:color w:val="00000A"/>
          <w:sz w:val="20"/>
          <w:szCs w:val="20"/>
        </w:rPr>
        <w:t>COPACO</w:t>
      </w:r>
      <w:proofErr w:type="spellEnd"/>
      <w:r w:rsidRPr="00DB13EC">
        <w:rPr>
          <w:rFonts w:ascii="Cambria" w:hAnsi="Cambria"/>
          <w:bCs/>
          <w:iCs/>
          <w:color w:val="00000A"/>
          <w:sz w:val="20"/>
          <w:szCs w:val="20"/>
        </w:rPr>
        <w:t xml:space="preserve">, avec le soutien financier du Fonds </w:t>
      </w:r>
      <w:r w:rsidR="00F83589" w:rsidRPr="00DB13EC">
        <w:rPr>
          <w:rFonts w:ascii="Cambria" w:hAnsi="Cambria"/>
          <w:bCs/>
          <w:iCs/>
          <w:color w:val="00000A"/>
          <w:sz w:val="20"/>
          <w:szCs w:val="20"/>
        </w:rPr>
        <w:t xml:space="preserve">pour les </w:t>
      </w:r>
      <w:r w:rsidRPr="00DB13EC">
        <w:rPr>
          <w:rFonts w:ascii="Cambria" w:hAnsi="Cambria"/>
          <w:bCs/>
          <w:iCs/>
          <w:color w:val="00000A"/>
          <w:sz w:val="20"/>
          <w:szCs w:val="20"/>
        </w:rPr>
        <w:t xml:space="preserve">données des États-Unis </w:t>
      </w:r>
      <w:r w:rsidR="00655C09" w:rsidRPr="00DB13EC">
        <w:rPr>
          <w:rFonts w:ascii="Cambria" w:hAnsi="Cambria"/>
          <w:bCs/>
          <w:iCs/>
          <w:color w:val="00000A"/>
          <w:sz w:val="20"/>
          <w:szCs w:val="20"/>
        </w:rPr>
        <w:t>de</w:t>
      </w:r>
      <w:r w:rsidRPr="00DB13EC">
        <w:rPr>
          <w:rFonts w:ascii="Cambria" w:hAnsi="Cambria"/>
          <w:bCs/>
          <w:iCs/>
          <w:color w:val="00000A"/>
          <w:sz w:val="20"/>
          <w:szCs w:val="20"/>
        </w:rPr>
        <w:t xml:space="preserve"> l'ICCAT. Au total, 40 experts de 19 États ont participé à cet atelier, en plus des Secrétariats de l'ICCAT et de la </w:t>
      </w:r>
      <w:proofErr w:type="spellStart"/>
      <w:r w:rsidR="00090267" w:rsidRPr="00DB13EC">
        <w:rPr>
          <w:rFonts w:ascii="Cambria" w:hAnsi="Cambria"/>
          <w:bCs/>
          <w:iCs/>
          <w:color w:val="00000A"/>
          <w:sz w:val="20"/>
          <w:szCs w:val="20"/>
        </w:rPr>
        <w:t>COPACO</w:t>
      </w:r>
      <w:proofErr w:type="spellEnd"/>
      <w:r w:rsidRPr="00DB13EC">
        <w:rPr>
          <w:rFonts w:ascii="Cambria" w:hAnsi="Cambria"/>
          <w:bCs/>
          <w:iCs/>
          <w:color w:val="00000A"/>
          <w:sz w:val="20"/>
          <w:szCs w:val="20"/>
        </w:rPr>
        <w:t xml:space="preserve">, et du personnel de la FAO. L'atelier visait à établir le cadre des discussions sur l'amélioration de la collecte et de la déclaration des données halieutiques dans la région des Caraïbes, tandis que les présentations des organisations ont abordé l'état actuel de la collecte et de la déclaration des données statistiques des pêches, en mettant l'accent sur les stratégies utilisées par l'ICCAT et la </w:t>
      </w:r>
      <w:proofErr w:type="spellStart"/>
      <w:r w:rsidR="00090267" w:rsidRPr="00DB13EC">
        <w:rPr>
          <w:rFonts w:ascii="Cambria" w:hAnsi="Cambria"/>
          <w:bCs/>
          <w:iCs/>
          <w:color w:val="00000A"/>
          <w:sz w:val="20"/>
          <w:szCs w:val="20"/>
        </w:rPr>
        <w:t>COPACO</w:t>
      </w:r>
      <w:proofErr w:type="spellEnd"/>
      <w:r w:rsidRPr="00DB13EC">
        <w:rPr>
          <w:rFonts w:ascii="Cambria" w:hAnsi="Cambria"/>
          <w:bCs/>
          <w:iCs/>
          <w:color w:val="00000A"/>
          <w:sz w:val="20"/>
          <w:szCs w:val="20"/>
        </w:rPr>
        <w:t xml:space="preserve"> en ce qui concerne les obligations de déclaration. Les participants ont discuté de la possibilité d'établir un ensemble minimum de variables communes harmonisées entre la </w:t>
      </w:r>
      <w:proofErr w:type="spellStart"/>
      <w:r w:rsidR="00090267" w:rsidRPr="00DB13EC">
        <w:rPr>
          <w:rFonts w:ascii="Cambria" w:hAnsi="Cambria"/>
          <w:bCs/>
          <w:iCs/>
          <w:color w:val="00000A"/>
          <w:sz w:val="20"/>
          <w:szCs w:val="20"/>
        </w:rPr>
        <w:t>COPACO</w:t>
      </w:r>
      <w:proofErr w:type="spellEnd"/>
      <w:r w:rsidRPr="00DB13EC">
        <w:rPr>
          <w:rFonts w:ascii="Cambria" w:hAnsi="Cambria"/>
          <w:bCs/>
          <w:iCs/>
          <w:color w:val="00000A"/>
          <w:sz w:val="20"/>
          <w:szCs w:val="20"/>
        </w:rPr>
        <w:t xml:space="preserve"> et l'ICCAT afin de permettre aux membres d'utiliser un format d'échange de données unique et harmonisé sur la base d'une « tâche de données ». Cependant, plusieurs limitations pratiques ont été reconnues (par exemple, les différentes classifications régionales, les espèces gérées et les coûts opérationnels pour les pays). Par conséquent, l'atelier a convenu d'avancer une stratégie pratique d'interopérabilité des données de pêche fondée sur l'interopérabilité des données de pêche (</w:t>
      </w:r>
      <w:proofErr w:type="spellStart"/>
      <w:r w:rsidRPr="00DB13EC">
        <w:rPr>
          <w:rFonts w:ascii="Cambria" w:hAnsi="Cambria"/>
          <w:bCs/>
          <w:iCs/>
          <w:color w:val="00000A"/>
          <w:sz w:val="20"/>
          <w:szCs w:val="20"/>
        </w:rPr>
        <w:t>FDI</w:t>
      </w:r>
      <w:proofErr w:type="spellEnd"/>
      <w:r w:rsidRPr="00DB13EC">
        <w:rPr>
          <w:rFonts w:ascii="Cambria" w:hAnsi="Cambria"/>
          <w:bCs/>
          <w:iCs/>
          <w:color w:val="00000A"/>
          <w:sz w:val="20"/>
          <w:szCs w:val="20"/>
        </w:rPr>
        <w:t xml:space="preserve">) : les pays conserveraient leurs systèmes nationaux tout en utilisant des concepts standardisés et des exportations automatisées (scripts, modèles, validateurs) pour produire les formats requis par chaque organisation (ICCAT, </w:t>
      </w:r>
      <w:proofErr w:type="spellStart"/>
      <w:r w:rsidR="00090267" w:rsidRPr="00DB13EC">
        <w:rPr>
          <w:rFonts w:ascii="Cambria" w:hAnsi="Cambria"/>
          <w:bCs/>
          <w:iCs/>
          <w:color w:val="00000A"/>
          <w:sz w:val="20"/>
          <w:szCs w:val="20"/>
        </w:rPr>
        <w:t>COPACO</w:t>
      </w:r>
      <w:proofErr w:type="spellEnd"/>
      <w:r w:rsidRPr="00DB13EC">
        <w:rPr>
          <w:rFonts w:ascii="Cambria" w:hAnsi="Cambria"/>
          <w:bCs/>
          <w:iCs/>
          <w:color w:val="00000A"/>
          <w:sz w:val="20"/>
          <w:szCs w:val="20"/>
        </w:rPr>
        <w:t xml:space="preserve">, FAO). Un plan a été approuvé en vue d'une stratégie pratique d'interopérabilité des données </w:t>
      </w:r>
      <w:r w:rsidRPr="00DB13EC">
        <w:rPr>
          <w:rFonts w:ascii="Cambria" w:hAnsi="Cambria"/>
          <w:bCs/>
          <w:iCs/>
          <w:color w:val="00000A"/>
          <w:sz w:val="20"/>
          <w:szCs w:val="20"/>
        </w:rPr>
        <w:lastRenderedPageBreak/>
        <w:t xml:space="preserve">halieutiques basée sur les meilleures pratiques et les modèles standard, qui, espérons-le, facilitera le processus de déclaration à la fois à l’ICCAT et à la </w:t>
      </w:r>
      <w:proofErr w:type="spellStart"/>
      <w:r w:rsidR="00090267" w:rsidRPr="00DB13EC">
        <w:rPr>
          <w:rFonts w:ascii="Cambria" w:hAnsi="Cambria"/>
          <w:bCs/>
          <w:iCs/>
          <w:color w:val="00000A"/>
          <w:sz w:val="20"/>
          <w:szCs w:val="20"/>
        </w:rPr>
        <w:t>COPACO</w:t>
      </w:r>
      <w:proofErr w:type="spellEnd"/>
      <w:r w:rsidRPr="00DB13EC">
        <w:rPr>
          <w:rFonts w:ascii="Cambria" w:hAnsi="Cambria"/>
          <w:bCs/>
          <w:iCs/>
          <w:color w:val="00000A"/>
          <w:sz w:val="20"/>
          <w:szCs w:val="20"/>
        </w:rPr>
        <w:t xml:space="preserve">. </w:t>
      </w:r>
      <w:r w:rsidRPr="00DB13EC">
        <w:rPr>
          <w:rFonts w:ascii="Cambria" w:hAnsi="Cambria"/>
          <w:sz w:val="20"/>
          <w:szCs w:val="20"/>
        </w:rPr>
        <w:t>Pour plus de détails, consulter le « Rapport du premier atelier technique ICCAT-</w:t>
      </w:r>
      <w:proofErr w:type="spellStart"/>
      <w:r w:rsidR="00090267" w:rsidRPr="00DB13EC">
        <w:rPr>
          <w:rFonts w:ascii="Cambria" w:hAnsi="Cambria"/>
          <w:bCs/>
          <w:iCs/>
          <w:color w:val="00000A"/>
          <w:sz w:val="20"/>
          <w:szCs w:val="20"/>
        </w:rPr>
        <w:t>COPACO</w:t>
      </w:r>
      <w:proofErr w:type="spellEnd"/>
      <w:r w:rsidRPr="00DB13EC">
        <w:rPr>
          <w:rFonts w:ascii="Cambria" w:hAnsi="Cambria"/>
          <w:sz w:val="20"/>
          <w:szCs w:val="20"/>
        </w:rPr>
        <w:t xml:space="preserve"> » (document </w:t>
      </w:r>
      <w:proofErr w:type="spellStart"/>
      <w:r w:rsidRPr="00DB13EC">
        <w:rPr>
          <w:rFonts w:ascii="Cambria" w:hAnsi="Cambria"/>
          <w:sz w:val="20"/>
          <w:szCs w:val="20"/>
        </w:rPr>
        <w:t>SCRS</w:t>
      </w:r>
      <w:proofErr w:type="spellEnd"/>
      <w:r w:rsidRPr="00DB13EC">
        <w:rPr>
          <w:rFonts w:ascii="Cambria" w:hAnsi="Cambria"/>
          <w:sz w:val="20"/>
          <w:szCs w:val="20"/>
        </w:rPr>
        <w:t>/2025/146).</w:t>
      </w:r>
    </w:p>
    <w:p w14:paraId="08FDCF15" w14:textId="77777777" w:rsidR="00E03A3E" w:rsidRPr="00DB13EC" w:rsidRDefault="00E03A3E" w:rsidP="00E03A3E">
      <w:pPr>
        <w:tabs>
          <w:tab w:val="left" w:pos="851"/>
        </w:tabs>
        <w:spacing w:after="120"/>
        <w:contextualSpacing/>
        <w:jc w:val="both"/>
        <w:rPr>
          <w:rFonts w:ascii="Cambria" w:eastAsia="Calibri" w:hAnsi="Cambria"/>
          <w:bCs/>
          <w:iCs/>
          <w:color w:val="00000A"/>
          <w:sz w:val="20"/>
          <w:szCs w:val="20"/>
        </w:rPr>
      </w:pPr>
    </w:p>
    <w:p w14:paraId="0BFE066A" w14:textId="44C9DBA3" w:rsidR="00E03A3E" w:rsidRPr="00DB13EC" w:rsidRDefault="00E03A3E" w:rsidP="00E03A3E">
      <w:pPr>
        <w:tabs>
          <w:tab w:val="left" w:pos="851"/>
        </w:tabs>
        <w:spacing w:after="120"/>
        <w:contextualSpacing/>
        <w:jc w:val="both"/>
        <w:rPr>
          <w:rFonts w:ascii="Cambria" w:eastAsia="Calibri" w:hAnsi="Cambria"/>
          <w:bCs/>
          <w:iCs/>
          <w:color w:val="00000A"/>
          <w:sz w:val="20"/>
          <w:szCs w:val="20"/>
        </w:rPr>
      </w:pPr>
      <w:r w:rsidRPr="00DB13EC">
        <w:rPr>
          <w:rFonts w:ascii="Cambria" w:hAnsi="Cambria"/>
          <w:sz w:val="20"/>
          <w:szCs w:val="20"/>
        </w:rPr>
        <w:t xml:space="preserve">En outre, le Secrétaire exécutif a assisté à la </w:t>
      </w:r>
      <w:hyperlink r:id="rId22" w:history="1">
        <w:r w:rsidRPr="00DB13EC">
          <w:rPr>
            <w:rStyle w:val="Lienhypertexte"/>
            <w:rFonts w:ascii="Cambria" w:hAnsi="Cambria"/>
            <w:iCs/>
            <w:sz w:val="20"/>
            <w:szCs w:val="20"/>
            <w:u w:val="none"/>
          </w:rPr>
          <w:t>20e session de la Commission des pêches pour l'Atlantique Centre-Ouest (FI-739-20)</w:t>
        </w:r>
      </w:hyperlink>
      <w:r w:rsidRPr="00DB13EC">
        <w:rPr>
          <w:rFonts w:ascii="Cambria" w:hAnsi="Cambria"/>
          <w:bCs/>
          <w:iCs/>
          <w:color w:val="00000A"/>
          <w:sz w:val="20"/>
          <w:szCs w:val="20"/>
        </w:rPr>
        <w:t xml:space="preserve">, </w:t>
      </w:r>
      <w:r w:rsidRPr="00DB13EC">
        <w:rPr>
          <w:rFonts w:ascii="Cambria" w:hAnsi="Cambria"/>
          <w:sz w:val="20"/>
          <w:szCs w:val="20"/>
        </w:rPr>
        <w:t>dans le cadre de laquelle il a signalé la première initiative conjointe des deux organisations et a réitéré la disponibilité de l'ICCAT à renforcer davantage la coopération entre les deux organisations.</w:t>
      </w:r>
    </w:p>
    <w:p w14:paraId="2B48C350"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6C2E0273" w14:textId="77777777" w:rsidR="004419CC" w:rsidRPr="00DB13EC" w:rsidRDefault="004419CC" w:rsidP="00E03A3E">
      <w:pPr>
        <w:tabs>
          <w:tab w:val="left" w:pos="851"/>
        </w:tabs>
        <w:spacing w:after="120"/>
        <w:contextualSpacing/>
        <w:jc w:val="both"/>
        <w:rPr>
          <w:rFonts w:ascii="Cambria" w:eastAsia="Calibri" w:hAnsi="Cambria"/>
          <w:color w:val="00000A"/>
          <w:sz w:val="20"/>
          <w:szCs w:val="20"/>
        </w:rPr>
      </w:pPr>
    </w:p>
    <w:p w14:paraId="21798D63" w14:textId="17178388" w:rsidR="00E03A3E" w:rsidRPr="00DB13EC" w:rsidRDefault="00E03A3E" w:rsidP="00E03A3E">
      <w:pPr>
        <w:tabs>
          <w:tab w:val="left" w:pos="851"/>
        </w:tabs>
        <w:spacing w:after="120"/>
        <w:contextualSpacing/>
        <w:jc w:val="both"/>
        <w:rPr>
          <w:rFonts w:ascii="Cambria" w:eastAsia="Calibri" w:hAnsi="Cambria"/>
          <w:b/>
          <w:iCs/>
          <w:color w:val="00000A"/>
          <w:sz w:val="20"/>
          <w:szCs w:val="20"/>
        </w:rPr>
      </w:pPr>
      <w:r w:rsidRPr="00DB13EC">
        <w:rPr>
          <w:rFonts w:ascii="Cambria" w:hAnsi="Cambria"/>
          <w:b/>
          <w:iCs/>
          <w:color w:val="00000A"/>
          <w:sz w:val="20"/>
          <w:szCs w:val="20"/>
        </w:rPr>
        <w:t>Conseil international pour l'exploration de la mer (</w:t>
      </w:r>
      <w:proofErr w:type="spellStart"/>
      <w:r w:rsidR="00090267" w:rsidRPr="00DB13EC">
        <w:rPr>
          <w:rFonts w:ascii="Cambria" w:hAnsi="Cambria"/>
          <w:b/>
          <w:iCs/>
          <w:color w:val="00000A"/>
          <w:sz w:val="20"/>
          <w:szCs w:val="20"/>
        </w:rPr>
        <w:t>CIEM</w:t>
      </w:r>
      <w:proofErr w:type="spellEnd"/>
      <w:r w:rsidRPr="00DB13EC">
        <w:rPr>
          <w:rFonts w:ascii="Cambria" w:hAnsi="Cambria"/>
          <w:b/>
          <w:iCs/>
          <w:color w:val="00000A"/>
          <w:sz w:val="20"/>
          <w:szCs w:val="20"/>
        </w:rPr>
        <w:t>)</w:t>
      </w:r>
    </w:p>
    <w:p w14:paraId="4F31C0B7"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42BB1DB3" w14:textId="74B34D28"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Après l'approbation par la Commission en novembre 2024, les deux Secrétaires exécutifs ont signé un protocole d'entente entre l’ICCAT et l</w:t>
      </w:r>
      <w:r w:rsidR="00090267" w:rsidRPr="00DB13EC">
        <w:rPr>
          <w:rFonts w:ascii="Cambria" w:hAnsi="Cambria"/>
          <w:color w:val="00000A"/>
          <w:sz w:val="20"/>
          <w:szCs w:val="20"/>
        </w:rPr>
        <w:t xml:space="preserve">e </w:t>
      </w:r>
      <w:proofErr w:type="spellStart"/>
      <w:r w:rsidR="00090267" w:rsidRPr="00DB13EC">
        <w:rPr>
          <w:rFonts w:ascii="Cambria" w:hAnsi="Cambria"/>
          <w:color w:val="00000A"/>
          <w:sz w:val="20"/>
          <w:szCs w:val="20"/>
        </w:rPr>
        <w:t>CIEM</w:t>
      </w:r>
      <w:proofErr w:type="spellEnd"/>
      <w:r w:rsidRPr="00DB13EC">
        <w:rPr>
          <w:rFonts w:ascii="Cambria" w:hAnsi="Cambria"/>
          <w:color w:val="00000A"/>
          <w:sz w:val="20"/>
          <w:szCs w:val="20"/>
        </w:rPr>
        <w:t xml:space="preserve"> le 22 janvier 2025. </w:t>
      </w:r>
      <w:r w:rsidRPr="00DB13EC">
        <w:rPr>
          <w:rFonts w:ascii="Cambria" w:hAnsi="Cambria"/>
          <w:sz w:val="20"/>
          <w:szCs w:val="20"/>
        </w:rPr>
        <w:t xml:space="preserve">Ce </w:t>
      </w:r>
      <w:hyperlink r:id="rId23" w:history="1">
        <w:r w:rsidRPr="00DB13EC">
          <w:rPr>
            <w:rStyle w:val="Lienhypertexte"/>
            <w:rFonts w:ascii="Cambria" w:hAnsi="Cambria"/>
            <w:sz w:val="20"/>
            <w:szCs w:val="20"/>
            <w:u w:val="none"/>
          </w:rPr>
          <w:t xml:space="preserve">protocole d'entente </w:t>
        </w:r>
      </w:hyperlink>
      <w:r w:rsidR="00DE08D7" w:rsidRPr="00DB13EC">
        <w:rPr>
          <w:rFonts w:ascii="Cambria" w:hAnsi="Cambria"/>
          <w:sz w:val="20"/>
          <w:szCs w:val="20"/>
        </w:rPr>
        <w:t>inclut</w:t>
      </w:r>
      <w:r w:rsidRPr="00DB13EC">
        <w:rPr>
          <w:rFonts w:ascii="Cambria" w:hAnsi="Cambria"/>
          <w:sz w:val="20"/>
          <w:szCs w:val="20"/>
        </w:rPr>
        <w:t xml:space="preserve"> </w:t>
      </w:r>
      <w:r w:rsidR="00B476D6" w:rsidRPr="00DB13EC">
        <w:rPr>
          <w:rFonts w:ascii="Cambria" w:hAnsi="Cambria"/>
          <w:sz w:val="20"/>
          <w:szCs w:val="20"/>
        </w:rPr>
        <w:t xml:space="preserve">le partage de données et de compétences </w:t>
      </w:r>
      <w:r w:rsidRPr="00DB13EC">
        <w:rPr>
          <w:rFonts w:ascii="Cambria" w:hAnsi="Cambria"/>
          <w:sz w:val="20"/>
          <w:szCs w:val="20"/>
        </w:rPr>
        <w:t xml:space="preserve">notamment, mais pas exclusivement, en ce qui concerne l'évaluation conjointe des stocks d'espèces d'élasmobranches, ainsi que les questions relatives au changement climatique et à la </w:t>
      </w:r>
      <w:proofErr w:type="spellStart"/>
      <w:r w:rsidRPr="00DB13EC">
        <w:rPr>
          <w:rFonts w:ascii="Cambria" w:hAnsi="Cambria"/>
          <w:sz w:val="20"/>
          <w:szCs w:val="20"/>
        </w:rPr>
        <w:t>MSE</w:t>
      </w:r>
      <w:proofErr w:type="spellEnd"/>
      <w:r w:rsidRPr="00DB13EC">
        <w:rPr>
          <w:rFonts w:ascii="Cambria" w:hAnsi="Cambria"/>
          <w:sz w:val="20"/>
          <w:szCs w:val="20"/>
        </w:rPr>
        <w:t>.</w:t>
      </w:r>
    </w:p>
    <w:p w14:paraId="0D52A07B" w14:textId="77777777" w:rsidR="00890A85" w:rsidRPr="00DB13EC" w:rsidRDefault="00890A85" w:rsidP="00E03A3E">
      <w:pPr>
        <w:tabs>
          <w:tab w:val="left" w:pos="851"/>
        </w:tabs>
        <w:spacing w:after="120"/>
        <w:contextualSpacing/>
        <w:jc w:val="both"/>
        <w:rPr>
          <w:rFonts w:ascii="Cambria" w:eastAsia="Calibri" w:hAnsi="Cambria"/>
          <w:color w:val="00000A"/>
          <w:sz w:val="20"/>
          <w:szCs w:val="20"/>
        </w:rPr>
      </w:pPr>
    </w:p>
    <w:p w14:paraId="64867AA8" w14:textId="77777777" w:rsidR="008C013A" w:rsidRPr="00DB13EC" w:rsidRDefault="008C013A" w:rsidP="00E03A3E">
      <w:pPr>
        <w:tabs>
          <w:tab w:val="left" w:pos="851"/>
        </w:tabs>
        <w:spacing w:after="120"/>
        <w:contextualSpacing/>
        <w:jc w:val="both"/>
        <w:rPr>
          <w:rFonts w:ascii="Cambria" w:eastAsia="Calibri" w:hAnsi="Cambria"/>
          <w:color w:val="00000A"/>
          <w:sz w:val="20"/>
          <w:szCs w:val="20"/>
        </w:rPr>
      </w:pPr>
    </w:p>
    <w:p w14:paraId="5C785235" w14:textId="772C5874" w:rsidR="00890A85" w:rsidRPr="00DB13EC" w:rsidRDefault="00117298" w:rsidP="00E03A3E">
      <w:pPr>
        <w:tabs>
          <w:tab w:val="left" w:pos="851"/>
        </w:tabs>
        <w:spacing w:after="120"/>
        <w:contextualSpacing/>
        <w:jc w:val="both"/>
        <w:rPr>
          <w:rFonts w:ascii="Cambria" w:eastAsia="Calibri" w:hAnsi="Cambria"/>
          <w:b/>
          <w:iCs/>
          <w:color w:val="00000A"/>
          <w:sz w:val="20"/>
          <w:szCs w:val="20"/>
        </w:rPr>
      </w:pPr>
      <w:r w:rsidRPr="00DB13EC">
        <w:rPr>
          <w:rFonts w:ascii="Cambria" w:hAnsi="Cambria"/>
          <w:b/>
          <w:iCs/>
          <w:color w:val="00000A"/>
          <w:sz w:val="20"/>
          <w:szCs w:val="20"/>
        </w:rPr>
        <w:t xml:space="preserve">Commission pour la conservation du thon rouge du </w:t>
      </w:r>
      <w:r w:rsidR="00B476D6" w:rsidRPr="00DB13EC">
        <w:rPr>
          <w:rFonts w:ascii="Cambria" w:hAnsi="Cambria"/>
          <w:b/>
          <w:iCs/>
          <w:color w:val="00000A"/>
          <w:sz w:val="20"/>
          <w:szCs w:val="20"/>
        </w:rPr>
        <w:t>s</w:t>
      </w:r>
      <w:r w:rsidRPr="00DB13EC">
        <w:rPr>
          <w:rFonts w:ascii="Cambria" w:hAnsi="Cambria"/>
          <w:b/>
          <w:iCs/>
          <w:color w:val="00000A"/>
          <w:sz w:val="20"/>
          <w:szCs w:val="20"/>
        </w:rPr>
        <w:t>ud (</w:t>
      </w:r>
      <w:proofErr w:type="spellStart"/>
      <w:r w:rsidRPr="00DB13EC">
        <w:rPr>
          <w:rFonts w:ascii="Cambria" w:hAnsi="Cambria"/>
          <w:b/>
          <w:iCs/>
          <w:color w:val="00000A"/>
          <w:sz w:val="20"/>
          <w:szCs w:val="20"/>
        </w:rPr>
        <w:t>CCSBT</w:t>
      </w:r>
      <w:proofErr w:type="spellEnd"/>
      <w:r w:rsidRPr="00DB13EC">
        <w:rPr>
          <w:rFonts w:ascii="Cambria" w:hAnsi="Cambria"/>
          <w:b/>
          <w:iCs/>
          <w:color w:val="00000A"/>
          <w:sz w:val="20"/>
          <w:szCs w:val="20"/>
        </w:rPr>
        <w:t>)</w:t>
      </w:r>
    </w:p>
    <w:p w14:paraId="1F6F211D" w14:textId="77777777" w:rsidR="00E03A3E" w:rsidRPr="00DB13EC" w:rsidRDefault="00E03A3E" w:rsidP="00E03A3E">
      <w:pPr>
        <w:tabs>
          <w:tab w:val="left" w:pos="851"/>
        </w:tabs>
        <w:spacing w:after="120"/>
        <w:contextualSpacing/>
        <w:jc w:val="both"/>
        <w:rPr>
          <w:rFonts w:ascii="Cambria" w:eastAsia="Calibri" w:hAnsi="Cambria"/>
          <w:color w:val="00000A"/>
          <w:sz w:val="20"/>
          <w:szCs w:val="20"/>
        </w:rPr>
      </w:pPr>
    </w:p>
    <w:p w14:paraId="7F8F1853" w14:textId="50195931" w:rsidR="00F0218B" w:rsidRPr="00DB13EC" w:rsidRDefault="00C23975" w:rsidP="00C23975">
      <w:pPr>
        <w:tabs>
          <w:tab w:val="left" w:pos="851"/>
        </w:tabs>
        <w:spacing w:after="120"/>
        <w:contextualSpacing/>
        <w:jc w:val="both"/>
        <w:rPr>
          <w:rFonts w:ascii="Cambria" w:eastAsia="Calibri" w:hAnsi="Cambria"/>
          <w:color w:val="00000A"/>
          <w:sz w:val="20"/>
          <w:szCs w:val="20"/>
        </w:rPr>
      </w:pPr>
      <w:r w:rsidRPr="00DB13EC">
        <w:rPr>
          <w:rFonts w:ascii="Cambria" w:hAnsi="Cambria"/>
          <w:sz w:val="20"/>
          <w:szCs w:val="20"/>
        </w:rPr>
        <w:t>Le</w:t>
      </w:r>
      <w:r w:rsidRPr="00DB13EC">
        <w:rPr>
          <w:rFonts w:ascii="Cambria" w:hAnsi="Cambria"/>
          <w:color w:val="00000A"/>
          <w:sz w:val="20"/>
          <w:szCs w:val="20"/>
        </w:rPr>
        <w:t xml:space="preserve"> </w:t>
      </w:r>
      <w:hyperlink r:id="rId24" w:history="1">
        <w:r w:rsidRPr="00DB13EC">
          <w:rPr>
            <w:rStyle w:val="Lienhypertexte"/>
            <w:rFonts w:ascii="Cambria" w:hAnsi="Cambria"/>
            <w:sz w:val="20"/>
            <w:szCs w:val="20"/>
            <w:u w:val="none"/>
          </w:rPr>
          <w:t xml:space="preserve">Protocole d’entente mis à jour entre les Secrétariats de la </w:t>
        </w:r>
        <w:proofErr w:type="spellStart"/>
        <w:r w:rsidRPr="00DB13EC">
          <w:rPr>
            <w:rStyle w:val="Lienhypertexte"/>
            <w:rFonts w:ascii="Cambria" w:hAnsi="Cambria"/>
            <w:sz w:val="20"/>
            <w:szCs w:val="20"/>
            <w:u w:val="none"/>
          </w:rPr>
          <w:t>CCSBT</w:t>
        </w:r>
        <w:proofErr w:type="spellEnd"/>
        <w:r w:rsidRPr="00DB13EC">
          <w:rPr>
            <w:rStyle w:val="Lienhypertexte"/>
            <w:rFonts w:ascii="Cambria" w:hAnsi="Cambria"/>
            <w:sz w:val="20"/>
            <w:szCs w:val="20"/>
            <w:u w:val="none"/>
          </w:rPr>
          <w:t xml:space="preserve"> et de l’ICCAT pour le transbordement en mer des grands palangriers thoniers (</w:t>
        </w:r>
        <w:proofErr w:type="spellStart"/>
        <w:r w:rsidRPr="00DB13EC">
          <w:rPr>
            <w:rStyle w:val="Lienhypertexte"/>
            <w:rFonts w:ascii="Cambria" w:hAnsi="Cambria"/>
            <w:sz w:val="20"/>
            <w:szCs w:val="20"/>
            <w:u w:val="none"/>
          </w:rPr>
          <w:t>LSTLV</w:t>
        </w:r>
        <w:proofErr w:type="spellEnd"/>
        <w:r w:rsidRPr="00DB13EC">
          <w:rPr>
            <w:rStyle w:val="Lienhypertexte"/>
            <w:rFonts w:ascii="Cambria" w:hAnsi="Cambria"/>
            <w:sz w:val="20"/>
            <w:szCs w:val="20"/>
            <w:u w:val="none"/>
          </w:rPr>
          <w:t>)</w:t>
        </w:r>
      </w:hyperlink>
      <w:r w:rsidRPr="00DB13EC">
        <w:rPr>
          <w:rFonts w:ascii="Cambria" w:hAnsi="Cambria"/>
          <w:color w:val="00000A"/>
          <w:sz w:val="20"/>
          <w:szCs w:val="20"/>
        </w:rPr>
        <w:t xml:space="preserve"> a été actualisé début 2025. </w:t>
      </w:r>
      <w:r w:rsidRPr="00DB13EC">
        <w:rPr>
          <w:rFonts w:ascii="Cambria" w:hAnsi="Cambria"/>
          <w:sz w:val="20"/>
          <w:szCs w:val="20"/>
        </w:rPr>
        <w:t>Le présent MOU s’applique aux transbordements en mer comportant du thon rouge du sud (</w:t>
      </w:r>
      <w:proofErr w:type="spellStart"/>
      <w:r w:rsidRPr="00DB13EC">
        <w:rPr>
          <w:rFonts w:ascii="Cambria" w:hAnsi="Cambria"/>
          <w:sz w:val="20"/>
          <w:szCs w:val="20"/>
        </w:rPr>
        <w:t>SBT</w:t>
      </w:r>
      <w:proofErr w:type="spellEnd"/>
      <w:r w:rsidRPr="00DB13EC">
        <w:rPr>
          <w:rFonts w:ascii="Cambria" w:hAnsi="Cambria"/>
          <w:sz w:val="20"/>
          <w:szCs w:val="20"/>
        </w:rPr>
        <w:t xml:space="preserve">) dans la zone de la Convention de l’ICCAT, réalisés par des </w:t>
      </w:r>
      <w:proofErr w:type="spellStart"/>
      <w:r w:rsidRPr="00DB13EC">
        <w:rPr>
          <w:rFonts w:ascii="Cambria" w:hAnsi="Cambria"/>
          <w:sz w:val="20"/>
          <w:szCs w:val="20"/>
        </w:rPr>
        <w:t>LSTLV</w:t>
      </w:r>
      <w:proofErr w:type="spellEnd"/>
      <w:r w:rsidRPr="00DB13EC">
        <w:rPr>
          <w:rFonts w:ascii="Cambria" w:hAnsi="Cambria"/>
          <w:sz w:val="20"/>
          <w:szCs w:val="20"/>
        </w:rPr>
        <w:t xml:space="preserve"> avec une capacité de congélation qui sont Membres/Parties contractantes (</w:t>
      </w:r>
      <w:proofErr w:type="spellStart"/>
      <w:r w:rsidRPr="00DB13EC">
        <w:rPr>
          <w:rFonts w:ascii="Cambria" w:hAnsi="Cambria"/>
          <w:sz w:val="20"/>
          <w:szCs w:val="20"/>
        </w:rPr>
        <w:t>CPC</w:t>
      </w:r>
      <w:proofErr w:type="spellEnd"/>
      <w:r w:rsidRPr="00DB13EC">
        <w:rPr>
          <w:rFonts w:ascii="Cambria" w:hAnsi="Cambria"/>
          <w:sz w:val="20"/>
          <w:szCs w:val="20"/>
        </w:rPr>
        <w:t>)</w:t>
      </w:r>
      <w:r w:rsidR="00CE672C" w:rsidRPr="00DB13EC">
        <w:rPr>
          <w:rStyle w:val="Appelnotedebasdep"/>
          <w:rFonts w:ascii="Cambria" w:eastAsiaTheme="majorEastAsia" w:hAnsi="Cambria"/>
          <w:sz w:val="20"/>
          <w:szCs w:val="20"/>
        </w:rPr>
        <w:footnoteReference w:id="1"/>
      </w:r>
      <w:r w:rsidRPr="00DB13EC">
        <w:rPr>
          <w:rFonts w:ascii="Cambria" w:hAnsi="Cambria"/>
          <w:sz w:val="20"/>
          <w:szCs w:val="20"/>
        </w:rPr>
        <w:t xml:space="preserve"> </w:t>
      </w:r>
      <w:r w:rsidRPr="00DB13EC">
        <w:rPr>
          <w:rFonts w:ascii="Cambria" w:hAnsi="Cambria"/>
          <w:i/>
          <w:sz w:val="20"/>
          <w:szCs w:val="20"/>
        </w:rPr>
        <w:t>tant</w:t>
      </w:r>
      <w:r w:rsidRPr="00DB13EC">
        <w:rPr>
          <w:rFonts w:ascii="Cambria" w:hAnsi="Cambria"/>
          <w:sz w:val="20"/>
          <w:szCs w:val="20"/>
        </w:rPr>
        <w:t xml:space="preserve"> de la </w:t>
      </w:r>
      <w:proofErr w:type="spellStart"/>
      <w:r w:rsidRPr="00DB13EC">
        <w:rPr>
          <w:rFonts w:ascii="Cambria" w:hAnsi="Cambria"/>
          <w:sz w:val="20"/>
          <w:szCs w:val="20"/>
        </w:rPr>
        <w:t>CCSBT</w:t>
      </w:r>
      <w:proofErr w:type="spellEnd"/>
      <w:r w:rsidRPr="00DB13EC">
        <w:rPr>
          <w:rFonts w:ascii="Cambria" w:hAnsi="Cambria"/>
          <w:sz w:val="20"/>
          <w:szCs w:val="20"/>
        </w:rPr>
        <w:t xml:space="preserve"> </w:t>
      </w:r>
      <w:r w:rsidRPr="00DB13EC">
        <w:rPr>
          <w:rFonts w:ascii="Cambria" w:hAnsi="Cambria"/>
          <w:i/>
          <w:sz w:val="20"/>
          <w:szCs w:val="20"/>
        </w:rPr>
        <w:t>que</w:t>
      </w:r>
      <w:r w:rsidRPr="00DB13EC">
        <w:rPr>
          <w:rFonts w:ascii="Cambria" w:hAnsi="Cambria"/>
          <w:sz w:val="20"/>
          <w:szCs w:val="20"/>
        </w:rPr>
        <w:t xml:space="preserve"> de l’ICCAT, et se limite en outre aux </w:t>
      </w:r>
      <w:proofErr w:type="spellStart"/>
      <w:r w:rsidRPr="00DB13EC">
        <w:rPr>
          <w:rFonts w:ascii="Cambria" w:hAnsi="Cambria"/>
          <w:sz w:val="20"/>
          <w:szCs w:val="20"/>
        </w:rPr>
        <w:t>CPC</w:t>
      </w:r>
      <w:proofErr w:type="spellEnd"/>
      <w:r w:rsidRPr="00DB13EC">
        <w:rPr>
          <w:rFonts w:ascii="Cambria" w:hAnsi="Cambria"/>
          <w:sz w:val="20"/>
          <w:szCs w:val="20"/>
        </w:rPr>
        <w:t xml:space="preserve"> qui participent au programme régional d'observateurs de la </w:t>
      </w:r>
      <w:proofErr w:type="spellStart"/>
      <w:r w:rsidRPr="00DB13EC">
        <w:rPr>
          <w:rFonts w:ascii="Cambria" w:hAnsi="Cambria"/>
          <w:sz w:val="20"/>
          <w:szCs w:val="20"/>
        </w:rPr>
        <w:t>CCSBT</w:t>
      </w:r>
      <w:proofErr w:type="spellEnd"/>
      <w:r w:rsidRPr="00DB13EC">
        <w:rPr>
          <w:rFonts w:ascii="Cambria" w:hAnsi="Cambria"/>
          <w:sz w:val="20"/>
          <w:szCs w:val="20"/>
        </w:rPr>
        <w:t xml:space="preserve"> et de l’ICCAT.</w:t>
      </w:r>
    </w:p>
    <w:p w14:paraId="7A0A1310" w14:textId="77777777" w:rsidR="00F0218B" w:rsidRPr="00DB13EC" w:rsidRDefault="00F0218B" w:rsidP="00E03A3E">
      <w:pPr>
        <w:tabs>
          <w:tab w:val="left" w:pos="851"/>
        </w:tabs>
        <w:spacing w:after="120"/>
        <w:contextualSpacing/>
        <w:jc w:val="both"/>
        <w:rPr>
          <w:rFonts w:ascii="Cambria" w:eastAsia="Calibri" w:hAnsi="Cambria"/>
          <w:color w:val="00000A"/>
          <w:sz w:val="20"/>
          <w:szCs w:val="20"/>
        </w:rPr>
      </w:pPr>
    </w:p>
    <w:p w14:paraId="7724180B" w14:textId="77777777" w:rsidR="0008370B" w:rsidRPr="00DB13EC" w:rsidRDefault="0008370B" w:rsidP="00E03A3E">
      <w:pPr>
        <w:tabs>
          <w:tab w:val="left" w:pos="851"/>
        </w:tabs>
        <w:spacing w:after="120"/>
        <w:contextualSpacing/>
        <w:jc w:val="both"/>
        <w:rPr>
          <w:rFonts w:ascii="Cambria" w:eastAsia="Calibri" w:hAnsi="Cambria"/>
          <w:color w:val="00000A"/>
          <w:sz w:val="20"/>
          <w:szCs w:val="20"/>
        </w:rPr>
      </w:pPr>
    </w:p>
    <w:p w14:paraId="1812E9EB" w14:textId="013DBBCD" w:rsidR="0008370B" w:rsidRPr="00DB13EC" w:rsidRDefault="006455A7" w:rsidP="00E03A3E">
      <w:pPr>
        <w:tabs>
          <w:tab w:val="left" w:pos="851"/>
        </w:tabs>
        <w:spacing w:after="120"/>
        <w:contextualSpacing/>
        <w:jc w:val="both"/>
        <w:rPr>
          <w:rFonts w:ascii="Cambria" w:hAnsi="Cambria"/>
          <w:b/>
          <w:sz w:val="20"/>
          <w:szCs w:val="20"/>
        </w:rPr>
      </w:pPr>
      <w:r w:rsidRPr="00DB13EC">
        <w:rPr>
          <w:rFonts w:ascii="Cambria" w:hAnsi="Cambria"/>
          <w:b/>
          <w:sz w:val="20"/>
          <w:szCs w:val="20"/>
        </w:rPr>
        <w:t>Commission générale des pêches pour la Méditerranée (</w:t>
      </w:r>
      <w:r w:rsidR="00090267" w:rsidRPr="00DB13EC">
        <w:rPr>
          <w:rFonts w:ascii="Cambria" w:hAnsi="Cambria"/>
          <w:b/>
          <w:sz w:val="20"/>
          <w:szCs w:val="20"/>
        </w:rPr>
        <w:t>CGPM</w:t>
      </w:r>
      <w:r w:rsidRPr="00DB13EC">
        <w:rPr>
          <w:rFonts w:ascii="Cambria" w:hAnsi="Cambria"/>
          <w:b/>
          <w:sz w:val="20"/>
          <w:szCs w:val="20"/>
        </w:rPr>
        <w:t>)</w:t>
      </w:r>
    </w:p>
    <w:p w14:paraId="1B187B45" w14:textId="77777777" w:rsidR="0008370B" w:rsidRPr="00DB13EC" w:rsidRDefault="0008370B" w:rsidP="00E03A3E">
      <w:pPr>
        <w:tabs>
          <w:tab w:val="left" w:pos="851"/>
        </w:tabs>
        <w:spacing w:after="120"/>
        <w:contextualSpacing/>
        <w:jc w:val="both"/>
        <w:rPr>
          <w:rFonts w:ascii="Cambria" w:eastAsia="Calibri" w:hAnsi="Cambria"/>
          <w:color w:val="00000A"/>
          <w:sz w:val="20"/>
          <w:szCs w:val="20"/>
        </w:rPr>
      </w:pPr>
    </w:p>
    <w:p w14:paraId="35F132A7" w14:textId="5BFEFA56" w:rsidR="0008370B" w:rsidRPr="00DB13EC" w:rsidRDefault="0008370B" w:rsidP="0008370B">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 xml:space="preserve">Dans le cadre de la lettre d'accord avec la </w:t>
      </w:r>
      <w:r w:rsidR="00090267" w:rsidRPr="00DB13EC">
        <w:rPr>
          <w:rFonts w:ascii="Cambria" w:hAnsi="Cambria"/>
          <w:bCs/>
          <w:sz w:val="20"/>
          <w:szCs w:val="20"/>
        </w:rPr>
        <w:t>CGPM</w:t>
      </w:r>
      <w:r w:rsidRPr="00DB13EC">
        <w:rPr>
          <w:rFonts w:ascii="Cambria" w:hAnsi="Cambria"/>
          <w:bCs/>
          <w:color w:val="00000A"/>
          <w:sz w:val="20"/>
          <w:szCs w:val="20"/>
        </w:rPr>
        <w:t xml:space="preserve">, la collaboration avec cette </w:t>
      </w:r>
      <w:proofErr w:type="spellStart"/>
      <w:r w:rsidRPr="00DB13EC">
        <w:rPr>
          <w:rFonts w:ascii="Cambria" w:hAnsi="Cambria"/>
          <w:bCs/>
          <w:color w:val="00000A"/>
          <w:sz w:val="20"/>
          <w:szCs w:val="20"/>
        </w:rPr>
        <w:t>ORGP</w:t>
      </w:r>
      <w:proofErr w:type="spellEnd"/>
      <w:r w:rsidRPr="00DB13EC">
        <w:rPr>
          <w:rFonts w:ascii="Cambria" w:hAnsi="Cambria"/>
          <w:bCs/>
          <w:color w:val="00000A"/>
          <w:sz w:val="20"/>
          <w:szCs w:val="20"/>
        </w:rPr>
        <w:t xml:space="preserve"> a continué à se développer et à se renforcer dans des domaines d'intérêt mutuel pour les deux organisations. En 2025, cette collaboration a principalement porté sur des questions d’application. Conformément aux demandes de leurs Commissions</w:t>
      </w:r>
      <w:r w:rsidR="008F418F" w:rsidRPr="00DB13EC">
        <w:rPr>
          <w:rFonts w:ascii="Cambria" w:hAnsi="Cambria"/>
          <w:bCs/>
          <w:color w:val="00000A"/>
          <w:sz w:val="20"/>
          <w:szCs w:val="20"/>
        </w:rPr>
        <w:t xml:space="preserve"> respectives</w:t>
      </w:r>
      <w:r w:rsidRPr="00DB13EC">
        <w:rPr>
          <w:rFonts w:ascii="Cambria" w:hAnsi="Cambria"/>
          <w:bCs/>
          <w:color w:val="00000A"/>
          <w:sz w:val="20"/>
          <w:szCs w:val="20"/>
        </w:rPr>
        <w:t xml:space="preserve">, le personnel des Secrétariats de la </w:t>
      </w:r>
      <w:r w:rsidR="00090267" w:rsidRPr="00DB13EC">
        <w:rPr>
          <w:rFonts w:ascii="Cambria" w:hAnsi="Cambria"/>
          <w:bCs/>
          <w:sz w:val="20"/>
          <w:szCs w:val="20"/>
        </w:rPr>
        <w:t>CGPM</w:t>
      </w:r>
      <w:r w:rsidRPr="00DB13EC">
        <w:rPr>
          <w:rFonts w:ascii="Cambria" w:hAnsi="Cambria"/>
          <w:color w:val="00000A"/>
          <w:sz w:val="20"/>
          <w:szCs w:val="20"/>
        </w:rPr>
        <w:t xml:space="preserve"> et de l’ICCAT ont tenu des réunions en ligne et en présentiel pour échanger des points de vue, soulever des questions et discuter d’une approche commune sur des questions d’application clés, telles que : le VMS ; </w:t>
      </w:r>
      <w:r w:rsidR="00E17548" w:rsidRPr="00DB13EC">
        <w:rPr>
          <w:rFonts w:ascii="Cambria" w:hAnsi="Cambria"/>
          <w:color w:val="00000A"/>
          <w:sz w:val="20"/>
          <w:szCs w:val="20"/>
        </w:rPr>
        <w:t>le p</w:t>
      </w:r>
      <w:r w:rsidRPr="00DB13EC">
        <w:rPr>
          <w:rFonts w:ascii="Cambria" w:hAnsi="Cambria"/>
          <w:color w:val="00000A"/>
          <w:sz w:val="20"/>
          <w:szCs w:val="20"/>
        </w:rPr>
        <w:t xml:space="preserve">rogramme conjoint d'inspection internationale ; la vérification croisée des listes des navires </w:t>
      </w:r>
      <w:proofErr w:type="spellStart"/>
      <w:r w:rsidRPr="00DB13EC">
        <w:rPr>
          <w:rFonts w:ascii="Cambria" w:hAnsi="Cambria"/>
          <w:color w:val="00000A"/>
          <w:sz w:val="20"/>
          <w:szCs w:val="20"/>
        </w:rPr>
        <w:t>IUU</w:t>
      </w:r>
      <w:proofErr w:type="spellEnd"/>
      <w:r w:rsidRPr="00DB13EC">
        <w:rPr>
          <w:rFonts w:ascii="Cambria" w:hAnsi="Cambria"/>
          <w:color w:val="00000A"/>
          <w:sz w:val="20"/>
          <w:szCs w:val="20"/>
        </w:rPr>
        <w:t xml:space="preserve"> ; et la procédure de révision de l’application des mesures de conservation et de gestion. Eu égard aux discussions prévues à la session annuelle de l’ICCAT, le Secrétariat de l’ICCAT est prêt à coopérer et à se coordonner avec le Secrétariat de la CGPM pour soutenir l’évaluation et l’impact de l’utilisation des filets dérivants en Méditerranée.</w:t>
      </w:r>
    </w:p>
    <w:p w14:paraId="43C211B5" w14:textId="77777777" w:rsidR="006D30B9" w:rsidRPr="00DB13EC" w:rsidRDefault="006D30B9" w:rsidP="0008370B">
      <w:pPr>
        <w:tabs>
          <w:tab w:val="left" w:pos="851"/>
        </w:tabs>
        <w:spacing w:after="120"/>
        <w:contextualSpacing/>
        <w:jc w:val="both"/>
        <w:rPr>
          <w:rFonts w:ascii="Cambria" w:eastAsia="Calibri" w:hAnsi="Cambria"/>
          <w:color w:val="00000A"/>
          <w:sz w:val="20"/>
          <w:szCs w:val="20"/>
        </w:rPr>
      </w:pPr>
    </w:p>
    <w:p w14:paraId="16A38B7D" w14:textId="77777777" w:rsidR="0036784C" w:rsidRPr="00DB13EC" w:rsidRDefault="0036784C" w:rsidP="0036784C">
      <w:pPr>
        <w:tabs>
          <w:tab w:val="left" w:pos="851"/>
        </w:tabs>
        <w:spacing w:after="120"/>
        <w:contextualSpacing/>
        <w:jc w:val="both"/>
        <w:rPr>
          <w:rFonts w:ascii="Cambria" w:eastAsia="Calibri" w:hAnsi="Cambria"/>
          <w:color w:val="00000A"/>
          <w:sz w:val="20"/>
          <w:szCs w:val="20"/>
        </w:rPr>
      </w:pPr>
    </w:p>
    <w:p w14:paraId="03731CEB" w14:textId="26AFDBA8" w:rsidR="00EC53D1" w:rsidRPr="00DB13EC" w:rsidRDefault="0036784C" w:rsidP="0036784C">
      <w:pPr>
        <w:tabs>
          <w:tab w:val="left" w:pos="851"/>
        </w:tabs>
        <w:spacing w:after="120"/>
        <w:contextualSpacing/>
        <w:jc w:val="both"/>
        <w:rPr>
          <w:rFonts w:ascii="Cambria" w:hAnsi="Cambria"/>
          <w:b/>
          <w:sz w:val="20"/>
          <w:szCs w:val="20"/>
        </w:rPr>
      </w:pPr>
      <w:r w:rsidRPr="00DB13EC">
        <w:rPr>
          <w:rFonts w:ascii="Cambria" w:hAnsi="Cambria"/>
          <w:b/>
          <w:sz w:val="20"/>
          <w:szCs w:val="20"/>
        </w:rPr>
        <w:t>Commission pour les pêcheries de l'Atlantique Nord-Est (NEAFC)</w:t>
      </w:r>
    </w:p>
    <w:p w14:paraId="1091E80B" w14:textId="77777777" w:rsidR="00F30015" w:rsidRPr="00DB13EC" w:rsidRDefault="00F30015" w:rsidP="00E03A3E">
      <w:pPr>
        <w:tabs>
          <w:tab w:val="left" w:pos="851"/>
        </w:tabs>
        <w:spacing w:after="120"/>
        <w:contextualSpacing/>
        <w:jc w:val="both"/>
        <w:rPr>
          <w:rFonts w:ascii="Cambria" w:eastAsia="Calibri" w:hAnsi="Cambria"/>
          <w:color w:val="00000A"/>
          <w:sz w:val="20"/>
          <w:szCs w:val="20"/>
        </w:rPr>
      </w:pPr>
    </w:p>
    <w:p w14:paraId="44CC53DE" w14:textId="12F538CF" w:rsidR="006D30B9" w:rsidRPr="00DB13EC" w:rsidRDefault="006D30B9" w:rsidP="006D30B9">
      <w:pPr>
        <w:tabs>
          <w:tab w:val="left" w:pos="851"/>
        </w:tabs>
        <w:spacing w:after="120"/>
        <w:contextualSpacing/>
        <w:jc w:val="both"/>
        <w:rPr>
          <w:rFonts w:ascii="Cambria" w:eastAsia="Calibri" w:hAnsi="Cambria"/>
          <w:color w:val="00000A"/>
          <w:sz w:val="20"/>
          <w:szCs w:val="20"/>
        </w:rPr>
      </w:pPr>
      <w:r w:rsidRPr="00DB13EC">
        <w:rPr>
          <w:rFonts w:ascii="Cambria" w:hAnsi="Cambria"/>
          <w:color w:val="00000A"/>
          <w:sz w:val="20"/>
          <w:szCs w:val="20"/>
        </w:rPr>
        <w:t>Faisant suite à des consultations réalisées par</w:t>
      </w:r>
      <w:r w:rsidR="007054D4" w:rsidRPr="00DB13EC">
        <w:rPr>
          <w:rFonts w:ascii="Cambria" w:hAnsi="Cambria"/>
          <w:color w:val="00000A"/>
          <w:sz w:val="20"/>
          <w:szCs w:val="20"/>
        </w:rPr>
        <w:t xml:space="preserve"> </w:t>
      </w:r>
      <w:r w:rsidRPr="00DB13EC">
        <w:rPr>
          <w:rFonts w:ascii="Cambria" w:hAnsi="Cambria"/>
          <w:color w:val="00000A"/>
          <w:sz w:val="20"/>
          <w:szCs w:val="20"/>
        </w:rPr>
        <w:t xml:space="preserve">la NEAFC sur des questions concernant les navires de pêche opérant dans les zones de chevauchement des deux organisations et leurs activités y afférentes, comme la déclaration et le transbordement des navires battant le pavillon de ses membres, l’ICCAT et la NEAFC ont tenu des réunions pour obtenir des éclaircissements. Les deux Secrétariats ont ensuite convenu qu’un cadre officiel couvrirait la coopération sur le partage de données et d’informations ainsi que, plus généralement, le suivi, contrôle et surveillance (MCS) connexe, l’échange d’expériences sur les développements techniques et leur mise en œuvre, tels que les systèmes de déclaration électronique (ERS), l’UN FLUX, les systèmes de surveillance des navires (VMS), et qu’il serait ouvert à toute autre question d’intérêt. </w:t>
      </w:r>
    </w:p>
    <w:p w14:paraId="2F642221" w14:textId="77777777" w:rsidR="006D30B9" w:rsidRPr="00DB13EC" w:rsidRDefault="006D30B9" w:rsidP="006D30B9">
      <w:pPr>
        <w:tabs>
          <w:tab w:val="left" w:pos="851"/>
        </w:tabs>
        <w:spacing w:after="120"/>
        <w:contextualSpacing/>
        <w:jc w:val="both"/>
        <w:rPr>
          <w:rFonts w:ascii="Cambria" w:eastAsia="Calibri" w:hAnsi="Cambria"/>
          <w:color w:val="00000A"/>
          <w:sz w:val="20"/>
          <w:szCs w:val="20"/>
        </w:rPr>
      </w:pPr>
    </w:p>
    <w:p w14:paraId="6DBA396C" w14:textId="5F26F73E" w:rsidR="006D30B9" w:rsidRPr="00DB13EC" w:rsidRDefault="006D30B9" w:rsidP="006D30B9">
      <w:pPr>
        <w:tabs>
          <w:tab w:val="left" w:pos="851"/>
        </w:tabs>
        <w:spacing w:after="120"/>
        <w:contextualSpacing/>
        <w:jc w:val="both"/>
        <w:rPr>
          <w:rFonts w:ascii="Cambria" w:hAnsi="Cambria"/>
          <w:color w:val="00000A"/>
          <w:sz w:val="20"/>
          <w:szCs w:val="20"/>
        </w:rPr>
      </w:pPr>
      <w:r w:rsidRPr="00DB13EC">
        <w:rPr>
          <w:rFonts w:ascii="Cambria" w:hAnsi="Cambria"/>
          <w:color w:val="00000A"/>
          <w:sz w:val="20"/>
          <w:szCs w:val="20"/>
        </w:rPr>
        <w:lastRenderedPageBreak/>
        <w:t>Le Secrétariat de l’ICCAT a reçu un projet initial de la NEAFC mais prépare actuellement un projet de document simplifié pour formaliser cet accord, qui sera communiqué au Secrétariat de la NEAFC pour examen et évaluation pendant la période intersessions 2026, avant de le transmettre à la Commission pour examen.</w:t>
      </w:r>
    </w:p>
    <w:p w14:paraId="6A0D760C" w14:textId="77777777" w:rsidR="004A35D0" w:rsidRPr="00DB13EC" w:rsidRDefault="004A35D0" w:rsidP="006D30B9">
      <w:pPr>
        <w:tabs>
          <w:tab w:val="left" w:pos="851"/>
        </w:tabs>
        <w:spacing w:after="120"/>
        <w:contextualSpacing/>
        <w:jc w:val="both"/>
        <w:rPr>
          <w:rFonts w:ascii="Cambria" w:eastAsia="Calibri" w:hAnsi="Cambria"/>
          <w:color w:val="00000A"/>
          <w:sz w:val="20"/>
          <w:szCs w:val="20"/>
        </w:rPr>
      </w:pPr>
    </w:p>
    <w:p w14:paraId="0295BD68" w14:textId="77777777" w:rsidR="00976388" w:rsidRPr="00DB13EC" w:rsidRDefault="00976388" w:rsidP="006D30B9">
      <w:pPr>
        <w:tabs>
          <w:tab w:val="left" w:pos="851"/>
        </w:tabs>
        <w:spacing w:after="120"/>
        <w:contextualSpacing/>
        <w:jc w:val="both"/>
        <w:rPr>
          <w:rFonts w:ascii="Cambria" w:eastAsia="Calibri" w:hAnsi="Cambria"/>
          <w:color w:val="00000A"/>
          <w:sz w:val="20"/>
          <w:szCs w:val="20"/>
        </w:rPr>
      </w:pPr>
    </w:p>
    <w:p w14:paraId="6E4A65DF" w14:textId="06732A2F" w:rsidR="0092394F" w:rsidRPr="00DB13EC" w:rsidRDefault="0063734D" w:rsidP="00E03A3E">
      <w:pPr>
        <w:tabs>
          <w:tab w:val="left" w:pos="851"/>
        </w:tabs>
        <w:spacing w:after="120"/>
        <w:contextualSpacing/>
        <w:jc w:val="both"/>
        <w:rPr>
          <w:rFonts w:ascii="Cambria" w:eastAsia="Calibri" w:hAnsi="Cambria"/>
          <w:b/>
          <w:bCs/>
          <w:color w:val="00000A"/>
          <w:sz w:val="20"/>
          <w:szCs w:val="20"/>
        </w:rPr>
      </w:pPr>
      <w:r w:rsidRPr="00DB13EC">
        <w:rPr>
          <w:rFonts w:ascii="Cambria" w:hAnsi="Cambria"/>
          <w:b/>
          <w:sz w:val="20"/>
          <w:szCs w:val="20"/>
        </w:rPr>
        <w:t xml:space="preserve">Dialogue mondial </w:t>
      </w:r>
      <w:r w:rsidRPr="00DB13EC">
        <w:rPr>
          <w:rFonts w:ascii="Cambria" w:hAnsi="Cambria"/>
          <w:b/>
          <w:sz w:val="20"/>
          <w:szCs w:val="20"/>
        </w:rPr>
        <w:t>de l’</w:t>
      </w:r>
      <w:r w:rsidR="0092394F" w:rsidRPr="00DB13EC">
        <w:rPr>
          <w:rFonts w:ascii="Cambria" w:hAnsi="Cambria"/>
          <w:b/>
          <w:sz w:val="20"/>
          <w:szCs w:val="20"/>
        </w:rPr>
        <w:t>Initiative pour un océan durable</w:t>
      </w:r>
      <w:r w:rsidR="008F418F" w:rsidRPr="00DB13EC">
        <w:rPr>
          <w:rFonts w:ascii="Cambria" w:hAnsi="Cambria"/>
          <w:b/>
          <w:sz w:val="20"/>
          <w:szCs w:val="20"/>
        </w:rPr>
        <w:t xml:space="preserve"> </w:t>
      </w:r>
      <w:r w:rsidR="0092394F" w:rsidRPr="00DB13EC">
        <w:rPr>
          <w:rFonts w:ascii="Cambria" w:hAnsi="Cambria"/>
          <w:b/>
          <w:sz w:val="20"/>
          <w:szCs w:val="20"/>
        </w:rPr>
        <w:t>(SOI)</w:t>
      </w:r>
    </w:p>
    <w:p w14:paraId="23AC6857" w14:textId="77777777" w:rsidR="0092394F" w:rsidRPr="00DB13EC" w:rsidRDefault="0092394F" w:rsidP="00214FDE">
      <w:pPr>
        <w:tabs>
          <w:tab w:val="left" w:pos="851"/>
        </w:tabs>
        <w:contextualSpacing/>
        <w:jc w:val="both"/>
        <w:rPr>
          <w:rFonts w:ascii="Cambria" w:eastAsia="Calibri" w:hAnsi="Cambria"/>
          <w:b/>
          <w:bCs/>
          <w:color w:val="00000A"/>
          <w:sz w:val="20"/>
          <w:szCs w:val="20"/>
        </w:rPr>
      </w:pPr>
    </w:p>
    <w:p w14:paraId="5F57798A" w14:textId="2ACB1E41" w:rsidR="000E3428" w:rsidRPr="00DB13EC" w:rsidRDefault="0066306B" w:rsidP="000E3428">
      <w:pPr>
        <w:pStyle w:val="Default"/>
        <w:jc w:val="both"/>
        <w:rPr>
          <w:rFonts w:ascii="Cambria" w:hAnsi="Cambria" w:cs="Times New Roman"/>
          <w:sz w:val="20"/>
          <w:szCs w:val="20"/>
        </w:rPr>
      </w:pPr>
      <w:r w:rsidRPr="00DB13EC">
        <w:rPr>
          <w:rFonts w:ascii="Cambria" w:hAnsi="Cambria"/>
          <w:sz w:val="20"/>
          <w:szCs w:val="20"/>
        </w:rPr>
        <w:t xml:space="preserve">La SOI a tenu un atelier intersessions en juin à Nice (France). Plusieurs actualisations régionales ont été réalisées sur des activités </w:t>
      </w:r>
      <w:r w:rsidR="00976388" w:rsidRPr="00DB13EC">
        <w:rPr>
          <w:rFonts w:ascii="Cambria" w:hAnsi="Cambria"/>
          <w:sz w:val="20"/>
          <w:szCs w:val="20"/>
        </w:rPr>
        <w:t>intersectorielles</w:t>
      </w:r>
      <w:r w:rsidR="00976388" w:rsidRPr="00DB13EC">
        <w:rPr>
          <w:rFonts w:ascii="Cambria" w:hAnsi="Cambria"/>
          <w:sz w:val="20"/>
          <w:szCs w:val="20"/>
        </w:rPr>
        <w:t xml:space="preserve"> </w:t>
      </w:r>
      <w:r w:rsidRPr="00DB13EC">
        <w:rPr>
          <w:rFonts w:ascii="Cambria" w:hAnsi="Cambria"/>
          <w:sz w:val="20"/>
          <w:szCs w:val="20"/>
        </w:rPr>
        <w:t xml:space="preserve">de coopération et de coordination régionales. Pour atteindre les objectifs de la SOI, qui visent essentiellement à encourager la coopération et la coordination entre les institutions opérant dans les mêmes zones maritimes, les organisations se sont mutuellement informées de leurs récents développements et activités de coopération. Leurs présentations, qui ont été suivies de celles sur le cadre mondial pour la biodiversité de Kunming-Montréal et l’Accord </w:t>
      </w:r>
      <w:proofErr w:type="spellStart"/>
      <w:r w:rsidRPr="00DB13EC">
        <w:rPr>
          <w:rFonts w:ascii="Cambria" w:hAnsi="Cambria"/>
          <w:sz w:val="20"/>
          <w:szCs w:val="20"/>
        </w:rPr>
        <w:t>BBNJ</w:t>
      </w:r>
      <w:proofErr w:type="spellEnd"/>
      <w:r w:rsidRPr="00DB13EC">
        <w:rPr>
          <w:rFonts w:ascii="Cambria" w:hAnsi="Cambria"/>
          <w:sz w:val="20"/>
          <w:szCs w:val="20"/>
        </w:rPr>
        <w:t xml:space="preserve">, ont donné lieu à des discussions qui ont mis en évidence la nécessité d’une meilleure coopération et coordination aux niveaux pertinents, compte tenu notamment de la mise en œuvre de ces instruments mondiaux. Les participants ont été vivement encouragés à poursuivre ces efforts et de porter le message au sein de leurs organisations. </w:t>
      </w:r>
    </w:p>
    <w:p w14:paraId="260526F0" w14:textId="77777777" w:rsidR="00CD134A" w:rsidRPr="00DB13EC" w:rsidRDefault="00CD134A" w:rsidP="000E3428">
      <w:pPr>
        <w:pStyle w:val="Default"/>
        <w:jc w:val="both"/>
        <w:rPr>
          <w:rFonts w:ascii="Cambria" w:hAnsi="Cambria" w:cs="Times New Roman"/>
          <w:sz w:val="20"/>
          <w:szCs w:val="20"/>
        </w:rPr>
      </w:pPr>
    </w:p>
    <w:p w14:paraId="39DE9433" w14:textId="36D24109" w:rsidR="000E3428" w:rsidRPr="00DB13EC" w:rsidRDefault="000E3428" w:rsidP="00214FDE">
      <w:pPr>
        <w:pStyle w:val="Default"/>
        <w:jc w:val="both"/>
        <w:rPr>
          <w:rFonts w:ascii="Cambria" w:hAnsi="Cambria"/>
          <w:sz w:val="20"/>
          <w:szCs w:val="20"/>
        </w:rPr>
      </w:pPr>
      <w:r w:rsidRPr="00DB13EC">
        <w:rPr>
          <w:rFonts w:ascii="Cambria" w:hAnsi="Cambria"/>
          <w:sz w:val="20"/>
          <w:szCs w:val="20"/>
        </w:rPr>
        <w:t>La 5e réunion d</w:t>
      </w:r>
      <w:r w:rsidR="00EB5726" w:rsidRPr="00DB13EC">
        <w:rPr>
          <w:rFonts w:ascii="Cambria" w:hAnsi="Cambria"/>
          <w:sz w:val="20"/>
          <w:szCs w:val="20"/>
        </w:rPr>
        <w:t>u</w:t>
      </w:r>
      <w:r w:rsidRPr="00DB13EC">
        <w:rPr>
          <w:rFonts w:ascii="Cambria" w:hAnsi="Cambria"/>
          <w:sz w:val="20"/>
          <w:szCs w:val="20"/>
        </w:rPr>
        <w:t xml:space="preserve"> </w:t>
      </w:r>
      <w:r w:rsidR="00EB5726" w:rsidRPr="00DB13EC">
        <w:rPr>
          <w:rFonts w:ascii="Cambria" w:hAnsi="Cambria"/>
          <w:sz w:val="20"/>
          <w:szCs w:val="20"/>
        </w:rPr>
        <w:t xml:space="preserve">Dialogue mondial </w:t>
      </w:r>
      <w:r w:rsidR="00EB5726" w:rsidRPr="00DB13EC">
        <w:rPr>
          <w:rFonts w:ascii="Cambria" w:hAnsi="Cambria"/>
          <w:sz w:val="20"/>
          <w:szCs w:val="20"/>
        </w:rPr>
        <w:t xml:space="preserve">de </w:t>
      </w:r>
      <w:r w:rsidRPr="00DB13EC">
        <w:rPr>
          <w:rFonts w:ascii="Cambria" w:hAnsi="Cambria"/>
          <w:sz w:val="20"/>
          <w:szCs w:val="20"/>
        </w:rPr>
        <w:t xml:space="preserve">la SOI doit se tenir en 2026 à Séoul, en Corée pendant 3-4 jours.    </w:t>
      </w:r>
    </w:p>
    <w:p w14:paraId="2F6C8CE4" w14:textId="77777777" w:rsidR="0037775D" w:rsidRPr="00DB13EC" w:rsidRDefault="0037775D" w:rsidP="00214FDE">
      <w:pPr>
        <w:pStyle w:val="Default"/>
        <w:jc w:val="both"/>
        <w:rPr>
          <w:rFonts w:ascii="Cambria" w:hAnsi="Cambria"/>
          <w:sz w:val="20"/>
          <w:szCs w:val="20"/>
        </w:rPr>
      </w:pPr>
    </w:p>
    <w:p w14:paraId="592E0D50" w14:textId="77777777" w:rsidR="008C013A" w:rsidRPr="00DB13EC" w:rsidRDefault="008C013A" w:rsidP="00214FDE">
      <w:pPr>
        <w:pStyle w:val="Default"/>
        <w:jc w:val="both"/>
        <w:rPr>
          <w:rFonts w:ascii="Cambria" w:hAnsi="Cambria"/>
          <w:sz w:val="20"/>
          <w:szCs w:val="20"/>
        </w:rPr>
      </w:pPr>
    </w:p>
    <w:p w14:paraId="679D3262" w14:textId="407C143F" w:rsidR="00E03A3E" w:rsidRPr="00DB13EC" w:rsidRDefault="00E03A3E" w:rsidP="00E03A3E">
      <w:pPr>
        <w:tabs>
          <w:tab w:val="left" w:pos="851"/>
        </w:tabs>
        <w:spacing w:after="120"/>
        <w:contextualSpacing/>
        <w:jc w:val="both"/>
        <w:rPr>
          <w:rFonts w:ascii="Cambria" w:eastAsia="Calibri" w:hAnsi="Cambria"/>
          <w:color w:val="00000A"/>
          <w:sz w:val="20"/>
          <w:szCs w:val="20"/>
        </w:rPr>
      </w:pPr>
      <w:r w:rsidRPr="00DB13EC">
        <w:rPr>
          <w:rFonts w:ascii="Cambria" w:hAnsi="Cambria"/>
          <w:b/>
          <w:bCs/>
          <w:color w:val="00000A"/>
          <w:sz w:val="20"/>
          <w:szCs w:val="20"/>
        </w:rPr>
        <w:t>Biodiversité au-delà des juridictions nationales (</w:t>
      </w:r>
      <w:proofErr w:type="spellStart"/>
      <w:r w:rsidRPr="00DB13EC">
        <w:rPr>
          <w:rFonts w:ascii="Cambria" w:hAnsi="Cambria"/>
          <w:b/>
          <w:bCs/>
          <w:color w:val="00000A"/>
          <w:sz w:val="20"/>
          <w:szCs w:val="20"/>
        </w:rPr>
        <w:t>BBNJ</w:t>
      </w:r>
      <w:proofErr w:type="spellEnd"/>
      <w:r w:rsidRPr="00DB13EC">
        <w:rPr>
          <w:rFonts w:ascii="Cambria" w:hAnsi="Cambria"/>
          <w:b/>
          <w:bCs/>
          <w:color w:val="00000A"/>
          <w:sz w:val="20"/>
          <w:szCs w:val="20"/>
        </w:rPr>
        <w:t>)</w:t>
      </w:r>
    </w:p>
    <w:p w14:paraId="14A2CE31" w14:textId="77777777" w:rsidR="00E03A3E" w:rsidRPr="00DB13EC" w:rsidRDefault="00E03A3E" w:rsidP="00E03A3E">
      <w:pPr>
        <w:jc w:val="both"/>
        <w:rPr>
          <w:rFonts w:ascii="Cambria" w:hAnsi="Cambria"/>
          <w:color w:val="00000A"/>
          <w:sz w:val="20"/>
          <w:szCs w:val="20"/>
        </w:rPr>
      </w:pPr>
    </w:p>
    <w:p w14:paraId="72709CE6" w14:textId="4099D30A" w:rsidR="00957CA6" w:rsidRPr="00DB13EC" w:rsidRDefault="00E03A3E" w:rsidP="00E03A3E">
      <w:pPr>
        <w:jc w:val="both"/>
        <w:rPr>
          <w:rFonts w:ascii="Cambria" w:hAnsi="Cambria"/>
          <w:color w:val="00000A"/>
          <w:sz w:val="20"/>
          <w:szCs w:val="20"/>
        </w:rPr>
      </w:pPr>
      <w:r w:rsidRPr="00DB13EC">
        <w:rPr>
          <w:rFonts w:ascii="Cambria" w:hAnsi="Cambria"/>
          <w:sz w:val="20"/>
          <w:szCs w:val="20"/>
        </w:rPr>
        <w:t xml:space="preserve">Le Secrétaire exécutif a participé à la </w:t>
      </w:r>
      <w:hyperlink r:id="rId25" w:history="1">
        <w:r w:rsidRPr="00DB13EC">
          <w:rPr>
            <w:rStyle w:val="Lienhypertexte"/>
            <w:rFonts w:ascii="Cambria" w:hAnsi="Cambria"/>
            <w:sz w:val="20"/>
            <w:szCs w:val="20"/>
            <w:u w:val="none"/>
          </w:rPr>
          <w:t xml:space="preserve">deuxième session de la Commission préparatoire de l'Accord </w:t>
        </w:r>
        <w:proofErr w:type="spellStart"/>
        <w:r w:rsidRPr="00DB13EC">
          <w:rPr>
            <w:rStyle w:val="Lienhypertexte"/>
            <w:rFonts w:ascii="Cambria" w:hAnsi="Cambria"/>
            <w:sz w:val="20"/>
            <w:szCs w:val="20"/>
            <w:u w:val="none"/>
          </w:rPr>
          <w:t>BBNJ</w:t>
        </w:r>
        <w:proofErr w:type="spellEnd"/>
      </w:hyperlink>
      <w:r w:rsidRPr="00DB13EC">
        <w:rPr>
          <w:rFonts w:ascii="Cambria" w:hAnsi="Cambria"/>
          <w:sz w:val="20"/>
          <w:szCs w:val="20"/>
        </w:rPr>
        <w:t xml:space="preserve"> (en </w:t>
      </w:r>
      <w:r w:rsidR="008F418F" w:rsidRPr="00DB13EC">
        <w:rPr>
          <w:rFonts w:ascii="Cambria" w:hAnsi="Cambria"/>
          <w:sz w:val="20"/>
          <w:szCs w:val="20"/>
        </w:rPr>
        <w:t>présentiel</w:t>
      </w:r>
      <w:r w:rsidR="008F418F" w:rsidRPr="00DB13EC">
        <w:rPr>
          <w:rFonts w:ascii="Cambria" w:hAnsi="Cambria"/>
          <w:sz w:val="20"/>
          <w:szCs w:val="20"/>
        </w:rPr>
        <w:t xml:space="preserve"> </w:t>
      </w:r>
      <w:r w:rsidRPr="00DB13EC">
        <w:rPr>
          <w:rFonts w:ascii="Cambria" w:hAnsi="Cambria"/>
          <w:sz w:val="20"/>
          <w:szCs w:val="20"/>
        </w:rPr>
        <w:t>/New York (États-Unis), 18-29 août 2025).</w:t>
      </w:r>
      <w:r w:rsidRPr="00DB13EC">
        <w:rPr>
          <w:rFonts w:ascii="Cambria" w:hAnsi="Cambria"/>
          <w:color w:val="00000A"/>
          <w:sz w:val="20"/>
          <w:szCs w:val="20"/>
        </w:rPr>
        <w:t xml:space="preserve"> La Commission préparatoire a poursuivi ses travaux sur la révision des textes fondamentaux régissant le fonctionnement des divers organes subsidiaires d</w:t>
      </w:r>
      <w:r w:rsidR="006823F5" w:rsidRPr="00DB13EC">
        <w:rPr>
          <w:rFonts w:ascii="Cambria" w:hAnsi="Cambria"/>
          <w:color w:val="00000A"/>
          <w:sz w:val="20"/>
          <w:szCs w:val="20"/>
        </w:rPr>
        <w:t>e l’Accord</w:t>
      </w:r>
      <w:r w:rsidRPr="00DB13EC">
        <w:rPr>
          <w:rFonts w:ascii="Cambria" w:hAnsi="Cambria"/>
          <w:color w:val="00000A"/>
          <w:sz w:val="20"/>
          <w:szCs w:val="20"/>
        </w:rPr>
        <w:t xml:space="preserve"> </w:t>
      </w:r>
      <w:proofErr w:type="spellStart"/>
      <w:r w:rsidRPr="00DB13EC">
        <w:rPr>
          <w:rFonts w:ascii="Cambria" w:hAnsi="Cambria"/>
          <w:color w:val="00000A"/>
          <w:sz w:val="20"/>
          <w:szCs w:val="20"/>
        </w:rPr>
        <w:t>BBNJ</w:t>
      </w:r>
      <w:proofErr w:type="spellEnd"/>
      <w:r w:rsidRPr="00DB13EC">
        <w:rPr>
          <w:rFonts w:ascii="Cambria" w:hAnsi="Cambria"/>
          <w:color w:val="00000A"/>
          <w:sz w:val="20"/>
          <w:szCs w:val="20"/>
        </w:rPr>
        <w:t xml:space="preserve"> mais n’est pas parvenue à leur conclusion. Les co-présidents ont proposé de préparer des versions révisées des documents discutés et un processus intersessions qui permettra aux délégations de contribuer aux ajustements nécessaires des documents et à faire avancer les discussions avant la troisième session de la Commission préparatoire qui se tiendra du 23 mars au 2 avril 2026. Ils ont également indiqué que l’objectif est d’arriver à la première réunion de la Conférence des Parties avec les textes finalisés. Étant donné que le nombre de Parties à l’accord </w:t>
      </w:r>
      <w:proofErr w:type="spellStart"/>
      <w:r w:rsidRPr="00DB13EC">
        <w:rPr>
          <w:rFonts w:ascii="Cambria" w:hAnsi="Cambria"/>
          <w:color w:val="00000A"/>
          <w:sz w:val="20"/>
          <w:szCs w:val="20"/>
        </w:rPr>
        <w:t>BBNJ</w:t>
      </w:r>
      <w:proofErr w:type="spellEnd"/>
      <w:r w:rsidRPr="00DB13EC">
        <w:rPr>
          <w:rFonts w:ascii="Cambria" w:hAnsi="Cambria"/>
          <w:color w:val="00000A"/>
          <w:sz w:val="20"/>
          <w:szCs w:val="20"/>
        </w:rPr>
        <w:t xml:space="preserve"> est désormais de plus de 60, l’instrument entrera en vigueur le 17 janvier 2026. </w:t>
      </w:r>
      <w:r w:rsidRPr="00DB13EC">
        <w:rPr>
          <w:rFonts w:ascii="Cambria" w:hAnsi="Cambria"/>
          <w:sz w:val="20"/>
          <w:szCs w:val="20"/>
        </w:rPr>
        <w:t xml:space="preserve">Au cours des discussions sur la </w:t>
      </w:r>
      <w:r w:rsidRPr="00DB13EC">
        <w:rPr>
          <w:rFonts w:ascii="Cambria" w:hAnsi="Cambria"/>
          <w:color w:val="00000A"/>
          <w:sz w:val="20"/>
          <w:szCs w:val="20"/>
        </w:rPr>
        <w:t>coopération avec des cadres et instruments internationaux existants, l’ICCAT a présenté une « </w:t>
      </w:r>
      <w:hyperlink r:id="rId26" w:history="1">
        <w:r w:rsidRPr="00DB13EC">
          <w:rPr>
            <w:rStyle w:val="Lienhypertexte"/>
            <w:rFonts w:ascii="Cambria" w:hAnsi="Cambria"/>
            <w:sz w:val="20"/>
            <w:szCs w:val="20"/>
            <w:u w:val="none"/>
          </w:rPr>
          <w:t xml:space="preserve">Déclaration conjointe des cinq Secrétariats des </w:t>
        </w:r>
        <w:proofErr w:type="spellStart"/>
        <w:r w:rsidRPr="00DB13EC">
          <w:rPr>
            <w:rStyle w:val="Lienhypertexte"/>
            <w:rFonts w:ascii="Cambria" w:hAnsi="Cambria"/>
            <w:sz w:val="20"/>
            <w:szCs w:val="20"/>
            <w:u w:val="none"/>
          </w:rPr>
          <w:t>ORGP</w:t>
        </w:r>
        <w:proofErr w:type="spellEnd"/>
      </w:hyperlink>
      <w:r w:rsidR="00976388" w:rsidRPr="00DB13EC">
        <w:rPr>
          <w:rFonts w:ascii="Cambria" w:hAnsi="Cambria"/>
          <w:color w:val="00000A"/>
          <w:sz w:val="20"/>
          <w:szCs w:val="20"/>
        </w:rPr>
        <w:t> »</w:t>
      </w:r>
      <w:r w:rsidRPr="00DB13EC">
        <w:rPr>
          <w:rFonts w:ascii="Cambria" w:hAnsi="Cambria"/>
          <w:color w:val="00000A"/>
          <w:sz w:val="20"/>
          <w:szCs w:val="20"/>
        </w:rPr>
        <w:t xml:space="preserve">, rappelant leurs mandats et les travaux qu’elles réalisent, tout en appelant à une coopération efficace. </w:t>
      </w:r>
    </w:p>
    <w:p w14:paraId="54ED313E" w14:textId="77777777" w:rsidR="00CD134A" w:rsidRPr="00DB13EC" w:rsidRDefault="00CD134A" w:rsidP="00E03A3E">
      <w:pPr>
        <w:jc w:val="both"/>
        <w:rPr>
          <w:rFonts w:ascii="Cambria" w:hAnsi="Cambria"/>
          <w:color w:val="00000A"/>
          <w:sz w:val="20"/>
          <w:szCs w:val="20"/>
        </w:rPr>
      </w:pPr>
    </w:p>
    <w:p w14:paraId="44CCF98E" w14:textId="2CED9DD7" w:rsidR="00E03A3E" w:rsidRPr="00DB13EC" w:rsidRDefault="00957CA6" w:rsidP="00E03A3E">
      <w:pPr>
        <w:jc w:val="both"/>
        <w:rPr>
          <w:rFonts w:ascii="Cambria" w:hAnsi="Cambria"/>
          <w:color w:val="00000A"/>
          <w:sz w:val="20"/>
          <w:szCs w:val="20"/>
        </w:rPr>
      </w:pPr>
      <w:r w:rsidRPr="00DB13EC">
        <w:rPr>
          <w:rFonts w:ascii="Cambria" w:hAnsi="Cambria"/>
          <w:color w:val="00000A"/>
          <w:sz w:val="20"/>
          <w:szCs w:val="20"/>
        </w:rPr>
        <w:t xml:space="preserve">Il est de nouveau important d’appeler à une plus grande participation des experts des pêches des </w:t>
      </w:r>
      <w:proofErr w:type="spellStart"/>
      <w:r w:rsidRPr="00DB13EC">
        <w:rPr>
          <w:rFonts w:ascii="Cambria" w:hAnsi="Cambria"/>
          <w:color w:val="00000A"/>
          <w:sz w:val="20"/>
          <w:szCs w:val="20"/>
        </w:rPr>
        <w:t>CPC</w:t>
      </w:r>
      <w:proofErr w:type="spellEnd"/>
      <w:r w:rsidRPr="00DB13EC">
        <w:rPr>
          <w:rFonts w:ascii="Cambria" w:hAnsi="Cambria"/>
          <w:color w:val="00000A"/>
          <w:sz w:val="20"/>
          <w:szCs w:val="20"/>
        </w:rPr>
        <w:t xml:space="preserve"> afin de défendre, notamment à ce stade du processus, une représentation adéquate des compétences halieutiques au sein des organes pertinents de l’Accord.  </w:t>
      </w:r>
    </w:p>
    <w:p w14:paraId="2E6CAC99" w14:textId="77777777" w:rsidR="002031E0" w:rsidRPr="00DB13EC" w:rsidRDefault="002031E0" w:rsidP="00F475A0">
      <w:pPr>
        <w:jc w:val="both"/>
        <w:rPr>
          <w:rFonts w:ascii="Cambria" w:hAnsi="Cambria"/>
          <w:color w:val="00000A"/>
          <w:sz w:val="20"/>
          <w:szCs w:val="20"/>
        </w:rPr>
      </w:pPr>
    </w:p>
    <w:p w14:paraId="59F40B83" w14:textId="77777777" w:rsidR="008C013A" w:rsidRPr="00DB13EC" w:rsidRDefault="008C013A" w:rsidP="00F475A0">
      <w:pPr>
        <w:jc w:val="both"/>
        <w:rPr>
          <w:rFonts w:ascii="Cambria" w:hAnsi="Cambria"/>
          <w:color w:val="00000A"/>
          <w:sz w:val="20"/>
          <w:szCs w:val="20"/>
        </w:rPr>
      </w:pPr>
    </w:p>
    <w:p w14:paraId="12FD2DE5" w14:textId="4E0EF823" w:rsidR="00FB70EF" w:rsidRPr="00DB13EC" w:rsidRDefault="000A3341" w:rsidP="00214FDE">
      <w:pPr>
        <w:jc w:val="both"/>
        <w:rPr>
          <w:rFonts w:ascii="Cambria" w:hAnsi="Cambria"/>
          <w:b/>
          <w:bCs/>
          <w:color w:val="00000A"/>
          <w:sz w:val="20"/>
          <w:szCs w:val="20"/>
        </w:rPr>
      </w:pPr>
      <w:r w:rsidRPr="00DB13EC">
        <w:rPr>
          <w:rFonts w:ascii="Cambria" w:hAnsi="Cambria"/>
          <w:b/>
          <w:bCs/>
          <w:color w:val="00000A"/>
          <w:sz w:val="20"/>
          <w:szCs w:val="20"/>
        </w:rPr>
        <w:t>Atelier mondial sur l'évaluation de la stratégie de gestion (</w:t>
      </w:r>
      <w:proofErr w:type="spellStart"/>
      <w:r w:rsidRPr="00DB13EC">
        <w:rPr>
          <w:rFonts w:ascii="Cambria" w:hAnsi="Cambria"/>
          <w:b/>
          <w:bCs/>
          <w:color w:val="00000A"/>
          <w:sz w:val="20"/>
          <w:szCs w:val="20"/>
        </w:rPr>
        <w:t>MSE</w:t>
      </w:r>
      <w:proofErr w:type="spellEnd"/>
      <w:r w:rsidRPr="00DB13EC">
        <w:rPr>
          <w:rFonts w:ascii="Cambria" w:hAnsi="Cambria"/>
          <w:b/>
          <w:bCs/>
          <w:color w:val="00000A"/>
          <w:sz w:val="20"/>
          <w:szCs w:val="20"/>
        </w:rPr>
        <w:t>) pour le requin peau bleue</w:t>
      </w:r>
    </w:p>
    <w:p w14:paraId="160C335D" w14:textId="77777777" w:rsidR="00225DD0" w:rsidRPr="00DB13EC" w:rsidRDefault="00225DD0" w:rsidP="00214FDE">
      <w:pPr>
        <w:jc w:val="both"/>
        <w:rPr>
          <w:rFonts w:ascii="Cambria" w:hAnsi="Cambria"/>
          <w:sz w:val="20"/>
          <w:szCs w:val="20"/>
        </w:rPr>
      </w:pPr>
    </w:p>
    <w:p w14:paraId="072C481B" w14:textId="30A1CF96" w:rsidR="000A3341" w:rsidRPr="00DB13EC" w:rsidRDefault="00374501" w:rsidP="00214FDE">
      <w:pPr>
        <w:jc w:val="both"/>
        <w:rPr>
          <w:rFonts w:ascii="Cambria" w:hAnsi="Cambria"/>
          <w:sz w:val="20"/>
          <w:szCs w:val="20"/>
        </w:rPr>
      </w:pPr>
      <w:r w:rsidRPr="00DB13EC">
        <w:rPr>
          <w:rFonts w:ascii="Cambria" w:hAnsi="Cambria"/>
          <w:sz w:val="20"/>
          <w:szCs w:val="20"/>
        </w:rPr>
        <w:t>L'atelier mondial sur l'évaluation de la stratégie de gestion (</w:t>
      </w:r>
      <w:proofErr w:type="spellStart"/>
      <w:r w:rsidRPr="00DB13EC">
        <w:rPr>
          <w:rFonts w:ascii="Cambria" w:hAnsi="Cambria"/>
          <w:sz w:val="20"/>
          <w:szCs w:val="20"/>
        </w:rPr>
        <w:t>MSE</w:t>
      </w:r>
      <w:proofErr w:type="spellEnd"/>
      <w:r w:rsidRPr="00DB13EC">
        <w:rPr>
          <w:rFonts w:ascii="Cambria" w:hAnsi="Cambria"/>
          <w:sz w:val="20"/>
          <w:szCs w:val="20"/>
        </w:rPr>
        <w:t xml:space="preserve">) pour le requin peau bleue s'est tenu à Rome (Italie) du 14 au 16 octobre 2025, organisé par The </w:t>
      </w:r>
      <w:proofErr w:type="spellStart"/>
      <w:r w:rsidRPr="00DB13EC">
        <w:rPr>
          <w:rFonts w:ascii="Cambria" w:hAnsi="Cambria"/>
          <w:sz w:val="20"/>
          <w:szCs w:val="20"/>
        </w:rPr>
        <w:t>Ocean</w:t>
      </w:r>
      <w:proofErr w:type="spellEnd"/>
      <w:r w:rsidRPr="00DB13EC">
        <w:rPr>
          <w:rFonts w:ascii="Cambria" w:hAnsi="Cambria"/>
          <w:sz w:val="20"/>
          <w:szCs w:val="20"/>
        </w:rPr>
        <w:t xml:space="preserve"> </w:t>
      </w:r>
      <w:proofErr w:type="spellStart"/>
      <w:r w:rsidRPr="00DB13EC">
        <w:rPr>
          <w:rFonts w:ascii="Cambria" w:hAnsi="Cambria"/>
          <w:sz w:val="20"/>
          <w:szCs w:val="20"/>
        </w:rPr>
        <w:t>Foundation</w:t>
      </w:r>
      <w:proofErr w:type="spellEnd"/>
      <w:r w:rsidRPr="00DB13EC">
        <w:rPr>
          <w:rFonts w:ascii="Cambria" w:hAnsi="Cambria"/>
          <w:sz w:val="20"/>
          <w:szCs w:val="20"/>
        </w:rPr>
        <w:t xml:space="preserve"> et The Pew Charitable Trusts avec le soutien d'</w:t>
      </w:r>
      <w:proofErr w:type="spellStart"/>
      <w:r w:rsidRPr="00DB13EC">
        <w:rPr>
          <w:rFonts w:ascii="Cambria" w:hAnsi="Cambria"/>
          <w:sz w:val="20"/>
          <w:szCs w:val="20"/>
        </w:rPr>
        <w:t>Oceankind</w:t>
      </w:r>
      <w:proofErr w:type="spellEnd"/>
      <w:r w:rsidRPr="00DB13EC">
        <w:rPr>
          <w:rFonts w:ascii="Cambria" w:hAnsi="Cambria"/>
          <w:sz w:val="20"/>
          <w:szCs w:val="20"/>
        </w:rPr>
        <w:t xml:space="preserve">, de la Paul M. </w:t>
      </w:r>
      <w:proofErr w:type="spellStart"/>
      <w:r w:rsidRPr="00DB13EC">
        <w:rPr>
          <w:rFonts w:ascii="Cambria" w:hAnsi="Cambria"/>
          <w:sz w:val="20"/>
          <w:szCs w:val="20"/>
        </w:rPr>
        <w:t>Angell</w:t>
      </w:r>
      <w:proofErr w:type="spellEnd"/>
      <w:r w:rsidRPr="00DB13EC">
        <w:rPr>
          <w:rFonts w:ascii="Cambria" w:hAnsi="Cambria"/>
          <w:sz w:val="20"/>
          <w:szCs w:val="20"/>
        </w:rPr>
        <w:t xml:space="preserve"> Family </w:t>
      </w:r>
      <w:proofErr w:type="spellStart"/>
      <w:r w:rsidRPr="00DB13EC">
        <w:rPr>
          <w:rFonts w:ascii="Cambria" w:hAnsi="Cambria"/>
          <w:sz w:val="20"/>
          <w:szCs w:val="20"/>
        </w:rPr>
        <w:t>Foundation</w:t>
      </w:r>
      <w:proofErr w:type="spellEnd"/>
      <w:r w:rsidRPr="00DB13EC">
        <w:rPr>
          <w:rFonts w:ascii="Cambria" w:hAnsi="Cambria"/>
          <w:sz w:val="20"/>
          <w:szCs w:val="20"/>
        </w:rPr>
        <w:t xml:space="preserve"> et du Programme des océans communs de la FAO. La réunion a rassemblé des scientifiques des cinq </w:t>
      </w:r>
      <w:proofErr w:type="spellStart"/>
      <w:r w:rsidRPr="00DB13EC">
        <w:rPr>
          <w:rFonts w:ascii="Cambria" w:hAnsi="Cambria"/>
          <w:sz w:val="20"/>
          <w:szCs w:val="20"/>
        </w:rPr>
        <w:t>ORGP</w:t>
      </w:r>
      <w:proofErr w:type="spellEnd"/>
      <w:r w:rsidRPr="00DB13EC">
        <w:rPr>
          <w:rFonts w:ascii="Cambria" w:hAnsi="Cambria"/>
          <w:sz w:val="20"/>
          <w:szCs w:val="20"/>
        </w:rPr>
        <w:t xml:space="preserve"> thonières afin de faire progresser les approches harmonisées de la </w:t>
      </w:r>
      <w:proofErr w:type="spellStart"/>
      <w:r w:rsidRPr="00DB13EC">
        <w:rPr>
          <w:rFonts w:ascii="Cambria" w:hAnsi="Cambria"/>
          <w:sz w:val="20"/>
          <w:szCs w:val="20"/>
        </w:rPr>
        <w:t>MSE</w:t>
      </w:r>
      <w:proofErr w:type="spellEnd"/>
      <w:r w:rsidRPr="00DB13EC">
        <w:rPr>
          <w:rFonts w:ascii="Cambria" w:hAnsi="Cambria"/>
          <w:sz w:val="20"/>
          <w:szCs w:val="20"/>
        </w:rPr>
        <w:t xml:space="preserve"> pour le requin peau bleue (</w:t>
      </w:r>
      <w:proofErr w:type="spellStart"/>
      <w:r w:rsidRPr="00DB13EC">
        <w:rPr>
          <w:rFonts w:ascii="Cambria" w:hAnsi="Cambria"/>
          <w:i/>
          <w:iCs/>
          <w:sz w:val="20"/>
          <w:szCs w:val="20"/>
        </w:rPr>
        <w:t>Prionace</w:t>
      </w:r>
      <w:proofErr w:type="spellEnd"/>
      <w:r w:rsidRPr="00DB13EC">
        <w:rPr>
          <w:rFonts w:ascii="Cambria" w:hAnsi="Cambria"/>
          <w:i/>
          <w:iCs/>
          <w:sz w:val="20"/>
          <w:szCs w:val="20"/>
        </w:rPr>
        <w:t xml:space="preserve"> </w:t>
      </w:r>
      <w:proofErr w:type="spellStart"/>
      <w:r w:rsidRPr="00DB13EC">
        <w:rPr>
          <w:rFonts w:ascii="Cambria" w:hAnsi="Cambria"/>
          <w:i/>
          <w:iCs/>
          <w:sz w:val="20"/>
          <w:szCs w:val="20"/>
        </w:rPr>
        <w:t>glauca</w:t>
      </w:r>
      <w:proofErr w:type="spellEnd"/>
      <w:r w:rsidRPr="00DB13EC">
        <w:rPr>
          <w:rFonts w:ascii="Cambria" w:hAnsi="Cambria"/>
          <w:sz w:val="20"/>
          <w:szCs w:val="20"/>
        </w:rPr>
        <w:t xml:space="preserve">). Les participants ont passé en revue les progrès régionaux de la science sur le requin peau bleue, ont clarifié les concepts de </w:t>
      </w:r>
      <w:proofErr w:type="spellStart"/>
      <w:r w:rsidRPr="00DB13EC">
        <w:rPr>
          <w:rFonts w:ascii="Cambria" w:hAnsi="Cambria"/>
          <w:sz w:val="20"/>
          <w:szCs w:val="20"/>
        </w:rPr>
        <w:t>MSE</w:t>
      </w:r>
      <w:proofErr w:type="spellEnd"/>
      <w:r w:rsidRPr="00DB13EC">
        <w:rPr>
          <w:rFonts w:ascii="Cambria" w:hAnsi="Cambria"/>
          <w:sz w:val="20"/>
          <w:szCs w:val="20"/>
        </w:rPr>
        <w:t xml:space="preserve"> et ont effectué des formations pratiques et des analyses à l'aide de la plateforme </w:t>
      </w:r>
      <w:proofErr w:type="spellStart"/>
      <w:r w:rsidRPr="00DB13EC">
        <w:rPr>
          <w:rFonts w:ascii="Cambria" w:hAnsi="Cambria"/>
          <w:sz w:val="20"/>
          <w:szCs w:val="20"/>
        </w:rPr>
        <w:t>openMSE</w:t>
      </w:r>
      <w:proofErr w:type="spellEnd"/>
      <w:r w:rsidRPr="00DB13EC">
        <w:rPr>
          <w:rFonts w:ascii="Cambria" w:hAnsi="Cambria"/>
          <w:sz w:val="20"/>
          <w:szCs w:val="20"/>
        </w:rPr>
        <w:t xml:space="preserve">. Les sessions techniques se sont concentrées sur le conditionnement du modèle opérationnel, les objectifs de gestion et les mesures de performance, tandis que les discussions ont mis l'accent sur la transparence et la reproductibilité. Les analyses effectuées lors de l'atelier pourraient être élargies à l'avenir. </w:t>
      </w:r>
    </w:p>
    <w:p w14:paraId="47A79675" w14:textId="77777777" w:rsidR="00D50F8C" w:rsidRPr="00DB13EC" w:rsidRDefault="00D50F8C" w:rsidP="00F475A0">
      <w:pPr>
        <w:jc w:val="both"/>
        <w:rPr>
          <w:rFonts w:ascii="Cambria" w:hAnsi="Cambria"/>
          <w:sz w:val="20"/>
          <w:szCs w:val="20"/>
        </w:rPr>
      </w:pPr>
    </w:p>
    <w:p w14:paraId="4C34E51F" w14:textId="37988754" w:rsidR="00D70C26" w:rsidRPr="00DB13EC" w:rsidRDefault="00D70C26">
      <w:pPr>
        <w:spacing w:after="160" w:line="278" w:lineRule="auto"/>
        <w:rPr>
          <w:rFonts w:ascii="Cambria" w:hAnsi="Cambria"/>
          <w:sz w:val="20"/>
          <w:szCs w:val="20"/>
        </w:rPr>
      </w:pPr>
      <w:r w:rsidRPr="00DB13EC">
        <w:rPr>
          <w:rFonts w:ascii="Cambria" w:hAnsi="Cambria"/>
          <w:sz w:val="20"/>
          <w:szCs w:val="20"/>
        </w:rPr>
        <w:br w:type="page"/>
      </w:r>
    </w:p>
    <w:p w14:paraId="718C752C" w14:textId="77777777" w:rsidR="008C013A" w:rsidRPr="00DB13EC" w:rsidRDefault="008C013A" w:rsidP="00F475A0">
      <w:pPr>
        <w:jc w:val="both"/>
        <w:rPr>
          <w:rFonts w:ascii="Cambria" w:hAnsi="Cambria"/>
          <w:sz w:val="20"/>
          <w:szCs w:val="20"/>
        </w:rPr>
      </w:pPr>
    </w:p>
    <w:p w14:paraId="7E4D3963" w14:textId="77777777" w:rsidR="00221766" w:rsidRPr="00DB13EC" w:rsidRDefault="00221766" w:rsidP="00214FDE">
      <w:pPr>
        <w:jc w:val="both"/>
        <w:rPr>
          <w:rFonts w:ascii="Cambria" w:hAnsi="Cambria"/>
          <w:b/>
          <w:bCs/>
          <w:sz w:val="20"/>
          <w:szCs w:val="20"/>
        </w:rPr>
      </w:pPr>
      <w:r w:rsidRPr="00DB13EC">
        <w:rPr>
          <w:rFonts w:ascii="Cambria" w:hAnsi="Cambria"/>
          <w:b/>
          <w:bCs/>
          <w:sz w:val="20"/>
          <w:szCs w:val="20"/>
        </w:rPr>
        <w:t>Atelier FAO-</w:t>
      </w:r>
      <w:proofErr w:type="spellStart"/>
      <w:r w:rsidRPr="00DB13EC">
        <w:rPr>
          <w:rFonts w:ascii="Cambria" w:hAnsi="Cambria"/>
          <w:b/>
          <w:bCs/>
          <w:sz w:val="20"/>
          <w:szCs w:val="20"/>
        </w:rPr>
        <w:t>RFB</w:t>
      </w:r>
      <w:proofErr w:type="spellEnd"/>
      <w:r w:rsidRPr="00DB13EC">
        <w:rPr>
          <w:rFonts w:ascii="Cambria" w:hAnsi="Cambria"/>
          <w:b/>
          <w:bCs/>
          <w:sz w:val="20"/>
          <w:szCs w:val="20"/>
        </w:rPr>
        <w:t xml:space="preserve"> de la région atlantique sur le changement climatique et la gouvernance des pêches</w:t>
      </w:r>
    </w:p>
    <w:p w14:paraId="3C8E1162" w14:textId="77777777" w:rsidR="00221766" w:rsidRPr="00DB13EC" w:rsidRDefault="00221766" w:rsidP="00214FDE">
      <w:pPr>
        <w:jc w:val="both"/>
        <w:rPr>
          <w:rFonts w:ascii="Cambria" w:hAnsi="Cambria"/>
          <w:b/>
          <w:bCs/>
          <w:sz w:val="20"/>
          <w:szCs w:val="20"/>
        </w:rPr>
      </w:pPr>
    </w:p>
    <w:p w14:paraId="739F8326" w14:textId="0A7CFF04" w:rsidR="00221766" w:rsidRPr="00E217E3" w:rsidRDefault="00221766" w:rsidP="00214FDE">
      <w:pPr>
        <w:jc w:val="both"/>
        <w:rPr>
          <w:rFonts w:ascii="Cambria" w:hAnsi="Cambria"/>
          <w:sz w:val="20"/>
          <w:szCs w:val="20"/>
        </w:rPr>
      </w:pPr>
      <w:r w:rsidRPr="00DB13EC">
        <w:rPr>
          <w:rFonts w:ascii="Cambria" w:hAnsi="Cambria"/>
          <w:sz w:val="20"/>
          <w:szCs w:val="20"/>
        </w:rPr>
        <w:t>L'atelier FAO-</w:t>
      </w:r>
      <w:proofErr w:type="spellStart"/>
      <w:r w:rsidRPr="00DB13EC">
        <w:rPr>
          <w:rFonts w:ascii="Cambria" w:hAnsi="Cambria"/>
          <w:sz w:val="20"/>
          <w:szCs w:val="20"/>
        </w:rPr>
        <w:t>RFB</w:t>
      </w:r>
      <w:proofErr w:type="spellEnd"/>
      <w:r w:rsidRPr="00DB13EC">
        <w:rPr>
          <w:rFonts w:ascii="Cambria" w:hAnsi="Cambria"/>
          <w:sz w:val="20"/>
          <w:szCs w:val="20"/>
        </w:rPr>
        <w:t xml:space="preserve"> de la région atlantique s'est tenu au Cap (Afrique du Sud) les 21 et 22 octobre 2025, organisé par la FAO en coopération avec l'Université de Rhodes. L'atelier a rassemblé des représentants des organismes régionaux de pêche de l'Atlantique afin de renforcer la collaboration et d'élaborer des orientations sur l'intégration du changement climatique dans la gouvernance des pêcheries. Les participants ont examiné la base scientifique des impacts du climat sur les ressources marines partagées et ont discuté des mandats juridiques, de la coordination institutionnelle et des approches de gestion adaptative. Les sessions en petits groupes ont mis l'accent sur la nécessité d'harmoniser les systèmes de données, les cadres basés sur les écosystèmes et le renforcement des capacités afin d'améliorer la résilience dans les différentes régions. Parmi les bonnes pratiques, </w:t>
      </w:r>
      <w:r w:rsidR="00D70C26" w:rsidRPr="00DB13EC">
        <w:rPr>
          <w:rFonts w:ascii="Cambria" w:hAnsi="Cambria"/>
          <w:sz w:val="20"/>
          <w:szCs w:val="20"/>
        </w:rPr>
        <w:t xml:space="preserve">il convient de </w:t>
      </w:r>
      <w:r w:rsidRPr="00DB13EC">
        <w:rPr>
          <w:rFonts w:ascii="Cambria" w:hAnsi="Cambria"/>
          <w:sz w:val="20"/>
          <w:szCs w:val="20"/>
        </w:rPr>
        <w:t>cit</w:t>
      </w:r>
      <w:r w:rsidR="00D70C26" w:rsidRPr="00DB13EC">
        <w:rPr>
          <w:rFonts w:ascii="Cambria" w:hAnsi="Cambria"/>
          <w:sz w:val="20"/>
          <w:szCs w:val="20"/>
        </w:rPr>
        <w:t>er</w:t>
      </w:r>
      <w:r w:rsidRPr="00DB13EC">
        <w:rPr>
          <w:rFonts w:ascii="Cambria" w:hAnsi="Cambria"/>
          <w:sz w:val="20"/>
          <w:szCs w:val="20"/>
        </w:rPr>
        <w:t xml:space="preserve"> les initiatives de collaboration en matière de données, l'intégration socio-économique et l'utilisation d'outils normalisés pour la transparence et la comparabilité. La FAO consolidera ces résultats en formulant une orientation affinée sur les </w:t>
      </w:r>
      <w:proofErr w:type="spellStart"/>
      <w:r w:rsidRPr="00DB13EC">
        <w:rPr>
          <w:rFonts w:ascii="Cambria" w:hAnsi="Cambria"/>
          <w:sz w:val="20"/>
          <w:szCs w:val="20"/>
        </w:rPr>
        <w:t>RFB</w:t>
      </w:r>
      <w:proofErr w:type="spellEnd"/>
      <w:r w:rsidRPr="00DB13EC">
        <w:rPr>
          <w:rFonts w:ascii="Cambria" w:hAnsi="Cambria"/>
          <w:sz w:val="20"/>
          <w:szCs w:val="20"/>
        </w:rPr>
        <w:t xml:space="preserve"> et le changement climatique, qui sera présentée lors de la prochaine réunion du </w:t>
      </w:r>
      <w:proofErr w:type="spellStart"/>
      <w:r w:rsidRPr="00DB13EC">
        <w:rPr>
          <w:rFonts w:ascii="Cambria" w:hAnsi="Cambria"/>
          <w:sz w:val="20"/>
          <w:szCs w:val="20"/>
        </w:rPr>
        <w:t>RSN</w:t>
      </w:r>
      <w:proofErr w:type="spellEnd"/>
      <w:r w:rsidRPr="00DB13EC">
        <w:rPr>
          <w:rFonts w:ascii="Cambria" w:hAnsi="Cambria"/>
          <w:sz w:val="20"/>
          <w:szCs w:val="20"/>
        </w:rPr>
        <w:t xml:space="preserve"> pour soutenir les pratiques de gouvernance climatique partagée</w:t>
      </w:r>
      <w:r w:rsidR="007123EA" w:rsidRPr="00DB13EC">
        <w:rPr>
          <w:rFonts w:ascii="Cambria" w:hAnsi="Cambria"/>
          <w:sz w:val="20"/>
          <w:szCs w:val="20"/>
        </w:rPr>
        <w:t>s</w:t>
      </w:r>
      <w:r w:rsidRPr="00DB13EC">
        <w:rPr>
          <w:rFonts w:ascii="Cambria" w:hAnsi="Cambria"/>
          <w:sz w:val="20"/>
          <w:szCs w:val="20"/>
        </w:rPr>
        <w:t>.</w:t>
      </w:r>
    </w:p>
    <w:p w14:paraId="3FA223D0" w14:textId="77777777" w:rsidR="00EB522F" w:rsidRPr="00E217E3" w:rsidRDefault="00EB522F" w:rsidP="00214FDE">
      <w:pPr>
        <w:jc w:val="both"/>
        <w:rPr>
          <w:rFonts w:ascii="Cambria" w:hAnsi="Cambria"/>
          <w:sz w:val="20"/>
          <w:szCs w:val="20"/>
        </w:rPr>
      </w:pPr>
    </w:p>
    <w:sectPr w:rsidR="00EB522F" w:rsidRPr="00E217E3" w:rsidSect="00F2499A">
      <w:headerReference w:type="default" r:id="rId27"/>
      <w:footerReference w:type="default" r:id="rId28"/>
      <w:pgSz w:w="12240" w:h="15840"/>
      <w:pgMar w:top="1440" w:right="1440" w:bottom="1440" w:left="1440"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C95D" w14:textId="77777777" w:rsidR="004A298C" w:rsidRDefault="004A298C" w:rsidP="00F2499A">
      <w:r>
        <w:separator/>
      </w:r>
    </w:p>
  </w:endnote>
  <w:endnote w:type="continuationSeparator" w:id="0">
    <w:p w14:paraId="7B42DCD3" w14:textId="77777777" w:rsidR="004A298C" w:rsidRDefault="004A298C" w:rsidP="00F2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EC37" w14:textId="6EF3621B" w:rsidR="00A15558" w:rsidRPr="00A15558" w:rsidRDefault="00000000" w:rsidP="00A15558">
    <w:pPr>
      <w:tabs>
        <w:tab w:val="center" w:pos="4535"/>
        <w:tab w:val="center" w:pos="4680"/>
        <w:tab w:val="left" w:pos="6150"/>
        <w:tab w:val="right" w:pos="9360"/>
      </w:tabs>
      <w:jc w:val="center"/>
      <w:rPr>
        <w:rFonts w:ascii="Cambria" w:hAnsi="Cambria"/>
        <w:sz w:val="20"/>
        <w:szCs w:val="20"/>
      </w:rPr>
    </w:pPr>
    <w:sdt>
      <w:sdtPr>
        <w:rPr>
          <w:rFonts w:ascii="Cambria" w:eastAsia="Calibri" w:hAnsi="Cambria" w:cs="Calibri"/>
          <w:sz w:val="20"/>
          <w:szCs w:val="20"/>
        </w:rPr>
        <w:id w:val="399259623"/>
        <w:docPartObj>
          <w:docPartGallery w:val="Page Numbers (Top of Page)"/>
          <w:docPartUnique/>
        </w:docPartObj>
      </w:sdtPr>
      <w:sdtContent>
        <w:r w:rsidR="00A15558" w:rsidRPr="00FD26B9">
          <w:rPr>
            <w:rFonts w:ascii="Cambria" w:eastAsia="Calibri" w:hAnsi="Cambria" w:cs="Calibri"/>
            <w:sz w:val="20"/>
            <w:szCs w:val="20"/>
          </w:rPr>
          <w:fldChar w:fldCharType="begin"/>
        </w:r>
        <w:r w:rsidR="00A15558" w:rsidRPr="00FD26B9">
          <w:rPr>
            <w:rFonts w:ascii="Cambria" w:eastAsia="Calibri" w:hAnsi="Cambria" w:cs="Calibri"/>
            <w:sz w:val="20"/>
            <w:szCs w:val="20"/>
          </w:rPr>
          <w:instrText xml:space="preserve"> PAGE </w:instrText>
        </w:r>
        <w:r w:rsidR="00A15558" w:rsidRPr="00FD26B9">
          <w:rPr>
            <w:rFonts w:ascii="Cambria" w:eastAsia="Calibri" w:hAnsi="Cambria" w:cs="Calibri"/>
            <w:sz w:val="20"/>
            <w:szCs w:val="20"/>
          </w:rPr>
          <w:fldChar w:fldCharType="separate"/>
        </w:r>
        <w:r w:rsidR="00A15558">
          <w:rPr>
            <w:rFonts w:ascii="Cambria" w:eastAsia="Calibri" w:hAnsi="Cambria" w:cs="Calibri"/>
            <w:sz w:val="20"/>
            <w:szCs w:val="20"/>
          </w:rPr>
          <w:t>1</w:t>
        </w:r>
        <w:r w:rsidR="00A15558" w:rsidRPr="00FD26B9">
          <w:rPr>
            <w:rFonts w:ascii="Cambria" w:eastAsia="Calibri" w:hAnsi="Cambria" w:cs="Calibri"/>
            <w:sz w:val="20"/>
            <w:szCs w:val="20"/>
          </w:rPr>
          <w:fldChar w:fldCharType="end"/>
        </w:r>
        <w:r w:rsidR="00721EA8">
          <w:rPr>
            <w:rFonts w:ascii="Cambria" w:hAnsi="Cambria"/>
            <w:sz w:val="20"/>
            <w:szCs w:val="20"/>
          </w:rPr>
          <w:t xml:space="preserve"> / </w:t>
        </w:r>
        <w:r w:rsidR="00A15558" w:rsidRPr="00FD26B9">
          <w:rPr>
            <w:rFonts w:ascii="Cambria" w:eastAsia="Calibri" w:hAnsi="Cambria" w:cs="Calibri"/>
            <w:sz w:val="20"/>
            <w:szCs w:val="20"/>
          </w:rPr>
          <w:fldChar w:fldCharType="begin"/>
        </w:r>
        <w:r w:rsidR="00A15558" w:rsidRPr="00FD26B9">
          <w:rPr>
            <w:rFonts w:ascii="Cambria" w:eastAsia="Calibri" w:hAnsi="Cambria" w:cs="Calibri"/>
            <w:sz w:val="20"/>
            <w:szCs w:val="20"/>
          </w:rPr>
          <w:instrText xml:space="preserve"> NUMPAGES  </w:instrText>
        </w:r>
        <w:r w:rsidR="00A15558" w:rsidRPr="00FD26B9">
          <w:rPr>
            <w:rFonts w:ascii="Cambria" w:eastAsia="Calibri" w:hAnsi="Cambria" w:cs="Calibri"/>
            <w:sz w:val="20"/>
            <w:szCs w:val="20"/>
          </w:rPr>
          <w:fldChar w:fldCharType="separate"/>
        </w:r>
        <w:r w:rsidR="00A15558">
          <w:rPr>
            <w:rFonts w:ascii="Cambria" w:eastAsia="Calibri" w:hAnsi="Cambria" w:cs="Calibri"/>
            <w:sz w:val="20"/>
            <w:szCs w:val="20"/>
          </w:rPr>
          <w:t>4</w:t>
        </w:r>
        <w:r w:rsidR="00A15558" w:rsidRPr="00FD26B9">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1CBC" w14:textId="77777777" w:rsidR="004A298C" w:rsidRDefault="004A298C" w:rsidP="00F2499A">
      <w:r>
        <w:separator/>
      </w:r>
    </w:p>
  </w:footnote>
  <w:footnote w:type="continuationSeparator" w:id="0">
    <w:p w14:paraId="72D0FC23" w14:textId="77777777" w:rsidR="004A298C" w:rsidRDefault="004A298C" w:rsidP="00F2499A">
      <w:r>
        <w:continuationSeparator/>
      </w:r>
    </w:p>
  </w:footnote>
  <w:footnote w:id="1">
    <w:p w14:paraId="2851033A" w14:textId="77777777" w:rsidR="00CE672C" w:rsidRPr="00214FDE" w:rsidRDefault="00CE672C" w:rsidP="00214FDE">
      <w:pPr>
        <w:pStyle w:val="Notedebasdepage"/>
        <w:spacing w:after="0"/>
        <w:jc w:val="both"/>
        <w:rPr>
          <w:rFonts w:ascii="Cambria" w:hAnsi="Cambria"/>
          <w:sz w:val="18"/>
          <w:szCs w:val="18"/>
        </w:rPr>
      </w:pPr>
      <w:r>
        <w:rPr>
          <w:rStyle w:val="Appelnotedebasdep"/>
          <w:rFonts w:ascii="Cambria" w:hAnsi="Cambria"/>
          <w:sz w:val="16"/>
          <w:szCs w:val="16"/>
        </w:rPr>
        <w:footnoteRef/>
      </w:r>
      <w:r>
        <w:rPr>
          <w:rFonts w:ascii="Cambria" w:hAnsi="Cambria"/>
          <w:sz w:val="16"/>
          <w:szCs w:val="16"/>
        </w:rPr>
        <w:t xml:space="preserve"> Le terme « Membres » inclut les Non-membres coopérants et le terme « </w:t>
      </w:r>
      <w:proofErr w:type="spellStart"/>
      <w:r>
        <w:rPr>
          <w:rFonts w:ascii="Cambria" w:hAnsi="Cambria"/>
          <w:sz w:val="16"/>
          <w:szCs w:val="16"/>
        </w:rPr>
        <w:t>CPC</w:t>
      </w:r>
      <w:proofErr w:type="spellEnd"/>
      <w:r>
        <w:rPr>
          <w:rFonts w:ascii="Cambria" w:hAnsi="Cambria"/>
          <w:sz w:val="16"/>
          <w:szCs w:val="16"/>
        </w:rPr>
        <w:t> » inclut les Parties, Entités et Entités de pêche non-contractantes coopérantes.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6231" w14:textId="27D58BFD" w:rsidR="00F2499A" w:rsidRPr="00F2499A" w:rsidRDefault="00F2499A" w:rsidP="00F2499A">
    <w:pPr>
      <w:tabs>
        <w:tab w:val="center" w:pos="4680"/>
        <w:tab w:val="left" w:pos="6520"/>
        <w:tab w:val="right" w:pos="9360"/>
        <w:tab w:val="right" w:pos="14240"/>
      </w:tabs>
      <w:jc w:val="right"/>
      <w:rPr>
        <w:rFonts w:ascii="Cambria" w:eastAsia="Cambria" w:hAnsi="Cambria" w:cs="Cambria"/>
        <w:b/>
        <w:sz w:val="20"/>
        <w:szCs w:val="20"/>
      </w:rPr>
    </w:pPr>
    <w:r>
      <w:rPr>
        <w:rFonts w:ascii="Cambria" w:hAnsi="Cambria"/>
        <w:b/>
        <w:sz w:val="20"/>
        <w:szCs w:val="20"/>
      </w:rPr>
      <w:t>PLE_106/2025</w:t>
    </w:r>
  </w:p>
  <w:p w14:paraId="4B1A8517" w14:textId="16A71239" w:rsidR="00F2499A" w:rsidRDefault="00F2499A" w:rsidP="00F2499A">
    <w:pPr>
      <w:tabs>
        <w:tab w:val="center" w:pos="4680"/>
        <w:tab w:val="right" w:pos="9360"/>
      </w:tabs>
      <w:jc w:val="right"/>
    </w:pPr>
    <w:r>
      <w:rPr>
        <w:rFonts w:ascii="Cambria" w:hAnsi="Cambria"/>
        <w:b/>
        <w:color w:val="000000"/>
        <w:sz w:val="16"/>
        <w:szCs w:val="16"/>
      </w:rPr>
      <w:t>13/11/2023 16:25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20734"/>
    <w:multiLevelType w:val="hybridMultilevel"/>
    <w:tmpl w:val="ECD0A1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16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A3E"/>
    <w:rsid w:val="00017BC0"/>
    <w:rsid w:val="0008370B"/>
    <w:rsid w:val="00090267"/>
    <w:rsid w:val="000A3341"/>
    <w:rsid w:val="000C2316"/>
    <w:rsid w:val="000E3428"/>
    <w:rsid w:val="00101259"/>
    <w:rsid w:val="00111E18"/>
    <w:rsid w:val="001133CD"/>
    <w:rsid w:val="00113956"/>
    <w:rsid w:val="00117298"/>
    <w:rsid w:val="001420AF"/>
    <w:rsid w:val="00153E0A"/>
    <w:rsid w:val="0015429A"/>
    <w:rsid w:val="00173572"/>
    <w:rsid w:val="00180BDE"/>
    <w:rsid w:val="001B01A8"/>
    <w:rsid w:val="001C6DBA"/>
    <w:rsid w:val="002031E0"/>
    <w:rsid w:val="00203386"/>
    <w:rsid w:val="00214FDE"/>
    <w:rsid w:val="00221766"/>
    <w:rsid w:val="00225DD0"/>
    <w:rsid w:val="00297934"/>
    <w:rsid w:val="002D0BED"/>
    <w:rsid w:val="002D14D2"/>
    <w:rsid w:val="002E200B"/>
    <w:rsid w:val="002E463F"/>
    <w:rsid w:val="002E522F"/>
    <w:rsid w:val="00307BC5"/>
    <w:rsid w:val="00313174"/>
    <w:rsid w:val="003202BF"/>
    <w:rsid w:val="0035289C"/>
    <w:rsid w:val="0036784C"/>
    <w:rsid w:val="00374501"/>
    <w:rsid w:val="0037775D"/>
    <w:rsid w:val="00384BFA"/>
    <w:rsid w:val="003C76FC"/>
    <w:rsid w:val="003D7E9C"/>
    <w:rsid w:val="003E5BC8"/>
    <w:rsid w:val="004103DD"/>
    <w:rsid w:val="004419CC"/>
    <w:rsid w:val="00445FC0"/>
    <w:rsid w:val="00475333"/>
    <w:rsid w:val="00477ED4"/>
    <w:rsid w:val="004A298C"/>
    <w:rsid w:val="004A35D0"/>
    <w:rsid w:val="004C59C2"/>
    <w:rsid w:val="004D790C"/>
    <w:rsid w:val="005015B5"/>
    <w:rsid w:val="005279B6"/>
    <w:rsid w:val="00534240"/>
    <w:rsid w:val="0055319F"/>
    <w:rsid w:val="005546F0"/>
    <w:rsid w:val="005753AE"/>
    <w:rsid w:val="00581EC5"/>
    <w:rsid w:val="00587ED0"/>
    <w:rsid w:val="00591BDE"/>
    <w:rsid w:val="005A2A77"/>
    <w:rsid w:val="005C2239"/>
    <w:rsid w:val="005D4BA2"/>
    <w:rsid w:val="005E6CA3"/>
    <w:rsid w:val="006312B9"/>
    <w:rsid w:val="0063734D"/>
    <w:rsid w:val="006455A7"/>
    <w:rsid w:val="00655C09"/>
    <w:rsid w:val="00660DF1"/>
    <w:rsid w:val="0066306B"/>
    <w:rsid w:val="00663991"/>
    <w:rsid w:val="006823F5"/>
    <w:rsid w:val="00694319"/>
    <w:rsid w:val="006A00A3"/>
    <w:rsid w:val="006C5A7F"/>
    <w:rsid w:val="006D30B9"/>
    <w:rsid w:val="006F4CF1"/>
    <w:rsid w:val="007054D4"/>
    <w:rsid w:val="007105E2"/>
    <w:rsid w:val="007123EA"/>
    <w:rsid w:val="007203E9"/>
    <w:rsid w:val="00721EA8"/>
    <w:rsid w:val="00740BD0"/>
    <w:rsid w:val="0074792B"/>
    <w:rsid w:val="007815D4"/>
    <w:rsid w:val="00787C92"/>
    <w:rsid w:val="0080394C"/>
    <w:rsid w:val="00825257"/>
    <w:rsid w:val="00852FED"/>
    <w:rsid w:val="00890A85"/>
    <w:rsid w:val="008C013A"/>
    <w:rsid w:val="008E2905"/>
    <w:rsid w:val="008F418F"/>
    <w:rsid w:val="00903C5D"/>
    <w:rsid w:val="0092394F"/>
    <w:rsid w:val="00936F2F"/>
    <w:rsid w:val="00951BFB"/>
    <w:rsid w:val="00957CA6"/>
    <w:rsid w:val="009650AD"/>
    <w:rsid w:val="009650D8"/>
    <w:rsid w:val="009657CA"/>
    <w:rsid w:val="00976388"/>
    <w:rsid w:val="009823EA"/>
    <w:rsid w:val="009853B1"/>
    <w:rsid w:val="009B7AE9"/>
    <w:rsid w:val="009F43A7"/>
    <w:rsid w:val="00A15558"/>
    <w:rsid w:val="00A16B4E"/>
    <w:rsid w:val="00A20117"/>
    <w:rsid w:val="00A6111F"/>
    <w:rsid w:val="00A64F65"/>
    <w:rsid w:val="00A9205C"/>
    <w:rsid w:val="00A94B48"/>
    <w:rsid w:val="00AB7047"/>
    <w:rsid w:val="00AC29B7"/>
    <w:rsid w:val="00AE7A70"/>
    <w:rsid w:val="00B476D6"/>
    <w:rsid w:val="00B60AA8"/>
    <w:rsid w:val="00B6375E"/>
    <w:rsid w:val="00B6377A"/>
    <w:rsid w:val="00B67695"/>
    <w:rsid w:val="00B727BD"/>
    <w:rsid w:val="00BA316B"/>
    <w:rsid w:val="00BF5F1A"/>
    <w:rsid w:val="00BF666F"/>
    <w:rsid w:val="00C00597"/>
    <w:rsid w:val="00C23975"/>
    <w:rsid w:val="00C51849"/>
    <w:rsid w:val="00C65CF9"/>
    <w:rsid w:val="00C75CA9"/>
    <w:rsid w:val="00C82E08"/>
    <w:rsid w:val="00C91C26"/>
    <w:rsid w:val="00CA27E6"/>
    <w:rsid w:val="00CD134A"/>
    <w:rsid w:val="00CE1808"/>
    <w:rsid w:val="00CE672C"/>
    <w:rsid w:val="00CF7E74"/>
    <w:rsid w:val="00D066D8"/>
    <w:rsid w:val="00D3425C"/>
    <w:rsid w:val="00D401CA"/>
    <w:rsid w:val="00D47809"/>
    <w:rsid w:val="00D50F8C"/>
    <w:rsid w:val="00D5411F"/>
    <w:rsid w:val="00D60236"/>
    <w:rsid w:val="00D70C26"/>
    <w:rsid w:val="00D73C45"/>
    <w:rsid w:val="00D74B0E"/>
    <w:rsid w:val="00DA3238"/>
    <w:rsid w:val="00DA7D4E"/>
    <w:rsid w:val="00DB13EC"/>
    <w:rsid w:val="00DC0335"/>
    <w:rsid w:val="00DC6473"/>
    <w:rsid w:val="00DE08D7"/>
    <w:rsid w:val="00E03A3E"/>
    <w:rsid w:val="00E07D94"/>
    <w:rsid w:val="00E10F65"/>
    <w:rsid w:val="00E17548"/>
    <w:rsid w:val="00E17DC2"/>
    <w:rsid w:val="00E20FF2"/>
    <w:rsid w:val="00E217E3"/>
    <w:rsid w:val="00E54F3A"/>
    <w:rsid w:val="00E8595A"/>
    <w:rsid w:val="00EB522F"/>
    <w:rsid w:val="00EB5726"/>
    <w:rsid w:val="00EC53D1"/>
    <w:rsid w:val="00EC5401"/>
    <w:rsid w:val="00F0218B"/>
    <w:rsid w:val="00F2499A"/>
    <w:rsid w:val="00F30015"/>
    <w:rsid w:val="00F475A0"/>
    <w:rsid w:val="00F53157"/>
    <w:rsid w:val="00F67584"/>
    <w:rsid w:val="00F83589"/>
    <w:rsid w:val="00F9580D"/>
    <w:rsid w:val="00FB70EF"/>
    <w:rsid w:val="00FD3E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11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A3E"/>
    <w:pPr>
      <w:spacing w:after="0" w:line="240" w:lineRule="auto"/>
    </w:pPr>
    <w:rPr>
      <w:rFonts w:ascii="Times New Roman" w:eastAsia="Times New Roman" w:hAnsi="Times New Roman" w:cs="Times New Roman"/>
      <w:kern w:val="0"/>
      <w14:ligatures w14:val="none"/>
    </w:rPr>
  </w:style>
  <w:style w:type="paragraph" w:styleId="Titre1">
    <w:name w:val="heading 1"/>
    <w:basedOn w:val="Normal"/>
    <w:next w:val="Normal"/>
    <w:link w:val="Titre1Car"/>
    <w:uiPriority w:val="9"/>
    <w:qFormat/>
    <w:rsid w:val="00E03A3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E03A3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E03A3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E03A3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E03A3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E03A3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E03A3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E03A3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E03A3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3A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3A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3A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3A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3A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3A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3A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3A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3A3E"/>
    <w:rPr>
      <w:rFonts w:eastAsiaTheme="majorEastAsia" w:cstheme="majorBidi"/>
      <w:color w:val="272727" w:themeColor="text1" w:themeTint="D8"/>
    </w:rPr>
  </w:style>
  <w:style w:type="paragraph" w:styleId="Titre">
    <w:name w:val="Title"/>
    <w:basedOn w:val="Normal"/>
    <w:next w:val="Normal"/>
    <w:link w:val="TitreCar"/>
    <w:uiPriority w:val="10"/>
    <w:qFormat/>
    <w:rsid w:val="00E03A3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E03A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3A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E03A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3A3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ionCar">
    <w:name w:val="Citation Car"/>
    <w:basedOn w:val="Policepardfaut"/>
    <w:link w:val="Citation"/>
    <w:uiPriority w:val="29"/>
    <w:rsid w:val="00E03A3E"/>
    <w:rPr>
      <w:i/>
      <w:iCs/>
      <w:color w:val="404040" w:themeColor="text1" w:themeTint="BF"/>
    </w:rPr>
  </w:style>
  <w:style w:type="paragraph" w:styleId="Paragraphedeliste">
    <w:name w:val="List Paragraph"/>
    <w:basedOn w:val="Normal"/>
    <w:uiPriority w:val="34"/>
    <w:qFormat/>
    <w:rsid w:val="00E03A3E"/>
    <w:pPr>
      <w:spacing w:after="160" w:line="278" w:lineRule="auto"/>
      <w:ind w:left="720"/>
      <w:contextualSpacing/>
    </w:pPr>
    <w:rPr>
      <w:rFonts w:asciiTheme="minorHAnsi" w:eastAsiaTheme="minorHAnsi" w:hAnsiTheme="minorHAnsi" w:cstheme="minorBidi"/>
      <w:kern w:val="2"/>
      <w14:ligatures w14:val="standardContextual"/>
    </w:rPr>
  </w:style>
  <w:style w:type="character" w:styleId="Accentuationintense">
    <w:name w:val="Intense Emphasis"/>
    <w:basedOn w:val="Policepardfaut"/>
    <w:uiPriority w:val="21"/>
    <w:qFormat/>
    <w:rsid w:val="00E03A3E"/>
    <w:rPr>
      <w:i/>
      <w:iCs/>
      <w:color w:val="0F4761" w:themeColor="accent1" w:themeShade="BF"/>
    </w:rPr>
  </w:style>
  <w:style w:type="paragraph" w:styleId="Citationintense">
    <w:name w:val="Intense Quote"/>
    <w:basedOn w:val="Normal"/>
    <w:next w:val="Normal"/>
    <w:link w:val="CitationintenseCar"/>
    <w:uiPriority w:val="30"/>
    <w:qFormat/>
    <w:rsid w:val="00E03A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E03A3E"/>
    <w:rPr>
      <w:i/>
      <w:iCs/>
      <w:color w:val="0F4761" w:themeColor="accent1" w:themeShade="BF"/>
    </w:rPr>
  </w:style>
  <w:style w:type="character" w:styleId="Rfrenceintense">
    <w:name w:val="Intense Reference"/>
    <w:basedOn w:val="Policepardfaut"/>
    <w:uiPriority w:val="32"/>
    <w:qFormat/>
    <w:rsid w:val="00E03A3E"/>
    <w:rPr>
      <w:b/>
      <w:bCs/>
      <w:smallCaps/>
      <w:color w:val="0F4761" w:themeColor="accent1" w:themeShade="BF"/>
      <w:spacing w:val="5"/>
    </w:rPr>
  </w:style>
  <w:style w:type="character" w:styleId="Lienhypertexte">
    <w:name w:val="Hyperlink"/>
    <w:basedOn w:val="Policepardfaut"/>
    <w:uiPriority w:val="99"/>
    <w:unhideWhenUsed/>
    <w:rsid w:val="00E03A3E"/>
    <w:rPr>
      <w:color w:val="467886" w:themeColor="hyperlink"/>
      <w:u w:val="single"/>
    </w:rPr>
  </w:style>
  <w:style w:type="paragraph" w:styleId="En-tte">
    <w:name w:val="header"/>
    <w:basedOn w:val="Normal"/>
    <w:link w:val="En-tteCar"/>
    <w:uiPriority w:val="99"/>
    <w:unhideWhenUsed/>
    <w:rsid w:val="00F2499A"/>
    <w:pPr>
      <w:tabs>
        <w:tab w:val="center" w:pos="4680"/>
        <w:tab w:val="right" w:pos="9360"/>
      </w:tabs>
    </w:pPr>
  </w:style>
  <w:style w:type="character" w:customStyle="1" w:styleId="En-tteCar">
    <w:name w:val="En-tête Car"/>
    <w:basedOn w:val="Policepardfaut"/>
    <w:link w:val="En-tte"/>
    <w:uiPriority w:val="99"/>
    <w:rsid w:val="00F2499A"/>
    <w:rPr>
      <w:rFonts w:ascii="Times New Roman" w:eastAsia="Times New Roman" w:hAnsi="Times New Roman" w:cs="Times New Roman"/>
      <w:kern w:val="0"/>
      <w:lang w:val="fr-FR"/>
      <w14:ligatures w14:val="none"/>
    </w:rPr>
  </w:style>
  <w:style w:type="paragraph" w:styleId="Pieddepage">
    <w:name w:val="footer"/>
    <w:basedOn w:val="Normal"/>
    <w:link w:val="PieddepageCar"/>
    <w:uiPriority w:val="99"/>
    <w:unhideWhenUsed/>
    <w:rsid w:val="00F2499A"/>
    <w:pPr>
      <w:tabs>
        <w:tab w:val="center" w:pos="4680"/>
        <w:tab w:val="right" w:pos="9360"/>
      </w:tabs>
    </w:pPr>
  </w:style>
  <w:style w:type="character" w:customStyle="1" w:styleId="PieddepageCar">
    <w:name w:val="Pied de page Car"/>
    <w:basedOn w:val="Policepardfaut"/>
    <w:link w:val="Pieddepage"/>
    <w:uiPriority w:val="99"/>
    <w:rsid w:val="00F2499A"/>
    <w:rPr>
      <w:rFonts w:ascii="Times New Roman" w:eastAsia="Times New Roman" w:hAnsi="Times New Roman" w:cs="Times New Roman"/>
      <w:kern w:val="0"/>
      <w:lang w:val="fr-FR"/>
      <w14:ligatures w14:val="none"/>
    </w:rPr>
  </w:style>
  <w:style w:type="paragraph" w:styleId="Rvision">
    <w:name w:val="Revision"/>
    <w:hidden/>
    <w:uiPriority w:val="99"/>
    <w:semiHidden/>
    <w:rsid w:val="00A20117"/>
    <w:pPr>
      <w:spacing w:after="0" w:line="240" w:lineRule="auto"/>
    </w:pPr>
    <w:rPr>
      <w:rFonts w:ascii="Times New Roman" w:eastAsia="Times New Roman" w:hAnsi="Times New Roman" w:cs="Times New Roman"/>
      <w:kern w:val="0"/>
      <w14:ligatures w14:val="none"/>
    </w:rPr>
  </w:style>
  <w:style w:type="paragraph" w:customStyle="1" w:styleId="Default">
    <w:name w:val="Default"/>
    <w:rsid w:val="000E3428"/>
    <w:pPr>
      <w:autoSpaceDE w:val="0"/>
      <w:autoSpaceDN w:val="0"/>
      <w:adjustRightInd w:val="0"/>
      <w:spacing w:after="0" w:line="240" w:lineRule="auto"/>
    </w:pPr>
    <w:rPr>
      <w:rFonts w:ascii="Arial" w:hAnsi="Arial" w:cs="Arial"/>
      <w:color w:val="000000"/>
      <w:kern w:val="0"/>
    </w:rPr>
  </w:style>
  <w:style w:type="character" w:styleId="Marquedecommentaire">
    <w:name w:val="annotation reference"/>
    <w:basedOn w:val="Policepardfaut"/>
    <w:uiPriority w:val="99"/>
    <w:semiHidden/>
    <w:unhideWhenUsed/>
    <w:rsid w:val="009F43A7"/>
    <w:rPr>
      <w:sz w:val="16"/>
      <w:szCs w:val="16"/>
    </w:rPr>
  </w:style>
  <w:style w:type="paragraph" w:styleId="Commentaire">
    <w:name w:val="annotation text"/>
    <w:basedOn w:val="Normal"/>
    <w:link w:val="CommentaireCar"/>
    <w:uiPriority w:val="99"/>
    <w:unhideWhenUsed/>
    <w:rsid w:val="009F43A7"/>
    <w:rPr>
      <w:sz w:val="20"/>
      <w:szCs w:val="20"/>
    </w:rPr>
  </w:style>
  <w:style w:type="character" w:customStyle="1" w:styleId="CommentaireCar">
    <w:name w:val="Commentaire Car"/>
    <w:basedOn w:val="Policepardfaut"/>
    <w:link w:val="Commentaire"/>
    <w:uiPriority w:val="99"/>
    <w:rsid w:val="009F43A7"/>
    <w:rPr>
      <w:rFonts w:ascii="Times New Roman" w:eastAsia="Times New Roman" w:hAnsi="Times New Roman" w:cs="Times New Roman"/>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9F43A7"/>
    <w:rPr>
      <w:b/>
      <w:bCs/>
    </w:rPr>
  </w:style>
  <w:style w:type="character" w:customStyle="1" w:styleId="ObjetducommentaireCar">
    <w:name w:val="Objet du commentaire Car"/>
    <w:basedOn w:val="CommentaireCar"/>
    <w:link w:val="Objetducommentaire"/>
    <w:uiPriority w:val="99"/>
    <w:semiHidden/>
    <w:rsid w:val="009F43A7"/>
    <w:rPr>
      <w:rFonts w:ascii="Times New Roman" w:eastAsia="Times New Roman" w:hAnsi="Times New Roman" w:cs="Times New Roman"/>
      <w:b/>
      <w:bCs/>
      <w:kern w:val="0"/>
      <w:sz w:val="20"/>
      <w:szCs w:val="20"/>
      <w:lang w:val="fr-FR"/>
      <w14:ligatures w14:val="none"/>
    </w:rPr>
  </w:style>
  <w:style w:type="character" w:styleId="Mentionnonrsolue">
    <w:name w:val="Unresolved Mention"/>
    <w:basedOn w:val="Policepardfaut"/>
    <w:uiPriority w:val="99"/>
    <w:semiHidden/>
    <w:unhideWhenUsed/>
    <w:rsid w:val="00F0218B"/>
    <w:rPr>
      <w:color w:val="605E5C"/>
      <w:shd w:val="clear" w:color="auto" w:fill="E1DFDD"/>
    </w:rPr>
  </w:style>
  <w:style w:type="paragraph" w:styleId="Notedebasdepage">
    <w:name w:val="footnote text"/>
    <w:basedOn w:val="Normal"/>
    <w:link w:val="NotedebasdepageCar"/>
    <w:uiPriority w:val="99"/>
    <w:semiHidden/>
    <w:unhideWhenUsed/>
    <w:rsid w:val="00CE672C"/>
    <w:pPr>
      <w:spacing w:after="200" w:line="276" w:lineRule="auto"/>
    </w:pPr>
    <w:rPr>
      <w:rFonts w:ascii="Calibri" w:eastAsia="Calibri" w:hAnsi="Calibri"/>
      <w:sz w:val="20"/>
      <w:szCs w:val="20"/>
    </w:rPr>
  </w:style>
  <w:style w:type="character" w:customStyle="1" w:styleId="NotedebasdepageCar">
    <w:name w:val="Note de bas de page Car"/>
    <w:basedOn w:val="Policepardfaut"/>
    <w:link w:val="Notedebasdepage"/>
    <w:uiPriority w:val="99"/>
    <w:semiHidden/>
    <w:rsid w:val="00CE672C"/>
    <w:rPr>
      <w:rFonts w:ascii="Calibri" w:eastAsia="Calibri" w:hAnsi="Calibri" w:cs="Times New Roman"/>
      <w:kern w:val="0"/>
      <w:sz w:val="20"/>
      <w:szCs w:val="20"/>
      <w:lang w:val="fr-FR"/>
      <w14:ligatures w14:val="none"/>
    </w:rPr>
  </w:style>
  <w:style w:type="character" w:styleId="Appelnotedebasdep">
    <w:name w:val="footnote reference"/>
    <w:basedOn w:val="Policepardfaut"/>
    <w:uiPriority w:val="99"/>
    <w:semiHidden/>
    <w:unhideWhenUsed/>
    <w:rsid w:val="00CE672C"/>
    <w:rPr>
      <w:vertAlign w:val="superscript"/>
    </w:rPr>
  </w:style>
  <w:style w:type="character" w:styleId="Lienhypertextesuivivisit">
    <w:name w:val="FollowedHyperlink"/>
    <w:basedOn w:val="Policepardfaut"/>
    <w:uiPriority w:val="99"/>
    <w:semiHidden/>
    <w:unhideWhenUsed/>
    <w:rsid w:val="00D342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o.org/cwp-on-fishery-statistics/meetings/fr/" TargetMode="External"/><Relationship Id="rId18" Type="http://schemas.openxmlformats.org/officeDocument/2006/relationships/hyperlink" Target="https://www.iccat.int/fr/pubs_CVSP.html" TargetMode="External"/><Relationship Id="rId26" Type="http://schemas.openxmlformats.org/officeDocument/2006/relationships/hyperlink" Target="https://www.un.org/bbnjagreement/sites/default/files/2025-08/Five%20Tuna%20Regional%20Fisheries%20Management%20Organizations%20Secretariats%20IFBs%2028Aug.pdf" TargetMode="External"/><Relationship Id="rId3" Type="http://schemas.openxmlformats.org/officeDocument/2006/relationships/customXml" Target="../customXml/item3.xml"/><Relationship Id="rId21" Type="http://schemas.openxmlformats.org/officeDocument/2006/relationships/hyperlink" Target="https://www.fao.org/fishery/fr/openasfa" TargetMode="External"/><Relationship Id="rId7" Type="http://schemas.openxmlformats.org/officeDocument/2006/relationships/webSettings" Target="webSettings.xml"/><Relationship Id="rId12" Type="http://schemas.openxmlformats.org/officeDocument/2006/relationships/hyperlink" Target="https://www.iccat.int/fr/IOMS.html" TargetMode="External"/><Relationship Id="rId17" Type="http://schemas.openxmlformats.org/officeDocument/2006/relationships/hyperlink" Target="https://www.iccat.int/fr/" TargetMode="External"/><Relationship Id="rId25" Type="http://schemas.openxmlformats.org/officeDocument/2006/relationships/hyperlink" Target="https://www.un.org/bbnjagreement/en/meetings/preparatory-commission/documents/second-session-18-29-august-2025" TargetMode="External"/><Relationship Id="rId2" Type="http://schemas.openxmlformats.org/officeDocument/2006/relationships/customXml" Target="../customXml/item2.xml"/><Relationship Id="rId16" Type="http://schemas.openxmlformats.org/officeDocument/2006/relationships/hyperlink" Target="https://www.fao.org/fishery/en/collection/firms-tuna-atlas" TargetMode="External"/><Relationship Id="rId20" Type="http://schemas.openxmlformats.org/officeDocument/2006/relationships/hyperlink" Target="https://www.fao.org/fishery/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o.org/cwp-on-fishery-statistics/fr/" TargetMode="External"/><Relationship Id="rId24" Type="http://schemas.openxmlformats.org/officeDocument/2006/relationships/hyperlink" Target="https://www.iccat.int/Documents/Cooperation/MoU_ICCAT_CCSBT_2025_FRA.pdf" TargetMode="External"/><Relationship Id="rId5" Type="http://schemas.openxmlformats.org/officeDocument/2006/relationships/styles" Target="styles.xml"/><Relationship Id="rId15" Type="http://schemas.openxmlformats.org/officeDocument/2006/relationships/hyperlink" Target="https://firms.fao.org/firms/meeting/41509/fr" TargetMode="External"/><Relationship Id="rId23" Type="http://schemas.openxmlformats.org/officeDocument/2006/relationships/hyperlink" Target="https://www.iccat.int/Documents/Cooperation/MoU_ICCAT_ICES_2025_FRA.pdf" TargetMode="External"/><Relationship Id="rId28" Type="http://schemas.openxmlformats.org/officeDocument/2006/relationships/footer" Target="footer1.xml"/><Relationship Id="rId10" Type="http://schemas.openxmlformats.org/officeDocument/2006/relationships/hyperlink" Target="https://www.fao.org/fishery/fr/meeting/41467" TargetMode="External"/><Relationship Id="rId19" Type="http://schemas.openxmlformats.org/officeDocument/2006/relationships/hyperlink" Target="https://www.iccat.int/fr/pubs_CVSP.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irms.fao.org/firms/home/fr" TargetMode="External"/><Relationship Id="rId22" Type="http://schemas.openxmlformats.org/officeDocument/2006/relationships/hyperlink" Target="https://www.fao.org/fishery/fr/meeting/4151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B50844-B36E-430E-A088-1456BA6A0C7B}">
  <ds:schemaRefs>
    <ds:schemaRef ds:uri="http://schemas.microsoft.com/sharepoint/v3/contenttype/forms"/>
  </ds:schemaRefs>
</ds:datastoreItem>
</file>

<file path=customXml/itemProps2.xml><?xml version="1.0" encoding="utf-8"?>
<ds:datastoreItem xmlns:ds="http://schemas.openxmlformats.org/officeDocument/2006/customXml" ds:itemID="{15B0F8E2-1E66-443C-A9DC-7C5D1D2AD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AF74A-0066-4EFA-9E3C-BFD494D6E186}">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4360</Words>
  <Characters>23983</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2025-11-07T13:39:00Z</dcterms:created>
  <dcterms:modified xsi:type="dcterms:W3CDTF">2025-11-14T14:23:00Z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