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FC3B4" w14:textId="77777777" w:rsidR="000B4985" w:rsidRDefault="000B4985" w:rsidP="00F07856">
      <w:pPr>
        <w:pStyle w:val="Heading1"/>
        <w:ind w:left="0" w:right="134"/>
        <w:jc w:val="right"/>
        <w:rPr>
          <w:rFonts w:asciiTheme="majorHAnsi" w:hAnsiTheme="majorHAnsi"/>
          <w:color w:val="231F20"/>
          <w:sz w:val="20"/>
        </w:rPr>
      </w:pPr>
    </w:p>
    <w:p w14:paraId="17280871" w14:textId="34A7C650" w:rsidR="00E158A1" w:rsidRPr="00C620F0" w:rsidRDefault="003A5EC9" w:rsidP="00F07856">
      <w:pPr>
        <w:pStyle w:val="Heading1"/>
        <w:ind w:left="0" w:right="134"/>
        <w:jc w:val="right"/>
        <w:rPr>
          <w:rFonts w:asciiTheme="majorHAnsi" w:hAnsiTheme="majorHAnsi"/>
          <w:sz w:val="20"/>
          <w:szCs w:val="20"/>
        </w:rPr>
      </w:pPr>
      <w:r w:rsidRPr="00C620F0">
        <w:rPr>
          <w:rFonts w:asciiTheme="majorHAnsi" w:hAnsiTheme="majorHAnsi"/>
          <w:color w:val="231F20"/>
          <w:sz w:val="20"/>
        </w:rPr>
        <w:t>Original: inglés y español</w:t>
      </w:r>
    </w:p>
    <w:p w14:paraId="75D88462" w14:textId="77777777" w:rsidR="00E158A1" w:rsidRPr="00C620F0" w:rsidRDefault="00E158A1" w:rsidP="00F07856">
      <w:pPr>
        <w:pStyle w:val="BodyText"/>
        <w:rPr>
          <w:rFonts w:asciiTheme="majorHAnsi" w:hAnsiTheme="majorHAnsi"/>
          <w:b/>
          <w:sz w:val="20"/>
          <w:szCs w:val="20"/>
        </w:rPr>
      </w:pPr>
    </w:p>
    <w:p w14:paraId="0E5B9053" w14:textId="77777777" w:rsidR="00E158A1" w:rsidRPr="00C620F0" w:rsidRDefault="003A5EC9">
      <w:pPr>
        <w:ind w:left="2" w:right="2"/>
        <w:jc w:val="center"/>
        <w:rPr>
          <w:rFonts w:asciiTheme="majorHAnsi" w:hAnsiTheme="majorHAnsi"/>
          <w:b/>
          <w:sz w:val="20"/>
          <w:szCs w:val="20"/>
        </w:rPr>
      </w:pPr>
      <w:r w:rsidRPr="00C620F0">
        <w:rPr>
          <w:rFonts w:asciiTheme="majorHAnsi" w:hAnsiTheme="majorHAnsi"/>
          <w:b/>
          <w:color w:val="231F20"/>
          <w:sz w:val="20"/>
        </w:rPr>
        <w:t>Simplificación de las medidas de conservación y ordenación de ICCAT</w:t>
      </w:r>
    </w:p>
    <w:p w14:paraId="69BC8935" w14:textId="405988D7" w:rsidR="00E158A1" w:rsidRPr="00C620F0" w:rsidRDefault="003A5EC9">
      <w:pPr>
        <w:spacing w:before="15"/>
        <w:ind w:left="2"/>
        <w:jc w:val="center"/>
        <w:rPr>
          <w:rFonts w:asciiTheme="majorHAnsi" w:hAnsiTheme="majorHAnsi"/>
          <w:i/>
          <w:sz w:val="20"/>
          <w:szCs w:val="20"/>
        </w:rPr>
      </w:pPr>
      <w:r w:rsidRPr="00C620F0">
        <w:rPr>
          <w:rFonts w:asciiTheme="majorHAnsi" w:hAnsiTheme="majorHAnsi"/>
          <w:i/>
          <w:color w:val="231F20"/>
          <w:sz w:val="20"/>
        </w:rPr>
        <w:t xml:space="preserve">Secretaría de </w:t>
      </w:r>
      <w:proofErr w:type="spellStart"/>
      <w:r w:rsidRPr="00C620F0">
        <w:rPr>
          <w:rFonts w:asciiTheme="majorHAnsi" w:hAnsiTheme="majorHAnsi"/>
          <w:i/>
          <w:color w:val="231F20"/>
          <w:sz w:val="20"/>
        </w:rPr>
        <w:t>ICCAT</w:t>
      </w:r>
      <w:r w:rsidR="00C620F0" w:rsidRPr="00C620F0">
        <w:rPr>
          <w:rFonts w:asciiTheme="majorHAnsi" w:hAnsiTheme="majorHAnsi"/>
          <w:i/>
          <w:color w:val="231F20"/>
          <w:sz w:val="20"/>
        </w:rPr>
        <w:t>a</w:t>
      </w:r>
      <w:proofErr w:type="spellEnd"/>
    </w:p>
    <w:p w14:paraId="00E893EB" w14:textId="77777777" w:rsidR="00E158A1" w:rsidRPr="00C620F0" w:rsidRDefault="00E158A1" w:rsidP="00BE280B">
      <w:pPr>
        <w:pStyle w:val="BodyText"/>
        <w:spacing w:before="29"/>
        <w:jc w:val="both"/>
        <w:rPr>
          <w:rFonts w:asciiTheme="majorHAnsi" w:hAnsiTheme="majorHAnsi"/>
          <w:i/>
          <w:sz w:val="20"/>
          <w:szCs w:val="20"/>
        </w:rPr>
      </w:pPr>
    </w:p>
    <w:p w14:paraId="757F53CB" w14:textId="4CACB293" w:rsidR="00E158A1" w:rsidRPr="00C620F0" w:rsidRDefault="003A5EC9" w:rsidP="00323B76">
      <w:pPr>
        <w:pStyle w:val="Heading1"/>
        <w:ind w:left="0"/>
        <w:jc w:val="both"/>
        <w:rPr>
          <w:rFonts w:asciiTheme="majorHAnsi" w:hAnsiTheme="majorHAnsi"/>
          <w:sz w:val="20"/>
          <w:szCs w:val="20"/>
        </w:rPr>
      </w:pPr>
      <w:r w:rsidRPr="00C620F0">
        <w:rPr>
          <w:rFonts w:asciiTheme="majorHAnsi" w:hAnsiTheme="majorHAnsi"/>
          <w:color w:val="231F20"/>
          <w:sz w:val="20"/>
        </w:rPr>
        <w:t>Medidas derogadas y/o sustituidas por medidas adoptadas en 2024</w:t>
      </w:r>
    </w:p>
    <w:p w14:paraId="30BE8025" w14:textId="77777777" w:rsidR="00E158A1" w:rsidRPr="00C620F0" w:rsidRDefault="00E158A1" w:rsidP="00323B76">
      <w:pPr>
        <w:pStyle w:val="BodyText"/>
        <w:spacing w:before="28"/>
        <w:jc w:val="both"/>
        <w:rPr>
          <w:rFonts w:asciiTheme="majorHAnsi" w:hAnsiTheme="majorHAnsi"/>
          <w:b/>
          <w:sz w:val="20"/>
          <w:szCs w:val="20"/>
        </w:rPr>
      </w:pPr>
    </w:p>
    <w:p w14:paraId="1746D1F4" w14:textId="7B70AC16" w:rsidR="00E158A1" w:rsidRPr="00C620F0" w:rsidRDefault="003A5EC9" w:rsidP="00323B76">
      <w:pPr>
        <w:spacing w:line="268" w:lineRule="auto"/>
        <w:ind w:right="127"/>
        <w:jc w:val="both"/>
        <w:rPr>
          <w:rFonts w:asciiTheme="majorHAnsi" w:hAnsiTheme="majorHAnsi"/>
          <w:sz w:val="20"/>
          <w:szCs w:val="20"/>
        </w:rPr>
      </w:pPr>
      <w:r w:rsidRPr="00C620F0">
        <w:rPr>
          <w:rFonts w:asciiTheme="majorHAnsi" w:hAnsiTheme="majorHAnsi"/>
          <w:color w:val="231F20"/>
          <w:sz w:val="20"/>
        </w:rPr>
        <w:t xml:space="preserve">Rec. 14-13: </w:t>
      </w:r>
      <w:r w:rsidRPr="00C620F0">
        <w:rPr>
          <w:rFonts w:asciiTheme="majorHAnsi" w:hAnsiTheme="majorHAnsi"/>
          <w:i/>
          <w:color w:val="231F20"/>
          <w:sz w:val="20"/>
        </w:rPr>
        <w:t>Recomendación de ICCAT que enmienda la Recomendación de ICCAT para mejorar el diálogo entre los gestores y científicos pesqueros</w:t>
      </w:r>
    </w:p>
    <w:p w14:paraId="12F12E32" w14:textId="012BC4AD" w:rsidR="00E158A1" w:rsidRPr="00C620F0" w:rsidRDefault="003A5EC9" w:rsidP="00323B76">
      <w:pPr>
        <w:pStyle w:val="BodyText"/>
        <w:spacing w:before="152"/>
        <w:jc w:val="both"/>
        <w:rPr>
          <w:rFonts w:asciiTheme="majorHAnsi" w:hAnsiTheme="majorHAnsi"/>
          <w:sz w:val="20"/>
          <w:szCs w:val="20"/>
        </w:rPr>
      </w:pPr>
      <w:r w:rsidRPr="00C620F0">
        <w:rPr>
          <w:rFonts w:asciiTheme="majorHAnsi" w:hAnsiTheme="majorHAnsi"/>
          <w:color w:val="0F4B8E"/>
          <w:sz w:val="20"/>
        </w:rPr>
        <w:t>Derogada y sustituida por la Rec. 24-13</w:t>
      </w:r>
    </w:p>
    <w:p w14:paraId="351F21B2" w14:textId="002E9769" w:rsidR="00E158A1" w:rsidRPr="00C620F0" w:rsidRDefault="003A5EC9" w:rsidP="00323B76">
      <w:pPr>
        <w:spacing w:before="177"/>
        <w:jc w:val="both"/>
        <w:rPr>
          <w:rFonts w:asciiTheme="majorHAnsi" w:hAnsiTheme="majorHAnsi"/>
          <w:i/>
          <w:sz w:val="20"/>
          <w:szCs w:val="20"/>
        </w:rPr>
      </w:pPr>
      <w:r w:rsidRPr="00C620F0">
        <w:rPr>
          <w:rFonts w:asciiTheme="majorHAnsi" w:hAnsiTheme="majorHAnsi"/>
          <w:color w:val="231F20"/>
          <w:sz w:val="20"/>
        </w:rPr>
        <w:t xml:space="preserve">Rec. 17-02: </w:t>
      </w:r>
      <w:r w:rsidRPr="00C620F0">
        <w:rPr>
          <w:rFonts w:asciiTheme="majorHAnsi" w:hAnsiTheme="majorHAnsi"/>
          <w:i/>
          <w:iCs/>
          <w:color w:val="231F20"/>
          <w:sz w:val="20"/>
        </w:rPr>
        <w:t>Recomendación de ICCAT que enmienda la Recomendación</w:t>
      </w:r>
      <w:r w:rsidR="008A5367" w:rsidRPr="00C620F0">
        <w:rPr>
          <w:rFonts w:asciiTheme="majorHAnsi" w:hAnsiTheme="majorHAnsi"/>
          <w:i/>
          <w:iCs/>
          <w:color w:val="231F20"/>
          <w:sz w:val="20"/>
        </w:rPr>
        <w:t xml:space="preserve"> </w:t>
      </w:r>
      <w:r w:rsidRPr="00C620F0">
        <w:rPr>
          <w:rFonts w:asciiTheme="majorHAnsi" w:hAnsiTheme="majorHAnsi"/>
          <w:i/>
          <w:iCs/>
          <w:color w:val="231F20"/>
          <w:sz w:val="20"/>
        </w:rPr>
        <w:t>16-03 sobre la conservación del pez espada del Atlántico norte</w:t>
      </w:r>
    </w:p>
    <w:p w14:paraId="065C6948" w14:textId="6E280DAA" w:rsidR="00E158A1" w:rsidRPr="00C620F0" w:rsidRDefault="003A5EC9" w:rsidP="00323B76">
      <w:pPr>
        <w:pStyle w:val="BodyText"/>
        <w:spacing w:before="177"/>
        <w:jc w:val="both"/>
        <w:rPr>
          <w:rFonts w:asciiTheme="majorHAnsi" w:hAnsiTheme="majorHAnsi"/>
          <w:sz w:val="20"/>
          <w:szCs w:val="20"/>
        </w:rPr>
      </w:pPr>
      <w:r w:rsidRPr="00C620F0">
        <w:rPr>
          <w:rFonts w:asciiTheme="majorHAnsi" w:hAnsiTheme="majorHAnsi"/>
          <w:color w:val="0F4B8E"/>
          <w:sz w:val="20"/>
        </w:rPr>
        <w:t>Derogada y sustituida por la Rec. 24-10</w:t>
      </w:r>
    </w:p>
    <w:p w14:paraId="7F88446C" w14:textId="721E9836" w:rsidR="00E158A1" w:rsidRPr="00C620F0" w:rsidRDefault="003A5EC9" w:rsidP="00323B76">
      <w:pPr>
        <w:spacing w:before="177"/>
        <w:jc w:val="both"/>
        <w:rPr>
          <w:rFonts w:asciiTheme="majorHAnsi" w:hAnsiTheme="majorHAnsi"/>
          <w:i/>
          <w:sz w:val="20"/>
          <w:szCs w:val="20"/>
        </w:rPr>
      </w:pPr>
      <w:r w:rsidRPr="00C620F0">
        <w:rPr>
          <w:rFonts w:asciiTheme="majorHAnsi" w:hAnsiTheme="majorHAnsi"/>
          <w:color w:val="231F20"/>
          <w:sz w:val="20"/>
        </w:rPr>
        <w:t xml:space="preserve">Res. 19-04: </w:t>
      </w:r>
      <w:r w:rsidRPr="00C620F0">
        <w:rPr>
          <w:rFonts w:asciiTheme="majorHAnsi" w:hAnsiTheme="majorHAnsi"/>
          <w:i/>
          <w:iCs/>
          <w:color w:val="231F20"/>
          <w:sz w:val="20"/>
        </w:rPr>
        <w:t>Resolución de ICCAT sobre el desarrollo de los objetivos iniciales de ordenación para el pez espada del Atlántico norte</w:t>
      </w:r>
    </w:p>
    <w:p w14:paraId="29B5EE27" w14:textId="29D66FF9" w:rsidR="00E158A1" w:rsidRPr="00C620F0" w:rsidRDefault="003A5EC9" w:rsidP="00323B76">
      <w:pPr>
        <w:pStyle w:val="BodyText"/>
        <w:spacing w:before="177"/>
        <w:jc w:val="both"/>
        <w:rPr>
          <w:rFonts w:asciiTheme="majorHAnsi" w:hAnsiTheme="majorHAnsi"/>
          <w:color w:val="0F4B8E"/>
          <w:sz w:val="20"/>
          <w:szCs w:val="20"/>
        </w:rPr>
      </w:pPr>
      <w:r w:rsidRPr="00C620F0">
        <w:rPr>
          <w:rFonts w:asciiTheme="majorHAnsi" w:hAnsiTheme="majorHAnsi"/>
          <w:color w:val="0F4B8E"/>
          <w:sz w:val="20"/>
        </w:rPr>
        <w:t>Derogada y sustituida por la Rec. 24-10</w:t>
      </w:r>
    </w:p>
    <w:p w14:paraId="437E1F04" w14:textId="44E0A3AB" w:rsidR="007142F0" w:rsidRPr="00C620F0" w:rsidRDefault="007142F0" w:rsidP="00323B76">
      <w:pPr>
        <w:pStyle w:val="BodyText"/>
        <w:spacing w:before="177"/>
        <w:jc w:val="both"/>
        <w:rPr>
          <w:rFonts w:asciiTheme="majorHAnsi" w:hAnsiTheme="majorHAnsi"/>
          <w:i/>
          <w:color w:val="231F20"/>
          <w:sz w:val="20"/>
          <w:szCs w:val="20"/>
        </w:rPr>
      </w:pPr>
      <w:r w:rsidRPr="00C620F0">
        <w:rPr>
          <w:rFonts w:asciiTheme="majorHAnsi" w:hAnsiTheme="majorHAnsi"/>
          <w:color w:val="231F20"/>
          <w:sz w:val="20"/>
        </w:rPr>
        <w:t xml:space="preserve">Rec. 21-15:  </w:t>
      </w:r>
      <w:r w:rsidRPr="00C620F0">
        <w:rPr>
          <w:rFonts w:asciiTheme="majorHAnsi" w:hAnsiTheme="majorHAnsi"/>
          <w:i/>
          <w:color w:val="231F20"/>
          <w:sz w:val="20"/>
        </w:rPr>
        <w:t>Recomendación de ICCAT sobre transbordo</w:t>
      </w:r>
    </w:p>
    <w:p w14:paraId="5878B5EB" w14:textId="56F6BE60" w:rsidR="007142F0" w:rsidRPr="00C620F0" w:rsidRDefault="007142F0" w:rsidP="00323B76">
      <w:pPr>
        <w:pStyle w:val="BodyText"/>
        <w:spacing w:before="177"/>
        <w:jc w:val="both"/>
        <w:rPr>
          <w:rFonts w:asciiTheme="majorHAnsi" w:hAnsiTheme="majorHAnsi"/>
          <w:color w:val="0F4B8E"/>
          <w:sz w:val="20"/>
          <w:szCs w:val="20"/>
        </w:rPr>
      </w:pPr>
      <w:r w:rsidRPr="00C620F0">
        <w:rPr>
          <w:rFonts w:asciiTheme="majorHAnsi" w:hAnsiTheme="majorHAnsi"/>
          <w:color w:val="0F4B8E"/>
          <w:sz w:val="20"/>
        </w:rPr>
        <w:t>Derogada y sustituida por la Rec. 24-15</w:t>
      </w:r>
    </w:p>
    <w:p w14:paraId="3CC5FB4F" w14:textId="13847B17" w:rsidR="00E158A1" w:rsidRPr="00C620F0" w:rsidRDefault="003A5EC9" w:rsidP="00323B76">
      <w:pPr>
        <w:spacing w:before="178"/>
        <w:jc w:val="both"/>
        <w:rPr>
          <w:rFonts w:asciiTheme="majorHAnsi" w:hAnsiTheme="majorHAnsi"/>
          <w:i/>
          <w:sz w:val="20"/>
          <w:szCs w:val="20"/>
        </w:rPr>
      </w:pPr>
      <w:r w:rsidRPr="00C620F0">
        <w:rPr>
          <w:rFonts w:asciiTheme="majorHAnsi" w:hAnsiTheme="majorHAnsi"/>
          <w:color w:val="231F20"/>
          <w:sz w:val="20"/>
        </w:rPr>
        <w:t xml:space="preserve">Rec. 22-01: </w:t>
      </w:r>
      <w:r w:rsidRPr="00C620F0">
        <w:rPr>
          <w:rFonts w:asciiTheme="majorHAnsi" w:hAnsiTheme="majorHAnsi"/>
          <w:i/>
          <w:iCs/>
          <w:color w:val="231F20"/>
          <w:sz w:val="20"/>
        </w:rPr>
        <w:t>Recomendación</w:t>
      </w:r>
      <w:r w:rsidRPr="00C620F0">
        <w:rPr>
          <w:rFonts w:asciiTheme="majorHAnsi" w:hAnsiTheme="majorHAnsi"/>
          <w:i/>
          <w:color w:val="231F20"/>
          <w:sz w:val="20"/>
        </w:rPr>
        <w:t xml:space="preserve"> de ICCAT que reemplaza la Recomendación 21-01 sobre un programa plurianual de conservación y ordenación para los túnidos tropicales</w:t>
      </w:r>
    </w:p>
    <w:p w14:paraId="1246D20E" w14:textId="203C247A" w:rsidR="00E158A1" w:rsidRPr="00C620F0" w:rsidRDefault="003A5EC9" w:rsidP="00323B76">
      <w:pPr>
        <w:pStyle w:val="BodyText"/>
        <w:spacing w:before="177"/>
        <w:jc w:val="both"/>
        <w:rPr>
          <w:rFonts w:asciiTheme="majorHAnsi" w:hAnsiTheme="majorHAnsi"/>
          <w:sz w:val="20"/>
          <w:szCs w:val="20"/>
        </w:rPr>
      </w:pPr>
      <w:r w:rsidRPr="00C620F0">
        <w:rPr>
          <w:rFonts w:asciiTheme="majorHAnsi" w:hAnsiTheme="majorHAnsi"/>
          <w:color w:val="0F4B8E"/>
          <w:sz w:val="20"/>
        </w:rPr>
        <w:t>Derogada y sustituida por la Rec. 24-01</w:t>
      </w:r>
    </w:p>
    <w:p w14:paraId="72F67DE7" w14:textId="66AC6116" w:rsidR="00E158A1" w:rsidRPr="00C620F0" w:rsidRDefault="003A5EC9" w:rsidP="00323B76">
      <w:pPr>
        <w:spacing w:before="177"/>
        <w:jc w:val="both"/>
        <w:rPr>
          <w:rFonts w:asciiTheme="majorHAnsi" w:hAnsiTheme="majorHAnsi"/>
          <w:i/>
          <w:sz w:val="20"/>
          <w:szCs w:val="20"/>
        </w:rPr>
      </w:pPr>
      <w:r w:rsidRPr="00C620F0">
        <w:rPr>
          <w:rFonts w:asciiTheme="majorHAnsi" w:hAnsiTheme="majorHAnsi"/>
          <w:color w:val="231F20"/>
          <w:sz w:val="20"/>
        </w:rPr>
        <w:t>Re</w:t>
      </w:r>
      <w:r w:rsidR="00544D91" w:rsidRPr="00C620F0">
        <w:rPr>
          <w:rFonts w:asciiTheme="majorHAnsi" w:hAnsiTheme="majorHAnsi"/>
          <w:color w:val="231F20"/>
          <w:sz w:val="20"/>
        </w:rPr>
        <w:t>s</w:t>
      </w:r>
      <w:r w:rsidRPr="00C620F0">
        <w:rPr>
          <w:rFonts w:asciiTheme="majorHAnsi" w:hAnsiTheme="majorHAnsi"/>
          <w:color w:val="231F20"/>
          <w:sz w:val="20"/>
        </w:rPr>
        <w:t xml:space="preserve">. 22-02: </w:t>
      </w:r>
      <w:r w:rsidRPr="00C620F0">
        <w:rPr>
          <w:rFonts w:asciiTheme="majorHAnsi" w:hAnsiTheme="majorHAnsi"/>
          <w:i/>
          <w:color w:val="231F20"/>
          <w:sz w:val="20"/>
        </w:rPr>
        <w:t>Resolución de ICCAT sobre el desarrollo de objetivos de ordenación conceptuales iniciales para el listado del Atlántico occidental</w:t>
      </w:r>
    </w:p>
    <w:p w14:paraId="754904CB" w14:textId="013639A5" w:rsidR="00E158A1" w:rsidRPr="00C620F0" w:rsidRDefault="003A5EC9" w:rsidP="00323B76">
      <w:pPr>
        <w:pStyle w:val="BodyText"/>
        <w:spacing w:before="177"/>
        <w:jc w:val="both"/>
        <w:rPr>
          <w:rFonts w:asciiTheme="majorHAnsi" w:hAnsiTheme="majorHAnsi"/>
          <w:sz w:val="20"/>
          <w:szCs w:val="20"/>
        </w:rPr>
      </w:pPr>
      <w:r w:rsidRPr="00C620F0">
        <w:rPr>
          <w:rFonts w:asciiTheme="majorHAnsi" w:hAnsiTheme="majorHAnsi"/>
          <w:color w:val="0F4B8E"/>
          <w:sz w:val="20"/>
        </w:rPr>
        <w:t>Derogada y sustituida por la Rec. 24-04</w:t>
      </w:r>
    </w:p>
    <w:p w14:paraId="670734AD" w14:textId="411AAA71" w:rsidR="00E158A1" w:rsidRPr="00C620F0" w:rsidRDefault="003A5EC9" w:rsidP="00323B76">
      <w:pPr>
        <w:spacing w:before="178"/>
        <w:jc w:val="both"/>
        <w:rPr>
          <w:rFonts w:asciiTheme="majorHAnsi" w:hAnsiTheme="majorHAnsi"/>
          <w:i/>
          <w:sz w:val="20"/>
          <w:szCs w:val="20"/>
        </w:rPr>
      </w:pPr>
      <w:r w:rsidRPr="00C620F0">
        <w:rPr>
          <w:rFonts w:asciiTheme="majorHAnsi" w:hAnsiTheme="majorHAnsi"/>
          <w:color w:val="231F20"/>
          <w:sz w:val="20"/>
        </w:rPr>
        <w:t xml:space="preserve">Rec. 22-05:  </w:t>
      </w:r>
      <w:r w:rsidRPr="00C620F0">
        <w:rPr>
          <w:rFonts w:asciiTheme="majorHAnsi" w:hAnsiTheme="majorHAnsi"/>
          <w:i/>
          <w:iCs/>
          <w:color w:val="231F20"/>
          <w:sz w:val="20"/>
        </w:rPr>
        <w:t>Recomendación de ICCAT que enmienda la Recomendación 21-06 para establecer un plan de recuperación para el atún blanco del Mediterráneo</w:t>
      </w:r>
    </w:p>
    <w:p w14:paraId="1A7CC0CB" w14:textId="0866EF66" w:rsidR="00E158A1" w:rsidRPr="00C620F0" w:rsidRDefault="003A5EC9" w:rsidP="00323B76">
      <w:pPr>
        <w:pStyle w:val="BodyText"/>
        <w:spacing w:before="179"/>
        <w:jc w:val="both"/>
        <w:rPr>
          <w:rFonts w:asciiTheme="majorHAnsi" w:hAnsiTheme="majorHAnsi"/>
          <w:sz w:val="20"/>
          <w:szCs w:val="20"/>
        </w:rPr>
      </w:pPr>
      <w:r w:rsidRPr="00C620F0">
        <w:rPr>
          <w:rFonts w:asciiTheme="majorHAnsi" w:hAnsiTheme="majorHAnsi"/>
          <w:color w:val="0F4B8E"/>
          <w:sz w:val="20"/>
        </w:rPr>
        <w:t>Derogada y sustituida por la Rec. 24-08</w:t>
      </w:r>
    </w:p>
    <w:p w14:paraId="082E86D0" w14:textId="407C8114" w:rsidR="00E158A1" w:rsidRPr="00C620F0" w:rsidRDefault="003A5EC9" w:rsidP="00323B76">
      <w:pPr>
        <w:spacing w:before="177"/>
        <w:jc w:val="both"/>
        <w:rPr>
          <w:rFonts w:asciiTheme="majorHAnsi" w:hAnsiTheme="majorHAnsi"/>
          <w:i/>
          <w:sz w:val="20"/>
          <w:szCs w:val="20"/>
        </w:rPr>
      </w:pPr>
      <w:r w:rsidRPr="00C620F0">
        <w:rPr>
          <w:rFonts w:asciiTheme="majorHAnsi" w:hAnsiTheme="majorHAnsi"/>
          <w:color w:val="231F20"/>
          <w:sz w:val="20"/>
        </w:rPr>
        <w:t xml:space="preserve">Rec. 22-08: </w:t>
      </w:r>
      <w:r w:rsidRPr="00C620F0">
        <w:rPr>
          <w:rFonts w:asciiTheme="majorHAnsi" w:hAnsiTheme="majorHAnsi"/>
          <w:i/>
          <w:color w:val="231F20"/>
          <w:sz w:val="20"/>
        </w:rPr>
        <w:t>Recomendación de ICCAT que enmienda la Recomendación 21-08 sobre el establecimiento de un plan de recuperación plurianual para el atún rojo en el Atlántico este y Mediterráneo</w:t>
      </w:r>
    </w:p>
    <w:p w14:paraId="7BF67CDA" w14:textId="57C5D5ED" w:rsidR="00E158A1" w:rsidRPr="00C620F0" w:rsidRDefault="003A5EC9" w:rsidP="00323B76">
      <w:pPr>
        <w:pStyle w:val="BodyText"/>
        <w:spacing w:before="177"/>
        <w:jc w:val="both"/>
        <w:rPr>
          <w:rFonts w:asciiTheme="majorHAnsi" w:hAnsiTheme="majorHAnsi"/>
          <w:sz w:val="20"/>
          <w:szCs w:val="20"/>
        </w:rPr>
      </w:pPr>
      <w:r w:rsidRPr="00C620F0">
        <w:rPr>
          <w:rFonts w:asciiTheme="majorHAnsi" w:hAnsiTheme="majorHAnsi"/>
          <w:color w:val="0F4B8E"/>
          <w:sz w:val="20"/>
        </w:rPr>
        <w:t>Derogada y sustituida por la Rec. 24-05</w:t>
      </w:r>
    </w:p>
    <w:p w14:paraId="3A20A63D" w14:textId="52BE78CC" w:rsidR="00E158A1" w:rsidRPr="00C620F0" w:rsidRDefault="003A5EC9" w:rsidP="00323B76">
      <w:pPr>
        <w:spacing w:before="178"/>
        <w:jc w:val="both"/>
        <w:rPr>
          <w:rFonts w:asciiTheme="majorHAnsi" w:hAnsiTheme="majorHAnsi"/>
          <w:i/>
          <w:sz w:val="20"/>
          <w:szCs w:val="20"/>
        </w:rPr>
      </w:pPr>
      <w:r w:rsidRPr="00C620F0">
        <w:rPr>
          <w:rFonts w:asciiTheme="majorHAnsi" w:hAnsiTheme="majorHAnsi"/>
          <w:color w:val="231F20"/>
          <w:sz w:val="20"/>
        </w:rPr>
        <w:t xml:space="preserve">Rec. 22-16: </w:t>
      </w:r>
      <w:r w:rsidRPr="00C620F0">
        <w:rPr>
          <w:rFonts w:asciiTheme="majorHAnsi" w:hAnsiTheme="majorHAnsi"/>
          <w:i/>
          <w:color w:val="231F20"/>
          <w:sz w:val="20"/>
        </w:rPr>
        <w:t>Recomendación de ICCAT que enmienda la Recomendación 21-18 sobre la aplicación del sistema eBCD</w:t>
      </w:r>
    </w:p>
    <w:p w14:paraId="1196537F" w14:textId="082C3C6C" w:rsidR="00E158A1" w:rsidRPr="00C620F0" w:rsidRDefault="003A5EC9" w:rsidP="00323B76">
      <w:pPr>
        <w:pStyle w:val="BodyText"/>
        <w:spacing w:before="177"/>
        <w:jc w:val="both"/>
        <w:rPr>
          <w:rFonts w:asciiTheme="majorHAnsi" w:hAnsiTheme="majorHAnsi"/>
          <w:color w:val="0F4B8E"/>
          <w:sz w:val="20"/>
          <w:szCs w:val="20"/>
        </w:rPr>
      </w:pPr>
      <w:r w:rsidRPr="00C620F0">
        <w:rPr>
          <w:rFonts w:asciiTheme="majorHAnsi" w:hAnsiTheme="majorHAnsi"/>
          <w:color w:val="0F4B8E"/>
          <w:sz w:val="20"/>
        </w:rPr>
        <w:t>Derogada y sustituida por la Rec. 24-16</w:t>
      </w:r>
    </w:p>
    <w:p w14:paraId="6EC10ECB" w14:textId="430D90F2" w:rsidR="00961BF6" w:rsidRPr="00C620F0" w:rsidRDefault="00961BF6" w:rsidP="00323B76">
      <w:pPr>
        <w:spacing w:before="177"/>
        <w:jc w:val="both"/>
        <w:rPr>
          <w:rFonts w:asciiTheme="majorHAnsi" w:hAnsiTheme="majorHAnsi"/>
          <w:i/>
          <w:sz w:val="20"/>
          <w:szCs w:val="20"/>
        </w:rPr>
      </w:pPr>
      <w:r w:rsidRPr="00C620F0">
        <w:rPr>
          <w:rFonts w:asciiTheme="majorHAnsi" w:hAnsiTheme="majorHAnsi"/>
          <w:color w:val="231F20"/>
          <w:sz w:val="20"/>
        </w:rPr>
        <w:t xml:space="preserve">Rec. 22-17: </w:t>
      </w:r>
      <w:r w:rsidRPr="00C620F0">
        <w:rPr>
          <w:rFonts w:asciiTheme="majorHAnsi" w:hAnsiTheme="majorHAnsi"/>
          <w:i/>
          <w:color w:val="231F20"/>
          <w:sz w:val="20"/>
        </w:rPr>
        <w:t xml:space="preserve">Recomendación de ICCAT sobre la aplicación del sistema integrado de gestión en línea </w:t>
      </w:r>
    </w:p>
    <w:p w14:paraId="7F617B5A" w14:textId="6E87CE3B" w:rsidR="00961BF6" w:rsidRPr="00C620F0" w:rsidRDefault="00961BF6" w:rsidP="00323B76">
      <w:pPr>
        <w:pStyle w:val="BodyText"/>
        <w:spacing w:before="177"/>
        <w:jc w:val="both"/>
        <w:rPr>
          <w:rFonts w:asciiTheme="majorHAnsi" w:hAnsiTheme="majorHAnsi"/>
          <w:sz w:val="20"/>
          <w:szCs w:val="20"/>
        </w:rPr>
      </w:pPr>
      <w:r w:rsidRPr="00C620F0">
        <w:rPr>
          <w:rFonts w:asciiTheme="majorHAnsi" w:hAnsiTheme="majorHAnsi"/>
          <w:color w:val="0F4B8E"/>
          <w:sz w:val="20"/>
        </w:rPr>
        <w:t>Derogada y sustituida por la Rec. 24-17</w:t>
      </w:r>
    </w:p>
    <w:p w14:paraId="59C62467" w14:textId="173626E5" w:rsidR="00961BF6" w:rsidRPr="00C620F0" w:rsidRDefault="00961BF6" w:rsidP="00323B76">
      <w:pPr>
        <w:spacing w:before="178"/>
        <w:jc w:val="both"/>
        <w:rPr>
          <w:rFonts w:asciiTheme="majorHAnsi" w:hAnsiTheme="majorHAnsi"/>
          <w:i/>
          <w:sz w:val="20"/>
          <w:szCs w:val="20"/>
        </w:rPr>
      </w:pPr>
      <w:r w:rsidRPr="00C620F0">
        <w:rPr>
          <w:rFonts w:asciiTheme="majorHAnsi" w:hAnsiTheme="majorHAnsi"/>
          <w:color w:val="231F20"/>
          <w:sz w:val="20"/>
        </w:rPr>
        <w:t xml:space="preserve">Ref. 22-19: </w:t>
      </w:r>
      <w:r w:rsidRPr="00C620F0">
        <w:rPr>
          <w:rFonts w:asciiTheme="majorHAnsi" w:hAnsiTheme="majorHAnsi"/>
          <w:i/>
          <w:iCs/>
          <w:color w:val="231F20"/>
          <w:sz w:val="20"/>
        </w:rPr>
        <w:t>Número de documento en la declaración de transbordo</w:t>
      </w:r>
    </w:p>
    <w:p w14:paraId="216F753C" w14:textId="06027DAA" w:rsidR="00961BF6" w:rsidRPr="00C620F0" w:rsidRDefault="00961BF6" w:rsidP="00323B76">
      <w:pPr>
        <w:pStyle w:val="BodyText"/>
        <w:spacing w:before="177"/>
        <w:jc w:val="both"/>
        <w:rPr>
          <w:rFonts w:asciiTheme="majorHAnsi" w:hAnsiTheme="majorHAnsi"/>
          <w:sz w:val="20"/>
          <w:szCs w:val="20"/>
        </w:rPr>
      </w:pPr>
      <w:r w:rsidRPr="00C620F0">
        <w:rPr>
          <w:rFonts w:asciiTheme="majorHAnsi" w:hAnsiTheme="majorHAnsi"/>
          <w:color w:val="0F4B8E"/>
          <w:sz w:val="20"/>
        </w:rPr>
        <w:t>Derogada y sustituida por la Rec. 24-15</w:t>
      </w:r>
    </w:p>
    <w:p w14:paraId="4BF15544" w14:textId="1090A42C" w:rsidR="00961BF6" w:rsidRPr="00C620F0" w:rsidRDefault="00961BF6" w:rsidP="00323B76">
      <w:pPr>
        <w:spacing w:before="177"/>
        <w:jc w:val="both"/>
        <w:rPr>
          <w:rFonts w:asciiTheme="majorHAnsi" w:hAnsiTheme="majorHAnsi"/>
          <w:i/>
          <w:sz w:val="20"/>
          <w:szCs w:val="20"/>
        </w:rPr>
      </w:pPr>
      <w:r w:rsidRPr="00C620F0">
        <w:rPr>
          <w:rFonts w:asciiTheme="majorHAnsi" w:hAnsiTheme="majorHAnsi"/>
          <w:color w:val="231F20"/>
          <w:sz w:val="20"/>
        </w:rPr>
        <w:t xml:space="preserve">Rec. 23-01: </w:t>
      </w:r>
      <w:r w:rsidRPr="00C620F0">
        <w:rPr>
          <w:rFonts w:asciiTheme="majorHAnsi" w:hAnsiTheme="majorHAnsi"/>
          <w:i/>
          <w:color w:val="231F20"/>
          <w:sz w:val="20"/>
        </w:rPr>
        <w:t>Recomendación de ICCAT que reemplaza la Recomendación 22-01 sobre un programa plurianual de conservación y ordenación para los túnidos tropicales</w:t>
      </w:r>
    </w:p>
    <w:p w14:paraId="0460DCB6" w14:textId="46117FD2" w:rsidR="00961BF6" w:rsidRPr="00C620F0" w:rsidRDefault="00961BF6" w:rsidP="00323B76">
      <w:pPr>
        <w:pStyle w:val="BodyText"/>
        <w:spacing w:before="177"/>
        <w:jc w:val="both"/>
        <w:rPr>
          <w:rFonts w:asciiTheme="majorHAnsi" w:hAnsiTheme="majorHAnsi"/>
          <w:color w:val="0F4B8E"/>
          <w:sz w:val="20"/>
        </w:rPr>
      </w:pPr>
      <w:r w:rsidRPr="00C620F0">
        <w:rPr>
          <w:rFonts w:asciiTheme="majorHAnsi" w:hAnsiTheme="majorHAnsi"/>
          <w:color w:val="0F4B8E"/>
          <w:sz w:val="20"/>
        </w:rPr>
        <w:t>Derogada y sustituida por la Rec. 24-01</w:t>
      </w:r>
    </w:p>
    <w:p w14:paraId="708DE97E" w14:textId="77777777" w:rsidR="00284DF9" w:rsidRPr="00C620F0" w:rsidRDefault="00284DF9" w:rsidP="00323B76">
      <w:pPr>
        <w:pStyle w:val="BodyText"/>
        <w:spacing w:before="177"/>
        <w:jc w:val="both"/>
        <w:rPr>
          <w:rFonts w:asciiTheme="majorHAnsi" w:hAnsiTheme="majorHAnsi"/>
          <w:sz w:val="20"/>
          <w:szCs w:val="20"/>
        </w:rPr>
      </w:pPr>
    </w:p>
    <w:p w14:paraId="12FFDEC7" w14:textId="1ADE72E8" w:rsidR="00961BF6" w:rsidRPr="00C620F0" w:rsidRDefault="00961BF6" w:rsidP="00323B76">
      <w:pPr>
        <w:spacing w:before="178"/>
        <w:jc w:val="both"/>
        <w:rPr>
          <w:rFonts w:asciiTheme="majorHAnsi" w:hAnsiTheme="majorHAnsi"/>
          <w:i/>
          <w:sz w:val="20"/>
          <w:szCs w:val="20"/>
        </w:rPr>
      </w:pPr>
      <w:r w:rsidRPr="00C620F0">
        <w:rPr>
          <w:rFonts w:asciiTheme="majorHAnsi" w:hAnsiTheme="majorHAnsi"/>
          <w:color w:val="231F20"/>
          <w:sz w:val="20"/>
        </w:rPr>
        <w:t xml:space="preserve">Rec. 23-02: </w:t>
      </w:r>
      <w:r w:rsidRPr="00C620F0">
        <w:rPr>
          <w:rFonts w:asciiTheme="majorHAnsi" w:hAnsiTheme="majorHAnsi"/>
          <w:i/>
          <w:iCs/>
          <w:color w:val="231F20"/>
          <w:sz w:val="20"/>
        </w:rPr>
        <w:t>Recomendación de ICCAT sobre el plan de devolución de patudo de Brasil</w:t>
      </w:r>
    </w:p>
    <w:p w14:paraId="7D1235A8" w14:textId="4D0231F9" w:rsidR="00961BF6" w:rsidRPr="00C620F0" w:rsidRDefault="00961BF6" w:rsidP="00323B76">
      <w:pPr>
        <w:pStyle w:val="BodyText"/>
        <w:spacing w:before="177"/>
        <w:jc w:val="both"/>
        <w:rPr>
          <w:rFonts w:asciiTheme="majorHAnsi" w:hAnsiTheme="majorHAnsi"/>
          <w:color w:val="0F4B8E"/>
          <w:sz w:val="20"/>
          <w:szCs w:val="20"/>
        </w:rPr>
      </w:pPr>
      <w:r w:rsidRPr="00C620F0">
        <w:rPr>
          <w:rFonts w:asciiTheme="majorHAnsi" w:hAnsiTheme="majorHAnsi"/>
          <w:color w:val="0F4B8E"/>
          <w:sz w:val="20"/>
        </w:rPr>
        <w:t>Derogada y sustituida por la Rec. 24-03</w:t>
      </w:r>
    </w:p>
    <w:p w14:paraId="59FA14F9" w14:textId="5FB38526" w:rsidR="00961BF6" w:rsidRPr="00C620F0" w:rsidRDefault="00961BF6" w:rsidP="00323B76">
      <w:pPr>
        <w:spacing w:before="177"/>
        <w:jc w:val="both"/>
        <w:rPr>
          <w:rFonts w:asciiTheme="majorHAnsi" w:hAnsiTheme="majorHAnsi"/>
          <w:i/>
          <w:sz w:val="20"/>
          <w:szCs w:val="20"/>
        </w:rPr>
      </w:pPr>
      <w:r w:rsidRPr="00C620F0">
        <w:rPr>
          <w:rFonts w:asciiTheme="majorHAnsi" w:hAnsiTheme="majorHAnsi"/>
          <w:color w:val="231F20"/>
          <w:sz w:val="20"/>
        </w:rPr>
        <w:t>Rec. 23-04</w:t>
      </w:r>
      <w:r w:rsidRPr="00C620F0">
        <w:rPr>
          <w:rFonts w:asciiTheme="majorHAnsi" w:hAnsiTheme="majorHAnsi"/>
          <w:i/>
          <w:iCs/>
          <w:color w:val="231F20"/>
          <w:sz w:val="20"/>
        </w:rPr>
        <w:t>: Recomendación de ICCAT que reemplaza la Recomendación suplementaria 22-03 que amplía y enmienda la Recomendación 17-02 para la conservación del pez espada del Atlántico norte</w:t>
      </w:r>
    </w:p>
    <w:p w14:paraId="6A036F91" w14:textId="599C6BD3" w:rsidR="00961BF6" w:rsidRPr="00C620F0" w:rsidRDefault="00961BF6" w:rsidP="00323B76">
      <w:pPr>
        <w:pStyle w:val="BodyText"/>
        <w:spacing w:before="177"/>
        <w:jc w:val="both"/>
        <w:rPr>
          <w:rFonts w:asciiTheme="majorHAnsi" w:hAnsiTheme="majorHAnsi"/>
          <w:sz w:val="20"/>
          <w:szCs w:val="20"/>
        </w:rPr>
      </w:pPr>
      <w:r w:rsidRPr="00C620F0">
        <w:rPr>
          <w:rFonts w:asciiTheme="majorHAnsi" w:hAnsiTheme="majorHAnsi"/>
          <w:color w:val="0F4B8E"/>
          <w:sz w:val="20"/>
        </w:rPr>
        <w:t>Derogada y sustituida por la Rec. 24-10</w:t>
      </w:r>
    </w:p>
    <w:p w14:paraId="20DC0916" w14:textId="5572A54D" w:rsidR="00961BF6" w:rsidRPr="00C620F0" w:rsidRDefault="00961BF6" w:rsidP="00323B76">
      <w:pPr>
        <w:spacing w:before="178"/>
        <w:jc w:val="both"/>
        <w:rPr>
          <w:rFonts w:asciiTheme="majorHAnsi" w:hAnsiTheme="majorHAnsi"/>
          <w:i/>
          <w:sz w:val="20"/>
          <w:szCs w:val="20"/>
        </w:rPr>
      </w:pPr>
      <w:r w:rsidRPr="00C620F0">
        <w:rPr>
          <w:rFonts w:asciiTheme="majorHAnsi" w:hAnsiTheme="majorHAnsi"/>
          <w:color w:val="231F20"/>
          <w:sz w:val="20"/>
        </w:rPr>
        <w:t xml:space="preserve">Rec. 23-06: </w:t>
      </w:r>
      <w:r w:rsidRPr="00C620F0">
        <w:rPr>
          <w:rFonts w:asciiTheme="majorHAnsi" w:hAnsiTheme="majorHAnsi"/>
          <w:i/>
          <w:color w:val="231F20"/>
          <w:sz w:val="20"/>
        </w:rPr>
        <w:t>Recomendación de ICCAT que enmienda la Recomendación 22-08 sobre el establecimiento de un plan de recuperación plurianual para el atún rojo en el Atlántico este y Mediterráneo</w:t>
      </w:r>
    </w:p>
    <w:p w14:paraId="34554AB0" w14:textId="10DE16DA" w:rsidR="00961BF6" w:rsidRPr="00C620F0" w:rsidRDefault="00961BF6" w:rsidP="00323B76">
      <w:pPr>
        <w:pStyle w:val="BodyText"/>
        <w:spacing w:before="177"/>
        <w:jc w:val="both"/>
        <w:rPr>
          <w:rFonts w:asciiTheme="majorHAnsi" w:hAnsiTheme="majorHAnsi"/>
          <w:color w:val="0F4B8E"/>
          <w:sz w:val="20"/>
          <w:szCs w:val="20"/>
        </w:rPr>
      </w:pPr>
      <w:r w:rsidRPr="00C620F0">
        <w:rPr>
          <w:rFonts w:asciiTheme="majorHAnsi" w:hAnsiTheme="majorHAnsi"/>
          <w:color w:val="0F4B8E"/>
          <w:sz w:val="20"/>
        </w:rPr>
        <w:t>Derogada y sustituida por la Rec. 24-05</w:t>
      </w:r>
    </w:p>
    <w:p w14:paraId="7498D29E" w14:textId="571ABEBF" w:rsidR="00961BF6" w:rsidRPr="00C620F0" w:rsidRDefault="00961BF6" w:rsidP="00323B76">
      <w:pPr>
        <w:spacing w:before="178"/>
        <w:jc w:val="both"/>
        <w:rPr>
          <w:rFonts w:asciiTheme="majorHAnsi" w:hAnsiTheme="majorHAnsi"/>
          <w:i/>
          <w:sz w:val="20"/>
          <w:szCs w:val="20"/>
        </w:rPr>
      </w:pPr>
      <w:r w:rsidRPr="00C620F0">
        <w:rPr>
          <w:rFonts w:asciiTheme="majorHAnsi" w:hAnsiTheme="majorHAnsi"/>
          <w:color w:val="231F20"/>
          <w:sz w:val="20"/>
        </w:rPr>
        <w:t xml:space="preserve">Rec. 23-08: </w:t>
      </w:r>
      <w:r w:rsidRPr="00C620F0">
        <w:rPr>
          <w:rFonts w:asciiTheme="majorHAnsi" w:hAnsiTheme="majorHAnsi"/>
          <w:i/>
          <w:iCs/>
          <w:color w:val="231F20"/>
          <w:sz w:val="20"/>
        </w:rPr>
        <w:t>Recomendación de ICCAT para un proyecto piloto de cría de atún rojo</w:t>
      </w:r>
      <w:r w:rsidRPr="00C620F0">
        <w:rPr>
          <w:rFonts w:asciiTheme="majorHAnsi" w:hAnsiTheme="majorHAnsi"/>
          <w:color w:val="231F20"/>
          <w:sz w:val="20"/>
        </w:rPr>
        <w:t xml:space="preserve"> (Thunnus thynnus</w:t>
      </w:r>
      <w:r w:rsidRPr="00C620F0">
        <w:rPr>
          <w:rFonts w:asciiTheme="majorHAnsi" w:hAnsiTheme="majorHAnsi"/>
          <w:i/>
          <w:color w:val="231F20"/>
          <w:sz w:val="20"/>
        </w:rPr>
        <w:t>) en el mar Cantábrico</w:t>
      </w:r>
    </w:p>
    <w:p w14:paraId="25D4E9D1" w14:textId="075B8EFC" w:rsidR="00961BF6" w:rsidRPr="00C620F0" w:rsidRDefault="00961BF6" w:rsidP="00323B76">
      <w:pPr>
        <w:pStyle w:val="BodyText"/>
        <w:spacing w:before="177"/>
        <w:jc w:val="both"/>
        <w:rPr>
          <w:rFonts w:asciiTheme="majorHAnsi" w:hAnsiTheme="majorHAnsi"/>
          <w:sz w:val="20"/>
          <w:szCs w:val="20"/>
        </w:rPr>
      </w:pPr>
      <w:r w:rsidRPr="00C620F0">
        <w:rPr>
          <w:rFonts w:asciiTheme="majorHAnsi" w:hAnsiTheme="majorHAnsi"/>
          <w:color w:val="0F4B8E"/>
          <w:sz w:val="20"/>
        </w:rPr>
        <w:t>Derogada y sustituida por la Rec. 24-06</w:t>
      </w:r>
    </w:p>
    <w:p w14:paraId="50212657" w14:textId="5395644F" w:rsidR="00961BF6" w:rsidRPr="00C620F0" w:rsidRDefault="00961BF6" w:rsidP="00323B76">
      <w:pPr>
        <w:spacing w:before="178"/>
        <w:jc w:val="both"/>
        <w:rPr>
          <w:rFonts w:asciiTheme="majorHAnsi" w:hAnsiTheme="majorHAnsi"/>
          <w:i/>
          <w:sz w:val="20"/>
          <w:szCs w:val="20"/>
        </w:rPr>
      </w:pPr>
      <w:r w:rsidRPr="00C620F0">
        <w:rPr>
          <w:rFonts w:asciiTheme="majorHAnsi" w:hAnsiTheme="majorHAnsi"/>
          <w:color w:val="231F20"/>
          <w:sz w:val="20"/>
        </w:rPr>
        <w:t>Rec. 23-14:</w:t>
      </w:r>
      <w:r w:rsidR="001E43DE" w:rsidRPr="00C620F0">
        <w:rPr>
          <w:rFonts w:asciiTheme="majorHAnsi" w:hAnsiTheme="majorHAnsi"/>
          <w:color w:val="231F20"/>
          <w:sz w:val="20"/>
        </w:rPr>
        <w:t xml:space="preserve"> </w:t>
      </w:r>
      <w:r w:rsidRPr="00C620F0">
        <w:rPr>
          <w:rFonts w:asciiTheme="majorHAnsi" w:hAnsiTheme="majorHAnsi"/>
          <w:i/>
          <w:color w:val="231F20"/>
          <w:sz w:val="20"/>
        </w:rPr>
        <w:t>Recomendación de ICCAT sobre rayas mobúlidas (familia Mobulidae) capturadas en asociación con las pesquerías de ICCAT</w:t>
      </w:r>
    </w:p>
    <w:p w14:paraId="09F3F314" w14:textId="6212218E" w:rsidR="00961BF6" w:rsidRPr="00C620F0" w:rsidRDefault="00961BF6" w:rsidP="00323B76">
      <w:pPr>
        <w:pStyle w:val="BodyText"/>
        <w:spacing w:before="177"/>
        <w:jc w:val="both"/>
        <w:rPr>
          <w:rFonts w:asciiTheme="majorHAnsi" w:hAnsiTheme="majorHAnsi"/>
          <w:sz w:val="20"/>
          <w:szCs w:val="20"/>
        </w:rPr>
      </w:pPr>
      <w:r w:rsidRPr="00C620F0">
        <w:rPr>
          <w:rFonts w:asciiTheme="majorHAnsi" w:hAnsiTheme="majorHAnsi"/>
          <w:color w:val="0F4B8E"/>
          <w:sz w:val="20"/>
        </w:rPr>
        <w:t>Derogada y sustituida por la Rec. 24-12</w:t>
      </w:r>
    </w:p>
    <w:p w14:paraId="0D9118C4" w14:textId="77777777" w:rsidR="00243214" w:rsidRPr="00C620F0" w:rsidRDefault="00243214" w:rsidP="00243214">
      <w:pPr>
        <w:pStyle w:val="BodyText"/>
        <w:spacing w:before="177"/>
        <w:ind w:left="133"/>
        <w:jc w:val="both"/>
        <w:rPr>
          <w:rFonts w:asciiTheme="majorHAnsi" w:hAnsiTheme="majorHAnsi"/>
          <w:sz w:val="20"/>
          <w:szCs w:val="20"/>
        </w:rPr>
      </w:pPr>
    </w:p>
    <w:p w14:paraId="75F5E7FA" w14:textId="5106264C" w:rsidR="00E158A1" w:rsidRPr="00C620F0" w:rsidRDefault="003A5EC9" w:rsidP="000C3A47">
      <w:pPr>
        <w:pStyle w:val="Heading1"/>
        <w:spacing w:before="91"/>
        <w:ind w:left="0"/>
        <w:jc w:val="both"/>
        <w:rPr>
          <w:rFonts w:asciiTheme="majorHAnsi" w:hAnsiTheme="majorHAnsi"/>
          <w:color w:val="231F20"/>
          <w:sz w:val="20"/>
        </w:rPr>
      </w:pPr>
      <w:r w:rsidRPr="00C620F0">
        <w:rPr>
          <w:rFonts w:asciiTheme="majorHAnsi" w:hAnsiTheme="majorHAnsi"/>
          <w:color w:val="231F20"/>
          <w:sz w:val="20"/>
        </w:rPr>
        <w:t>Sugerencias para una futura simplificación de las Recomendaciones</w:t>
      </w:r>
    </w:p>
    <w:p w14:paraId="75120E68" w14:textId="0ADD3D4C" w:rsidR="001F6B6F" w:rsidRPr="00C620F0" w:rsidRDefault="001F6B6F" w:rsidP="000C3A47">
      <w:pPr>
        <w:pStyle w:val="Heading1"/>
        <w:spacing w:before="91"/>
        <w:ind w:left="0"/>
        <w:jc w:val="both"/>
        <w:rPr>
          <w:rFonts w:asciiTheme="majorHAnsi" w:hAnsiTheme="majorHAnsi"/>
          <w:i/>
          <w:iCs/>
          <w:color w:val="231F20"/>
          <w:sz w:val="20"/>
          <w:u w:val="single"/>
        </w:rPr>
      </w:pPr>
      <w:r w:rsidRPr="00C620F0">
        <w:rPr>
          <w:rFonts w:asciiTheme="majorHAnsi" w:hAnsiTheme="majorHAnsi"/>
          <w:i/>
          <w:iCs/>
          <w:color w:val="231F20"/>
          <w:sz w:val="20"/>
          <w:u w:val="single"/>
        </w:rPr>
        <w:t>Subcomisión 1</w:t>
      </w:r>
    </w:p>
    <w:p w14:paraId="7FA87A7A" w14:textId="74EA08E6" w:rsidR="001F6B6F" w:rsidRPr="00C620F0" w:rsidRDefault="001F6B6F" w:rsidP="000C3A47">
      <w:pPr>
        <w:pStyle w:val="Heading1"/>
        <w:spacing w:before="91"/>
        <w:ind w:left="0"/>
        <w:jc w:val="both"/>
        <w:rPr>
          <w:rFonts w:asciiTheme="majorHAnsi" w:hAnsiTheme="majorHAnsi"/>
          <w:i/>
          <w:iCs/>
          <w:color w:val="231F20"/>
          <w:sz w:val="20"/>
        </w:rPr>
      </w:pPr>
      <w:r w:rsidRPr="00C620F0">
        <w:rPr>
          <w:rFonts w:asciiTheme="majorHAnsi" w:hAnsiTheme="majorHAnsi"/>
          <w:i/>
          <w:iCs/>
          <w:color w:val="231F20"/>
          <w:sz w:val="20"/>
        </w:rPr>
        <w:t>Túnidos tropicales</w:t>
      </w:r>
    </w:p>
    <w:p w14:paraId="0C1E25A1" w14:textId="77777777" w:rsidR="001F6B6F" w:rsidRPr="00C620F0" w:rsidRDefault="001F6B6F">
      <w:pPr>
        <w:rPr>
          <w:rFonts w:asciiTheme="majorHAnsi" w:hAnsiTheme="majorHAnsi"/>
          <w:b/>
          <w:bCs/>
          <w:i/>
          <w:iCs/>
          <w:color w:val="231F20"/>
          <w:sz w:val="20"/>
          <w:u w:val="single"/>
        </w:rPr>
      </w:pPr>
    </w:p>
    <w:p w14:paraId="7B9641F7" w14:textId="62217089" w:rsidR="001F6B6F" w:rsidRPr="00C620F0" w:rsidRDefault="0078411F" w:rsidP="0091358E">
      <w:pPr>
        <w:pStyle w:val="BodyText"/>
        <w:numPr>
          <w:ilvl w:val="0"/>
          <w:numId w:val="6"/>
        </w:numPr>
        <w:spacing w:line="256" w:lineRule="auto"/>
        <w:ind w:left="426" w:right="132"/>
        <w:jc w:val="both"/>
        <w:rPr>
          <w:rFonts w:asciiTheme="majorHAnsi" w:hAnsiTheme="majorHAnsi"/>
          <w:sz w:val="20"/>
          <w:szCs w:val="20"/>
        </w:rPr>
      </w:pPr>
      <w:r w:rsidRPr="00C620F0">
        <w:rPr>
          <w:rFonts w:asciiTheme="majorHAnsi" w:hAnsiTheme="majorHAnsi"/>
          <w:sz w:val="20"/>
        </w:rPr>
        <w:t xml:space="preserve">Con el fin de </w:t>
      </w:r>
      <w:r w:rsidR="00835626" w:rsidRPr="00C620F0">
        <w:rPr>
          <w:rFonts w:asciiTheme="majorHAnsi" w:hAnsiTheme="majorHAnsi"/>
          <w:sz w:val="20"/>
          <w:u w:val="single"/>
        </w:rPr>
        <w:t>armonizar las disposiciones sobre datos y</w:t>
      </w:r>
      <w:r w:rsidR="00835626" w:rsidRPr="00C620F0">
        <w:rPr>
          <w:rFonts w:asciiTheme="majorHAnsi" w:hAnsiTheme="majorHAnsi"/>
          <w:sz w:val="20"/>
        </w:rPr>
        <w:t xml:space="preserve"> </w:t>
      </w:r>
      <w:r w:rsidR="001F6B6F" w:rsidRPr="00C620F0">
        <w:rPr>
          <w:rFonts w:asciiTheme="majorHAnsi" w:hAnsiTheme="majorHAnsi"/>
          <w:sz w:val="20"/>
        </w:rPr>
        <w:t xml:space="preserve">reducir la actual carga de comunicación de las CPC, así como para minimizar la redundancia y las discrepancias en los datos presentados en virtud de los requisitos M:TRO09 y M:TRO13, se sugiere que los datos de captura de túnidos tropicales se comuniquen exclusivamente con periodicidad mensual hasta que se haya alcanzado el 80 % del </w:t>
      </w:r>
      <w:r w:rsidR="001F6B6F" w:rsidRPr="00C620F0">
        <w:rPr>
          <w:rFonts w:asciiTheme="majorHAnsi" w:hAnsiTheme="majorHAnsi"/>
        </w:rPr>
        <w:t>límite</w:t>
      </w:r>
      <w:r w:rsidR="001F6B6F" w:rsidRPr="00C620F0">
        <w:rPr>
          <w:rFonts w:asciiTheme="majorHAnsi" w:hAnsiTheme="majorHAnsi"/>
          <w:sz w:val="20"/>
        </w:rPr>
        <w:t xml:space="preserve"> de captura de patudo de la CPC. A partir de ese momento, los informes de capturas serían semanales.</w:t>
      </w:r>
    </w:p>
    <w:p w14:paraId="4E6D8E93" w14:textId="77777777" w:rsidR="001F6B6F" w:rsidRPr="00C620F0" w:rsidRDefault="001F6B6F" w:rsidP="001F6B6F">
      <w:pPr>
        <w:pStyle w:val="BodyText"/>
        <w:spacing w:line="256" w:lineRule="auto"/>
        <w:ind w:left="720" w:right="132"/>
        <w:jc w:val="both"/>
        <w:rPr>
          <w:rFonts w:asciiTheme="majorHAnsi" w:hAnsiTheme="majorHAnsi"/>
          <w:sz w:val="20"/>
          <w:szCs w:val="20"/>
          <w:u w:val="single"/>
        </w:rPr>
      </w:pPr>
    </w:p>
    <w:p w14:paraId="5C038254" w14:textId="6B51A311" w:rsidR="001F6B6F" w:rsidRPr="00C620F0" w:rsidRDefault="0078411F" w:rsidP="00E502BA">
      <w:pPr>
        <w:pStyle w:val="BodyText"/>
        <w:spacing w:line="256" w:lineRule="auto"/>
        <w:ind w:left="426" w:right="132"/>
        <w:jc w:val="both"/>
        <w:rPr>
          <w:rFonts w:asciiTheme="majorHAnsi" w:hAnsiTheme="majorHAnsi"/>
          <w:sz w:val="20"/>
          <w:u w:val="single"/>
        </w:rPr>
      </w:pPr>
      <w:r w:rsidRPr="00C620F0">
        <w:rPr>
          <w:rFonts w:asciiTheme="majorHAnsi" w:hAnsiTheme="majorHAnsi"/>
          <w:sz w:val="20"/>
        </w:rPr>
        <w:t>Por consiguiente, l</w:t>
      </w:r>
      <w:r w:rsidR="001F6B6F" w:rsidRPr="00C620F0">
        <w:rPr>
          <w:rFonts w:asciiTheme="majorHAnsi" w:hAnsiTheme="majorHAnsi"/>
          <w:sz w:val="20"/>
        </w:rPr>
        <w:t>os párrafos 15 y 16 de la Recomendación 24-01 podrían modificarse del siguiente modo</w:t>
      </w:r>
      <w:r w:rsidR="001B4F8C" w:rsidRPr="00C620F0">
        <w:rPr>
          <w:rFonts w:asciiTheme="majorHAnsi" w:hAnsiTheme="majorHAnsi"/>
          <w:sz w:val="20"/>
          <w:u w:val="single"/>
        </w:rPr>
        <w:t xml:space="preserve"> (a y b original; c y d propuesta):</w:t>
      </w:r>
    </w:p>
    <w:p w14:paraId="6263E44B" w14:textId="77777777" w:rsidR="001B4F8C" w:rsidRPr="00C620F0" w:rsidRDefault="001B4F8C" w:rsidP="00E502BA">
      <w:pPr>
        <w:pStyle w:val="BodyText"/>
        <w:spacing w:line="256" w:lineRule="auto"/>
        <w:ind w:left="426" w:right="132"/>
        <w:jc w:val="both"/>
        <w:rPr>
          <w:rFonts w:asciiTheme="majorHAnsi" w:hAnsiTheme="majorHAnsi"/>
          <w:sz w:val="20"/>
          <w:u w:val="single"/>
        </w:rPr>
      </w:pPr>
    </w:p>
    <w:p w14:paraId="36D54719" w14:textId="1355B216" w:rsidR="00596B84" w:rsidRPr="00C620F0" w:rsidRDefault="00242923" w:rsidP="00E502BA">
      <w:pPr>
        <w:pStyle w:val="ListParagraph"/>
        <w:numPr>
          <w:ilvl w:val="0"/>
          <w:numId w:val="5"/>
        </w:numPr>
        <w:ind w:left="851" w:hanging="425"/>
        <w:jc w:val="both"/>
        <w:rPr>
          <w:rFonts w:eastAsiaTheme="minorHAnsi" w:cstheme="minorBidi"/>
          <w:i/>
          <w:iCs/>
          <w:sz w:val="20"/>
          <w:szCs w:val="20"/>
          <w:u w:val="single"/>
        </w:rPr>
      </w:pPr>
      <w:r w:rsidRPr="00C620F0">
        <w:rPr>
          <w:rFonts w:cs="Arial"/>
          <w:bCs/>
          <w:sz w:val="20"/>
          <w:szCs w:val="20"/>
          <w:u w:val="single"/>
        </w:rPr>
        <w:t>“</w:t>
      </w:r>
      <w:r w:rsidR="00596B84" w:rsidRPr="00C620F0">
        <w:rPr>
          <w:rFonts w:cs="Arial"/>
          <w:bCs/>
          <w:sz w:val="20"/>
          <w:szCs w:val="20"/>
          <w:u w:val="single"/>
        </w:rPr>
        <w:t>15.</w:t>
      </w:r>
      <w:r w:rsidR="00596B84" w:rsidRPr="00C620F0">
        <w:rPr>
          <w:rFonts w:cs="Arial"/>
          <w:bCs/>
          <w:sz w:val="20"/>
          <w:szCs w:val="20"/>
          <w:u w:val="single"/>
        </w:rPr>
        <w:tab/>
      </w:r>
      <w:r w:rsidR="00596B84" w:rsidRPr="00C620F0">
        <w:rPr>
          <w:i/>
          <w:iCs/>
          <w:sz w:val="20"/>
          <w:szCs w:val="20"/>
          <w:u w:val="single"/>
        </w:rPr>
        <w:t xml:space="preserve">Las CPC comunicarán trimestralmente a la Secretaría la cantidad de túnidos tropicales por especies capturada por los buques que enarbolan su pabellón en los 30 días posteriores al fin del periodo durante el cual se realizaron las capturas. </w:t>
      </w:r>
      <w:r w:rsidRPr="00C620F0">
        <w:rPr>
          <w:i/>
          <w:iCs/>
          <w:sz w:val="20"/>
          <w:szCs w:val="20"/>
          <w:u w:val="single"/>
        </w:rPr>
        <w:t>“</w:t>
      </w:r>
    </w:p>
    <w:p w14:paraId="2F155F6D" w14:textId="77777777" w:rsidR="00596B84" w:rsidRPr="00C620F0" w:rsidRDefault="00596B84" w:rsidP="00E502BA">
      <w:pPr>
        <w:ind w:left="426"/>
        <w:jc w:val="both"/>
        <w:rPr>
          <w:i/>
          <w:iCs/>
          <w:sz w:val="20"/>
          <w:szCs w:val="20"/>
          <w:u w:val="single"/>
        </w:rPr>
      </w:pPr>
    </w:p>
    <w:p w14:paraId="61FAAE2A" w14:textId="7FBC3565" w:rsidR="00596B84" w:rsidRPr="00C620F0" w:rsidRDefault="00242923" w:rsidP="00E502BA">
      <w:pPr>
        <w:pStyle w:val="ListParagraph"/>
        <w:numPr>
          <w:ilvl w:val="0"/>
          <w:numId w:val="5"/>
        </w:numPr>
        <w:ind w:left="851" w:hanging="425"/>
        <w:jc w:val="both"/>
        <w:rPr>
          <w:i/>
          <w:iCs/>
          <w:sz w:val="20"/>
          <w:szCs w:val="20"/>
          <w:u w:val="single"/>
        </w:rPr>
      </w:pPr>
      <w:r w:rsidRPr="00C620F0">
        <w:rPr>
          <w:rFonts w:cs="Arial"/>
          <w:bCs/>
          <w:i/>
          <w:iCs/>
          <w:sz w:val="20"/>
          <w:szCs w:val="20"/>
          <w:u w:val="single"/>
        </w:rPr>
        <w:t>“</w:t>
      </w:r>
      <w:r w:rsidR="00596B84" w:rsidRPr="00C620F0">
        <w:rPr>
          <w:rFonts w:cs="Arial"/>
          <w:bCs/>
          <w:i/>
          <w:iCs/>
          <w:sz w:val="20"/>
          <w:szCs w:val="20"/>
          <w:u w:val="single"/>
        </w:rPr>
        <w:t>16.</w:t>
      </w:r>
      <w:r w:rsidR="00596B84" w:rsidRPr="00C620F0">
        <w:rPr>
          <w:rFonts w:cs="Arial"/>
          <w:bCs/>
          <w:i/>
          <w:iCs/>
          <w:sz w:val="20"/>
          <w:szCs w:val="20"/>
          <w:u w:val="single"/>
        </w:rPr>
        <w:tab/>
      </w:r>
      <w:r w:rsidR="00596B84" w:rsidRPr="00C620F0">
        <w:rPr>
          <w:i/>
          <w:iCs/>
          <w:sz w:val="20"/>
          <w:szCs w:val="20"/>
          <w:u w:val="single"/>
        </w:rPr>
        <w:t xml:space="preserve">No </w:t>
      </w:r>
      <w:bookmarkStart w:id="0" w:name="_Int_PZ7jDOl9"/>
      <w:r w:rsidR="00596B84" w:rsidRPr="00C620F0">
        <w:rPr>
          <w:i/>
          <w:iCs/>
          <w:sz w:val="20"/>
          <w:szCs w:val="20"/>
          <w:u w:val="single"/>
        </w:rPr>
        <w:t>obstante</w:t>
      </w:r>
      <w:bookmarkEnd w:id="0"/>
      <w:r w:rsidR="00596B84" w:rsidRPr="00C620F0">
        <w:rPr>
          <w:i/>
          <w:iCs/>
          <w:sz w:val="20"/>
          <w:szCs w:val="20"/>
          <w:u w:val="single"/>
        </w:rPr>
        <w:t xml:space="preserve"> las disposiciones del párrafo 15, para los cerqueros y los grandes palangreros (LOA de 20 m o superior) las CPC comunicarán mensualmente las capturas, y aumentarán a semanal esta comunicación cuando se haya cap</w:t>
      </w:r>
      <w:r w:rsidR="00596B84" w:rsidRPr="00C620F0">
        <w:rPr>
          <w:i/>
          <w:iCs/>
          <w:spacing w:val="-8"/>
          <w:sz w:val="20"/>
          <w:szCs w:val="20"/>
          <w:u w:val="single"/>
        </w:rPr>
        <w:t xml:space="preserve">turado el 80 % </w:t>
      </w:r>
      <w:r w:rsidR="00596B84" w:rsidRPr="00C620F0">
        <w:rPr>
          <w:i/>
          <w:iCs/>
          <w:sz w:val="20"/>
          <w:szCs w:val="20"/>
          <w:u w:val="single"/>
        </w:rPr>
        <w:t>de sus límites de captura de patudo.</w:t>
      </w:r>
      <w:r w:rsidRPr="00C620F0">
        <w:rPr>
          <w:i/>
          <w:iCs/>
          <w:sz w:val="20"/>
          <w:szCs w:val="20"/>
          <w:u w:val="single"/>
        </w:rPr>
        <w:t>”</w:t>
      </w:r>
    </w:p>
    <w:p w14:paraId="24D97BB0" w14:textId="77777777" w:rsidR="001B4F8C" w:rsidRPr="00C620F0" w:rsidRDefault="001B4F8C" w:rsidP="00E502BA">
      <w:pPr>
        <w:pStyle w:val="BodyText"/>
        <w:spacing w:line="256" w:lineRule="auto"/>
        <w:ind w:left="426" w:right="132"/>
        <w:jc w:val="both"/>
        <w:rPr>
          <w:rFonts w:asciiTheme="majorHAnsi" w:hAnsiTheme="majorHAnsi"/>
          <w:i/>
          <w:iCs/>
          <w:sz w:val="20"/>
          <w:szCs w:val="20"/>
          <w:u w:val="single"/>
        </w:rPr>
      </w:pPr>
    </w:p>
    <w:p w14:paraId="118D2A60" w14:textId="268EE6F0" w:rsidR="001F6B6F" w:rsidRPr="00C620F0" w:rsidRDefault="001F6B6F" w:rsidP="00E502BA">
      <w:pPr>
        <w:pStyle w:val="ListParagraph"/>
        <w:numPr>
          <w:ilvl w:val="0"/>
          <w:numId w:val="5"/>
        </w:numPr>
        <w:ind w:left="851" w:hanging="425"/>
        <w:jc w:val="both"/>
        <w:rPr>
          <w:rFonts w:asciiTheme="majorHAnsi" w:hAnsiTheme="majorHAnsi" w:cs="Times New Roman"/>
          <w:i/>
          <w:iCs/>
          <w:sz w:val="20"/>
          <w:szCs w:val="20"/>
        </w:rPr>
      </w:pPr>
      <w:r w:rsidRPr="00C620F0">
        <w:rPr>
          <w:rFonts w:asciiTheme="majorHAnsi" w:hAnsiTheme="majorHAnsi"/>
          <w:i/>
          <w:iCs/>
          <w:sz w:val="20"/>
        </w:rPr>
        <w:t xml:space="preserve">15. Las CPC comunicarán mensualmente a la Secretaría la cantidad de túnidos tropicales por especies </w:t>
      </w:r>
      <w:r w:rsidRPr="00C620F0">
        <w:rPr>
          <w:i/>
          <w:iCs/>
          <w:sz w:val="20"/>
          <w:szCs w:val="20"/>
        </w:rPr>
        <w:t>capturada</w:t>
      </w:r>
      <w:r w:rsidRPr="00C620F0">
        <w:rPr>
          <w:rFonts w:asciiTheme="majorHAnsi" w:hAnsiTheme="majorHAnsi"/>
          <w:i/>
          <w:iCs/>
          <w:sz w:val="20"/>
        </w:rPr>
        <w:t xml:space="preserve"> por los buques que enarbolan su pabellón en </w:t>
      </w:r>
      <w:r w:rsidR="00673CB3" w:rsidRPr="00C620F0">
        <w:rPr>
          <w:rFonts w:asciiTheme="majorHAnsi" w:hAnsiTheme="majorHAnsi"/>
          <w:i/>
          <w:iCs/>
          <w:sz w:val="20"/>
        </w:rPr>
        <w:t xml:space="preserve">el mes siguiente al mes en </w:t>
      </w:r>
      <w:r w:rsidRPr="00C620F0">
        <w:rPr>
          <w:rFonts w:asciiTheme="majorHAnsi" w:hAnsiTheme="majorHAnsi"/>
          <w:i/>
          <w:iCs/>
          <w:sz w:val="20"/>
        </w:rPr>
        <w:t>el cual se realizaron las capturas.</w:t>
      </w:r>
    </w:p>
    <w:p w14:paraId="6F9F5DD1" w14:textId="77777777" w:rsidR="001F6B6F" w:rsidRPr="00C620F0" w:rsidRDefault="001F6B6F" w:rsidP="001F6B6F">
      <w:pPr>
        <w:pStyle w:val="BodyText"/>
        <w:spacing w:line="256" w:lineRule="auto"/>
        <w:ind w:right="132" w:firstLine="720"/>
        <w:jc w:val="both"/>
        <w:rPr>
          <w:rFonts w:asciiTheme="majorHAnsi" w:hAnsiTheme="majorHAnsi" w:cs="Times New Roman"/>
          <w:i/>
          <w:sz w:val="20"/>
          <w:szCs w:val="20"/>
        </w:rPr>
      </w:pPr>
    </w:p>
    <w:p w14:paraId="4FDF1CED" w14:textId="77777777" w:rsidR="001F6B6F" w:rsidRPr="00C620F0" w:rsidRDefault="001F6B6F" w:rsidP="00E502BA">
      <w:pPr>
        <w:pStyle w:val="ListParagraph"/>
        <w:numPr>
          <w:ilvl w:val="0"/>
          <w:numId w:val="5"/>
        </w:numPr>
        <w:ind w:left="851" w:hanging="425"/>
        <w:jc w:val="both"/>
        <w:rPr>
          <w:rFonts w:asciiTheme="majorHAnsi" w:hAnsiTheme="majorHAnsi"/>
          <w:i/>
          <w:sz w:val="20"/>
        </w:rPr>
      </w:pPr>
      <w:r w:rsidRPr="00C620F0">
        <w:rPr>
          <w:rFonts w:asciiTheme="majorHAnsi" w:hAnsiTheme="majorHAnsi"/>
          <w:i/>
          <w:sz w:val="20"/>
        </w:rPr>
        <w:t xml:space="preserve">16. No </w:t>
      </w:r>
      <w:r w:rsidRPr="00C620F0">
        <w:rPr>
          <w:i/>
          <w:iCs/>
          <w:sz w:val="20"/>
          <w:szCs w:val="20"/>
        </w:rPr>
        <w:t>obstante</w:t>
      </w:r>
      <w:r w:rsidRPr="00C620F0">
        <w:rPr>
          <w:rFonts w:asciiTheme="majorHAnsi" w:hAnsiTheme="majorHAnsi"/>
          <w:i/>
          <w:sz w:val="20"/>
        </w:rPr>
        <w:t xml:space="preserve"> lo dispuesto en el párrafo 15, las CPC informarán semanalmente una vez alcanzado el 80 % de sus límites de captura de patudo. </w:t>
      </w:r>
    </w:p>
    <w:p w14:paraId="3D1BF746" w14:textId="77777777" w:rsidR="001F6B6F" w:rsidRPr="00C620F0" w:rsidRDefault="001F6B6F" w:rsidP="000C3A47">
      <w:pPr>
        <w:pStyle w:val="Heading1"/>
        <w:spacing w:before="91"/>
        <w:ind w:left="0"/>
        <w:jc w:val="both"/>
        <w:rPr>
          <w:rFonts w:asciiTheme="majorHAnsi" w:hAnsiTheme="majorHAnsi"/>
          <w:b w:val="0"/>
          <w:bCs w:val="0"/>
          <w:i/>
          <w:iCs/>
          <w:sz w:val="20"/>
          <w:szCs w:val="20"/>
        </w:rPr>
      </w:pPr>
    </w:p>
    <w:p w14:paraId="75D166D1" w14:textId="0F3DF19C" w:rsidR="00E158A1" w:rsidRPr="00C620F0" w:rsidRDefault="00964EF1" w:rsidP="0091358E">
      <w:pPr>
        <w:pStyle w:val="BodyText"/>
        <w:numPr>
          <w:ilvl w:val="0"/>
          <w:numId w:val="6"/>
        </w:numPr>
        <w:spacing w:before="19"/>
        <w:ind w:left="426"/>
        <w:jc w:val="both"/>
        <w:rPr>
          <w:rFonts w:asciiTheme="majorHAnsi" w:hAnsiTheme="majorHAnsi"/>
          <w:bCs/>
          <w:sz w:val="20"/>
          <w:szCs w:val="20"/>
          <w:u w:val="single"/>
        </w:rPr>
      </w:pPr>
      <w:r w:rsidRPr="00C620F0">
        <w:rPr>
          <w:rFonts w:asciiTheme="majorHAnsi" w:hAnsiTheme="majorHAnsi"/>
          <w:bCs/>
          <w:sz w:val="20"/>
          <w:szCs w:val="20"/>
          <w:u w:val="single"/>
        </w:rPr>
        <w:t>Para aclarar los dos conceptos diferentes que se mezclan en el párrafo 57 de la Rec. 24-01, el tonelaje (GT: tonelaje bruto, sin dimensiones, o el antiguo GRT: tonelaje bruto registrado, «toneladas registradas», cada una equivalente a 2,83 m</w:t>
      </w:r>
      <w:r w:rsidRPr="00C620F0">
        <w:rPr>
          <w:rFonts w:asciiTheme="majorHAnsi" w:hAnsiTheme="majorHAnsi"/>
          <w:bCs/>
          <w:sz w:val="20"/>
          <w:szCs w:val="20"/>
          <w:u w:val="single"/>
          <w:vertAlign w:val="superscript"/>
        </w:rPr>
        <w:t>3</w:t>
      </w:r>
      <w:r w:rsidRPr="00C620F0">
        <w:rPr>
          <w:rFonts w:asciiTheme="majorHAnsi" w:hAnsiTheme="majorHAnsi"/>
          <w:bCs/>
          <w:sz w:val="20"/>
          <w:szCs w:val="20"/>
          <w:u w:val="single"/>
        </w:rPr>
        <w:t xml:space="preserve">), que mide el volumen interno de un buque, y </w:t>
      </w:r>
      <w:r w:rsidRPr="00C620F0">
        <w:rPr>
          <w:rFonts w:asciiTheme="majorHAnsi" w:hAnsiTheme="majorHAnsi"/>
          <w:b/>
          <w:sz w:val="20"/>
          <w:szCs w:val="20"/>
          <w:u w:val="single"/>
        </w:rPr>
        <w:t>la capacidad de carga</w:t>
      </w:r>
      <w:r w:rsidRPr="00C620F0">
        <w:rPr>
          <w:rFonts w:asciiTheme="majorHAnsi" w:hAnsiTheme="majorHAnsi"/>
          <w:bCs/>
          <w:sz w:val="20"/>
          <w:szCs w:val="20"/>
          <w:u w:val="single"/>
        </w:rPr>
        <w:t xml:space="preserve"> (toneladas métricas), que mide la capacidad de almacenar/transportar una determinada cantidad de pescado (explicación detallada en</w:t>
      </w:r>
      <w:r w:rsidR="00320B6A" w:rsidRPr="00C620F0">
        <w:rPr>
          <w:rFonts w:asciiTheme="majorHAnsi" w:hAnsiTheme="majorHAnsi"/>
          <w:bCs/>
          <w:sz w:val="20"/>
          <w:szCs w:val="20"/>
          <w:u w:val="single"/>
        </w:rPr>
        <w:t xml:space="preserve"> el documento</w:t>
      </w:r>
      <w:r w:rsidRPr="00C620F0">
        <w:rPr>
          <w:rFonts w:asciiTheme="majorHAnsi" w:hAnsiTheme="majorHAnsi"/>
          <w:bCs/>
          <w:sz w:val="20"/>
          <w:szCs w:val="20"/>
          <w:u w:val="single"/>
        </w:rPr>
        <w:t xml:space="preserve"> SCRS/2025/161, en </w:t>
      </w:r>
      <w:r w:rsidRPr="00C620F0">
        <w:rPr>
          <w:rFonts w:asciiTheme="majorHAnsi" w:hAnsiTheme="majorHAnsi"/>
          <w:bCs/>
          <w:sz w:val="20"/>
          <w:szCs w:val="20"/>
          <w:u w:val="single"/>
        </w:rPr>
        <w:lastRenderedPageBreak/>
        <w:t>respuesta al párrafo 79b de la Recomendación</w:t>
      </w:r>
      <w:r w:rsidR="00E73E6D" w:rsidRPr="00C620F0">
        <w:rPr>
          <w:rFonts w:asciiTheme="majorHAnsi" w:hAnsiTheme="majorHAnsi"/>
          <w:bCs/>
          <w:sz w:val="20"/>
          <w:szCs w:val="20"/>
          <w:u w:val="single"/>
        </w:rPr>
        <w:t xml:space="preserve"> </w:t>
      </w:r>
      <w:r w:rsidRPr="00C620F0">
        <w:rPr>
          <w:rFonts w:asciiTheme="majorHAnsi" w:hAnsiTheme="majorHAnsi"/>
          <w:bCs/>
          <w:sz w:val="20"/>
          <w:szCs w:val="20"/>
          <w:u w:val="single"/>
        </w:rPr>
        <w:t xml:space="preserve">24-01), se sugiere </w:t>
      </w:r>
      <w:r w:rsidR="00C358B8" w:rsidRPr="00C620F0">
        <w:rPr>
          <w:rFonts w:asciiTheme="majorHAnsi" w:hAnsiTheme="majorHAnsi"/>
          <w:bCs/>
          <w:sz w:val="20"/>
          <w:szCs w:val="20"/>
          <w:u w:val="single"/>
        </w:rPr>
        <w:t>que se modifique</w:t>
      </w:r>
      <w:r w:rsidRPr="00C620F0">
        <w:rPr>
          <w:rFonts w:asciiTheme="majorHAnsi" w:hAnsiTheme="majorHAnsi"/>
          <w:bCs/>
          <w:sz w:val="20"/>
          <w:szCs w:val="20"/>
          <w:u w:val="single"/>
        </w:rPr>
        <w:t xml:space="preserve"> el párrafo 57 de la siguiente manera (a. original; b. propuesta):</w:t>
      </w:r>
    </w:p>
    <w:p w14:paraId="4186F22E" w14:textId="77777777" w:rsidR="0090643B" w:rsidRPr="00C620F0" w:rsidRDefault="0090643B" w:rsidP="0090643B">
      <w:pPr>
        <w:pStyle w:val="BodyText"/>
        <w:spacing w:before="19"/>
        <w:ind w:left="426"/>
        <w:jc w:val="both"/>
        <w:rPr>
          <w:rFonts w:asciiTheme="majorHAnsi" w:hAnsiTheme="majorHAnsi"/>
          <w:bCs/>
          <w:sz w:val="20"/>
          <w:szCs w:val="20"/>
          <w:u w:val="single"/>
        </w:rPr>
      </w:pPr>
    </w:p>
    <w:p w14:paraId="63833B94" w14:textId="77777777" w:rsidR="0090643B" w:rsidRPr="00C620F0" w:rsidRDefault="0090643B" w:rsidP="0090643B">
      <w:pPr>
        <w:widowControl/>
        <w:numPr>
          <w:ilvl w:val="0"/>
          <w:numId w:val="8"/>
        </w:numPr>
        <w:autoSpaceDE/>
        <w:autoSpaceDN/>
        <w:spacing w:after="160" w:line="256" w:lineRule="auto"/>
        <w:ind w:left="1080" w:right="132"/>
        <w:jc w:val="both"/>
        <w:rPr>
          <w:sz w:val="20"/>
          <w:szCs w:val="20"/>
          <w:u w:val="single"/>
        </w:rPr>
      </w:pPr>
      <w:r w:rsidRPr="00C620F0">
        <w:rPr>
          <w:rFonts w:eastAsia="Aptos" w:cs="Times New Roman"/>
          <w:kern w:val="2"/>
          <w:sz w:val="20"/>
          <w:szCs w:val="20"/>
          <w:u w:val="single"/>
          <w14:ligatures w14:val="standardContextual"/>
        </w:rPr>
        <w:t>«</w:t>
      </w:r>
      <w:r w:rsidRPr="00C620F0">
        <w:rPr>
          <w:rFonts w:eastAsia="Aptos" w:cs="Times New Roman"/>
          <w:i/>
          <w:kern w:val="2"/>
          <w:sz w:val="20"/>
          <w:szCs w:val="20"/>
          <w:u w:val="single"/>
          <w14:ligatures w14:val="standardContextual"/>
        </w:rPr>
        <w:t xml:space="preserve">57. Las CPC notificarán la lista de buques autorizados al secretario ejecutivo por medios electrónicos y de conformidad con el formato establecido en las Directrices para el envío de la información y los datos requeridos por ICCAT. </w:t>
      </w:r>
      <w:r w:rsidRPr="00C620F0">
        <w:rPr>
          <w:rFonts w:eastAsia="Aptos" w:cs="Times New Roman"/>
          <w:i/>
          <w:iCs/>
          <w:kern w:val="2"/>
          <w:sz w:val="20"/>
          <w:szCs w:val="20"/>
          <w:u w:val="single"/>
          <w14:ligatures w14:val="standardContextual"/>
        </w:rPr>
        <w:t>Para los cerqueros, la notificación contendrá datos acerca de la capacidad de carga o transporte de los buques en tonelaje bruto registrado (GRT) o, cuando sea posible en tonelaje bruto (GT) de modo que ICCAT pueda hacer un seguimiento de la capacidad de la actividad de la flota en la zona del Convenio.</w:t>
      </w:r>
    </w:p>
    <w:p w14:paraId="3C9189C9" w14:textId="77777777" w:rsidR="0090643B" w:rsidRPr="00C620F0" w:rsidRDefault="0090643B" w:rsidP="0090643B">
      <w:pPr>
        <w:spacing w:line="256" w:lineRule="auto"/>
        <w:ind w:left="1080" w:right="132"/>
        <w:jc w:val="both"/>
        <w:rPr>
          <w:sz w:val="20"/>
          <w:szCs w:val="20"/>
          <w:u w:val="single"/>
        </w:rPr>
      </w:pPr>
    </w:p>
    <w:p w14:paraId="7BBED888" w14:textId="2F23F7CC" w:rsidR="0090643B" w:rsidRPr="00C620F0" w:rsidRDefault="0090643B" w:rsidP="00C871CF">
      <w:pPr>
        <w:widowControl/>
        <w:numPr>
          <w:ilvl w:val="0"/>
          <w:numId w:val="9"/>
        </w:numPr>
        <w:autoSpaceDE/>
        <w:autoSpaceDN/>
        <w:spacing w:after="160" w:line="256" w:lineRule="auto"/>
        <w:ind w:right="132" w:hanging="87"/>
        <w:jc w:val="both"/>
        <w:rPr>
          <w:sz w:val="20"/>
          <w:szCs w:val="20"/>
          <w:u w:val="single"/>
        </w:rPr>
      </w:pPr>
      <w:r w:rsidRPr="00C620F0">
        <w:rPr>
          <w:rFonts w:eastAsia="Aptos" w:cs="Times New Roman"/>
          <w:kern w:val="2"/>
          <w:sz w:val="20"/>
          <w:szCs w:val="20"/>
          <w:u w:val="single"/>
          <w14:ligatures w14:val="standardContextual"/>
        </w:rPr>
        <w:t>«</w:t>
      </w:r>
      <w:r w:rsidRPr="00C620F0">
        <w:rPr>
          <w:rFonts w:eastAsia="Aptos" w:cs="Times New Roman"/>
          <w:i/>
          <w:kern w:val="2"/>
          <w:sz w:val="20"/>
          <w:szCs w:val="20"/>
          <w:u w:val="single"/>
          <w14:ligatures w14:val="standardContextual"/>
        </w:rPr>
        <w:t>57. Las CPC notificarán la lista de buques autorizados al secretario ejecutivo por medios electrónicos y de conformidad con el formato establecido en las Directrices para el envío de la información y los datos requeridos por ICCAT. Para los cerqueros la notificación incluirá</w:t>
      </w:r>
      <w:r w:rsidR="00DA384E" w:rsidRPr="00C620F0">
        <w:rPr>
          <w:rFonts w:eastAsia="Aptos" w:cs="Times New Roman"/>
          <w:i/>
          <w:kern w:val="2"/>
          <w:sz w:val="20"/>
          <w:szCs w:val="20"/>
          <w:u w:val="single"/>
          <w14:ligatures w14:val="standardContextual"/>
        </w:rPr>
        <w:t xml:space="preserve"> </w:t>
      </w:r>
      <w:r w:rsidRPr="00C620F0">
        <w:rPr>
          <w:rFonts w:eastAsia="Aptos" w:cs="Times New Roman"/>
          <w:i/>
          <w:iCs/>
          <w:kern w:val="2"/>
          <w:sz w:val="20"/>
          <w:szCs w:val="20"/>
          <w:u w:val="single"/>
          <w14:ligatures w14:val="standardContextual"/>
        </w:rPr>
        <w:t xml:space="preserve">la capacidad de </w:t>
      </w:r>
      <w:r w:rsidR="00DA384E" w:rsidRPr="00C620F0">
        <w:rPr>
          <w:rFonts w:eastAsia="Aptos" w:cs="Times New Roman"/>
          <w:i/>
          <w:iCs/>
          <w:kern w:val="2"/>
          <w:sz w:val="20"/>
          <w:szCs w:val="20"/>
          <w:u w:val="single"/>
          <w14:ligatures w14:val="standardContextual"/>
        </w:rPr>
        <w:t>transporte de pescado</w:t>
      </w:r>
      <w:r w:rsidRPr="00C620F0">
        <w:rPr>
          <w:rFonts w:eastAsia="Aptos" w:cs="Times New Roman"/>
          <w:i/>
          <w:iCs/>
          <w:kern w:val="2"/>
          <w:sz w:val="20"/>
          <w:szCs w:val="20"/>
          <w:u w:val="single"/>
          <w14:ligatures w14:val="standardContextual"/>
        </w:rPr>
        <w:t xml:space="preserve"> (FCC, en toneladas métricas), [o/y] el volumen de la bodega de pescado (FHV, en m</w:t>
      </w:r>
      <w:r w:rsidRPr="00C620F0">
        <w:rPr>
          <w:rFonts w:eastAsia="Aptos" w:cs="Times New Roman"/>
          <w:i/>
          <w:iCs/>
          <w:kern w:val="2"/>
          <w:sz w:val="20"/>
          <w:szCs w:val="20"/>
          <w:u w:val="single"/>
          <w:vertAlign w:val="superscript"/>
          <w14:ligatures w14:val="standardContextual"/>
        </w:rPr>
        <w:t>3</w:t>
      </w:r>
      <w:r w:rsidRPr="00C620F0">
        <w:rPr>
          <w:rFonts w:eastAsia="Aptos" w:cs="Times New Roman"/>
          <w:i/>
          <w:iCs/>
          <w:kern w:val="2"/>
          <w:sz w:val="20"/>
          <w:szCs w:val="20"/>
          <w:u w:val="single"/>
          <w14:ligatures w14:val="standardContextual"/>
        </w:rPr>
        <w:t xml:space="preserve">) del buque, con el objetivo de que ICCAT pueda hacer un seguimiento de la capacidad de </w:t>
      </w:r>
      <w:r w:rsidR="00DA384E" w:rsidRPr="00C620F0">
        <w:rPr>
          <w:rFonts w:eastAsia="Aptos" w:cs="Times New Roman"/>
          <w:i/>
          <w:iCs/>
          <w:kern w:val="2"/>
          <w:sz w:val="20"/>
          <w:szCs w:val="20"/>
          <w:u w:val="single"/>
          <w14:ligatures w14:val="standardContextual"/>
        </w:rPr>
        <w:t>la a</w:t>
      </w:r>
      <w:r w:rsidRPr="00C620F0">
        <w:rPr>
          <w:rFonts w:eastAsia="Aptos" w:cs="Times New Roman"/>
          <w:i/>
          <w:iCs/>
          <w:kern w:val="2"/>
          <w:sz w:val="20"/>
          <w:szCs w:val="20"/>
          <w:u w:val="single"/>
          <w14:ligatures w14:val="standardContextual"/>
        </w:rPr>
        <w:t>ctividad de la flota en la zona del Convenio.</w:t>
      </w:r>
    </w:p>
    <w:p w14:paraId="6385DEB4" w14:textId="77777777" w:rsidR="0090643B" w:rsidRPr="00C620F0" w:rsidRDefault="0090643B" w:rsidP="0090643B">
      <w:pPr>
        <w:spacing w:line="256" w:lineRule="auto"/>
        <w:ind w:left="993" w:right="132"/>
        <w:jc w:val="both"/>
        <w:rPr>
          <w:sz w:val="20"/>
          <w:szCs w:val="20"/>
          <w:u w:val="single"/>
        </w:rPr>
      </w:pPr>
    </w:p>
    <w:p w14:paraId="7DAF94CA" w14:textId="6435466D" w:rsidR="0090643B" w:rsidRPr="00C620F0" w:rsidRDefault="0090643B" w:rsidP="00367625">
      <w:pPr>
        <w:pStyle w:val="BodyText"/>
        <w:numPr>
          <w:ilvl w:val="0"/>
          <w:numId w:val="6"/>
        </w:numPr>
        <w:spacing w:before="19"/>
        <w:ind w:left="426"/>
        <w:jc w:val="both"/>
        <w:rPr>
          <w:sz w:val="20"/>
          <w:szCs w:val="20"/>
          <w:u w:val="single"/>
        </w:rPr>
      </w:pPr>
      <w:r w:rsidRPr="00C620F0">
        <w:rPr>
          <w:rFonts w:eastAsia="Aptos" w:cs="Times New Roman"/>
          <w:kern w:val="2"/>
          <w:sz w:val="20"/>
          <w:szCs w:val="20"/>
          <w:u w:val="single"/>
          <w14:ligatures w14:val="standardContextual"/>
        </w:rPr>
        <w:t xml:space="preserve">Para optimizar aún más la información comunicada sobre las características de los buques, se sugiere también que se armonicen los requisitos de cumplimiento y estadísticos, de conformidad con los </w:t>
      </w:r>
      <w:r w:rsidR="00BD01F9" w:rsidRPr="00C620F0">
        <w:rPr>
          <w:rFonts w:eastAsia="Aptos" w:cs="Times New Roman"/>
          <w:kern w:val="2"/>
          <w:sz w:val="20"/>
          <w:szCs w:val="20"/>
          <w:u w:val="single"/>
          <w14:ligatures w14:val="standardContextual"/>
        </w:rPr>
        <w:t>párrafos</w:t>
      </w:r>
      <w:r w:rsidRPr="00C620F0">
        <w:rPr>
          <w:rFonts w:eastAsia="Aptos" w:cs="Times New Roman"/>
          <w:kern w:val="2"/>
          <w:sz w:val="20"/>
          <w:szCs w:val="20"/>
          <w:u w:val="single"/>
          <w14:ligatures w14:val="standardContextual"/>
        </w:rPr>
        <w:t xml:space="preserve"> 57 y 76 b) de la Recomendación 24-01, respectivamente. El requisito de cumplimiento «M:TRO01» obliga a las CPC a comunicar la lista de buques autorizados a pescar </w:t>
      </w:r>
      <w:r w:rsidR="00BD01F9" w:rsidRPr="00C620F0">
        <w:rPr>
          <w:rFonts w:eastAsia="Aptos" w:cs="Times New Roman"/>
          <w:kern w:val="2"/>
          <w:sz w:val="20"/>
          <w:szCs w:val="20"/>
          <w:u w:val="single"/>
          <w14:ligatures w14:val="standardContextual"/>
        </w:rPr>
        <w:t>túnidos</w:t>
      </w:r>
      <w:r w:rsidRPr="00C620F0">
        <w:rPr>
          <w:rFonts w:eastAsia="Aptos" w:cs="Times New Roman"/>
          <w:kern w:val="2"/>
          <w:sz w:val="20"/>
          <w:szCs w:val="20"/>
          <w:u w:val="single"/>
          <w14:ligatures w14:val="standardContextual"/>
        </w:rPr>
        <w:t xml:space="preserve"> tropicales, de conformidad con el párrafo 57.</w:t>
      </w:r>
      <w:bookmarkStart w:id="1" w:name="_Hlk210725917"/>
      <w:r w:rsidRPr="00C620F0">
        <w:rPr>
          <w:rFonts w:eastAsia="Aptos" w:cs="Times New Roman"/>
          <w:kern w:val="2"/>
          <w:sz w:val="20"/>
          <w:szCs w:val="20"/>
          <w:u w:val="single"/>
          <w14:ligatures w14:val="standardContextual"/>
        </w:rPr>
        <w:t xml:space="preserve"> </w:t>
      </w:r>
      <w:bookmarkEnd w:id="1"/>
      <w:r w:rsidRPr="00C620F0">
        <w:rPr>
          <w:rFonts w:eastAsia="Aptos" w:cs="Times New Roman"/>
          <w:kern w:val="2"/>
          <w:sz w:val="20"/>
          <w:szCs w:val="20"/>
          <w:u w:val="single"/>
          <w14:ligatures w14:val="standardContextual"/>
        </w:rPr>
        <w:t>El requisito estadístico «S:GEN02» requiere que las CPC presenten información sobre las características de la flota de buques activos durante el año anterior, de conformidad con el párrafo 76, letra b).  Aunque se solapan, estas obligaciones de notificación requieren a las CPC que comuniquen información idéntica (características de los buques), aunque en formatos diferentes. Para simplificar la recopilación de datos y garantizar la coherencia entre las fuentes de datos, a la luz de las deliberaciones mantenidas durante la reunión del SCRS</w:t>
      </w:r>
      <w:r w:rsidRPr="00C620F0">
        <w:rPr>
          <w:sz w:val="20"/>
          <w:szCs w:val="20"/>
          <w:u w:val="single"/>
          <w:vertAlign w:val="superscript"/>
          <w:lang w:val="en-GB"/>
          <w14:ligatures w14:val="standardContextual"/>
        </w:rPr>
        <w:footnoteReference w:id="1"/>
      </w:r>
      <w:r w:rsidRPr="00C620F0">
        <w:rPr>
          <w:rFonts w:eastAsia="Aptos" w:cs="Times New Roman"/>
          <w:kern w:val="2"/>
          <w:sz w:val="20"/>
          <w:szCs w:val="20"/>
          <w:u w:val="single"/>
          <w14:ligatures w14:val="standardContextual"/>
        </w:rPr>
        <w:t>, se proponen las siguientes modificaciones al formulario CP01</w:t>
      </w:r>
      <w:r w:rsidRPr="00C620F0">
        <w:rPr>
          <w:sz w:val="20"/>
          <w:szCs w:val="20"/>
          <w:u w:val="single"/>
          <w:vertAlign w:val="superscript"/>
          <w:lang w:val="en-GB"/>
          <w14:ligatures w14:val="standardContextual"/>
        </w:rPr>
        <w:footnoteReference w:id="2"/>
      </w:r>
      <w:r w:rsidRPr="00C620F0">
        <w:rPr>
          <w:rFonts w:eastAsia="Aptos" w:cs="Times New Roman"/>
          <w:kern w:val="2"/>
          <w:sz w:val="20"/>
          <w:szCs w:val="20"/>
          <w:u w:val="single"/>
          <w14:ligatures w14:val="standardContextual"/>
        </w:rPr>
        <w:t>:</w:t>
      </w:r>
    </w:p>
    <w:p w14:paraId="53EC1353" w14:textId="77777777" w:rsidR="0090643B" w:rsidRPr="00C620F0" w:rsidRDefault="0090643B" w:rsidP="0090643B">
      <w:pPr>
        <w:spacing w:line="256" w:lineRule="auto"/>
        <w:ind w:left="360" w:right="132"/>
        <w:jc w:val="both"/>
        <w:rPr>
          <w:sz w:val="20"/>
          <w:szCs w:val="20"/>
          <w:u w:val="single"/>
        </w:rPr>
      </w:pPr>
    </w:p>
    <w:p w14:paraId="22AE406E" w14:textId="5558109D" w:rsidR="0090643B" w:rsidRPr="00C620F0" w:rsidRDefault="0090643B" w:rsidP="0090643B">
      <w:pPr>
        <w:widowControl/>
        <w:numPr>
          <w:ilvl w:val="0"/>
          <w:numId w:val="10"/>
        </w:numPr>
        <w:autoSpaceDE/>
        <w:autoSpaceDN/>
        <w:spacing w:after="160" w:line="256" w:lineRule="auto"/>
        <w:ind w:right="132"/>
        <w:jc w:val="both"/>
        <w:rPr>
          <w:sz w:val="20"/>
          <w:szCs w:val="20"/>
          <w:u w:val="single"/>
        </w:rPr>
      </w:pPr>
      <w:r w:rsidRPr="00C620F0">
        <w:rPr>
          <w:rFonts w:eastAsia="Aptos" w:cs="Times New Roman"/>
          <w:kern w:val="2"/>
          <w:sz w:val="20"/>
          <w:szCs w:val="20"/>
          <w:u w:val="single"/>
          <w14:ligatures w14:val="standardContextual"/>
        </w:rPr>
        <w:t xml:space="preserve">Eslora del buque: </w:t>
      </w:r>
      <w:r w:rsidR="009D1906" w:rsidRPr="00C620F0">
        <w:rPr>
          <w:rFonts w:eastAsia="Aptos" w:cs="Times New Roman"/>
          <w:kern w:val="2"/>
          <w:sz w:val="20"/>
          <w:szCs w:val="20"/>
          <w:u w:val="single"/>
          <w14:ligatures w14:val="standardContextual"/>
        </w:rPr>
        <w:t>utilizar</w:t>
      </w:r>
      <w:r w:rsidRPr="00C620F0">
        <w:rPr>
          <w:rFonts w:eastAsia="Aptos" w:cs="Times New Roman"/>
          <w:kern w:val="2"/>
          <w:sz w:val="20"/>
          <w:szCs w:val="20"/>
          <w:u w:val="single"/>
          <w14:ligatures w14:val="standardContextual"/>
        </w:rPr>
        <w:t xml:space="preserve"> exclusivamente la eslora total (LOA, en metros); </w:t>
      </w:r>
    </w:p>
    <w:p w14:paraId="6AEFBFC7" w14:textId="627BD69D" w:rsidR="0090643B" w:rsidRPr="00C620F0" w:rsidRDefault="0090643B" w:rsidP="0090643B">
      <w:pPr>
        <w:widowControl/>
        <w:numPr>
          <w:ilvl w:val="0"/>
          <w:numId w:val="10"/>
        </w:numPr>
        <w:autoSpaceDE/>
        <w:autoSpaceDN/>
        <w:spacing w:after="160" w:line="256" w:lineRule="auto"/>
        <w:ind w:right="132"/>
        <w:jc w:val="both"/>
        <w:rPr>
          <w:sz w:val="20"/>
          <w:szCs w:val="20"/>
          <w:u w:val="single"/>
        </w:rPr>
      </w:pPr>
      <w:r w:rsidRPr="00C620F0">
        <w:rPr>
          <w:rFonts w:eastAsia="Aptos" w:cs="Times New Roman"/>
          <w:kern w:val="2"/>
          <w:sz w:val="20"/>
          <w:szCs w:val="20"/>
          <w:u w:val="single"/>
          <w14:ligatures w14:val="standardContextual"/>
        </w:rPr>
        <w:t xml:space="preserve">Tonelaje del buque: </w:t>
      </w:r>
      <w:r w:rsidR="009D1906" w:rsidRPr="00C620F0">
        <w:rPr>
          <w:rFonts w:eastAsia="Aptos" w:cs="Times New Roman"/>
          <w:kern w:val="2"/>
          <w:sz w:val="20"/>
          <w:szCs w:val="20"/>
          <w:u w:val="single"/>
          <w14:ligatures w14:val="standardContextual"/>
        </w:rPr>
        <w:t xml:space="preserve">utilizar </w:t>
      </w:r>
      <w:r w:rsidRPr="00C620F0">
        <w:rPr>
          <w:rFonts w:eastAsia="Aptos" w:cs="Times New Roman"/>
          <w:kern w:val="2"/>
          <w:sz w:val="20"/>
          <w:szCs w:val="20"/>
          <w:u w:val="single"/>
          <w14:ligatures w14:val="standardContextual"/>
        </w:rPr>
        <w:t xml:space="preserve">el </w:t>
      </w:r>
      <w:r w:rsidR="009D1906" w:rsidRPr="00C620F0">
        <w:rPr>
          <w:rFonts w:eastAsia="Aptos" w:cs="Times New Roman"/>
          <w:kern w:val="2"/>
          <w:sz w:val="20"/>
          <w:szCs w:val="20"/>
          <w:u w:val="single"/>
          <w14:ligatures w14:val="standardContextual"/>
        </w:rPr>
        <w:t>tonelaje</w:t>
      </w:r>
      <w:r w:rsidRPr="00C620F0">
        <w:rPr>
          <w:rFonts w:eastAsia="Aptos" w:cs="Times New Roman"/>
          <w:kern w:val="2"/>
          <w:sz w:val="20"/>
          <w:szCs w:val="20"/>
          <w:u w:val="single"/>
          <w14:ligatures w14:val="standardContextual"/>
        </w:rPr>
        <w:t xml:space="preserve"> bruto (GT, adimensional) por defecto, o el tonelaje bruto registrado (GRT, en m</w:t>
      </w:r>
      <w:r w:rsidRPr="00C620F0">
        <w:rPr>
          <w:rFonts w:eastAsia="Aptos" w:cs="Times New Roman"/>
          <w:kern w:val="2"/>
          <w:sz w:val="20"/>
          <w:szCs w:val="20"/>
          <w:u w:val="single"/>
          <w:vertAlign w:val="superscript"/>
          <w14:ligatures w14:val="standardContextual"/>
        </w:rPr>
        <w:t>3</w:t>
      </w:r>
      <w:r w:rsidRPr="00C620F0">
        <w:rPr>
          <w:rFonts w:eastAsia="Aptos" w:cs="Times New Roman"/>
          <w:kern w:val="2"/>
          <w:sz w:val="20"/>
          <w:szCs w:val="20"/>
          <w:u w:val="single"/>
          <w14:ligatures w14:val="standardContextual"/>
        </w:rPr>
        <w:t xml:space="preserve"> o 2,83 x toneladas de registro) como opción; </w:t>
      </w:r>
    </w:p>
    <w:p w14:paraId="4A6DCE3A" w14:textId="77777777" w:rsidR="0090643B" w:rsidRPr="00C620F0" w:rsidRDefault="0090643B" w:rsidP="0090643B">
      <w:pPr>
        <w:widowControl/>
        <w:numPr>
          <w:ilvl w:val="0"/>
          <w:numId w:val="10"/>
        </w:numPr>
        <w:autoSpaceDE/>
        <w:autoSpaceDN/>
        <w:spacing w:after="160" w:line="256" w:lineRule="auto"/>
        <w:ind w:right="132"/>
        <w:jc w:val="both"/>
        <w:rPr>
          <w:sz w:val="20"/>
          <w:szCs w:val="20"/>
          <w:u w:val="single"/>
        </w:rPr>
      </w:pPr>
      <w:r w:rsidRPr="00C620F0">
        <w:rPr>
          <w:rFonts w:eastAsia="Aptos" w:cs="Times New Roman"/>
          <w:kern w:val="2"/>
          <w:sz w:val="20"/>
          <w:szCs w:val="20"/>
          <w:u w:val="single"/>
          <w14:ligatures w14:val="standardContextual"/>
        </w:rPr>
        <w:t>Ampliar la capacidad de carga de los buques pesqueros y adoptar unidades estándar únicas:</w:t>
      </w:r>
    </w:p>
    <w:p w14:paraId="59D9A4A6" w14:textId="21D82F6E" w:rsidR="0090643B" w:rsidRPr="00C620F0" w:rsidRDefault="0090643B" w:rsidP="0090643B">
      <w:pPr>
        <w:widowControl/>
        <w:numPr>
          <w:ilvl w:val="1"/>
          <w:numId w:val="10"/>
        </w:numPr>
        <w:autoSpaceDE/>
        <w:autoSpaceDN/>
        <w:spacing w:after="160" w:line="256" w:lineRule="auto"/>
        <w:ind w:right="132"/>
        <w:jc w:val="both"/>
        <w:rPr>
          <w:sz w:val="20"/>
          <w:szCs w:val="20"/>
          <w:u w:val="single"/>
        </w:rPr>
      </w:pPr>
      <w:r w:rsidRPr="00C620F0">
        <w:rPr>
          <w:rFonts w:eastAsia="Aptos" w:cs="Times New Roman"/>
          <w:kern w:val="2"/>
          <w:sz w:val="20"/>
          <w:szCs w:val="20"/>
          <w:u w:val="single"/>
          <w14:ligatures w14:val="standardContextual"/>
        </w:rPr>
        <w:t>Buque de transporte</w:t>
      </w:r>
      <w:r w:rsidR="00DB22F2" w:rsidRPr="00C620F0">
        <w:rPr>
          <w:rFonts w:eastAsia="Aptos" w:cs="Times New Roman"/>
          <w:kern w:val="2"/>
          <w:sz w:val="20"/>
          <w:szCs w:val="20"/>
          <w:u w:val="single"/>
          <w14:ligatures w14:val="standardContextual"/>
        </w:rPr>
        <w:t>: c</w:t>
      </w:r>
      <w:r w:rsidRPr="00C620F0">
        <w:rPr>
          <w:rFonts w:eastAsia="Aptos" w:cs="Times New Roman"/>
          <w:kern w:val="2"/>
          <w:sz w:val="20"/>
          <w:szCs w:val="20"/>
          <w:u w:val="single"/>
          <w14:ligatures w14:val="standardContextual"/>
        </w:rPr>
        <w:t xml:space="preserve">apacidad de </w:t>
      </w:r>
      <w:r w:rsidR="00DB22F2" w:rsidRPr="00C620F0">
        <w:rPr>
          <w:rFonts w:eastAsia="Aptos" w:cs="Times New Roman"/>
          <w:kern w:val="2"/>
          <w:sz w:val="20"/>
          <w:szCs w:val="20"/>
          <w:u w:val="single"/>
          <w14:ligatures w14:val="standardContextual"/>
        </w:rPr>
        <w:t>transporte</w:t>
      </w:r>
      <w:r w:rsidRPr="00C620F0">
        <w:rPr>
          <w:rFonts w:eastAsia="Aptos" w:cs="Times New Roman"/>
          <w:kern w:val="2"/>
          <w:sz w:val="20"/>
          <w:szCs w:val="20"/>
          <w:u w:val="single"/>
          <w14:ligatures w14:val="standardContextual"/>
        </w:rPr>
        <w:t xml:space="preserve"> de los buques de transporte (CCC, toneladas métricas),</w:t>
      </w:r>
    </w:p>
    <w:p w14:paraId="0D8E5AE3" w14:textId="77777777" w:rsidR="0090643B" w:rsidRPr="00C620F0" w:rsidRDefault="0090643B" w:rsidP="0090643B">
      <w:pPr>
        <w:widowControl/>
        <w:numPr>
          <w:ilvl w:val="1"/>
          <w:numId w:val="10"/>
        </w:numPr>
        <w:autoSpaceDE/>
        <w:autoSpaceDN/>
        <w:spacing w:after="160" w:line="256" w:lineRule="auto"/>
        <w:ind w:right="132"/>
        <w:jc w:val="both"/>
        <w:rPr>
          <w:sz w:val="20"/>
          <w:szCs w:val="20"/>
          <w:u w:val="single"/>
        </w:rPr>
      </w:pPr>
      <w:r w:rsidRPr="00C620F0">
        <w:rPr>
          <w:rFonts w:eastAsia="Aptos" w:cs="Times New Roman"/>
          <w:kern w:val="2"/>
          <w:sz w:val="20"/>
          <w:szCs w:val="20"/>
          <w:u w:val="single"/>
          <w14:ligatures w14:val="standardContextual"/>
        </w:rPr>
        <w:t xml:space="preserve">Buque pesquero </w:t>
      </w:r>
    </w:p>
    <w:p w14:paraId="4B9E8A56" w14:textId="77777777" w:rsidR="0090643B" w:rsidRPr="00C620F0" w:rsidRDefault="0090643B" w:rsidP="0090643B">
      <w:pPr>
        <w:widowControl/>
        <w:numPr>
          <w:ilvl w:val="2"/>
          <w:numId w:val="10"/>
        </w:numPr>
        <w:autoSpaceDE/>
        <w:autoSpaceDN/>
        <w:spacing w:after="160" w:line="256" w:lineRule="auto"/>
        <w:ind w:right="132"/>
        <w:jc w:val="both"/>
        <w:rPr>
          <w:sz w:val="20"/>
          <w:szCs w:val="20"/>
          <w:u w:val="single"/>
        </w:rPr>
      </w:pPr>
      <w:r w:rsidRPr="00C620F0">
        <w:rPr>
          <w:rFonts w:eastAsia="Aptos" w:cs="Times New Roman"/>
          <w:kern w:val="2"/>
          <w:sz w:val="20"/>
          <w:szCs w:val="20"/>
          <w:u w:val="single"/>
          <w14:ligatures w14:val="standardContextual"/>
        </w:rPr>
        <w:t>Capacidad de carga del buque pesquero (FCC, toneladas métricas), [o/y],</w:t>
      </w:r>
    </w:p>
    <w:p w14:paraId="28E202A3" w14:textId="77777777" w:rsidR="0090643B" w:rsidRPr="00C620F0" w:rsidRDefault="0090643B" w:rsidP="0090643B">
      <w:pPr>
        <w:widowControl/>
        <w:numPr>
          <w:ilvl w:val="2"/>
          <w:numId w:val="10"/>
        </w:numPr>
        <w:autoSpaceDE/>
        <w:autoSpaceDN/>
        <w:spacing w:after="160" w:line="256" w:lineRule="auto"/>
        <w:ind w:right="132"/>
        <w:jc w:val="both"/>
        <w:rPr>
          <w:sz w:val="20"/>
          <w:szCs w:val="20"/>
          <w:u w:val="single"/>
        </w:rPr>
      </w:pPr>
      <w:r w:rsidRPr="00C620F0">
        <w:rPr>
          <w:rFonts w:eastAsia="Aptos" w:cs="Times New Roman"/>
          <w:kern w:val="2"/>
          <w:sz w:val="20"/>
          <w:szCs w:val="20"/>
          <w:u w:val="single"/>
          <w14:ligatures w14:val="standardContextual"/>
        </w:rPr>
        <w:t>Nueva columna para el volumen de la bodega de pescado (FHV, m</w:t>
      </w:r>
      <w:r w:rsidRPr="00C620F0">
        <w:rPr>
          <w:rFonts w:eastAsia="Aptos" w:cs="Times New Roman"/>
          <w:kern w:val="2"/>
          <w:sz w:val="20"/>
          <w:szCs w:val="20"/>
          <w:u w:val="single"/>
          <w:vertAlign w:val="superscript"/>
          <w14:ligatures w14:val="standardContextual"/>
        </w:rPr>
        <w:t>3</w:t>
      </w:r>
      <w:r w:rsidRPr="00C620F0">
        <w:rPr>
          <w:rFonts w:eastAsia="Aptos" w:cs="Times New Roman"/>
          <w:kern w:val="2"/>
          <w:sz w:val="20"/>
          <w:szCs w:val="20"/>
          <w:u w:val="single"/>
          <w14:ligatures w14:val="standardContextual"/>
        </w:rPr>
        <w:t>).</w:t>
      </w:r>
    </w:p>
    <w:p w14:paraId="6F37541D" w14:textId="4155E521" w:rsidR="0090643B" w:rsidRPr="00C620F0" w:rsidRDefault="0090643B" w:rsidP="0090643B">
      <w:pPr>
        <w:ind w:right="132"/>
        <w:jc w:val="both"/>
        <w:rPr>
          <w:sz w:val="20"/>
          <w:szCs w:val="20"/>
          <w:u w:val="single"/>
        </w:rPr>
      </w:pPr>
      <w:r w:rsidRPr="00C620F0">
        <w:rPr>
          <w:rFonts w:eastAsia="Aptos" w:cs="Times New Roman"/>
          <w:kern w:val="2"/>
          <w:sz w:val="20"/>
          <w:szCs w:val="20"/>
          <w:u w:val="single"/>
          <w14:ligatures w14:val="standardContextual"/>
        </w:rPr>
        <w:t xml:space="preserve">Para simplificar el proceso de validación y mantener la coherencia entre las bases de datos de buques, la Secretaría propone estandarizar las medidas mencionadas (eslora, </w:t>
      </w:r>
      <w:r w:rsidR="00093D91" w:rsidRPr="00C620F0">
        <w:rPr>
          <w:rFonts w:eastAsia="Aptos" w:cs="Times New Roman"/>
          <w:kern w:val="2"/>
          <w:sz w:val="20"/>
          <w:szCs w:val="20"/>
          <w:u w:val="single"/>
          <w14:ligatures w14:val="standardContextual"/>
        </w:rPr>
        <w:t>tonelaje</w:t>
      </w:r>
      <w:r w:rsidRPr="00C620F0">
        <w:rPr>
          <w:rFonts w:eastAsia="Aptos" w:cs="Times New Roman"/>
          <w:kern w:val="2"/>
          <w:sz w:val="20"/>
          <w:szCs w:val="20"/>
          <w:u w:val="single"/>
          <w14:ligatures w14:val="standardContextual"/>
        </w:rPr>
        <w:t>, CCC, FCC, FHV) redondeando los valores comunicados a un decimal de la parte fraccionaria.</w:t>
      </w:r>
    </w:p>
    <w:p w14:paraId="0B0818F7" w14:textId="35C46B36" w:rsidR="00740720" w:rsidRPr="00C620F0" w:rsidRDefault="00740720" w:rsidP="00740720">
      <w:pPr>
        <w:pStyle w:val="BodyText"/>
        <w:spacing w:before="4"/>
        <w:jc w:val="both"/>
        <w:rPr>
          <w:rFonts w:asciiTheme="majorHAnsi" w:hAnsiTheme="majorHAnsi"/>
          <w:b/>
          <w:bCs/>
          <w:i/>
          <w:iCs/>
          <w:sz w:val="20"/>
          <w:szCs w:val="20"/>
        </w:rPr>
      </w:pPr>
    </w:p>
    <w:p w14:paraId="1D916059" w14:textId="623ED6AD" w:rsidR="00740720" w:rsidRPr="00C620F0" w:rsidRDefault="00740720" w:rsidP="00740720">
      <w:pPr>
        <w:pStyle w:val="BodyText"/>
        <w:spacing w:before="4"/>
        <w:jc w:val="both"/>
        <w:rPr>
          <w:rFonts w:asciiTheme="majorHAnsi" w:hAnsiTheme="majorHAnsi"/>
          <w:b/>
          <w:bCs/>
          <w:i/>
          <w:iCs/>
          <w:sz w:val="20"/>
          <w:szCs w:val="20"/>
          <w:u w:val="single"/>
        </w:rPr>
      </w:pPr>
      <w:r w:rsidRPr="00C620F0">
        <w:rPr>
          <w:rFonts w:asciiTheme="majorHAnsi" w:hAnsiTheme="majorHAnsi"/>
          <w:b/>
          <w:bCs/>
          <w:i/>
          <w:iCs/>
          <w:sz w:val="20"/>
          <w:szCs w:val="20"/>
          <w:u w:val="single"/>
        </w:rPr>
        <w:t>Subcomisión 2</w:t>
      </w:r>
    </w:p>
    <w:p w14:paraId="6E20A41D" w14:textId="77777777" w:rsidR="00790E78" w:rsidRPr="00C620F0" w:rsidRDefault="00790E78" w:rsidP="00790E78">
      <w:pPr>
        <w:pStyle w:val="BodyText"/>
        <w:spacing w:before="4"/>
        <w:ind w:left="720"/>
        <w:jc w:val="both"/>
        <w:rPr>
          <w:rFonts w:asciiTheme="majorHAnsi" w:hAnsiTheme="majorHAnsi"/>
          <w:sz w:val="20"/>
          <w:szCs w:val="20"/>
        </w:rPr>
      </w:pPr>
    </w:p>
    <w:p w14:paraId="69E1A5DB" w14:textId="77777777" w:rsidR="001148D7" w:rsidRPr="00C620F0" w:rsidRDefault="003A5EC9" w:rsidP="001148D7">
      <w:pPr>
        <w:pStyle w:val="BodyText"/>
        <w:spacing w:before="4" w:line="256" w:lineRule="auto"/>
        <w:ind w:right="132"/>
        <w:jc w:val="both"/>
        <w:rPr>
          <w:rFonts w:asciiTheme="majorHAnsi" w:hAnsiTheme="majorHAnsi"/>
          <w:b/>
          <w:bCs/>
          <w:i/>
          <w:iCs/>
          <w:sz w:val="20"/>
          <w:szCs w:val="20"/>
        </w:rPr>
      </w:pPr>
      <w:r w:rsidRPr="00C620F0">
        <w:rPr>
          <w:rFonts w:asciiTheme="majorHAnsi" w:hAnsiTheme="majorHAnsi"/>
          <w:b/>
          <w:bCs/>
          <w:i/>
          <w:iCs/>
          <w:color w:val="231F20"/>
          <w:sz w:val="20"/>
        </w:rPr>
        <w:t>Atún blanco del Mediterráneo</w:t>
      </w:r>
    </w:p>
    <w:p w14:paraId="72A302CC" w14:textId="77777777" w:rsidR="001148D7" w:rsidRPr="00C620F0" w:rsidRDefault="001148D7" w:rsidP="001148D7">
      <w:pPr>
        <w:pStyle w:val="BodyText"/>
        <w:spacing w:before="4" w:line="256" w:lineRule="auto"/>
        <w:ind w:right="132"/>
        <w:jc w:val="both"/>
        <w:rPr>
          <w:rFonts w:asciiTheme="majorHAnsi" w:hAnsiTheme="majorHAnsi"/>
          <w:color w:val="231F20"/>
          <w:sz w:val="20"/>
        </w:rPr>
      </w:pPr>
    </w:p>
    <w:p w14:paraId="0CE0F625" w14:textId="53B48D44" w:rsidR="004662A0" w:rsidRPr="00C620F0" w:rsidRDefault="003A5EC9" w:rsidP="001148D7">
      <w:pPr>
        <w:pStyle w:val="BodyText"/>
        <w:spacing w:before="4" w:line="256" w:lineRule="auto"/>
        <w:ind w:right="132"/>
        <w:jc w:val="both"/>
        <w:rPr>
          <w:rFonts w:asciiTheme="majorHAnsi" w:hAnsiTheme="majorHAnsi"/>
          <w:sz w:val="20"/>
          <w:szCs w:val="20"/>
        </w:rPr>
      </w:pPr>
      <w:r w:rsidRPr="00C620F0">
        <w:rPr>
          <w:rFonts w:asciiTheme="majorHAnsi" w:hAnsiTheme="majorHAnsi"/>
          <w:color w:val="231F20"/>
          <w:sz w:val="20"/>
        </w:rPr>
        <w:lastRenderedPageBreak/>
        <w:t>Las disposiciones que definen los requisitos M:ALB09 y M:ALB10, relativos al envío de datos de capturas mensuales y trimestrales, respectivamente, de atún blanco del Mediterráneo, así como la obligación de las CPC de notificar a la Secretaría de ICCAT cuando hayan alcanzado el 80 % de</w:t>
      </w:r>
      <w:r w:rsidR="00971788" w:rsidRPr="00C620F0">
        <w:rPr>
          <w:rFonts w:asciiTheme="majorHAnsi" w:hAnsiTheme="majorHAnsi"/>
          <w:color w:val="231F20"/>
          <w:sz w:val="20"/>
        </w:rPr>
        <w:t xml:space="preserve"> su</w:t>
      </w:r>
      <w:r w:rsidRPr="00C620F0">
        <w:rPr>
          <w:rFonts w:asciiTheme="majorHAnsi" w:hAnsiTheme="majorHAnsi"/>
          <w:color w:val="231F20"/>
          <w:sz w:val="20"/>
        </w:rPr>
        <w:t xml:space="preserve"> TAC, no se encuentran recogidas en la Rec. 24-08, sino en el </w:t>
      </w:r>
      <w:r w:rsidR="001F09B0" w:rsidRPr="00C620F0">
        <w:rPr>
          <w:rFonts w:asciiTheme="majorHAnsi" w:hAnsiTheme="majorHAnsi"/>
          <w:color w:val="231F20"/>
          <w:sz w:val="20"/>
        </w:rPr>
        <w:t>I</w:t>
      </w:r>
      <w:r w:rsidRPr="00C620F0">
        <w:rPr>
          <w:rFonts w:asciiTheme="majorHAnsi" w:hAnsiTheme="majorHAnsi"/>
          <w:color w:val="231F20"/>
          <w:sz w:val="20"/>
        </w:rPr>
        <w:t xml:space="preserve">nforme de la reunión del Grupo de trabajo </w:t>
      </w:r>
      <w:r w:rsidRPr="00C620F0">
        <w:rPr>
          <w:rFonts w:asciiTheme="majorHAnsi" w:hAnsiTheme="majorHAnsi"/>
          <w:i/>
          <w:iCs/>
          <w:color w:val="231F20"/>
          <w:sz w:val="20"/>
        </w:rPr>
        <w:t>ad hoc</w:t>
      </w:r>
      <w:r w:rsidRPr="00C620F0">
        <w:rPr>
          <w:rFonts w:asciiTheme="majorHAnsi" w:hAnsiTheme="majorHAnsi"/>
          <w:color w:val="231F20"/>
          <w:sz w:val="20"/>
        </w:rPr>
        <w:t xml:space="preserve"> sobre atún blanco del Mediterráneo celebrada en febrero de 2022. Se sugiere que cualquier recomendación que enmiende o sustituya a la Rec. 24-08, incluya explícitamente estas obligaciones.</w:t>
      </w:r>
    </w:p>
    <w:p w14:paraId="1D21EA25" w14:textId="77777777" w:rsidR="007B7E59" w:rsidRPr="00C620F0" w:rsidRDefault="007B7E59" w:rsidP="007B7E59">
      <w:pPr>
        <w:pStyle w:val="BodyText"/>
        <w:spacing w:before="4" w:line="256" w:lineRule="auto"/>
        <w:ind w:right="132"/>
        <w:jc w:val="both"/>
        <w:rPr>
          <w:rFonts w:asciiTheme="majorHAnsi" w:hAnsiTheme="majorHAnsi"/>
          <w:color w:val="231F20"/>
          <w:sz w:val="20"/>
        </w:rPr>
      </w:pPr>
    </w:p>
    <w:p w14:paraId="420675FA" w14:textId="4A70B04A" w:rsidR="007B7E59" w:rsidRPr="00C620F0" w:rsidRDefault="00326C51" w:rsidP="007B7E59">
      <w:pPr>
        <w:pStyle w:val="BodyText"/>
        <w:spacing w:before="4" w:line="256" w:lineRule="auto"/>
        <w:ind w:right="132"/>
        <w:jc w:val="both"/>
        <w:rPr>
          <w:rFonts w:asciiTheme="majorHAnsi" w:hAnsiTheme="majorHAnsi"/>
          <w:b/>
          <w:bCs/>
          <w:sz w:val="20"/>
          <w:szCs w:val="20"/>
          <w:u w:val="single"/>
        </w:rPr>
      </w:pPr>
      <w:r w:rsidRPr="00C620F0">
        <w:rPr>
          <w:rFonts w:asciiTheme="majorHAnsi" w:hAnsiTheme="majorHAnsi"/>
          <w:b/>
          <w:bCs/>
          <w:color w:val="231F20"/>
          <w:sz w:val="20"/>
          <w:u w:val="single"/>
        </w:rPr>
        <w:t>Subcomisión</w:t>
      </w:r>
      <w:r w:rsidR="007B7E59" w:rsidRPr="00C620F0">
        <w:rPr>
          <w:rFonts w:asciiTheme="majorHAnsi" w:hAnsiTheme="majorHAnsi"/>
          <w:b/>
          <w:bCs/>
          <w:color w:val="231F20"/>
          <w:sz w:val="20"/>
          <w:u w:val="single"/>
        </w:rPr>
        <w:t xml:space="preserve"> 4</w:t>
      </w:r>
    </w:p>
    <w:p w14:paraId="641E5E7E" w14:textId="77777777" w:rsidR="004662A0" w:rsidRPr="00C620F0" w:rsidRDefault="004662A0" w:rsidP="004662A0">
      <w:pPr>
        <w:pStyle w:val="BodyText"/>
        <w:spacing w:before="4" w:line="256" w:lineRule="auto"/>
        <w:ind w:left="720" w:right="132"/>
        <w:jc w:val="both"/>
        <w:rPr>
          <w:rFonts w:asciiTheme="majorHAnsi" w:hAnsiTheme="majorHAnsi"/>
          <w:sz w:val="20"/>
          <w:szCs w:val="20"/>
        </w:rPr>
      </w:pPr>
    </w:p>
    <w:p w14:paraId="72DF8228" w14:textId="77777777" w:rsidR="00326C51" w:rsidRPr="00C620F0" w:rsidRDefault="003A5EC9" w:rsidP="00326C51">
      <w:pPr>
        <w:pStyle w:val="BodyText"/>
        <w:spacing w:before="4" w:line="256" w:lineRule="auto"/>
        <w:ind w:right="132"/>
        <w:jc w:val="both"/>
        <w:rPr>
          <w:rFonts w:asciiTheme="majorHAnsi" w:hAnsiTheme="majorHAnsi"/>
          <w:b/>
          <w:bCs/>
          <w:i/>
          <w:iCs/>
          <w:color w:val="231F20"/>
          <w:sz w:val="20"/>
        </w:rPr>
      </w:pPr>
      <w:r w:rsidRPr="00C620F0">
        <w:rPr>
          <w:rFonts w:asciiTheme="majorHAnsi" w:hAnsiTheme="majorHAnsi"/>
          <w:b/>
          <w:bCs/>
          <w:i/>
          <w:iCs/>
          <w:color w:val="231F20"/>
          <w:sz w:val="20"/>
        </w:rPr>
        <w:t xml:space="preserve">Pez espada del Atlántico sur: </w:t>
      </w:r>
    </w:p>
    <w:p w14:paraId="7157C2CA" w14:textId="77777777" w:rsidR="00326C51" w:rsidRPr="00C620F0" w:rsidRDefault="00326C51" w:rsidP="00326C51">
      <w:pPr>
        <w:pStyle w:val="BodyText"/>
        <w:spacing w:before="4" w:line="256" w:lineRule="auto"/>
        <w:ind w:right="132"/>
        <w:jc w:val="both"/>
        <w:rPr>
          <w:rFonts w:asciiTheme="majorHAnsi" w:hAnsiTheme="majorHAnsi"/>
          <w:color w:val="231F20"/>
          <w:sz w:val="20"/>
        </w:rPr>
      </w:pPr>
    </w:p>
    <w:p w14:paraId="7DA8F87B" w14:textId="03911ED0" w:rsidR="00E158A1" w:rsidRPr="00C620F0" w:rsidRDefault="003A5EC9" w:rsidP="001148D7">
      <w:pPr>
        <w:pStyle w:val="BodyText"/>
        <w:spacing w:line="256" w:lineRule="auto"/>
        <w:ind w:right="132"/>
        <w:jc w:val="both"/>
        <w:rPr>
          <w:rFonts w:asciiTheme="majorHAnsi" w:hAnsiTheme="majorHAnsi"/>
          <w:sz w:val="20"/>
          <w:szCs w:val="20"/>
        </w:rPr>
      </w:pPr>
      <w:r w:rsidRPr="00C620F0">
        <w:rPr>
          <w:rFonts w:asciiTheme="majorHAnsi" w:hAnsiTheme="majorHAnsi"/>
          <w:color w:val="231F20"/>
          <w:sz w:val="20"/>
        </w:rPr>
        <w:t>Para facilitar la consulta, se sugiere que las futuras modificaciones se hagan directamente sobre la medida principal, o que se proponga una nueva medida en su totalidad.</w:t>
      </w:r>
    </w:p>
    <w:p w14:paraId="56517101" w14:textId="77777777" w:rsidR="00E158A1" w:rsidRPr="00C620F0" w:rsidRDefault="00E158A1" w:rsidP="000C3A47">
      <w:pPr>
        <w:pStyle w:val="BodyText"/>
        <w:spacing w:before="19"/>
        <w:jc w:val="both"/>
        <w:rPr>
          <w:rFonts w:asciiTheme="majorHAnsi" w:hAnsiTheme="majorHAnsi"/>
          <w:sz w:val="20"/>
          <w:szCs w:val="20"/>
        </w:rPr>
      </w:pPr>
    </w:p>
    <w:p w14:paraId="0E8F59F2" w14:textId="77777777" w:rsidR="00326C51" w:rsidRPr="00C620F0" w:rsidRDefault="003A5EC9" w:rsidP="00326C51">
      <w:pPr>
        <w:pStyle w:val="BodyText"/>
        <w:spacing w:line="256" w:lineRule="auto"/>
        <w:ind w:right="132"/>
        <w:jc w:val="both"/>
        <w:rPr>
          <w:rFonts w:asciiTheme="majorHAnsi" w:hAnsiTheme="majorHAnsi"/>
          <w:b/>
          <w:bCs/>
          <w:i/>
          <w:iCs/>
          <w:sz w:val="20"/>
          <w:szCs w:val="20"/>
        </w:rPr>
      </w:pPr>
      <w:bookmarkStart w:id="2" w:name="_Hlk202349882"/>
      <w:r w:rsidRPr="00C620F0">
        <w:rPr>
          <w:rFonts w:asciiTheme="majorHAnsi" w:hAnsiTheme="majorHAnsi"/>
          <w:b/>
          <w:bCs/>
          <w:i/>
          <w:iCs/>
          <w:color w:val="231F20"/>
          <w:sz w:val="20"/>
        </w:rPr>
        <w:t>Aves marinas</w:t>
      </w:r>
    </w:p>
    <w:p w14:paraId="2C7A52AF" w14:textId="77777777" w:rsidR="00326C51" w:rsidRPr="00C620F0" w:rsidRDefault="00326C51" w:rsidP="00326C51">
      <w:pPr>
        <w:pStyle w:val="ListParagraph"/>
        <w:rPr>
          <w:rFonts w:asciiTheme="majorHAnsi" w:hAnsiTheme="majorHAnsi"/>
          <w:color w:val="231F20"/>
          <w:sz w:val="20"/>
        </w:rPr>
      </w:pPr>
    </w:p>
    <w:p w14:paraId="0D6929FA" w14:textId="794AADEB" w:rsidR="00E158A1" w:rsidRPr="00C620F0" w:rsidRDefault="003A5EC9" w:rsidP="001148D7">
      <w:pPr>
        <w:pStyle w:val="BodyText"/>
        <w:spacing w:line="256" w:lineRule="auto"/>
        <w:ind w:right="132"/>
        <w:jc w:val="both"/>
        <w:rPr>
          <w:rFonts w:asciiTheme="majorHAnsi" w:hAnsiTheme="majorHAnsi"/>
          <w:sz w:val="20"/>
          <w:szCs w:val="20"/>
        </w:rPr>
      </w:pPr>
      <w:r w:rsidRPr="00C620F0">
        <w:rPr>
          <w:rFonts w:asciiTheme="majorHAnsi" w:hAnsiTheme="majorHAnsi"/>
          <w:color w:val="231F20"/>
          <w:sz w:val="20"/>
        </w:rPr>
        <w:t xml:space="preserve"> La combinación de la </w:t>
      </w:r>
      <w:r w:rsidRPr="00C620F0">
        <w:rPr>
          <w:rFonts w:asciiTheme="majorHAnsi" w:hAnsiTheme="majorHAnsi"/>
          <w:color w:val="005EAC"/>
          <w:sz w:val="20"/>
        </w:rPr>
        <w:t>Rec. 07-07</w:t>
      </w:r>
      <w:r w:rsidRPr="00C620F0">
        <w:rPr>
          <w:rFonts w:asciiTheme="majorHAnsi" w:hAnsiTheme="majorHAnsi"/>
          <w:color w:val="231F20"/>
          <w:sz w:val="20"/>
        </w:rPr>
        <w:t xml:space="preserve"> y la </w:t>
      </w:r>
      <w:r w:rsidRPr="00C620F0">
        <w:rPr>
          <w:rFonts w:asciiTheme="majorHAnsi" w:hAnsiTheme="majorHAnsi"/>
          <w:color w:val="005EAC"/>
          <w:sz w:val="20"/>
        </w:rPr>
        <w:t>Rec. 11-09</w:t>
      </w:r>
      <w:r w:rsidRPr="00C620F0">
        <w:rPr>
          <w:rFonts w:asciiTheme="majorHAnsi" w:hAnsiTheme="majorHAnsi"/>
          <w:color w:val="231F20"/>
          <w:sz w:val="20"/>
        </w:rPr>
        <w:t xml:space="preserve"> sobre aves marinas sigue pendiente. </w:t>
      </w:r>
      <w:r w:rsidRPr="00C620F0">
        <w:rPr>
          <w:rFonts w:asciiTheme="majorHAnsi" w:hAnsiTheme="majorHAnsi"/>
          <w:sz w:val="20"/>
        </w:rPr>
        <w:t>El Subcomité de ecosistemas y capturas fortuitas ha tomado nota de los avances en curso en relación con las medidas de mitigación de las capturas fortuitas de aves marinas, que se espera que estén terminadas a finales de 2026 o principios de 2027. Por lo tanto, se ha sugerido que cualquier esfuerzo para combinar o revisar estas recomendaciones debe</w:t>
      </w:r>
      <w:r w:rsidR="002E5698" w:rsidRPr="00C620F0">
        <w:rPr>
          <w:rFonts w:asciiTheme="majorHAnsi" w:hAnsiTheme="majorHAnsi"/>
          <w:sz w:val="20"/>
        </w:rPr>
        <w:t>rí</w:t>
      </w:r>
      <w:r w:rsidR="00FE5318" w:rsidRPr="00C620F0">
        <w:rPr>
          <w:rFonts w:asciiTheme="majorHAnsi" w:hAnsiTheme="majorHAnsi"/>
          <w:sz w:val="20"/>
        </w:rPr>
        <w:t xml:space="preserve">a </w:t>
      </w:r>
      <w:r w:rsidR="00E33790" w:rsidRPr="00C620F0">
        <w:rPr>
          <w:rFonts w:asciiTheme="majorHAnsi" w:hAnsiTheme="majorHAnsi"/>
          <w:sz w:val="20"/>
        </w:rPr>
        <w:t>esperar hasta que la Comisión</w:t>
      </w:r>
      <w:r w:rsidR="00632038" w:rsidRPr="00C620F0">
        <w:rPr>
          <w:rFonts w:asciiTheme="majorHAnsi" w:hAnsiTheme="majorHAnsi"/>
          <w:sz w:val="20"/>
        </w:rPr>
        <w:t xml:space="preserve"> reciba</w:t>
      </w:r>
      <w:r w:rsidR="00485DC4" w:rsidRPr="00C620F0">
        <w:rPr>
          <w:rFonts w:asciiTheme="majorHAnsi" w:hAnsiTheme="majorHAnsi"/>
          <w:sz w:val="20"/>
        </w:rPr>
        <w:t xml:space="preserve"> </w:t>
      </w:r>
      <w:r w:rsidR="008E1CD0" w:rsidRPr="00C620F0">
        <w:rPr>
          <w:rFonts w:asciiTheme="majorHAnsi" w:hAnsiTheme="majorHAnsi"/>
          <w:sz w:val="20"/>
        </w:rPr>
        <w:t>cualquier nuevo asesoramiento del SCRS.</w:t>
      </w:r>
    </w:p>
    <w:bookmarkEnd w:id="2"/>
    <w:p w14:paraId="167C23E7" w14:textId="77777777" w:rsidR="00E158A1" w:rsidRPr="00C620F0" w:rsidRDefault="00E158A1" w:rsidP="000C3A47">
      <w:pPr>
        <w:pStyle w:val="BodyText"/>
        <w:spacing w:before="4"/>
        <w:jc w:val="both"/>
        <w:rPr>
          <w:rFonts w:asciiTheme="majorHAnsi" w:hAnsiTheme="majorHAnsi"/>
          <w:sz w:val="20"/>
          <w:szCs w:val="20"/>
        </w:rPr>
      </w:pPr>
    </w:p>
    <w:p w14:paraId="2DF71A35" w14:textId="4FE8B084" w:rsidR="00326C51" w:rsidRPr="00C620F0" w:rsidRDefault="003A5EC9" w:rsidP="00326C51">
      <w:pPr>
        <w:pStyle w:val="BodyText"/>
        <w:spacing w:line="256" w:lineRule="auto"/>
        <w:ind w:right="132"/>
        <w:jc w:val="both"/>
        <w:rPr>
          <w:rFonts w:asciiTheme="majorHAnsi" w:hAnsiTheme="majorHAnsi"/>
          <w:b/>
          <w:bCs/>
          <w:i/>
          <w:iCs/>
          <w:sz w:val="20"/>
          <w:szCs w:val="20"/>
        </w:rPr>
      </w:pPr>
      <w:r w:rsidRPr="00C620F0">
        <w:rPr>
          <w:rFonts w:asciiTheme="majorHAnsi" w:hAnsiTheme="majorHAnsi"/>
          <w:b/>
          <w:bCs/>
          <w:i/>
          <w:iCs/>
          <w:color w:val="231F20"/>
          <w:sz w:val="20"/>
        </w:rPr>
        <w:t>Tiburones en general</w:t>
      </w:r>
    </w:p>
    <w:p w14:paraId="7BB52AA8" w14:textId="77777777" w:rsidR="00326C51" w:rsidRPr="00C620F0" w:rsidRDefault="00326C51" w:rsidP="00326C51">
      <w:pPr>
        <w:pStyle w:val="ListParagraph"/>
        <w:rPr>
          <w:rFonts w:asciiTheme="majorHAnsi" w:hAnsiTheme="majorHAnsi"/>
          <w:color w:val="231F20"/>
          <w:sz w:val="20"/>
        </w:rPr>
      </w:pPr>
    </w:p>
    <w:p w14:paraId="337A24B8" w14:textId="6BC2DF22" w:rsidR="00E158A1" w:rsidRPr="005D5B14" w:rsidRDefault="003A5EC9" w:rsidP="008815C1">
      <w:pPr>
        <w:pStyle w:val="BodyText"/>
        <w:spacing w:line="256" w:lineRule="auto"/>
        <w:ind w:right="132"/>
        <w:jc w:val="both"/>
        <w:rPr>
          <w:rFonts w:asciiTheme="majorHAnsi" w:hAnsiTheme="majorHAnsi"/>
          <w:sz w:val="20"/>
          <w:szCs w:val="20"/>
        </w:rPr>
      </w:pPr>
      <w:r w:rsidRPr="00C620F0">
        <w:rPr>
          <w:rFonts w:asciiTheme="majorHAnsi" w:hAnsiTheme="majorHAnsi"/>
          <w:color w:val="231F20"/>
          <w:sz w:val="20"/>
        </w:rPr>
        <w:t xml:space="preserve">Existen varias medidas relativas a los tiburones: </w:t>
      </w:r>
      <w:r w:rsidRPr="00C620F0">
        <w:rPr>
          <w:rFonts w:asciiTheme="majorHAnsi" w:hAnsiTheme="majorHAnsi"/>
          <w:color w:val="005EAC"/>
          <w:sz w:val="20"/>
        </w:rPr>
        <w:t>Res. 95-02</w:t>
      </w:r>
      <w:r w:rsidRPr="00C620F0">
        <w:rPr>
          <w:rFonts w:asciiTheme="majorHAnsi" w:hAnsiTheme="majorHAnsi"/>
          <w:color w:val="231F20"/>
          <w:sz w:val="20"/>
        </w:rPr>
        <w:t xml:space="preserve">; </w:t>
      </w:r>
      <w:r w:rsidRPr="00C620F0">
        <w:rPr>
          <w:rFonts w:asciiTheme="majorHAnsi" w:hAnsiTheme="majorHAnsi"/>
          <w:color w:val="005EAC"/>
          <w:sz w:val="20"/>
        </w:rPr>
        <w:t>Res. 03-10</w:t>
      </w:r>
      <w:r w:rsidRPr="00C620F0">
        <w:rPr>
          <w:rFonts w:asciiTheme="majorHAnsi" w:hAnsiTheme="majorHAnsi"/>
          <w:color w:val="231F20"/>
          <w:sz w:val="20"/>
        </w:rPr>
        <w:t xml:space="preserve">; </w:t>
      </w:r>
      <w:r w:rsidRPr="00C620F0">
        <w:rPr>
          <w:rFonts w:asciiTheme="majorHAnsi" w:hAnsiTheme="majorHAnsi"/>
          <w:color w:val="005EAC"/>
          <w:sz w:val="20"/>
        </w:rPr>
        <w:t>Rec. 04-10</w:t>
      </w:r>
      <w:r w:rsidRPr="00C620F0">
        <w:rPr>
          <w:rFonts w:asciiTheme="majorHAnsi" w:hAnsiTheme="majorHAnsi"/>
          <w:color w:val="231F20"/>
          <w:sz w:val="20"/>
        </w:rPr>
        <w:t xml:space="preserve">; </w:t>
      </w:r>
      <w:r w:rsidRPr="00C620F0">
        <w:rPr>
          <w:rFonts w:asciiTheme="majorHAnsi" w:hAnsiTheme="majorHAnsi"/>
          <w:color w:val="005EAC"/>
          <w:sz w:val="20"/>
        </w:rPr>
        <w:t>Rec. 07-06</w:t>
      </w:r>
      <w:r w:rsidR="003619C5" w:rsidRPr="00C620F0">
        <w:rPr>
          <w:rFonts w:asciiTheme="majorHAnsi" w:hAnsiTheme="majorHAnsi"/>
          <w:color w:val="231F20"/>
          <w:sz w:val="20"/>
        </w:rPr>
        <w:t xml:space="preserve"> y </w:t>
      </w:r>
      <w:r w:rsidRPr="00C620F0">
        <w:rPr>
          <w:rFonts w:asciiTheme="majorHAnsi" w:hAnsiTheme="majorHAnsi"/>
          <w:color w:val="005EAC"/>
          <w:sz w:val="20"/>
        </w:rPr>
        <w:t>Rec. 13-10</w:t>
      </w:r>
      <w:r w:rsidRPr="00C620F0">
        <w:rPr>
          <w:rFonts w:asciiTheme="majorHAnsi" w:hAnsiTheme="majorHAnsi"/>
          <w:color w:val="231F20"/>
          <w:sz w:val="20"/>
        </w:rPr>
        <w:t>. Se sugiere que las disposiciones pertinentes de estas medidas se consoliden en una sola, tanto para facilitar la consulta como para simplificar la hoja de comprobación de tiburones (</w:t>
      </w:r>
      <w:r w:rsidRPr="00C620F0">
        <w:rPr>
          <w:rFonts w:asciiTheme="majorHAnsi" w:hAnsiTheme="majorHAnsi"/>
          <w:color w:val="005EAC"/>
          <w:sz w:val="20"/>
        </w:rPr>
        <w:t>Rec. 18-06</w:t>
      </w:r>
      <w:r w:rsidRPr="00C620F0">
        <w:rPr>
          <w:rFonts w:asciiTheme="majorHAnsi" w:hAnsiTheme="majorHAnsi"/>
          <w:color w:val="231F20"/>
          <w:sz w:val="20"/>
        </w:rPr>
        <w:t>), cada vez más compleja y engorrosa. Cualquier versión combinada debería ser revisada y aprobada por la Subcomisión 4.</w:t>
      </w:r>
    </w:p>
    <w:p w14:paraId="340BBA4B" w14:textId="77777777" w:rsidR="00E158A1" w:rsidRPr="005D5B14" w:rsidRDefault="00E158A1" w:rsidP="000C3A47">
      <w:pPr>
        <w:pStyle w:val="BodyText"/>
        <w:spacing w:before="3"/>
        <w:jc w:val="both"/>
        <w:rPr>
          <w:rFonts w:asciiTheme="majorHAnsi" w:hAnsiTheme="majorHAnsi"/>
          <w:sz w:val="20"/>
          <w:szCs w:val="20"/>
        </w:rPr>
      </w:pPr>
    </w:p>
    <w:sectPr w:rsidR="00E158A1" w:rsidRPr="005D5B14" w:rsidSect="00F07856">
      <w:headerReference w:type="default" r:id="rId10"/>
      <w:footerReference w:type="default" r:id="rId11"/>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597AC" w14:textId="77777777" w:rsidR="00E85013" w:rsidRDefault="00E85013">
      <w:r>
        <w:separator/>
      </w:r>
    </w:p>
  </w:endnote>
  <w:endnote w:type="continuationSeparator" w:id="0">
    <w:p w14:paraId="2D45510B" w14:textId="77777777" w:rsidR="00E85013" w:rsidRDefault="00E8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701A" w14:textId="77777777" w:rsidR="00846B16" w:rsidRDefault="00C620F0" w:rsidP="00846B16">
    <w:pPr>
      <w:pStyle w:val="Footer"/>
      <w:jc w:val="center"/>
    </w:pPr>
    <w:sdt>
      <w:sdtPr>
        <w:rPr>
          <w:rFonts w:ascii="Calibri" w:eastAsia="Calibri" w:hAnsi="Calibri" w:cs="Calibri"/>
          <w:sz w:val="20"/>
          <w:szCs w:val="20"/>
        </w:rPr>
        <w:id w:val="810910487"/>
        <w:docPartObj>
          <w:docPartGallery w:val="Page Numbers (Top of Page)"/>
          <w:docPartUnique/>
        </w:docPartObj>
      </w:sdtPr>
      <w:sdtEndPr/>
      <w:sdtContent>
        <w:r w:rsidR="00846B16" w:rsidRPr="00713AD4">
          <w:rPr>
            <w:rFonts w:eastAsia="Calibri" w:cs="Calibri"/>
            <w:sz w:val="20"/>
          </w:rPr>
          <w:fldChar w:fldCharType="begin"/>
        </w:r>
        <w:r w:rsidR="00846B16" w:rsidRPr="00713AD4">
          <w:rPr>
            <w:rFonts w:eastAsia="Calibri" w:cs="Calibri"/>
            <w:sz w:val="20"/>
          </w:rPr>
          <w:instrText xml:space="preserve"> PAGE </w:instrText>
        </w:r>
        <w:r w:rsidR="00846B16" w:rsidRPr="00713AD4">
          <w:rPr>
            <w:rFonts w:eastAsia="Calibri" w:cs="Calibri"/>
            <w:sz w:val="20"/>
          </w:rPr>
          <w:fldChar w:fldCharType="separate"/>
        </w:r>
        <w:r w:rsidR="00846B16">
          <w:rPr>
            <w:rFonts w:eastAsia="Calibri" w:cs="Calibri"/>
            <w:sz w:val="20"/>
          </w:rPr>
          <w:t>1</w:t>
        </w:r>
        <w:r w:rsidR="00846B16" w:rsidRPr="00713AD4">
          <w:rPr>
            <w:rFonts w:eastAsia="Calibri" w:cs="Calibri"/>
            <w:sz w:val="20"/>
          </w:rPr>
          <w:fldChar w:fldCharType="end"/>
        </w:r>
        <w:r w:rsidR="00846B16">
          <w:rPr>
            <w:sz w:val="20"/>
          </w:rPr>
          <w:t xml:space="preserve"> / </w:t>
        </w:r>
        <w:r w:rsidR="00846B16" w:rsidRPr="00713AD4">
          <w:rPr>
            <w:rFonts w:eastAsia="Calibri" w:cs="Calibri"/>
            <w:sz w:val="20"/>
          </w:rPr>
          <w:fldChar w:fldCharType="begin"/>
        </w:r>
        <w:r w:rsidR="00846B16" w:rsidRPr="00713AD4">
          <w:rPr>
            <w:rFonts w:eastAsia="Calibri" w:cs="Calibri"/>
            <w:sz w:val="20"/>
          </w:rPr>
          <w:instrText xml:space="preserve"> NUMPAGES  </w:instrText>
        </w:r>
        <w:r w:rsidR="00846B16" w:rsidRPr="00713AD4">
          <w:rPr>
            <w:rFonts w:eastAsia="Calibri" w:cs="Calibri"/>
            <w:sz w:val="20"/>
          </w:rPr>
          <w:fldChar w:fldCharType="separate"/>
        </w:r>
        <w:r w:rsidR="00846B16">
          <w:rPr>
            <w:rFonts w:eastAsia="Calibri" w:cs="Calibri"/>
            <w:sz w:val="20"/>
          </w:rPr>
          <w:t>2</w:t>
        </w:r>
        <w:r w:rsidR="00846B16" w:rsidRPr="00713AD4">
          <w:rPr>
            <w:rFonts w:eastAsia="Calibri" w:cs="Calibri"/>
            <w:sz w:val="20"/>
          </w:rPr>
          <w:fldChar w:fldCharType="end"/>
        </w:r>
      </w:sdtContent>
    </w:sdt>
  </w:p>
  <w:p w14:paraId="4432A069" w14:textId="396DC2BE" w:rsidR="00E158A1" w:rsidRDefault="00E158A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1FDB" w14:textId="77777777" w:rsidR="00E85013" w:rsidRDefault="00E85013">
      <w:r>
        <w:separator/>
      </w:r>
    </w:p>
  </w:footnote>
  <w:footnote w:type="continuationSeparator" w:id="0">
    <w:p w14:paraId="6C4A23EC" w14:textId="77777777" w:rsidR="00E85013" w:rsidRDefault="00E85013">
      <w:r>
        <w:continuationSeparator/>
      </w:r>
    </w:p>
  </w:footnote>
  <w:footnote w:id="1">
    <w:p w14:paraId="5A06C6DD" w14:textId="19CFE25F" w:rsidR="0090643B" w:rsidRPr="00367625" w:rsidRDefault="0090643B" w:rsidP="0090643B">
      <w:pPr>
        <w:pStyle w:val="FootnoteText"/>
        <w:rPr>
          <w:color w:val="000000" w:themeColor="text1"/>
          <w:sz w:val="16"/>
          <w:szCs w:val="16"/>
          <w:u w:val="single"/>
        </w:rPr>
      </w:pPr>
      <w:r w:rsidRPr="00367625">
        <w:rPr>
          <w:rStyle w:val="FootnoteReference"/>
          <w:color w:val="000000" w:themeColor="text1"/>
          <w:u w:val="single"/>
        </w:rPr>
        <w:footnoteRef/>
      </w:r>
      <w:r w:rsidRPr="00367625">
        <w:rPr>
          <w:color w:val="000000" w:themeColor="text1"/>
          <w:u w:val="single"/>
        </w:rPr>
        <w:t xml:space="preserve"> </w:t>
      </w:r>
      <w:r w:rsidRPr="00367625">
        <w:rPr>
          <w:color w:val="000000" w:themeColor="text1"/>
          <w:sz w:val="16"/>
          <w:u w:val="single"/>
        </w:rPr>
        <w:t xml:space="preserve">Véase Restrepo </w:t>
      </w:r>
      <w:r w:rsidRPr="00367625">
        <w:rPr>
          <w:i/>
          <w:color w:val="000000" w:themeColor="text1"/>
          <w:sz w:val="16"/>
          <w:u w:val="single"/>
        </w:rPr>
        <w:t>et al.,</w:t>
      </w:r>
      <w:r w:rsidRPr="00367625">
        <w:rPr>
          <w:color w:val="000000" w:themeColor="text1"/>
          <w:sz w:val="16"/>
          <w:u w:val="single"/>
        </w:rPr>
        <w:t xml:space="preserve"> (in press) (document</w:t>
      </w:r>
      <w:r w:rsidR="00367625">
        <w:rPr>
          <w:color w:val="000000" w:themeColor="text1"/>
          <w:sz w:val="16"/>
          <w:u w:val="single"/>
        </w:rPr>
        <w:t>o</w:t>
      </w:r>
      <w:r w:rsidRPr="00367625">
        <w:rPr>
          <w:color w:val="000000" w:themeColor="text1"/>
          <w:sz w:val="16"/>
          <w:u w:val="single"/>
        </w:rPr>
        <w:t xml:space="preserve"> SCRS/2025/161)</w:t>
      </w:r>
      <w:r w:rsidR="004F6698" w:rsidRPr="00367625">
        <w:rPr>
          <w:color w:val="000000" w:themeColor="text1"/>
          <w:sz w:val="16"/>
          <w:u w:val="single"/>
        </w:rPr>
        <w:t xml:space="preserve"> y sección 19.37 del informe anual del SCRS (PLE-104</w:t>
      </w:r>
      <w:r w:rsidR="000726F6">
        <w:rPr>
          <w:color w:val="000000" w:themeColor="text1"/>
          <w:sz w:val="16"/>
          <w:u w:val="single"/>
        </w:rPr>
        <w:t>/2025</w:t>
      </w:r>
      <w:r w:rsidR="004F6698" w:rsidRPr="00367625">
        <w:rPr>
          <w:color w:val="000000" w:themeColor="text1"/>
          <w:sz w:val="16"/>
          <w:u w:val="single"/>
        </w:rPr>
        <w:t>),</w:t>
      </w:r>
    </w:p>
  </w:footnote>
  <w:footnote w:id="2">
    <w:p w14:paraId="5107E9A5" w14:textId="58F29349" w:rsidR="0090643B" w:rsidRPr="00775E85" w:rsidRDefault="0090643B" w:rsidP="0090643B">
      <w:pPr>
        <w:pStyle w:val="FootnoteText"/>
        <w:rPr>
          <w:color w:val="000000" w:themeColor="text1"/>
          <w:sz w:val="12"/>
          <w:szCs w:val="12"/>
          <w:u w:val="single"/>
        </w:rPr>
      </w:pPr>
      <w:r w:rsidRPr="00775E85">
        <w:rPr>
          <w:rStyle w:val="FootnoteReference"/>
          <w:color w:val="000000" w:themeColor="text1"/>
          <w:sz w:val="16"/>
          <w:szCs w:val="16"/>
          <w:u w:val="single"/>
        </w:rPr>
        <w:footnoteRef/>
      </w:r>
      <w:r w:rsidRPr="00775E85">
        <w:rPr>
          <w:color w:val="000000" w:themeColor="text1"/>
          <w:sz w:val="16"/>
          <w:szCs w:val="16"/>
          <w:u w:val="single"/>
        </w:rPr>
        <w:t xml:space="preserve"> Estas sugerencias de la Secretaría, respaldadas por el SCRS, serían aplicables a todos los buques que se inscriban en el Registro</w:t>
      </w:r>
      <w:r w:rsidR="00F75DBF">
        <w:rPr>
          <w:color w:val="000000" w:themeColor="text1"/>
          <w:sz w:val="16"/>
          <w:szCs w:val="16"/>
          <w:u w:val="single"/>
        </w:rPr>
        <w:t xml:space="preserve"> </w:t>
      </w:r>
      <w:r w:rsidR="00F75DBF" w:rsidRPr="00775E85">
        <w:rPr>
          <w:color w:val="000000" w:themeColor="text1"/>
          <w:sz w:val="16"/>
          <w:szCs w:val="16"/>
          <w:u w:val="single"/>
        </w:rPr>
        <w:t>ICCAT</w:t>
      </w:r>
      <w:r w:rsidRPr="00775E85">
        <w:rPr>
          <w:color w:val="000000" w:themeColor="text1"/>
          <w:sz w:val="16"/>
          <w:szCs w:val="16"/>
          <w:u w:val="single"/>
        </w:rPr>
        <w:t xml:space="preserve"> de buques y no solo a los incluidos en el Registro ICCAT de buques autorizados a pescar túnidos tropicales.</w:t>
      </w:r>
    </w:p>
    <w:p w14:paraId="379B4538" w14:textId="77777777" w:rsidR="0090643B" w:rsidRPr="00775E85" w:rsidRDefault="0090643B" w:rsidP="0090643B">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548DF" w14:textId="45E7A26D" w:rsidR="00B02BD4" w:rsidRDefault="00F07856" w:rsidP="00F07856">
    <w:pPr>
      <w:tabs>
        <w:tab w:val="left" w:pos="7320"/>
      </w:tabs>
      <w:spacing w:line="240" w:lineRule="exact"/>
      <w:jc w:val="right"/>
      <w:rPr>
        <w:b/>
        <w:sz w:val="20"/>
      </w:rPr>
    </w:pPr>
    <w:r>
      <w:rPr>
        <w:b/>
        <w:sz w:val="20"/>
      </w:rPr>
      <w:t>PLE_103</w:t>
    </w:r>
    <w:r w:rsidR="00882AB9">
      <w:rPr>
        <w:b/>
        <w:sz w:val="20"/>
      </w:rPr>
      <w:t>_REV_1</w:t>
    </w:r>
    <w:r w:rsidR="00B02BD4">
      <w:rPr>
        <w:b/>
        <w:sz w:val="20"/>
      </w:rPr>
      <w:t>/2025</w:t>
    </w:r>
  </w:p>
  <w:p w14:paraId="19625AA7" w14:textId="1E6B43D4" w:rsidR="00E158A1" w:rsidRDefault="00F07856" w:rsidP="00F07856">
    <w:pPr>
      <w:tabs>
        <w:tab w:val="left" w:pos="7320"/>
      </w:tabs>
      <w:spacing w:line="240" w:lineRule="exact"/>
      <w:jc w:val="right"/>
      <w:rPr>
        <w:sz w:val="20"/>
      </w:rPr>
    </w:pPr>
    <w:r>
      <w:rPr>
        <w:b/>
        <w:sz w:val="16"/>
      </w:rPr>
      <w:fldChar w:fldCharType="begin"/>
    </w:r>
    <w:r>
      <w:rPr>
        <w:b/>
        <w:sz w:val="16"/>
      </w:rPr>
      <w:instrText xml:space="preserve"> TIME \@ "dd/MM/yyyy H:mm" </w:instrText>
    </w:r>
    <w:r>
      <w:rPr>
        <w:b/>
        <w:sz w:val="16"/>
      </w:rPr>
      <w:fldChar w:fldCharType="separate"/>
    </w:r>
    <w:r w:rsidR="00CF049F">
      <w:rPr>
        <w:b/>
        <w:noProof/>
        <w:sz w:val="16"/>
      </w:rPr>
      <w:t>14/11/2025 16:11</w:t>
    </w:r>
    <w:r>
      <w:rPr>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C78CA"/>
    <w:multiLevelType w:val="hybridMultilevel"/>
    <w:tmpl w:val="6B2CFEAA"/>
    <w:lvl w:ilvl="0" w:tplc="C4742554">
      <w:start w:val="2"/>
      <w:numFmt w:val="bullet"/>
      <w:lvlText w:val="-"/>
      <w:lvlJc w:val="left"/>
      <w:pPr>
        <w:ind w:left="720" w:hanging="360"/>
      </w:pPr>
      <w:rPr>
        <w:rFonts w:ascii="Cambria" w:eastAsia="Cambria" w:hAnsi="Cambria" w:cs="Cambria" w:hint="default"/>
        <w:color w:val="231F20"/>
        <w:w w:val="105"/>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6013D"/>
    <w:multiLevelType w:val="hybridMultilevel"/>
    <w:tmpl w:val="95E0387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0D5E19"/>
    <w:multiLevelType w:val="hybridMultilevel"/>
    <w:tmpl w:val="3F3AF4AE"/>
    <w:lvl w:ilvl="0" w:tplc="9548805E">
      <w:start w:val="1"/>
      <w:numFmt w:val="bullet"/>
      <w:lvlText w:val="-"/>
      <w:lvlJc w:val="left"/>
      <w:pPr>
        <w:ind w:left="1080" w:hanging="360"/>
      </w:pPr>
      <w:rPr>
        <w:rFonts w:ascii="Cambria" w:eastAsia="Cambria" w:hAnsi="Cambria" w:cs="Cambria"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1F539DB"/>
    <w:multiLevelType w:val="hybridMultilevel"/>
    <w:tmpl w:val="F5AA2138"/>
    <w:lvl w:ilvl="0" w:tplc="04090001">
      <w:start w:val="1"/>
      <w:numFmt w:val="bullet"/>
      <w:lvlText w:val=""/>
      <w:lvlJc w:val="left"/>
      <w:pPr>
        <w:ind w:left="1220" w:hanging="400"/>
      </w:pPr>
      <w:rPr>
        <w:rFonts w:ascii="Symbol" w:hAnsi="Symbol" w:hint="default"/>
        <w:b w:val="0"/>
        <w:bCs w:val="0"/>
        <w:i w:val="0"/>
        <w:iCs w:val="0"/>
        <w:color w:val="231F20"/>
        <w:spacing w:val="0"/>
        <w:w w:val="104"/>
        <w:sz w:val="18"/>
        <w:szCs w:val="18"/>
        <w:lang w:val="en-US" w:eastAsia="en-US" w:bidi="ar-SA"/>
      </w:rPr>
    </w:lvl>
    <w:lvl w:ilvl="1" w:tplc="1B90D898">
      <w:numFmt w:val="bullet"/>
      <w:lvlText w:val="•"/>
      <w:lvlJc w:val="left"/>
      <w:pPr>
        <w:ind w:left="1982" w:hanging="400"/>
      </w:pPr>
      <w:rPr>
        <w:rFonts w:hint="default"/>
        <w:lang w:val="en-US" w:eastAsia="en-US" w:bidi="ar-SA"/>
      </w:rPr>
    </w:lvl>
    <w:lvl w:ilvl="2" w:tplc="FD58CFDA">
      <w:numFmt w:val="bullet"/>
      <w:lvlText w:val="•"/>
      <w:lvlJc w:val="left"/>
      <w:pPr>
        <w:ind w:left="2742" w:hanging="400"/>
      </w:pPr>
      <w:rPr>
        <w:rFonts w:hint="default"/>
        <w:lang w:val="en-US" w:eastAsia="en-US" w:bidi="ar-SA"/>
      </w:rPr>
    </w:lvl>
    <w:lvl w:ilvl="3" w:tplc="76FADE44">
      <w:numFmt w:val="bullet"/>
      <w:lvlText w:val="•"/>
      <w:lvlJc w:val="left"/>
      <w:pPr>
        <w:ind w:left="3502" w:hanging="400"/>
      </w:pPr>
      <w:rPr>
        <w:rFonts w:hint="default"/>
        <w:lang w:val="en-US" w:eastAsia="en-US" w:bidi="ar-SA"/>
      </w:rPr>
    </w:lvl>
    <w:lvl w:ilvl="4" w:tplc="682E1D72">
      <w:numFmt w:val="bullet"/>
      <w:lvlText w:val="•"/>
      <w:lvlJc w:val="left"/>
      <w:pPr>
        <w:ind w:left="4262" w:hanging="400"/>
      </w:pPr>
      <w:rPr>
        <w:rFonts w:hint="default"/>
        <w:lang w:val="en-US" w:eastAsia="en-US" w:bidi="ar-SA"/>
      </w:rPr>
    </w:lvl>
    <w:lvl w:ilvl="5" w:tplc="EBC0BA62">
      <w:numFmt w:val="bullet"/>
      <w:lvlText w:val="•"/>
      <w:lvlJc w:val="left"/>
      <w:pPr>
        <w:ind w:left="5022" w:hanging="400"/>
      </w:pPr>
      <w:rPr>
        <w:rFonts w:hint="default"/>
        <w:lang w:val="en-US" w:eastAsia="en-US" w:bidi="ar-SA"/>
      </w:rPr>
    </w:lvl>
    <w:lvl w:ilvl="6" w:tplc="AF9A474A">
      <w:numFmt w:val="bullet"/>
      <w:lvlText w:val="•"/>
      <w:lvlJc w:val="left"/>
      <w:pPr>
        <w:ind w:left="5782" w:hanging="400"/>
      </w:pPr>
      <w:rPr>
        <w:rFonts w:hint="default"/>
        <w:lang w:val="en-US" w:eastAsia="en-US" w:bidi="ar-SA"/>
      </w:rPr>
    </w:lvl>
    <w:lvl w:ilvl="7" w:tplc="4FB43C90">
      <w:numFmt w:val="bullet"/>
      <w:lvlText w:val="•"/>
      <w:lvlJc w:val="left"/>
      <w:pPr>
        <w:ind w:left="6542" w:hanging="400"/>
      </w:pPr>
      <w:rPr>
        <w:rFonts w:hint="default"/>
        <w:lang w:val="en-US" w:eastAsia="en-US" w:bidi="ar-SA"/>
      </w:rPr>
    </w:lvl>
    <w:lvl w:ilvl="8" w:tplc="BFB04A4E">
      <w:numFmt w:val="bullet"/>
      <w:lvlText w:val="•"/>
      <w:lvlJc w:val="left"/>
      <w:pPr>
        <w:ind w:left="7302" w:hanging="400"/>
      </w:pPr>
      <w:rPr>
        <w:rFonts w:hint="default"/>
        <w:lang w:val="en-US" w:eastAsia="en-US" w:bidi="ar-SA"/>
      </w:rPr>
    </w:lvl>
  </w:abstractNum>
  <w:abstractNum w:abstractNumId="4" w15:restartNumberingAfterBreak="0">
    <w:nsid w:val="402D3A0D"/>
    <w:multiLevelType w:val="hybridMultilevel"/>
    <w:tmpl w:val="49804AFE"/>
    <w:lvl w:ilvl="0" w:tplc="F3EEB024">
      <w:start w:val="2"/>
      <w:numFmt w:val="bullet"/>
      <w:lvlText w:val="-"/>
      <w:lvlJc w:val="left"/>
      <w:pPr>
        <w:ind w:left="720" w:hanging="360"/>
      </w:pPr>
      <w:rPr>
        <w:rFonts w:ascii="Cambria" w:eastAsia="Cambria" w:hAnsi="Cambria" w:cs="Cambria" w:hint="default"/>
        <w:color w:val="231F20"/>
        <w:w w:val="105"/>
        <w:u w:val="none"/>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8465A41"/>
    <w:multiLevelType w:val="hybridMultilevel"/>
    <w:tmpl w:val="21BA546E"/>
    <w:lvl w:ilvl="0" w:tplc="3DAEC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9B6918"/>
    <w:multiLevelType w:val="hybridMultilevel"/>
    <w:tmpl w:val="D9FA0CDE"/>
    <w:lvl w:ilvl="0" w:tplc="DC286FD0">
      <w:start w:val="1"/>
      <w:numFmt w:val="lowerLetter"/>
      <w:lvlText w:val="%1."/>
      <w:lvlJc w:val="left"/>
      <w:pPr>
        <w:ind w:left="366" w:hanging="360"/>
      </w:pPr>
      <w:rPr>
        <w:rFonts w:eastAsia="Cambria" w:cs="Arial"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 w15:restartNumberingAfterBreak="0">
    <w:nsid w:val="4FE954CC"/>
    <w:multiLevelType w:val="hybridMultilevel"/>
    <w:tmpl w:val="E8EAFD3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B77076"/>
    <w:multiLevelType w:val="hybridMultilevel"/>
    <w:tmpl w:val="2C7037B8"/>
    <w:lvl w:ilvl="0" w:tplc="2F94BCF8">
      <w:start w:val="1"/>
      <w:numFmt w:val="bullet"/>
      <w:lvlText w:val=""/>
      <w:lvlJc w:val="left"/>
      <w:pPr>
        <w:ind w:left="720" w:hanging="360"/>
      </w:pPr>
      <w:rPr>
        <w:rFonts w:ascii="Symbol" w:hAnsi="Symbol" w:hint="default"/>
        <w:color w:val="231F20"/>
        <w:w w:val="105"/>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A357E1"/>
    <w:multiLevelType w:val="hybridMultilevel"/>
    <w:tmpl w:val="CB5E9332"/>
    <w:lvl w:ilvl="0" w:tplc="2F94BCF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46965328">
    <w:abstractNumId w:val="3"/>
  </w:num>
  <w:num w:numId="2" w16cid:durableId="283461935">
    <w:abstractNumId w:val="0"/>
  </w:num>
  <w:num w:numId="3" w16cid:durableId="1193229979">
    <w:abstractNumId w:val="8"/>
  </w:num>
  <w:num w:numId="4" w16cid:durableId="705300603">
    <w:abstractNumId w:val="9"/>
  </w:num>
  <w:num w:numId="5" w16cid:durableId="976450747">
    <w:abstractNumId w:val="6"/>
  </w:num>
  <w:num w:numId="6" w16cid:durableId="1562015185">
    <w:abstractNumId w:val="5"/>
  </w:num>
  <w:num w:numId="7" w16cid:durableId="466551469">
    <w:abstractNumId w:val="7"/>
  </w:num>
  <w:num w:numId="8" w16cid:durableId="2095590803">
    <w:abstractNumId w:val="1"/>
  </w:num>
  <w:num w:numId="9" w16cid:durableId="1093402808">
    <w:abstractNumId w:val="2"/>
  </w:num>
  <w:num w:numId="10" w16cid:durableId="839584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A1"/>
    <w:rsid w:val="00006A80"/>
    <w:rsid w:val="000216FC"/>
    <w:rsid w:val="00031BE6"/>
    <w:rsid w:val="00065C36"/>
    <w:rsid w:val="00070CB1"/>
    <w:rsid w:val="000726F6"/>
    <w:rsid w:val="000801D6"/>
    <w:rsid w:val="00093D91"/>
    <w:rsid w:val="000B4985"/>
    <w:rsid w:val="000C3A47"/>
    <w:rsid w:val="000D7F9D"/>
    <w:rsid w:val="001019F1"/>
    <w:rsid w:val="00105F9D"/>
    <w:rsid w:val="001148D7"/>
    <w:rsid w:val="0012438E"/>
    <w:rsid w:val="00160F01"/>
    <w:rsid w:val="001A418E"/>
    <w:rsid w:val="001B4F8C"/>
    <w:rsid w:val="001D0F06"/>
    <w:rsid w:val="001D6DB3"/>
    <w:rsid w:val="001E388F"/>
    <w:rsid w:val="001E43DE"/>
    <w:rsid w:val="001F05A9"/>
    <w:rsid w:val="001F09B0"/>
    <w:rsid w:val="001F6B6F"/>
    <w:rsid w:val="002177CA"/>
    <w:rsid w:val="00242923"/>
    <w:rsid w:val="00243214"/>
    <w:rsid w:val="002551C5"/>
    <w:rsid w:val="00275966"/>
    <w:rsid w:val="00284DF9"/>
    <w:rsid w:val="002B78B8"/>
    <w:rsid w:val="002E5698"/>
    <w:rsid w:val="002F3891"/>
    <w:rsid w:val="00312751"/>
    <w:rsid w:val="00316C73"/>
    <w:rsid w:val="00320B6A"/>
    <w:rsid w:val="00323B76"/>
    <w:rsid w:val="00326C51"/>
    <w:rsid w:val="00332A5A"/>
    <w:rsid w:val="003371F7"/>
    <w:rsid w:val="0034175A"/>
    <w:rsid w:val="00353A53"/>
    <w:rsid w:val="003619C5"/>
    <w:rsid w:val="00367625"/>
    <w:rsid w:val="003910FE"/>
    <w:rsid w:val="003A2991"/>
    <w:rsid w:val="003A44B8"/>
    <w:rsid w:val="003A5EC9"/>
    <w:rsid w:val="003B7414"/>
    <w:rsid w:val="00413C9A"/>
    <w:rsid w:val="00422A19"/>
    <w:rsid w:val="00427F04"/>
    <w:rsid w:val="004662A0"/>
    <w:rsid w:val="004760EF"/>
    <w:rsid w:val="00485DC4"/>
    <w:rsid w:val="004860E5"/>
    <w:rsid w:val="00490C3A"/>
    <w:rsid w:val="004948EC"/>
    <w:rsid w:val="004B1493"/>
    <w:rsid w:val="004D02C0"/>
    <w:rsid w:val="004F6698"/>
    <w:rsid w:val="00544D91"/>
    <w:rsid w:val="00564ED8"/>
    <w:rsid w:val="0059142D"/>
    <w:rsid w:val="00592142"/>
    <w:rsid w:val="00596B84"/>
    <w:rsid w:val="005D5B14"/>
    <w:rsid w:val="005D6416"/>
    <w:rsid w:val="005D7636"/>
    <w:rsid w:val="005E3C77"/>
    <w:rsid w:val="00627BE3"/>
    <w:rsid w:val="00632038"/>
    <w:rsid w:val="00673CB3"/>
    <w:rsid w:val="00695183"/>
    <w:rsid w:val="006C2BF1"/>
    <w:rsid w:val="006D0846"/>
    <w:rsid w:val="00712911"/>
    <w:rsid w:val="007142F0"/>
    <w:rsid w:val="007325C3"/>
    <w:rsid w:val="0073672E"/>
    <w:rsid w:val="00740720"/>
    <w:rsid w:val="00742BBF"/>
    <w:rsid w:val="00775E85"/>
    <w:rsid w:val="007817D5"/>
    <w:rsid w:val="0078314F"/>
    <w:rsid w:val="0078411F"/>
    <w:rsid w:val="0078646D"/>
    <w:rsid w:val="00790E78"/>
    <w:rsid w:val="007A1D17"/>
    <w:rsid w:val="007B53CF"/>
    <w:rsid w:val="007B7E59"/>
    <w:rsid w:val="00800CEB"/>
    <w:rsid w:val="00835626"/>
    <w:rsid w:val="00846371"/>
    <w:rsid w:val="00846B16"/>
    <w:rsid w:val="008736F6"/>
    <w:rsid w:val="008815C1"/>
    <w:rsid w:val="00882AB9"/>
    <w:rsid w:val="008A0480"/>
    <w:rsid w:val="008A5367"/>
    <w:rsid w:val="008C1E41"/>
    <w:rsid w:val="008E1CD0"/>
    <w:rsid w:val="008E2ED7"/>
    <w:rsid w:val="008E30EF"/>
    <w:rsid w:val="0090643B"/>
    <w:rsid w:val="0091358E"/>
    <w:rsid w:val="0093685F"/>
    <w:rsid w:val="00961BF6"/>
    <w:rsid w:val="00964EF1"/>
    <w:rsid w:val="00971788"/>
    <w:rsid w:val="009A43AA"/>
    <w:rsid w:val="009D1906"/>
    <w:rsid w:val="009F37F9"/>
    <w:rsid w:val="009F5D54"/>
    <w:rsid w:val="00A01DAD"/>
    <w:rsid w:val="00A34EB1"/>
    <w:rsid w:val="00A53B54"/>
    <w:rsid w:val="00A70129"/>
    <w:rsid w:val="00A816D0"/>
    <w:rsid w:val="00AD489F"/>
    <w:rsid w:val="00AF5D7B"/>
    <w:rsid w:val="00B02BD4"/>
    <w:rsid w:val="00B3695F"/>
    <w:rsid w:val="00BA15B5"/>
    <w:rsid w:val="00BD01F9"/>
    <w:rsid w:val="00BE280B"/>
    <w:rsid w:val="00BF1BC0"/>
    <w:rsid w:val="00C00778"/>
    <w:rsid w:val="00C358B8"/>
    <w:rsid w:val="00C4046C"/>
    <w:rsid w:val="00C620F0"/>
    <w:rsid w:val="00C675C9"/>
    <w:rsid w:val="00CB5C28"/>
    <w:rsid w:val="00CD5851"/>
    <w:rsid w:val="00CF049F"/>
    <w:rsid w:val="00D8183F"/>
    <w:rsid w:val="00DA384E"/>
    <w:rsid w:val="00DB22F2"/>
    <w:rsid w:val="00DB5D09"/>
    <w:rsid w:val="00DB76AF"/>
    <w:rsid w:val="00DF1A51"/>
    <w:rsid w:val="00E158A1"/>
    <w:rsid w:val="00E33790"/>
    <w:rsid w:val="00E37FC5"/>
    <w:rsid w:val="00E412D3"/>
    <w:rsid w:val="00E502BA"/>
    <w:rsid w:val="00E73E6D"/>
    <w:rsid w:val="00E85013"/>
    <w:rsid w:val="00EB0373"/>
    <w:rsid w:val="00EB47F8"/>
    <w:rsid w:val="00EB505F"/>
    <w:rsid w:val="00EE0263"/>
    <w:rsid w:val="00EF3C95"/>
    <w:rsid w:val="00F00AFB"/>
    <w:rsid w:val="00F07856"/>
    <w:rsid w:val="00F43FB1"/>
    <w:rsid w:val="00F75DBF"/>
    <w:rsid w:val="00F82D14"/>
    <w:rsid w:val="00FC1003"/>
    <w:rsid w:val="00FD1312"/>
    <w:rsid w:val="00FD20E7"/>
    <w:rsid w:val="00FE5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904"/>
  <w15:docId w15:val="{790D0E42-77E0-4B25-8521-CF2DD2A8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34"/>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1197" w:right="135" w:hanging="4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14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2F0"/>
    <w:rPr>
      <w:rFonts w:ascii="Segoe UI" w:eastAsia="Cambria" w:hAnsi="Segoe UI" w:cs="Segoe UI"/>
      <w:sz w:val="18"/>
      <w:szCs w:val="18"/>
    </w:rPr>
  </w:style>
  <w:style w:type="character" w:styleId="CommentReference">
    <w:name w:val="annotation reference"/>
    <w:basedOn w:val="DefaultParagraphFont"/>
    <w:uiPriority w:val="99"/>
    <w:semiHidden/>
    <w:unhideWhenUsed/>
    <w:rsid w:val="00800CEB"/>
    <w:rPr>
      <w:sz w:val="16"/>
      <w:szCs w:val="16"/>
    </w:rPr>
  </w:style>
  <w:style w:type="paragraph" w:styleId="CommentText">
    <w:name w:val="annotation text"/>
    <w:basedOn w:val="Normal"/>
    <w:link w:val="CommentTextChar"/>
    <w:uiPriority w:val="99"/>
    <w:semiHidden/>
    <w:unhideWhenUsed/>
    <w:rsid w:val="00800CEB"/>
    <w:rPr>
      <w:sz w:val="20"/>
      <w:szCs w:val="20"/>
    </w:rPr>
  </w:style>
  <w:style w:type="character" w:customStyle="1" w:styleId="CommentTextChar">
    <w:name w:val="Comment Text Char"/>
    <w:basedOn w:val="DefaultParagraphFont"/>
    <w:link w:val="CommentText"/>
    <w:uiPriority w:val="99"/>
    <w:semiHidden/>
    <w:rsid w:val="00800CEB"/>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800CEB"/>
    <w:rPr>
      <w:b/>
      <w:bCs/>
    </w:rPr>
  </w:style>
  <w:style w:type="character" w:customStyle="1" w:styleId="CommentSubjectChar">
    <w:name w:val="Comment Subject Char"/>
    <w:basedOn w:val="CommentTextChar"/>
    <w:link w:val="CommentSubject"/>
    <w:uiPriority w:val="99"/>
    <w:semiHidden/>
    <w:rsid w:val="00800CEB"/>
    <w:rPr>
      <w:rFonts w:ascii="Cambria" w:eastAsia="Cambria" w:hAnsi="Cambria" w:cs="Cambria"/>
      <w:b/>
      <w:bCs/>
      <w:sz w:val="20"/>
      <w:szCs w:val="20"/>
    </w:rPr>
  </w:style>
  <w:style w:type="paragraph" w:styleId="Header">
    <w:name w:val="header"/>
    <w:basedOn w:val="Normal"/>
    <w:link w:val="HeaderChar"/>
    <w:uiPriority w:val="99"/>
    <w:unhideWhenUsed/>
    <w:rsid w:val="00564ED8"/>
    <w:pPr>
      <w:tabs>
        <w:tab w:val="center" w:pos="4513"/>
        <w:tab w:val="right" w:pos="9026"/>
      </w:tabs>
    </w:pPr>
  </w:style>
  <w:style w:type="character" w:customStyle="1" w:styleId="HeaderChar">
    <w:name w:val="Header Char"/>
    <w:basedOn w:val="DefaultParagraphFont"/>
    <w:link w:val="Header"/>
    <w:uiPriority w:val="99"/>
    <w:rsid w:val="00564ED8"/>
    <w:rPr>
      <w:rFonts w:ascii="Cambria" w:eastAsia="Cambria" w:hAnsi="Cambria" w:cs="Cambria"/>
    </w:rPr>
  </w:style>
  <w:style w:type="paragraph" w:styleId="Footer">
    <w:name w:val="footer"/>
    <w:basedOn w:val="Normal"/>
    <w:link w:val="FooterChar"/>
    <w:uiPriority w:val="99"/>
    <w:unhideWhenUsed/>
    <w:rsid w:val="00564ED8"/>
    <w:pPr>
      <w:tabs>
        <w:tab w:val="center" w:pos="4513"/>
        <w:tab w:val="right" w:pos="9026"/>
      </w:tabs>
    </w:pPr>
  </w:style>
  <w:style w:type="character" w:customStyle="1" w:styleId="FooterChar">
    <w:name w:val="Footer Char"/>
    <w:basedOn w:val="DefaultParagraphFont"/>
    <w:link w:val="Footer"/>
    <w:uiPriority w:val="99"/>
    <w:rsid w:val="00564ED8"/>
    <w:rPr>
      <w:rFonts w:ascii="Cambria" w:eastAsia="Cambria" w:hAnsi="Cambria" w:cs="Cambria"/>
    </w:rPr>
  </w:style>
  <w:style w:type="paragraph" w:styleId="NormalWeb">
    <w:name w:val="Normal (Web)"/>
    <w:basedOn w:val="Normal"/>
    <w:uiPriority w:val="99"/>
    <w:semiHidden/>
    <w:unhideWhenUsed/>
    <w:rsid w:val="00FD131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1"/>
    <w:rsid w:val="002B78B8"/>
    <w:rPr>
      <w:rFonts w:ascii="Cambria" w:eastAsia="Cambria" w:hAnsi="Cambria" w:cs="Cambria"/>
      <w:sz w:val="18"/>
      <w:szCs w:val="18"/>
    </w:rPr>
  </w:style>
  <w:style w:type="paragraph" w:styleId="FootnoteText">
    <w:name w:val="footnote text"/>
    <w:basedOn w:val="Normal"/>
    <w:link w:val="FootnoteTextChar"/>
    <w:uiPriority w:val="99"/>
    <w:semiHidden/>
    <w:unhideWhenUsed/>
    <w:rsid w:val="0090643B"/>
    <w:rPr>
      <w:sz w:val="20"/>
      <w:szCs w:val="20"/>
    </w:rPr>
  </w:style>
  <w:style w:type="character" w:customStyle="1" w:styleId="FootnoteTextChar">
    <w:name w:val="Footnote Text Char"/>
    <w:basedOn w:val="DefaultParagraphFont"/>
    <w:link w:val="FootnoteText"/>
    <w:uiPriority w:val="99"/>
    <w:semiHidden/>
    <w:rsid w:val="0090643B"/>
    <w:rPr>
      <w:rFonts w:ascii="Cambria" w:eastAsia="Cambria" w:hAnsi="Cambria" w:cs="Cambria"/>
      <w:sz w:val="20"/>
      <w:szCs w:val="20"/>
    </w:rPr>
  </w:style>
  <w:style w:type="character" w:styleId="FootnoteReference">
    <w:name w:val="footnote reference"/>
    <w:basedOn w:val="DefaultParagraphFont"/>
    <w:uiPriority w:val="99"/>
    <w:semiHidden/>
    <w:unhideWhenUsed/>
    <w:rsid w:val="009064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48434">
      <w:bodyDiv w:val="1"/>
      <w:marLeft w:val="0"/>
      <w:marRight w:val="0"/>
      <w:marTop w:val="0"/>
      <w:marBottom w:val="0"/>
      <w:divBdr>
        <w:top w:val="none" w:sz="0" w:space="0" w:color="auto"/>
        <w:left w:val="none" w:sz="0" w:space="0" w:color="auto"/>
        <w:bottom w:val="none" w:sz="0" w:space="0" w:color="auto"/>
        <w:right w:val="none" w:sz="0" w:space="0" w:color="auto"/>
      </w:divBdr>
    </w:div>
    <w:div w:id="531767047">
      <w:bodyDiv w:val="1"/>
      <w:marLeft w:val="0"/>
      <w:marRight w:val="0"/>
      <w:marTop w:val="0"/>
      <w:marBottom w:val="0"/>
      <w:divBdr>
        <w:top w:val="none" w:sz="0" w:space="0" w:color="auto"/>
        <w:left w:val="none" w:sz="0" w:space="0" w:color="auto"/>
        <w:bottom w:val="none" w:sz="0" w:space="0" w:color="auto"/>
        <w:right w:val="none" w:sz="0" w:space="0" w:color="auto"/>
      </w:divBdr>
    </w:div>
    <w:div w:id="779109400">
      <w:bodyDiv w:val="1"/>
      <w:marLeft w:val="0"/>
      <w:marRight w:val="0"/>
      <w:marTop w:val="0"/>
      <w:marBottom w:val="0"/>
      <w:divBdr>
        <w:top w:val="none" w:sz="0" w:space="0" w:color="auto"/>
        <w:left w:val="none" w:sz="0" w:space="0" w:color="auto"/>
        <w:bottom w:val="none" w:sz="0" w:space="0" w:color="auto"/>
        <w:right w:val="none" w:sz="0" w:space="0" w:color="auto"/>
      </w:divBdr>
    </w:div>
    <w:div w:id="1268536868">
      <w:bodyDiv w:val="1"/>
      <w:marLeft w:val="0"/>
      <w:marRight w:val="0"/>
      <w:marTop w:val="0"/>
      <w:marBottom w:val="0"/>
      <w:divBdr>
        <w:top w:val="none" w:sz="0" w:space="0" w:color="auto"/>
        <w:left w:val="none" w:sz="0" w:space="0" w:color="auto"/>
        <w:bottom w:val="none" w:sz="0" w:space="0" w:color="auto"/>
        <w:right w:val="none" w:sz="0" w:space="0" w:color="auto"/>
      </w:divBdr>
    </w:div>
    <w:div w:id="1335572363">
      <w:bodyDiv w:val="1"/>
      <w:marLeft w:val="0"/>
      <w:marRight w:val="0"/>
      <w:marTop w:val="0"/>
      <w:marBottom w:val="0"/>
      <w:divBdr>
        <w:top w:val="none" w:sz="0" w:space="0" w:color="auto"/>
        <w:left w:val="none" w:sz="0" w:space="0" w:color="auto"/>
        <w:bottom w:val="none" w:sz="0" w:space="0" w:color="auto"/>
        <w:right w:val="none" w:sz="0" w:space="0" w:color="auto"/>
      </w:divBdr>
    </w:div>
    <w:div w:id="1532500180">
      <w:bodyDiv w:val="1"/>
      <w:marLeft w:val="0"/>
      <w:marRight w:val="0"/>
      <w:marTop w:val="0"/>
      <w:marBottom w:val="0"/>
      <w:divBdr>
        <w:top w:val="none" w:sz="0" w:space="0" w:color="auto"/>
        <w:left w:val="none" w:sz="0" w:space="0" w:color="auto"/>
        <w:bottom w:val="none" w:sz="0" w:space="0" w:color="auto"/>
        <w:right w:val="none" w:sz="0" w:space="0" w:color="auto"/>
      </w:divBdr>
    </w:div>
    <w:div w:id="1729918046">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845ae9bf7730e4c6e59b85cb5bbd8af9">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4b352ccc93337f0cbb572eb4e7ef500d"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d73a274-b5d4-4934-af93-8b8c31f6f19f">
      <UserInfo>
        <DisplayName/>
        <AccountId xsi:nil="true"/>
        <AccountType/>
      </UserInfo>
    </SharedWithUsers>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EE071-4DB7-40FE-B611-A9B74F82C7C7}">
  <ds:schemaRefs>
    <ds:schemaRef ds:uri="http://schemas.microsoft.com/sharepoint/v3/contenttype/forms"/>
  </ds:schemaRefs>
</ds:datastoreItem>
</file>

<file path=customXml/itemProps2.xml><?xml version="1.0" encoding="utf-8"?>
<ds:datastoreItem xmlns:ds="http://schemas.openxmlformats.org/officeDocument/2006/customXml" ds:itemID="{ECC8B0F3-830C-4DDA-B32E-C886870A4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4A910D-8D91-4284-9E3C-C23C63DDDAFE}">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José García</dc:creator>
  <dc:description/>
  <cp:lastModifiedBy>María José García</cp:lastModifiedBy>
  <cp:revision>3</cp:revision>
  <dcterms:created xsi:type="dcterms:W3CDTF">2025-11-14T16:38:00Z</dcterms:created>
  <dcterms:modified xsi:type="dcterms:W3CDTF">2025-11-14T16:38:00Z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8981900</vt:r8>
  </property>
  <property fmtid="{D5CDD505-2E9C-101B-9397-08002B2CF9AE}" pid="3" name="ContentTypeId">
    <vt:lpwstr>0x0101003E84DD1BACBE3641B802C49D00950036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