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903DDF" w:rsidRDefault="003A5EC9" w:rsidP="00F07856">
      <w:pPr>
        <w:pStyle w:val="Heading1"/>
        <w:ind w:left="0" w:right="134"/>
        <w:jc w:val="right"/>
        <w:rPr>
          <w:rFonts w:asciiTheme="majorHAnsi" w:hAnsiTheme="majorHAnsi"/>
          <w:sz w:val="20"/>
          <w:szCs w:val="20"/>
        </w:rPr>
      </w:pPr>
      <w:r w:rsidRPr="00903DDF">
        <w:rPr>
          <w:rFonts w:asciiTheme="majorHAnsi" w:hAnsiTheme="majorHAnsi"/>
          <w:color w:val="231F20"/>
          <w:sz w:val="20"/>
          <w:szCs w:val="20"/>
        </w:rPr>
        <w:t>Original : anglais/espagnol</w:t>
      </w:r>
    </w:p>
    <w:p w14:paraId="75D88462" w14:textId="77777777" w:rsidR="00E158A1" w:rsidRPr="00903DDF" w:rsidRDefault="00E158A1" w:rsidP="00F07856">
      <w:pPr>
        <w:pStyle w:val="BodyText"/>
        <w:rPr>
          <w:rFonts w:asciiTheme="majorHAnsi" w:hAnsiTheme="majorHAnsi"/>
          <w:b/>
          <w:sz w:val="20"/>
          <w:szCs w:val="20"/>
        </w:rPr>
      </w:pPr>
    </w:p>
    <w:p w14:paraId="0E5B9053" w14:textId="77777777" w:rsidR="00E158A1" w:rsidRPr="00903DDF" w:rsidRDefault="003A5EC9">
      <w:pPr>
        <w:ind w:left="2" w:right="2"/>
        <w:jc w:val="center"/>
        <w:rPr>
          <w:rFonts w:asciiTheme="majorHAnsi" w:hAnsiTheme="majorHAnsi"/>
          <w:b/>
          <w:sz w:val="20"/>
          <w:szCs w:val="20"/>
        </w:rPr>
      </w:pPr>
      <w:r w:rsidRPr="00903DDF">
        <w:rPr>
          <w:rFonts w:asciiTheme="majorHAnsi" w:hAnsiTheme="majorHAnsi"/>
          <w:b/>
          <w:color w:val="231F20"/>
          <w:sz w:val="20"/>
          <w:szCs w:val="20"/>
        </w:rPr>
        <w:t>Simplification des mesures de conservation et de gestion de l’ICCAT</w:t>
      </w:r>
    </w:p>
    <w:p w14:paraId="69BC8935" w14:textId="77777777" w:rsidR="00E158A1" w:rsidRPr="00903DDF" w:rsidRDefault="003A5EC9">
      <w:pPr>
        <w:spacing w:before="15"/>
        <w:ind w:left="2"/>
        <w:jc w:val="center"/>
        <w:rPr>
          <w:rFonts w:asciiTheme="majorHAnsi" w:hAnsiTheme="majorHAnsi"/>
          <w:i/>
          <w:sz w:val="20"/>
          <w:szCs w:val="20"/>
        </w:rPr>
      </w:pPr>
      <w:r w:rsidRPr="00903DDF">
        <w:rPr>
          <w:rFonts w:asciiTheme="majorHAnsi" w:hAnsiTheme="majorHAnsi"/>
          <w:i/>
          <w:color w:val="231F20"/>
          <w:sz w:val="20"/>
          <w:szCs w:val="20"/>
        </w:rPr>
        <w:t>Secrétariat de l’ICCAT</w:t>
      </w:r>
    </w:p>
    <w:p w14:paraId="00E893EB" w14:textId="77777777" w:rsidR="00E158A1" w:rsidRPr="00903DDF" w:rsidRDefault="00E158A1" w:rsidP="00BE280B">
      <w:pPr>
        <w:pStyle w:val="BodyText"/>
        <w:spacing w:before="29"/>
        <w:jc w:val="both"/>
        <w:rPr>
          <w:rFonts w:asciiTheme="majorHAnsi" w:hAnsiTheme="majorHAnsi"/>
          <w:i/>
          <w:sz w:val="20"/>
          <w:szCs w:val="20"/>
        </w:rPr>
      </w:pPr>
    </w:p>
    <w:p w14:paraId="757F53CB" w14:textId="4CACB293" w:rsidR="00E158A1" w:rsidRPr="00903DDF" w:rsidRDefault="003A5EC9" w:rsidP="00323B76">
      <w:pPr>
        <w:pStyle w:val="Heading1"/>
        <w:ind w:left="0"/>
        <w:jc w:val="both"/>
        <w:rPr>
          <w:rFonts w:asciiTheme="majorHAnsi" w:hAnsiTheme="majorHAnsi"/>
          <w:sz w:val="20"/>
          <w:szCs w:val="20"/>
        </w:rPr>
      </w:pPr>
      <w:r w:rsidRPr="00903DDF">
        <w:rPr>
          <w:rFonts w:asciiTheme="majorHAnsi" w:hAnsiTheme="majorHAnsi"/>
          <w:color w:val="231F20"/>
          <w:sz w:val="20"/>
          <w:szCs w:val="20"/>
        </w:rPr>
        <w:t>Mesures qui ont été abrogées et/ou remplacées par des mesures adoptées en 2024</w:t>
      </w:r>
    </w:p>
    <w:p w14:paraId="30BE8025" w14:textId="77777777" w:rsidR="00E158A1" w:rsidRPr="00903DDF" w:rsidRDefault="00E158A1" w:rsidP="00323B76">
      <w:pPr>
        <w:pStyle w:val="BodyText"/>
        <w:spacing w:before="28"/>
        <w:jc w:val="both"/>
        <w:rPr>
          <w:rFonts w:asciiTheme="majorHAnsi" w:hAnsiTheme="majorHAnsi"/>
          <w:b/>
          <w:sz w:val="20"/>
          <w:szCs w:val="20"/>
        </w:rPr>
      </w:pPr>
    </w:p>
    <w:p w14:paraId="1746D1F4" w14:textId="7B70AC16" w:rsidR="00E158A1" w:rsidRPr="00903DDF" w:rsidRDefault="003A5EC9" w:rsidP="00323B76">
      <w:pPr>
        <w:spacing w:line="268" w:lineRule="auto"/>
        <w:ind w:right="127"/>
        <w:jc w:val="both"/>
        <w:rPr>
          <w:rFonts w:asciiTheme="majorHAnsi" w:hAnsiTheme="majorHAnsi"/>
          <w:sz w:val="20"/>
          <w:szCs w:val="20"/>
        </w:rPr>
      </w:pPr>
      <w:r w:rsidRPr="00903DDF">
        <w:rPr>
          <w:rFonts w:asciiTheme="majorHAnsi" w:hAnsiTheme="majorHAnsi"/>
          <w:color w:val="231F20"/>
          <w:sz w:val="20"/>
          <w:szCs w:val="20"/>
        </w:rPr>
        <w:t xml:space="preserve">Rec. 14-13 : </w:t>
      </w:r>
      <w:r w:rsidRPr="00903DDF">
        <w:rPr>
          <w:rFonts w:asciiTheme="majorHAnsi" w:hAnsiTheme="majorHAnsi"/>
          <w:i/>
          <w:color w:val="231F20"/>
          <w:sz w:val="20"/>
          <w:szCs w:val="20"/>
        </w:rPr>
        <w:t>Recommandation de l’ICCAT amendant la Recommandation de l'ICCAT visant à renforcer le dialogue entre les halieutes et les gestionnaires des pêcheries</w:t>
      </w:r>
    </w:p>
    <w:p w14:paraId="12F12E32" w14:textId="012BC4AD" w:rsidR="00E158A1" w:rsidRPr="00903DDF" w:rsidRDefault="003A5EC9" w:rsidP="00323B76">
      <w:pPr>
        <w:pStyle w:val="BodyText"/>
        <w:spacing w:before="152"/>
        <w:jc w:val="both"/>
        <w:rPr>
          <w:rFonts w:asciiTheme="majorHAnsi" w:hAnsiTheme="majorHAnsi"/>
          <w:sz w:val="20"/>
          <w:szCs w:val="20"/>
        </w:rPr>
      </w:pPr>
      <w:r w:rsidRPr="00903DDF">
        <w:rPr>
          <w:rFonts w:asciiTheme="majorHAnsi" w:hAnsiTheme="majorHAnsi"/>
          <w:color w:val="0F4B8E"/>
          <w:sz w:val="20"/>
          <w:szCs w:val="20"/>
        </w:rPr>
        <w:t>Abrogée et remplacée par la Rec. 24-13</w:t>
      </w:r>
    </w:p>
    <w:p w14:paraId="351F21B2" w14:textId="217B660A" w:rsidR="00E158A1" w:rsidRPr="00903DDF" w:rsidRDefault="003A5EC9" w:rsidP="00323B76">
      <w:pPr>
        <w:spacing w:before="177"/>
        <w:jc w:val="both"/>
        <w:rPr>
          <w:rFonts w:asciiTheme="majorHAnsi" w:hAnsiTheme="majorHAnsi"/>
          <w:i/>
          <w:sz w:val="20"/>
          <w:szCs w:val="20"/>
        </w:rPr>
      </w:pPr>
      <w:r w:rsidRPr="00903DDF">
        <w:rPr>
          <w:rFonts w:asciiTheme="majorHAnsi" w:hAnsiTheme="majorHAnsi"/>
          <w:color w:val="231F20"/>
          <w:sz w:val="20"/>
          <w:szCs w:val="20"/>
        </w:rPr>
        <w:t xml:space="preserve">Rec. 17-02 : </w:t>
      </w:r>
      <w:r w:rsidRPr="00903DDF">
        <w:rPr>
          <w:rFonts w:asciiTheme="majorHAnsi" w:hAnsiTheme="majorHAnsi"/>
          <w:i/>
          <w:iCs/>
          <w:color w:val="231F20"/>
          <w:sz w:val="20"/>
          <w:szCs w:val="20"/>
        </w:rPr>
        <w:t>Recommandation de l’ICCAT amendant la Recommandation 16-03 sur la conservation de l’espadon de l’Atlantique Nord</w:t>
      </w:r>
    </w:p>
    <w:p w14:paraId="065C6948" w14:textId="6E280DAA" w:rsidR="00E158A1" w:rsidRPr="00903DDF" w:rsidRDefault="003A5EC9"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24-10</w:t>
      </w:r>
    </w:p>
    <w:p w14:paraId="7F88446C" w14:textId="721E9836" w:rsidR="00E158A1" w:rsidRPr="00903DDF" w:rsidRDefault="003A5EC9" w:rsidP="00323B76">
      <w:pPr>
        <w:spacing w:before="177"/>
        <w:jc w:val="both"/>
        <w:rPr>
          <w:rFonts w:asciiTheme="majorHAnsi" w:hAnsiTheme="majorHAnsi"/>
          <w:i/>
          <w:sz w:val="20"/>
          <w:szCs w:val="20"/>
        </w:rPr>
      </w:pPr>
      <w:r w:rsidRPr="00903DDF">
        <w:rPr>
          <w:rFonts w:asciiTheme="majorHAnsi" w:hAnsiTheme="majorHAnsi"/>
          <w:color w:val="231F20"/>
          <w:sz w:val="20"/>
          <w:szCs w:val="20"/>
        </w:rPr>
        <w:t xml:space="preserve">Rés. 19-14 : </w:t>
      </w:r>
      <w:r w:rsidRPr="00903DDF">
        <w:rPr>
          <w:rFonts w:asciiTheme="majorHAnsi" w:hAnsiTheme="majorHAnsi"/>
          <w:i/>
          <w:iCs/>
          <w:color w:val="231F20"/>
          <w:sz w:val="20"/>
          <w:szCs w:val="20"/>
        </w:rPr>
        <w:t>Résolution de l’ICCAT sur l’élaboration d’objectifs de gestion initiaux s'appliquant à l'espadon de l'Atlantique Nord</w:t>
      </w:r>
      <w:r w:rsidRPr="00903DDF">
        <w:rPr>
          <w:rFonts w:asciiTheme="majorHAnsi" w:hAnsiTheme="majorHAnsi"/>
          <w:color w:val="231F20"/>
          <w:sz w:val="20"/>
          <w:szCs w:val="20"/>
        </w:rPr>
        <w:t xml:space="preserve"> </w:t>
      </w:r>
    </w:p>
    <w:p w14:paraId="29B5EE27" w14:textId="29D66FF9" w:rsidR="00E158A1" w:rsidRPr="00903DDF" w:rsidRDefault="003A5EC9" w:rsidP="00323B76">
      <w:pPr>
        <w:pStyle w:val="BodyText"/>
        <w:spacing w:before="177"/>
        <w:jc w:val="both"/>
        <w:rPr>
          <w:rFonts w:asciiTheme="majorHAnsi" w:hAnsiTheme="majorHAnsi"/>
          <w:color w:val="0F4B8E"/>
          <w:sz w:val="20"/>
          <w:szCs w:val="20"/>
        </w:rPr>
      </w:pPr>
      <w:r w:rsidRPr="00903DDF">
        <w:rPr>
          <w:rFonts w:asciiTheme="majorHAnsi" w:hAnsiTheme="majorHAnsi"/>
          <w:color w:val="0F4B8E"/>
          <w:sz w:val="20"/>
          <w:szCs w:val="20"/>
        </w:rPr>
        <w:t>Abrogée et remplacée par la Rec. 24-10</w:t>
      </w:r>
    </w:p>
    <w:p w14:paraId="437E1F04" w14:textId="44E0A3AB" w:rsidR="007142F0" w:rsidRPr="00903DDF" w:rsidRDefault="007142F0" w:rsidP="00323B76">
      <w:pPr>
        <w:pStyle w:val="BodyText"/>
        <w:spacing w:before="177"/>
        <w:jc w:val="both"/>
        <w:rPr>
          <w:rFonts w:asciiTheme="majorHAnsi" w:hAnsiTheme="majorHAnsi"/>
          <w:i/>
          <w:color w:val="231F20"/>
          <w:sz w:val="20"/>
          <w:szCs w:val="20"/>
        </w:rPr>
      </w:pPr>
      <w:r w:rsidRPr="00903DDF">
        <w:rPr>
          <w:rFonts w:asciiTheme="majorHAnsi" w:hAnsiTheme="majorHAnsi"/>
          <w:color w:val="231F20"/>
          <w:sz w:val="20"/>
          <w:szCs w:val="20"/>
        </w:rPr>
        <w:t xml:space="preserve">Rec. 21-15 : </w:t>
      </w:r>
      <w:r w:rsidRPr="00903DDF">
        <w:rPr>
          <w:rFonts w:asciiTheme="majorHAnsi" w:hAnsiTheme="majorHAnsi"/>
          <w:i/>
          <w:iCs/>
          <w:color w:val="231F20"/>
          <w:sz w:val="20"/>
          <w:szCs w:val="20"/>
        </w:rPr>
        <w:t>Recommandation de l’ICCAT sur le transbordement</w:t>
      </w:r>
    </w:p>
    <w:p w14:paraId="5878B5EB" w14:textId="56F6BE60" w:rsidR="007142F0" w:rsidRPr="00903DDF" w:rsidRDefault="007142F0" w:rsidP="00323B76">
      <w:pPr>
        <w:pStyle w:val="BodyText"/>
        <w:spacing w:before="177"/>
        <w:jc w:val="both"/>
        <w:rPr>
          <w:rFonts w:asciiTheme="majorHAnsi" w:hAnsiTheme="majorHAnsi"/>
          <w:color w:val="0F4B8E"/>
          <w:sz w:val="20"/>
          <w:szCs w:val="20"/>
        </w:rPr>
      </w:pPr>
      <w:r w:rsidRPr="00903DDF">
        <w:rPr>
          <w:rFonts w:asciiTheme="majorHAnsi" w:hAnsiTheme="majorHAnsi"/>
          <w:color w:val="0F4B8E"/>
          <w:sz w:val="20"/>
          <w:szCs w:val="20"/>
        </w:rPr>
        <w:t>Abrogée et remplacée par la Rec. 24-15</w:t>
      </w:r>
    </w:p>
    <w:p w14:paraId="3CC5FB4F" w14:textId="13847B17" w:rsidR="00E158A1" w:rsidRPr="00903DDF" w:rsidRDefault="003A5EC9" w:rsidP="00323B76">
      <w:pPr>
        <w:spacing w:before="178"/>
        <w:jc w:val="both"/>
        <w:rPr>
          <w:rFonts w:asciiTheme="majorHAnsi" w:hAnsiTheme="majorHAnsi"/>
          <w:i/>
          <w:sz w:val="20"/>
          <w:szCs w:val="20"/>
        </w:rPr>
      </w:pPr>
      <w:r w:rsidRPr="00903DDF">
        <w:rPr>
          <w:rFonts w:asciiTheme="majorHAnsi" w:hAnsiTheme="majorHAnsi"/>
          <w:color w:val="231F20"/>
          <w:sz w:val="20"/>
          <w:szCs w:val="20"/>
        </w:rPr>
        <w:t xml:space="preserve">Rec. 22-01 : </w:t>
      </w:r>
      <w:r w:rsidRPr="00903DDF">
        <w:rPr>
          <w:rFonts w:asciiTheme="majorHAnsi" w:hAnsiTheme="majorHAnsi"/>
          <w:i/>
          <w:iCs/>
          <w:color w:val="231F20"/>
          <w:sz w:val="20"/>
          <w:szCs w:val="20"/>
        </w:rPr>
        <w:t>Recommandation de l’ICCAT remplaçant la Recommandation 21-01 sur un programme pluriannuel de conservation et de gestion pour les thonidés tropicaux</w:t>
      </w:r>
    </w:p>
    <w:p w14:paraId="1246D20E" w14:textId="203C247A" w:rsidR="00E158A1" w:rsidRPr="00903DDF" w:rsidRDefault="003A5EC9"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24-01</w:t>
      </w:r>
    </w:p>
    <w:p w14:paraId="72F67DE7" w14:textId="7EF3D8B7" w:rsidR="00E158A1" w:rsidRPr="00903DDF" w:rsidRDefault="003A5EC9" w:rsidP="00323B76">
      <w:pPr>
        <w:spacing w:before="177"/>
        <w:jc w:val="both"/>
        <w:rPr>
          <w:rFonts w:asciiTheme="majorHAnsi" w:hAnsiTheme="majorHAnsi"/>
          <w:i/>
          <w:sz w:val="20"/>
          <w:szCs w:val="20"/>
        </w:rPr>
      </w:pPr>
      <w:r w:rsidRPr="00903DDF">
        <w:rPr>
          <w:rFonts w:asciiTheme="majorHAnsi" w:hAnsiTheme="majorHAnsi"/>
          <w:color w:val="231F20"/>
          <w:sz w:val="20"/>
          <w:szCs w:val="20"/>
        </w:rPr>
        <w:t xml:space="preserve">Rés. 22-02 : </w:t>
      </w:r>
      <w:r w:rsidRPr="00903DDF">
        <w:rPr>
          <w:rFonts w:asciiTheme="majorHAnsi" w:hAnsiTheme="majorHAnsi"/>
          <w:i/>
          <w:iCs/>
          <w:color w:val="231F20"/>
          <w:sz w:val="20"/>
          <w:szCs w:val="20"/>
        </w:rPr>
        <w:t>Résolution de l’ICCAT concernant l’élaboration d’objectifs de gestion conceptuels initiaux pour le listao de l’Atlantique Ouest</w:t>
      </w:r>
    </w:p>
    <w:p w14:paraId="754904CB" w14:textId="013639A5" w:rsidR="00E158A1" w:rsidRPr="00903DDF" w:rsidRDefault="003A5EC9"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24-04</w:t>
      </w:r>
    </w:p>
    <w:p w14:paraId="670734AD" w14:textId="411AAA71" w:rsidR="00E158A1" w:rsidRPr="00903DDF" w:rsidRDefault="003A5EC9" w:rsidP="00323B76">
      <w:pPr>
        <w:spacing w:before="178"/>
        <w:jc w:val="both"/>
        <w:rPr>
          <w:rFonts w:asciiTheme="majorHAnsi" w:hAnsiTheme="majorHAnsi"/>
          <w:i/>
          <w:sz w:val="20"/>
          <w:szCs w:val="20"/>
        </w:rPr>
      </w:pPr>
      <w:r w:rsidRPr="00903DDF">
        <w:rPr>
          <w:rFonts w:asciiTheme="majorHAnsi" w:hAnsiTheme="majorHAnsi"/>
          <w:color w:val="231F20"/>
          <w:sz w:val="20"/>
          <w:szCs w:val="20"/>
        </w:rPr>
        <w:t xml:space="preserve">Rec. 22-05 : </w:t>
      </w:r>
      <w:r w:rsidRPr="00903DDF">
        <w:rPr>
          <w:rFonts w:asciiTheme="majorHAnsi" w:hAnsiTheme="majorHAnsi"/>
          <w:i/>
          <w:iCs/>
          <w:color w:val="231F20"/>
          <w:sz w:val="20"/>
          <w:szCs w:val="20"/>
        </w:rPr>
        <w:t>Recommandation de l'ICCAT amendant la Recommandation 21-06 établissant un programme de rétablissement pour le germon de la Méditerranée</w:t>
      </w:r>
    </w:p>
    <w:p w14:paraId="1A7CC0CB" w14:textId="0866EF66" w:rsidR="00E158A1" w:rsidRPr="00903DDF" w:rsidRDefault="003A5EC9" w:rsidP="00323B76">
      <w:pPr>
        <w:pStyle w:val="BodyText"/>
        <w:spacing w:before="179"/>
        <w:jc w:val="both"/>
        <w:rPr>
          <w:rFonts w:asciiTheme="majorHAnsi" w:hAnsiTheme="majorHAnsi"/>
          <w:sz w:val="20"/>
          <w:szCs w:val="20"/>
        </w:rPr>
      </w:pPr>
      <w:r w:rsidRPr="00903DDF">
        <w:rPr>
          <w:rFonts w:asciiTheme="majorHAnsi" w:hAnsiTheme="majorHAnsi"/>
          <w:color w:val="0F4B8E"/>
          <w:sz w:val="20"/>
          <w:szCs w:val="20"/>
        </w:rPr>
        <w:t>Abrogée et remplacée par la Rec. 24-08</w:t>
      </w:r>
    </w:p>
    <w:p w14:paraId="082E86D0" w14:textId="30CACE86" w:rsidR="00E158A1" w:rsidRPr="00903DDF" w:rsidRDefault="003A5EC9" w:rsidP="00323B76">
      <w:pPr>
        <w:spacing w:before="177"/>
        <w:jc w:val="both"/>
        <w:rPr>
          <w:rFonts w:asciiTheme="majorHAnsi" w:hAnsiTheme="majorHAnsi"/>
          <w:i/>
          <w:sz w:val="20"/>
          <w:szCs w:val="20"/>
        </w:rPr>
      </w:pPr>
      <w:r w:rsidRPr="00903DDF">
        <w:rPr>
          <w:rFonts w:asciiTheme="majorHAnsi" w:hAnsiTheme="majorHAnsi"/>
          <w:color w:val="231F20"/>
          <w:sz w:val="20"/>
          <w:szCs w:val="20"/>
        </w:rPr>
        <w:t>Rec. 22-08</w:t>
      </w:r>
      <w:r w:rsidR="00CA13F0">
        <w:rPr>
          <w:rFonts w:asciiTheme="majorHAnsi" w:hAnsiTheme="majorHAnsi"/>
          <w:color w:val="231F20"/>
          <w:sz w:val="20"/>
          <w:szCs w:val="20"/>
        </w:rPr>
        <w:t xml:space="preserve"> </w:t>
      </w:r>
      <w:r w:rsidRPr="00903DDF">
        <w:rPr>
          <w:rFonts w:asciiTheme="majorHAnsi" w:hAnsiTheme="majorHAnsi"/>
          <w:i/>
          <w:color w:val="231F20"/>
          <w:sz w:val="20"/>
          <w:szCs w:val="20"/>
        </w:rPr>
        <w:t>: Recommandation de l’ICCAT amendant la Recommandation 21-08 établissant un plan pluriannuel de gestion du thon rouge dans l’Atlantique Est et la Méditerranée</w:t>
      </w:r>
    </w:p>
    <w:p w14:paraId="7BF67CDA" w14:textId="57C5D5ED" w:rsidR="00E158A1" w:rsidRPr="00903DDF" w:rsidRDefault="003A5EC9"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24-05</w:t>
      </w:r>
    </w:p>
    <w:p w14:paraId="3A20A63D" w14:textId="52BE78CC" w:rsidR="00E158A1" w:rsidRPr="00903DDF" w:rsidRDefault="003A5EC9" w:rsidP="00323B76">
      <w:pPr>
        <w:spacing w:before="178"/>
        <w:jc w:val="both"/>
        <w:rPr>
          <w:rFonts w:asciiTheme="majorHAnsi" w:hAnsiTheme="majorHAnsi"/>
          <w:i/>
          <w:sz w:val="20"/>
          <w:szCs w:val="20"/>
        </w:rPr>
      </w:pPr>
      <w:r w:rsidRPr="00903DDF">
        <w:rPr>
          <w:rFonts w:asciiTheme="majorHAnsi" w:hAnsiTheme="majorHAnsi"/>
          <w:color w:val="231F20"/>
          <w:sz w:val="20"/>
          <w:szCs w:val="20"/>
        </w:rPr>
        <w:t>Rec. 22-16 :</w:t>
      </w:r>
      <w:r w:rsidRPr="00903DDF">
        <w:rPr>
          <w:rFonts w:asciiTheme="majorHAnsi" w:hAnsiTheme="majorHAnsi"/>
          <w:i/>
          <w:iCs/>
          <w:color w:val="231F20"/>
          <w:sz w:val="20"/>
          <w:szCs w:val="20"/>
        </w:rPr>
        <w:t xml:space="preserve"> Recommandation de l’ICCAT amendant la Recommandation 21-18 concernant l’application du système eBCD</w:t>
      </w:r>
    </w:p>
    <w:p w14:paraId="1196537F" w14:textId="082C3C6C" w:rsidR="00E158A1" w:rsidRPr="00903DDF" w:rsidRDefault="003A5EC9" w:rsidP="00323B76">
      <w:pPr>
        <w:pStyle w:val="BodyText"/>
        <w:spacing w:before="177"/>
        <w:jc w:val="both"/>
        <w:rPr>
          <w:rFonts w:asciiTheme="majorHAnsi" w:hAnsiTheme="majorHAnsi"/>
          <w:color w:val="0F4B8E"/>
          <w:sz w:val="20"/>
          <w:szCs w:val="20"/>
        </w:rPr>
      </w:pPr>
      <w:r w:rsidRPr="00903DDF">
        <w:rPr>
          <w:rFonts w:asciiTheme="majorHAnsi" w:hAnsiTheme="majorHAnsi"/>
          <w:color w:val="0F4B8E"/>
          <w:sz w:val="20"/>
          <w:szCs w:val="20"/>
        </w:rPr>
        <w:t>Abrogée et remplacée par la Rec. 24-16</w:t>
      </w:r>
    </w:p>
    <w:p w14:paraId="6EC10ECB" w14:textId="430D90F2" w:rsidR="00961BF6" w:rsidRPr="00903DDF" w:rsidRDefault="00961BF6" w:rsidP="00323B76">
      <w:pPr>
        <w:spacing w:before="177"/>
        <w:jc w:val="both"/>
        <w:rPr>
          <w:rFonts w:asciiTheme="majorHAnsi" w:hAnsiTheme="majorHAnsi"/>
          <w:i/>
          <w:sz w:val="20"/>
          <w:szCs w:val="20"/>
        </w:rPr>
      </w:pPr>
      <w:r w:rsidRPr="00903DDF">
        <w:rPr>
          <w:rFonts w:asciiTheme="majorHAnsi" w:hAnsiTheme="majorHAnsi"/>
          <w:color w:val="231F20"/>
          <w:sz w:val="20"/>
          <w:szCs w:val="20"/>
        </w:rPr>
        <w:t xml:space="preserve">Rec. 22-17 : </w:t>
      </w:r>
      <w:r w:rsidRPr="00903DDF">
        <w:rPr>
          <w:rFonts w:asciiTheme="majorHAnsi" w:hAnsiTheme="majorHAnsi"/>
          <w:i/>
          <w:color w:val="231F20"/>
          <w:sz w:val="20"/>
          <w:szCs w:val="20"/>
        </w:rPr>
        <w:t>Recommandation de l'ICCAT sur l'application du système intégré de gestion en ligne</w:t>
      </w:r>
    </w:p>
    <w:p w14:paraId="7F617B5A" w14:textId="6E87CE3B" w:rsidR="00961BF6" w:rsidRPr="00903DDF" w:rsidRDefault="00961BF6"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24-17</w:t>
      </w:r>
    </w:p>
    <w:p w14:paraId="59C62467" w14:textId="325B8FCC" w:rsidR="00961BF6" w:rsidRPr="00903DDF" w:rsidRDefault="00961BF6" w:rsidP="00323B76">
      <w:pPr>
        <w:spacing w:before="178"/>
        <w:jc w:val="both"/>
        <w:rPr>
          <w:rFonts w:asciiTheme="majorHAnsi" w:hAnsiTheme="majorHAnsi"/>
          <w:i/>
          <w:sz w:val="20"/>
          <w:szCs w:val="20"/>
        </w:rPr>
      </w:pPr>
      <w:proofErr w:type="spellStart"/>
      <w:r w:rsidRPr="00903DDF">
        <w:rPr>
          <w:rFonts w:asciiTheme="majorHAnsi" w:hAnsiTheme="majorHAnsi"/>
          <w:color w:val="231F20"/>
          <w:sz w:val="20"/>
          <w:szCs w:val="20"/>
        </w:rPr>
        <w:t>Re</w:t>
      </w:r>
      <w:r w:rsidR="00525B03">
        <w:rPr>
          <w:rFonts w:asciiTheme="majorHAnsi" w:hAnsiTheme="majorHAnsi"/>
          <w:color w:val="231F20"/>
          <w:sz w:val="20"/>
          <w:szCs w:val="20"/>
        </w:rPr>
        <w:t>f</w:t>
      </w:r>
      <w:proofErr w:type="spellEnd"/>
      <w:r w:rsidRPr="00903DDF">
        <w:rPr>
          <w:rFonts w:asciiTheme="majorHAnsi" w:hAnsiTheme="majorHAnsi"/>
          <w:color w:val="231F20"/>
          <w:sz w:val="20"/>
          <w:szCs w:val="20"/>
        </w:rPr>
        <w:t xml:space="preserve">. 22-19 : </w:t>
      </w:r>
      <w:r w:rsidRPr="00903DDF">
        <w:rPr>
          <w:rFonts w:asciiTheme="majorHAnsi" w:hAnsiTheme="majorHAnsi"/>
          <w:i/>
          <w:color w:val="231F20"/>
          <w:sz w:val="20"/>
          <w:szCs w:val="20"/>
        </w:rPr>
        <w:t>Numéro de document sur la déclaration de transbordement</w:t>
      </w:r>
    </w:p>
    <w:p w14:paraId="216F753C" w14:textId="06027DAA" w:rsidR="00961BF6" w:rsidRPr="00903DDF" w:rsidRDefault="00961BF6"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24-15</w:t>
      </w:r>
    </w:p>
    <w:p w14:paraId="4BF15544" w14:textId="1090A42C" w:rsidR="00961BF6" w:rsidRPr="00903DDF" w:rsidRDefault="00961BF6" w:rsidP="00323B76">
      <w:pPr>
        <w:spacing w:before="177"/>
        <w:jc w:val="both"/>
        <w:rPr>
          <w:rFonts w:asciiTheme="majorHAnsi" w:hAnsiTheme="majorHAnsi"/>
          <w:i/>
          <w:sz w:val="20"/>
          <w:szCs w:val="20"/>
        </w:rPr>
      </w:pPr>
      <w:r w:rsidRPr="00903DDF">
        <w:rPr>
          <w:rFonts w:asciiTheme="majorHAnsi" w:hAnsiTheme="majorHAnsi"/>
          <w:color w:val="231F20"/>
          <w:sz w:val="20"/>
          <w:szCs w:val="20"/>
        </w:rPr>
        <w:t>Rec. 23-01 :</w:t>
      </w:r>
      <w:r w:rsidRPr="00903DDF">
        <w:rPr>
          <w:rFonts w:asciiTheme="majorHAnsi" w:hAnsiTheme="majorHAnsi"/>
          <w:i/>
          <w:color w:val="231F20"/>
          <w:sz w:val="20"/>
          <w:szCs w:val="20"/>
        </w:rPr>
        <w:t xml:space="preserve"> Recommandation de l’ICCAT prolongeant et amendant la Recommandation 22-01 sur un programme pluriannuel de conservation et de gestion pour les thonidés tropicaux</w:t>
      </w:r>
    </w:p>
    <w:p w14:paraId="0460DCB6" w14:textId="46117FD2" w:rsidR="00961BF6" w:rsidRPr="00903DDF" w:rsidRDefault="00961BF6"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24-01</w:t>
      </w:r>
    </w:p>
    <w:p w14:paraId="12FFDEC7" w14:textId="1ADE72E8" w:rsidR="00961BF6" w:rsidRPr="00903DDF" w:rsidRDefault="00961BF6" w:rsidP="00323B76">
      <w:pPr>
        <w:spacing w:before="178"/>
        <w:jc w:val="both"/>
        <w:rPr>
          <w:rFonts w:asciiTheme="majorHAnsi" w:hAnsiTheme="majorHAnsi"/>
          <w:i/>
          <w:sz w:val="20"/>
          <w:szCs w:val="20"/>
        </w:rPr>
      </w:pPr>
      <w:r w:rsidRPr="00903DDF">
        <w:rPr>
          <w:rFonts w:asciiTheme="majorHAnsi" w:hAnsiTheme="majorHAnsi"/>
          <w:color w:val="231F20"/>
          <w:sz w:val="20"/>
          <w:szCs w:val="20"/>
        </w:rPr>
        <w:t xml:space="preserve">Rec. 23-02 : </w:t>
      </w:r>
      <w:r w:rsidRPr="00903DDF">
        <w:rPr>
          <w:rFonts w:asciiTheme="majorHAnsi" w:hAnsiTheme="majorHAnsi"/>
          <w:i/>
          <w:iCs/>
          <w:color w:val="231F20"/>
          <w:sz w:val="20"/>
          <w:szCs w:val="20"/>
        </w:rPr>
        <w:t>Recommandation de l’ICCAT concernant le plan de remboursement de thon obèse par le Brésil</w:t>
      </w:r>
    </w:p>
    <w:p w14:paraId="7D1235A8" w14:textId="4D0231F9" w:rsidR="00961BF6" w:rsidRPr="00903DDF" w:rsidRDefault="00961BF6" w:rsidP="00323B76">
      <w:pPr>
        <w:pStyle w:val="BodyText"/>
        <w:spacing w:before="177"/>
        <w:jc w:val="both"/>
        <w:rPr>
          <w:rFonts w:asciiTheme="majorHAnsi" w:hAnsiTheme="majorHAnsi"/>
          <w:color w:val="0F4B8E"/>
          <w:sz w:val="20"/>
          <w:szCs w:val="20"/>
        </w:rPr>
      </w:pPr>
      <w:r w:rsidRPr="00903DDF">
        <w:rPr>
          <w:rFonts w:asciiTheme="majorHAnsi" w:hAnsiTheme="majorHAnsi"/>
          <w:color w:val="0F4B8E"/>
          <w:sz w:val="20"/>
          <w:szCs w:val="20"/>
        </w:rPr>
        <w:lastRenderedPageBreak/>
        <w:t>Abrogée et remplacée par la Rec. 24-03</w:t>
      </w:r>
    </w:p>
    <w:p w14:paraId="59FA14F9" w14:textId="5FB38526" w:rsidR="00961BF6" w:rsidRPr="00903DDF" w:rsidRDefault="00961BF6" w:rsidP="00323B76">
      <w:pPr>
        <w:spacing w:before="177"/>
        <w:jc w:val="both"/>
        <w:rPr>
          <w:rFonts w:asciiTheme="majorHAnsi" w:hAnsiTheme="majorHAnsi"/>
          <w:i/>
          <w:sz w:val="20"/>
          <w:szCs w:val="20"/>
        </w:rPr>
      </w:pPr>
      <w:r w:rsidRPr="00903DDF">
        <w:rPr>
          <w:rFonts w:asciiTheme="majorHAnsi" w:hAnsiTheme="majorHAnsi"/>
          <w:color w:val="231F20"/>
          <w:sz w:val="20"/>
          <w:szCs w:val="20"/>
        </w:rPr>
        <w:t xml:space="preserve">Rec. 23-04 : </w:t>
      </w:r>
      <w:r w:rsidRPr="00903DDF">
        <w:rPr>
          <w:rFonts w:asciiTheme="majorHAnsi" w:hAnsiTheme="majorHAnsi"/>
          <w:i/>
          <w:iCs/>
          <w:color w:val="231F20"/>
          <w:sz w:val="20"/>
          <w:szCs w:val="20"/>
        </w:rPr>
        <w:t>Recommandation de l’ICCAT remplaçant la Recommandation 22-03 prolongeant et modifiant la Recommandation 17-02 sur la conservation de l’espadon de l’Atlantique Nord</w:t>
      </w:r>
    </w:p>
    <w:p w14:paraId="6A036F91" w14:textId="599C6BD3" w:rsidR="00961BF6" w:rsidRPr="00903DDF" w:rsidRDefault="00961BF6"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24-10</w:t>
      </w:r>
    </w:p>
    <w:p w14:paraId="20DC0916" w14:textId="6F61BFDF" w:rsidR="00961BF6" w:rsidRPr="00903DDF" w:rsidRDefault="00961BF6" w:rsidP="00323B76">
      <w:pPr>
        <w:spacing w:before="178"/>
        <w:jc w:val="both"/>
        <w:rPr>
          <w:rFonts w:asciiTheme="majorHAnsi" w:hAnsiTheme="majorHAnsi"/>
          <w:i/>
          <w:sz w:val="20"/>
          <w:szCs w:val="20"/>
        </w:rPr>
      </w:pPr>
      <w:r w:rsidRPr="00903DDF">
        <w:rPr>
          <w:rFonts w:asciiTheme="majorHAnsi" w:hAnsiTheme="majorHAnsi"/>
          <w:color w:val="231F20"/>
          <w:sz w:val="20"/>
          <w:szCs w:val="20"/>
        </w:rPr>
        <w:t>Rec. 23-06</w:t>
      </w:r>
      <w:r w:rsidRPr="00903DDF">
        <w:rPr>
          <w:rFonts w:asciiTheme="majorHAnsi" w:hAnsiTheme="majorHAnsi"/>
          <w:i/>
          <w:color w:val="231F20"/>
          <w:sz w:val="20"/>
          <w:szCs w:val="20"/>
        </w:rPr>
        <w:t xml:space="preserve"> : Recommandation de l’ICCAT amendant la Recommandation 22-08 établissant un plan pluriannuel de gestion pour le thon rouge dans l’Atlantique Est et la Méditerranée</w:t>
      </w:r>
    </w:p>
    <w:p w14:paraId="34554AB0" w14:textId="10DE16DA" w:rsidR="00961BF6" w:rsidRPr="00903DDF" w:rsidRDefault="00961BF6" w:rsidP="00323B76">
      <w:pPr>
        <w:pStyle w:val="BodyText"/>
        <w:spacing w:before="177"/>
        <w:jc w:val="both"/>
        <w:rPr>
          <w:rFonts w:asciiTheme="majorHAnsi" w:hAnsiTheme="majorHAnsi"/>
          <w:color w:val="0F4B8E"/>
          <w:sz w:val="20"/>
          <w:szCs w:val="20"/>
        </w:rPr>
      </w:pPr>
      <w:r w:rsidRPr="00903DDF">
        <w:rPr>
          <w:rFonts w:asciiTheme="majorHAnsi" w:hAnsiTheme="majorHAnsi"/>
          <w:color w:val="0F4B8E"/>
          <w:sz w:val="20"/>
          <w:szCs w:val="20"/>
        </w:rPr>
        <w:t>Abrogée et remplacée par la Rec. 24-05</w:t>
      </w:r>
    </w:p>
    <w:p w14:paraId="7498D29E" w14:textId="571ABEBF" w:rsidR="00961BF6" w:rsidRPr="00903DDF" w:rsidRDefault="00961BF6" w:rsidP="00323B76">
      <w:pPr>
        <w:spacing w:before="178"/>
        <w:jc w:val="both"/>
        <w:rPr>
          <w:rFonts w:asciiTheme="majorHAnsi" w:hAnsiTheme="majorHAnsi"/>
          <w:i/>
          <w:sz w:val="20"/>
          <w:szCs w:val="20"/>
        </w:rPr>
      </w:pPr>
      <w:r w:rsidRPr="00903DDF">
        <w:rPr>
          <w:rFonts w:asciiTheme="majorHAnsi" w:hAnsiTheme="majorHAnsi"/>
          <w:color w:val="231F20"/>
          <w:sz w:val="20"/>
          <w:szCs w:val="20"/>
        </w:rPr>
        <w:t xml:space="preserve">Rec. 23-08 : </w:t>
      </w:r>
      <w:r w:rsidRPr="00903DDF">
        <w:rPr>
          <w:rFonts w:asciiTheme="majorHAnsi" w:hAnsiTheme="majorHAnsi"/>
          <w:i/>
          <w:iCs/>
          <w:color w:val="231F20"/>
          <w:sz w:val="20"/>
          <w:szCs w:val="20"/>
        </w:rPr>
        <w:t>Recommandation de l’ICCAT relative à un projet pilote d'élevage du thon rouge</w:t>
      </w:r>
      <w:r w:rsidRPr="00903DDF">
        <w:rPr>
          <w:rFonts w:asciiTheme="majorHAnsi" w:hAnsiTheme="majorHAnsi"/>
          <w:color w:val="231F20"/>
          <w:sz w:val="20"/>
          <w:szCs w:val="20"/>
        </w:rPr>
        <w:t xml:space="preserve"> (</w:t>
      </w:r>
      <w:proofErr w:type="spellStart"/>
      <w:r w:rsidRPr="00903DDF">
        <w:rPr>
          <w:rFonts w:asciiTheme="majorHAnsi" w:hAnsiTheme="majorHAnsi"/>
          <w:color w:val="231F20"/>
          <w:sz w:val="20"/>
          <w:szCs w:val="20"/>
        </w:rPr>
        <w:t>Thunnus</w:t>
      </w:r>
      <w:proofErr w:type="spellEnd"/>
      <w:r w:rsidRPr="00903DDF">
        <w:rPr>
          <w:rFonts w:asciiTheme="majorHAnsi" w:hAnsiTheme="majorHAnsi"/>
          <w:color w:val="231F20"/>
          <w:sz w:val="20"/>
          <w:szCs w:val="20"/>
        </w:rPr>
        <w:t xml:space="preserve"> </w:t>
      </w:r>
      <w:proofErr w:type="spellStart"/>
      <w:r w:rsidRPr="00903DDF">
        <w:rPr>
          <w:rFonts w:asciiTheme="majorHAnsi" w:hAnsiTheme="majorHAnsi"/>
          <w:color w:val="231F20"/>
          <w:sz w:val="20"/>
          <w:szCs w:val="20"/>
        </w:rPr>
        <w:t>thynnus</w:t>
      </w:r>
      <w:proofErr w:type="spellEnd"/>
      <w:r w:rsidRPr="00903DDF">
        <w:rPr>
          <w:rFonts w:asciiTheme="majorHAnsi" w:hAnsiTheme="majorHAnsi"/>
          <w:color w:val="231F20"/>
          <w:sz w:val="20"/>
          <w:szCs w:val="20"/>
        </w:rPr>
        <w:t xml:space="preserve">) </w:t>
      </w:r>
      <w:r w:rsidRPr="00903DDF">
        <w:rPr>
          <w:rFonts w:asciiTheme="majorHAnsi" w:hAnsiTheme="majorHAnsi"/>
          <w:i/>
          <w:iCs/>
          <w:color w:val="231F20"/>
          <w:sz w:val="20"/>
          <w:szCs w:val="20"/>
        </w:rPr>
        <w:t>dans la mer Cantabrique</w:t>
      </w:r>
    </w:p>
    <w:p w14:paraId="25D4E9D1" w14:textId="075B8EFC" w:rsidR="00961BF6" w:rsidRPr="00903DDF" w:rsidRDefault="00961BF6"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24-06</w:t>
      </w:r>
    </w:p>
    <w:p w14:paraId="50212657" w14:textId="55A07C2C" w:rsidR="00961BF6" w:rsidRPr="00903DDF" w:rsidRDefault="00961BF6" w:rsidP="00323B76">
      <w:pPr>
        <w:spacing w:before="178"/>
        <w:jc w:val="both"/>
        <w:rPr>
          <w:rFonts w:asciiTheme="majorHAnsi" w:hAnsiTheme="majorHAnsi"/>
          <w:i/>
          <w:sz w:val="20"/>
          <w:szCs w:val="20"/>
        </w:rPr>
      </w:pPr>
      <w:r w:rsidRPr="00903DDF">
        <w:rPr>
          <w:rFonts w:asciiTheme="majorHAnsi" w:hAnsiTheme="majorHAnsi"/>
          <w:color w:val="231F20"/>
          <w:sz w:val="20"/>
          <w:szCs w:val="20"/>
        </w:rPr>
        <w:t xml:space="preserve">Rec. 23-14 : </w:t>
      </w:r>
      <w:r w:rsidRPr="00903DDF">
        <w:rPr>
          <w:rFonts w:asciiTheme="majorHAnsi" w:hAnsiTheme="majorHAnsi"/>
          <w:i/>
          <w:iCs/>
          <w:color w:val="231F20"/>
          <w:sz w:val="20"/>
          <w:szCs w:val="20"/>
        </w:rPr>
        <w:t xml:space="preserve">Recommandation de l’ICCAT sur les raies mobulidées (famille </w:t>
      </w:r>
      <w:proofErr w:type="spellStart"/>
      <w:r w:rsidRPr="00903DDF">
        <w:rPr>
          <w:rFonts w:asciiTheme="majorHAnsi" w:hAnsiTheme="majorHAnsi"/>
          <w:i/>
          <w:iCs/>
          <w:color w:val="231F20"/>
          <w:sz w:val="20"/>
          <w:szCs w:val="20"/>
        </w:rPr>
        <w:t>Mobulidae</w:t>
      </w:r>
      <w:proofErr w:type="spellEnd"/>
      <w:r w:rsidRPr="00903DDF">
        <w:rPr>
          <w:rFonts w:asciiTheme="majorHAnsi" w:hAnsiTheme="majorHAnsi"/>
          <w:i/>
          <w:iCs/>
          <w:color w:val="231F20"/>
          <w:sz w:val="20"/>
          <w:szCs w:val="20"/>
        </w:rPr>
        <w:t>) capturées en association avec les pêcheries de l’ICCAT</w:t>
      </w:r>
    </w:p>
    <w:p w14:paraId="09F3F314" w14:textId="6212218E" w:rsidR="00961BF6" w:rsidRPr="00903DDF" w:rsidRDefault="00961BF6" w:rsidP="00323B76">
      <w:pPr>
        <w:pStyle w:val="BodyText"/>
        <w:spacing w:before="177"/>
        <w:jc w:val="both"/>
        <w:rPr>
          <w:rFonts w:asciiTheme="majorHAnsi" w:hAnsiTheme="majorHAnsi"/>
          <w:sz w:val="20"/>
          <w:szCs w:val="20"/>
        </w:rPr>
      </w:pPr>
      <w:r w:rsidRPr="00903DDF">
        <w:rPr>
          <w:rFonts w:asciiTheme="majorHAnsi" w:hAnsiTheme="majorHAnsi"/>
          <w:color w:val="0F4B8E"/>
          <w:sz w:val="20"/>
          <w:szCs w:val="20"/>
        </w:rPr>
        <w:t>Abrogée et remplacée par la Rec. 24-12</w:t>
      </w:r>
    </w:p>
    <w:p w14:paraId="0D9118C4" w14:textId="77777777" w:rsidR="00243214" w:rsidRPr="00903DDF" w:rsidRDefault="00243214" w:rsidP="00243214">
      <w:pPr>
        <w:pStyle w:val="BodyText"/>
        <w:spacing w:before="177"/>
        <w:ind w:left="133"/>
        <w:jc w:val="both"/>
        <w:rPr>
          <w:rFonts w:asciiTheme="majorHAnsi" w:hAnsiTheme="majorHAnsi"/>
          <w:sz w:val="20"/>
          <w:szCs w:val="20"/>
        </w:rPr>
      </w:pPr>
    </w:p>
    <w:p w14:paraId="75F5E7FA" w14:textId="5106264C" w:rsidR="00E158A1" w:rsidRPr="00903DDF" w:rsidRDefault="003A5EC9" w:rsidP="000C3A47">
      <w:pPr>
        <w:pStyle w:val="Heading1"/>
        <w:spacing w:before="91"/>
        <w:ind w:left="0"/>
        <w:jc w:val="both"/>
        <w:rPr>
          <w:rFonts w:asciiTheme="majorHAnsi" w:hAnsiTheme="majorHAnsi"/>
          <w:sz w:val="20"/>
          <w:szCs w:val="20"/>
        </w:rPr>
      </w:pPr>
      <w:r w:rsidRPr="00903DDF">
        <w:rPr>
          <w:rFonts w:asciiTheme="majorHAnsi" w:hAnsiTheme="majorHAnsi"/>
          <w:color w:val="231F20"/>
          <w:sz w:val="20"/>
          <w:szCs w:val="20"/>
        </w:rPr>
        <w:t>Suggestions visant à une future simplification des Recommandations</w:t>
      </w:r>
    </w:p>
    <w:p w14:paraId="75D166D1" w14:textId="77777777" w:rsidR="00E158A1" w:rsidRPr="00903DDF" w:rsidRDefault="00E158A1" w:rsidP="000C3A47">
      <w:pPr>
        <w:pStyle w:val="BodyText"/>
        <w:spacing w:before="19"/>
        <w:jc w:val="both"/>
        <w:rPr>
          <w:rFonts w:asciiTheme="majorHAnsi" w:hAnsiTheme="majorHAnsi"/>
          <w:b/>
          <w:sz w:val="20"/>
          <w:szCs w:val="20"/>
        </w:rPr>
      </w:pPr>
    </w:p>
    <w:p w14:paraId="3B091AF0" w14:textId="7ADB6513" w:rsidR="00EB0373" w:rsidRPr="00903DDF" w:rsidRDefault="00EB47F8" w:rsidP="002551C5">
      <w:pPr>
        <w:pStyle w:val="BodyText"/>
        <w:numPr>
          <w:ilvl w:val="0"/>
          <w:numId w:val="3"/>
        </w:numPr>
        <w:spacing w:line="256" w:lineRule="auto"/>
        <w:ind w:left="426" w:right="132" w:hanging="426"/>
        <w:jc w:val="both"/>
        <w:rPr>
          <w:rFonts w:asciiTheme="majorHAnsi" w:hAnsiTheme="majorHAnsi"/>
          <w:sz w:val="20"/>
          <w:szCs w:val="20"/>
        </w:rPr>
      </w:pPr>
      <w:r w:rsidRPr="00903DDF">
        <w:rPr>
          <w:rFonts w:asciiTheme="majorHAnsi" w:hAnsiTheme="majorHAnsi"/>
          <w:sz w:val="20"/>
          <w:szCs w:val="20"/>
        </w:rPr>
        <w:t xml:space="preserve">Thon rouge de l’Atlantique Est et de la Méditerranée : En ce qui concerne les délais et la </w:t>
      </w:r>
      <w:r w:rsidR="00CA13F0" w:rsidRPr="00903DDF">
        <w:rPr>
          <w:rFonts w:asciiTheme="majorHAnsi" w:hAnsiTheme="majorHAnsi"/>
          <w:sz w:val="20"/>
          <w:szCs w:val="20"/>
        </w:rPr>
        <w:t>déclaration des</w:t>
      </w:r>
      <w:r w:rsidRPr="00903DDF">
        <w:rPr>
          <w:rFonts w:asciiTheme="majorHAnsi" w:hAnsiTheme="majorHAnsi"/>
          <w:sz w:val="20"/>
          <w:szCs w:val="20"/>
        </w:rPr>
        <w:t xml:space="preserve"> données conformément aux exigences </w:t>
      </w:r>
      <w:proofErr w:type="gramStart"/>
      <w:r w:rsidRPr="00903DDF">
        <w:rPr>
          <w:rFonts w:asciiTheme="majorHAnsi" w:hAnsiTheme="majorHAnsi"/>
          <w:sz w:val="20"/>
          <w:szCs w:val="20"/>
        </w:rPr>
        <w:t>M:BFT</w:t>
      </w:r>
      <w:proofErr w:type="gramEnd"/>
      <w:r w:rsidRPr="00903DDF">
        <w:rPr>
          <w:rFonts w:asciiTheme="majorHAnsi" w:hAnsiTheme="majorHAnsi"/>
          <w:sz w:val="20"/>
          <w:szCs w:val="20"/>
        </w:rPr>
        <w:t xml:space="preserve">02 et </w:t>
      </w:r>
      <w:proofErr w:type="gramStart"/>
      <w:r w:rsidRPr="00903DDF">
        <w:rPr>
          <w:rFonts w:asciiTheme="majorHAnsi" w:hAnsiTheme="majorHAnsi"/>
          <w:sz w:val="20"/>
          <w:szCs w:val="20"/>
        </w:rPr>
        <w:t>M:BFT</w:t>
      </w:r>
      <w:proofErr w:type="gramEnd"/>
      <w:r w:rsidRPr="00903DDF">
        <w:rPr>
          <w:rFonts w:asciiTheme="majorHAnsi" w:hAnsiTheme="majorHAnsi"/>
          <w:sz w:val="20"/>
          <w:szCs w:val="20"/>
        </w:rPr>
        <w:t>04, il convient de noter qu'à la suite de l'adoption de la Recommandation 21-08, qui a remplacé la Recommandation 06-07, il n'y a plus de délai spécifique pour la déclaration des données sur la mise en cage et l'élevage.</w:t>
      </w:r>
    </w:p>
    <w:p w14:paraId="70915068" w14:textId="77777777" w:rsidR="00EB0373" w:rsidRPr="00903DDF" w:rsidRDefault="00EB0373" w:rsidP="00EB0373">
      <w:pPr>
        <w:pStyle w:val="BodyText"/>
        <w:spacing w:line="256" w:lineRule="auto"/>
        <w:ind w:left="720" w:right="132"/>
        <w:jc w:val="both"/>
        <w:rPr>
          <w:rFonts w:asciiTheme="majorHAnsi" w:hAnsiTheme="majorHAnsi"/>
          <w:sz w:val="20"/>
          <w:szCs w:val="20"/>
        </w:rPr>
      </w:pPr>
    </w:p>
    <w:p w14:paraId="4C07F2B7" w14:textId="77777777" w:rsidR="00790E78" w:rsidRPr="00903DDF" w:rsidRDefault="00790E78" w:rsidP="006C2BF1">
      <w:pPr>
        <w:pStyle w:val="BodyText"/>
        <w:spacing w:line="256" w:lineRule="auto"/>
        <w:ind w:right="132" w:firstLine="426"/>
        <w:jc w:val="both"/>
        <w:rPr>
          <w:rFonts w:asciiTheme="majorHAnsi" w:hAnsiTheme="majorHAnsi"/>
          <w:sz w:val="20"/>
          <w:szCs w:val="20"/>
        </w:rPr>
      </w:pPr>
      <w:r w:rsidRPr="00903DDF">
        <w:rPr>
          <w:rFonts w:asciiTheme="majorHAnsi" w:hAnsiTheme="majorHAnsi"/>
          <w:sz w:val="20"/>
          <w:szCs w:val="20"/>
        </w:rPr>
        <w:t>En vertu de la Rec. 24-05 ; paragr. 24 et 188 :</w:t>
      </w:r>
    </w:p>
    <w:p w14:paraId="67F72381" w14:textId="77777777" w:rsidR="00790E78" w:rsidRPr="00903DDF" w:rsidRDefault="00790E78" w:rsidP="00790E78">
      <w:pPr>
        <w:pStyle w:val="BodyText"/>
        <w:spacing w:line="256" w:lineRule="auto"/>
        <w:ind w:left="720" w:right="132"/>
        <w:jc w:val="both"/>
        <w:rPr>
          <w:rFonts w:asciiTheme="majorHAnsi" w:hAnsiTheme="majorHAnsi"/>
          <w:sz w:val="20"/>
          <w:szCs w:val="20"/>
        </w:rPr>
      </w:pPr>
    </w:p>
    <w:p w14:paraId="0F1A0194" w14:textId="143FECE6" w:rsidR="00790E78" w:rsidRPr="00903DDF" w:rsidRDefault="00790E78" w:rsidP="006C2BF1">
      <w:pPr>
        <w:pStyle w:val="BodyText"/>
        <w:spacing w:line="256" w:lineRule="auto"/>
        <w:ind w:left="426" w:right="132"/>
        <w:jc w:val="both"/>
        <w:rPr>
          <w:rFonts w:asciiTheme="majorHAnsi" w:hAnsiTheme="majorHAnsi" w:cs="Times New Roman"/>
          <w:i/>
          <w:iCs/>
          <w:sz w:val="20"/>
          <w:szCs w:val="20"/>
        </w:rPr>
      </w:pPr>
      <w:r w:rsidRPr="00903DDF">
        <w:rPr>
          <w:rFonts w:asciiTheme="majorHAnsi" w:hAnsiTheme="majorHAnsi"/>
          <w:i/>
          <w:sz w:val="20"/>
          <w:szCs w:val="20"/>
        </w:rPr>
        <w:t>« 24.   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web de l'ICCAT, sous réserve des exigences de confidentialité.</w:t>
      </w:r>
    </w:p>
    <w:p w14:paraId="2E461AD4" w14:textId="77777777" w:rsidR="006C2BF1" w:rsidRPr="00903DDF" w:rsidRDefault="006C2BF1" w:rsidP="006C2BF1">
      <w:pPr>
        <w:pStyle w:val="BodyText"/>
        <w:spacing w:line="256" w:lineRule="auto"/>
        <w:ind w:right="132" w:firstLine="426"/>
        <w:jc w:val="both"/>
        <w:rPr>
          <w:rFonts w:asciiTheme="majorHAnsi" w:hAnsiTheme="majorHAnsi" w:cs="Times New Roman"/>
          <w:i/>
          <w:iCs/>
          <w:sz w:val="20"/>
          <w:szCs w:val="20"/>
        </w:rPr>
      </w:pPr>
    </w:p>
    <w:p w14:paraId="3C8FB2D6" w14:textId="2AF9051E" w:rsidR="00790E78" w:rsidRPr="00903DDF" w:rsidRDefault="00790E78" w:rsidP="006C2BF1">
      <w:pPr>
        <w:pStyle w:val="BodyText"/>
        <w:spacing w:line="256" w:lineRule="auto"/>
        <w:ind w:right="132" w:firstLine="426"/>
        <w:jc w:val="both"/>
        <w:rPr>
          <w:rFonts w:asciiTheme="majorHAnsi" w:hAnsiTheme="majorHAnsi" w:cs="Times New Roman"/>
          <w:i/>
          <w:iCs/>
          <w:sz w:val="20"/>
          <w:szCs w:val="20"/>
        </w:rPr>
      </w:pPr>
      <w:r w:rsidRPr="00903DDF">
        <w:rPr>
          <w:rFonts w:asciiTheme="majorHAnsi" w:hAnsiTheme="majorHAnsi"/>
          <w:i/>
          <w:sz w:val="20"/>
          <w:szCs w:val="20"/>
        </w:rPr>
        <w:t>[…]</w:t>
      </w:r>
    </w:p>
    <w:p w14:paraId="14028B08" w14:textId="77777777" w:rsidR="006C2BF1" w:rsidRPr="00903DDF" w:rsidRDefault="006C2BF1" w:rsidP="006C2BF1">
      <w:pPr>
        <w:pStyle w:val="BodyText"/>
        <w:spacing w:line="256" w:lineRule="auto"/>
        <w:ind w:right="132" w:firstLine="426"/>
        <w:jc w:val="both"/>
        <w:rPr>
          <w:rFonts w:asciiTheme="majorHAnsi" w:hAnsiTheme="majorHAnsi" w:cs="Times New Roman"/>
          <w:b/>
          <w:bCs/>
          <w:i/>
          <w:iCs/>
          <w:sz w:val="20"/>
          <w:szCs w:val="20"/>
        </w:rPr>
      </w:pPr>
    </w:p>
    <w:p w14:paraId="6B63E39E" w14:textId="52800311" w:rsidR="00790E78" w:rsidRPr="00903DDF" w:rsidRDefault="00790E78" w:rsidP="006C2BF1">
      <w:pPr>
        <w:pStyle w:val="BodyText"/>
        <w:spacing w:line="256" w:lineRule="auto"/>
        <w:ind w:right="132" w:firstLine="426"/>
        <w:jc w:val="both"/>
        <w:rPr>
          <w:rFonts w:asciiTheme="majorHAnsi" w:hAnsiTheme="majorHAnsi" w:cs="Times New Roman"/>
          <w:b/>
          <w:bCs/>
          <w:i/>
          <w:iCs/>
          <w:sz w:val="20"/>
          <w:szCs w:val="20"/>
        </w:rPr>
      </w:pPr>
      <w:r w:rsidRPr="00903DDF">
        <w:rPr>
          <w:rFonts w:asciiTheme="majorHAnsi" w:hAnsiTheme="majorHAnsi"/>
          <w:b/>
          <w:i/>
          <w:sz w:val="20"/>
          <w:szCs w:val="20"/>
        </w:rPr>
        <w:t>Rapport de mise en cage</w:t>
      </w:r>
    </w:p>
    <w:p w14:paraId="5B56A022" w14:textId="77777777" w:rsidR="006C2BF1" w:rsidRPr="00903DDF" w:rsidRDefault="006C2BF1" w:rsidP="006C2BF1">
      <w:pPr>
        <w:pStyle w:val="BodyText"/>
        <w:spacing w:line="256" w:lineRule="auto"/>
        <w:ind w:right="132" w:firstLine="360"/>
        <w:jc w:val="both"/>
        <w:rPr>
          <w:rFonts w:asciiTheme="majorHAnsi" w:hAnsiTheme="majorHAnsi" w:cs="Times New Roman"/>
          <w:i/>
          <w:iCs/>
          <w:sz w:val="20"/>
          <w:szCs w:val="20"/>
        </w:rPr>
      </w:pPr>
    </w:p>
    <w:p w14:paraId="642666F0" w14:textId="30DA5468" w:rsidR="00790E78" w:rsidRPr="00903DDF" w:rsidRDefault="00790E78" w:rsidP="006C2BF1">
      <w:pPr>
        <w:pStyle w:val="BodyText"/>
        <w:spacing w:line="256" w:lineRule="auto"/>
        <w:ind w:left="360" w:right="132"/>
        <w:jc w:val="both"/>
        <w:rPr>
          <w:rFonts w:asciiTheme="majorHAnsi" w:hAnsiTheme="majorHAnsi"/>
          <w:sz w:val="20"/>
          <w:szCs w:val="20"/>
        </w:rPr>
      </w:pPr>
      <w:r w:rsidRPr="00903DDF">
        <w:rPr>
          <w:rFonts w:asciiTheme="majorHAnsi" w:hAnsiTheme="majorHAnsi"/>
          <w:i/>
          <w:sz w:val="20"/>
          <w:szCs w:val="20"/>
        </w:rPr>
        <w:t xml:space="preserve">188.  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w:t>
      </w:r>
      <w:r w:rsidRPr="00903DDF">
        <w:rPr>
          <w:rFonts w:asciiTheme="majorHAnsi" w:hAnsiTheme="majorHAnsi"/>
          <w:i/>
          <w:iCs/>
          <w:sz w:val="20"/>
          <w:szCs w:val="20"/>
        </w:rPr>
        <w:t>Le rapport de mise en cage devra inclure les informations visées à l’annexe 9, paragraphe 3, et être communiqué à l'autorité compétente de la CPC du pavillon de capture ou de la madrague et au Secrétariat de l’ICCAT. »</w:t>
      </w:r>
    </w:p>
    <w:p w14:paraId="7A643D96" w14:textId="77777777" w:rsidR="00790E78" w:rsidRPr="00903DDF" w:rsidRDefault="00790E78" w:rsidP="00790E78">
      <w:pPr>
        <w:pStyle w:val="BodyText"/>
        <w:spacing w:before="4"/>
        <w:ind w:firstLine="720"/>
        <w:jc w:val="both"/>
        <w:rPr>
          <w:rFonts w:asciiTheme="majorHAnsi" w:hAnsiTheme="majorHAnsi"/>
          <w:sz w:val="20"/>
          <w:szCs w:val="20"/>
        </w:rPr>
      </w:pPr>
    </w:p>
    <w:p w14:paraId="1E65269F" w14:textId="2221AEB1" w:rsidR="00790E78" w:rsidRPr="00903DDF" w:rsidRDefault="00790E78" w:rsidP="00DB76AF">
      <w:pPr>
        <w:pStyle w:val="BodyText"/>
        <w:spacing w:before="4"/>
        <w:ind w:left="360"/>
        <w:jc w:val="both"/>
        <w:rPr>
          <w:rFonts w:asciiTheme="majorHAnsi" w:hAnsiTheme="majorHAnsi"/>
          <w:sz w:val="20"/>
          <w:szCs w:val="20"/>
        </w:rPr>
      </w:pPr>
      <w:r w:rsidRPr="00903DDF">
        <w:rPr>
          <w:rFonts w:asciiTheme="majorHAnsi" w:hAnsiTheme="majorHAnsi"/>
          <w:sz w:val="20"/>
          <w:szCs w:val="20"/>
        </w:rPr>
        <w:t xml:space="preserve">Le Secrétariat considère que </w:t>
      </w:r>
      <w:proofErr w:type="gramStart"/>
      <w:r w:rsidRPr="00903DDF">
        <w:rPr>
          <w:rFonts w:asciiTheme="majorHAnsi" w:hAnsiTheme="majorHAnsi"/>
          <w:sz w:val="20"/>
          <w:szCs w:val="20"/>
        </w:rPr>
        <w:t>M:BFT</w:t>
      </w:r>
      <w:proofErr w:type="gramEnd"/>
      <w:r w:rsidRPr="00903DDF">
        <w:rPr>
          <w:rFonts w:asciiTheme="majorHAnsi" w:hAnsiTheme="majorHAnsi"/>
          <w:sz w:val="20"/>
          <w:szCs w:val="20"/>
        </w:rPr>
        <w:t xml:space="preserve">02 et </w:t>
      </w:r>
      <w:proofErr w:type="gramStart"/>
      <w:r w:rsidRPr="00903DDF">
        <w:rPr>
          <w:rFonts w:asciiTheme="majorHAnsi" w:hAnsiTheme="majorHAnsi"/>
          <w:sz w:val="20"/>
          <w:szCs w:val="20"/>
        </w:rPr>
        <w:t>M:BFT</w:t>
      </w:r>
      <w:proofErr w:type="gramEnd"/>
      <w:r w:rsidRPr="00903DDF">
        <w:rPr>
          <w:rFonts w:asciiTheme="majorHAnsi" w:hAnsiTheme="majorHAnsi"/>
          <w:sz w:val="20"/>
          <w:szCs w:val="20"/>
        </w:rPr>
        <w:t>04 représentent des exigences de déclaration liées mais distinctes :</w:t>
      </w:r>
    </w:p>
    <w:p w14:paraId="2987552A" w14:textId="77777777" w:rsidR="00790E78" w:rsidRPr="00903DDF" w:rsidRDefault="00790E78" w:rsidP="00790E78">
      <w:pPr>
        <w:pStyle w:val="BodyText"/>
        <w:spacing w:before="4"/>
        <w:jc w:val="both"/>
        <w:rPr>
          <w:rFonts w:asciiTheme="majorHAnsi" w:hAnsiTheme="majorHAnsi"/>
          <w:sz w:val="20"/>
          <w:szCs w:val="20"/>
        </w:rPr>
      </w:pPr>
    </w:p>
    <w:p w14:paraId="198BEF46" w14:textId="7D0668CC" w:rsidR="00E158A1" w:rsidRPr="00903DDF" w:rsidRDefault="00790E78" w:rsidP="00DB76AF">
      <w:pPr>
        <w:pStyle w:val="BodyText"/>
        <w:numPr>
          <w:ilvl w:val="0"/>
          <w:numId w:val="3"/>
        </w:numPr>
        <w:spacing w:line="256" w:lineRule="auto"/>
        <w:ind w:right="132"/>
        <w:jc w:val="both"/>
        <w:rPr>
          <w:rFonts w:asciiTheme="majorHAnsi" w:hAnsiTheme="majorHAnsi"/>
          <w:sz w:val="20"/>
          <w:szCs w:val="20"/>
        </w:rPr>
      </w:pPr>
      <w:proofErr w:type="gramStart"/>
      <w:r w:rsidRPr="00903DDF">
        <w:rPr>
          <w:rFonts w:asciiTheme="majorHAnsi" w:hAnsiTheme="majorHAnsi"/>
          <w:sz w:val="20"/>
          <w:szCs w:val="20"/>
        </w:rPr>
        <w:t>M:BFT</w:t>
      </w:r>
      <w:proofErr w:type="gramEnd"/>
      <w:r w:rsidRPr="00903DDF">
        <w:rPr>
          <w:rFonts w:asciiTheme="majorHAnsi" w:hAnsiTheme="majorHAnsi"/>
          <w:sz w:val="20"/>
          <w:szCs w:val="20"/>
        </w:rPr>
        <w:t xml:space="preserve">04 - Rapport sur la mise en cage du thon rouge, se réfère uniquement aux informations sur la mise en cage, qui comprennent à la fois les opérations de libération et les opérations de mise en cage ultérieures ou bien la mise en cage seule lorsqu'il n'y a pas de libération. Le délai est explicitement fixé à 15 jours après l'achèvement de la libération ou, s'il n'y a pas de libération, à </w:t>
      </w:r>
      <w:r w:rsidRPr="00903DDF">
        <w:rPr>
          <w:rFonts w:asciiTheme="majorHAnsi" w:hAnsiTheme="majorHAnsi"/>
          <w:sz w:val="20"/>
          <w:szCs w:val="20"/>
        </w:rPr>
        <w:lastRenderedPageBreak/>
        <w:t>15 jours après l'opération de mise en cage.</w:t>
      </w:r>
    </w:p>
    <w:p w14:paraId="417EB8CC" w14:textId="77777777" w:rsidR="00DB76AF" w:rsidRPr="00903DDF" w:rsidRDefault="00DB76AF" w:rsidP="009F5D54">
      <w:pPr>
        <w:pStyle w:val="BodyText"/>
        <w:spacing w:before="4"/>
        <w:ind w:left="851"/>
        <w:jc w:val="both"/>
        <w:rPr>
          <w:rFonts w:asciiTheme="majorHAnsi" w:hAnsiTheme="majorHAnsi"/>
          <w:sz w:val="20"/>
          <w:szCs w:val="20"/>
        </w:rPr>
      </w:pPr>
    </w:p>
    <w:p w14:paraId="171A4BCF" w14:textId="008C172C" w:rsidR="00790E78" w:rsidRPr="00903DDF" w:rsidRDefault="00790E78" w:rsidP="00DB76AF">
      <w:pPr>
        <w:pStyle w:val="BodyText"/>
        <w:numPr>
          <w:ilvl w:val="0"/>
          <w:numId w:val="3"/>
        </w:numPr>
        <w:spacing w:line="256" w:lineRule="auto"/>
        <w:ind w:right="132"/>
        <w:jc w:val="both"/>
        <w:rPr>
          <w:rFonts w:asciiTheme="majorHAnsi" w:hAnsiTheme="majorHAnsi"/>
          <w:sz w:val="20"/>
          <w:szCs w:val="20"/>
        </w:rPr>
      </w:pPr>
      <w:proofErr w:type="gramStart"/>
      <w:r w:rsidRPr="00903DDF">
        <w:rPr>
          <w:rFonts w:asciiTheme="majorHAnsi" w:hAnsiTheme="majorHAnsi"/>
          <w:sz w:val="20"/>
          <w:szCs w:val="20"/>
        </w:rPr>
        <w:t>M:BFT</w:t>
      </w:r>
      <w:proofErr w:type="gramEnd"/>
      <w:r w:rsidRPr="00903DDF">
        <w:rPr>
          <w:rFonts w:asciiTheme="majorHAnsi" w:hAnsiTheme="majorHAnsi"/>
          <w:sz w:val="20"/>
          <w:szCs w:val="20"/>
        </w:rPr>
        <w:t>02 - Rapports sur l'élevage du thon rouge, se réfère à d'autres activités d'élevage au sein de la ferme, telles que les transferts au sein de la ferme, les reports, les mises à mort, etc., comme indiqué dans le tableau des événements du formulaire CP09. Ces points ne sont pas explicitement couverts par la recommandation actuelle avec un délai défini.</w:t>
      </w:r>
    </w:p>
    <w:p w14:paraId="33C59AA4" w14:textId="77777777" w:rsidR="00790E78" w:rsidRPr="00903DDF" w:rsidRDefault="00790E78" w:rsidP="00790E78">
      <w:pPr>
        <w:pStyle w:val="ListParagraph"/>
        <w:ind w:left="1440" w:firstLine="0"/>
        <w:rPr>
          <w:rFonts w:asciiTheme="majorHAnsi" w:hAnsiTheme="majorHAnsi"/>
          <w:sz w:val="20"/>
          <w:szCs w:val="20"/>
        </w:rPr>
      </w:pPr>
    </w:p>
    <w:p w14:paraId="7B13D9ED" w14:textId="47D2B927" w:rsidR="0012438E" w:rsidRPr="00903DDF" w:rsidRDefault="0012438E" w:rsidP="00ED5CC5">
      <w:pPr>
        <w:pStyle w:val="BodyText"/>
        <w:spacing w:before="4"/>
        <w:ind w:left="709"/>
        <w:jc w:val="both"/>
        <w:rPr>
          <w:rFonts w:asciiTheme="majorHAnsi" w:hAnsiTheme="majorHAnsi"/>
          <w:sz w:val="20"/>
          <w:szCs w:val="20"/>
        </w:rPr>
      </w:pPr>
      <w:r w:rsidRPr="00903DDF">
        <w:rPr>
          <w:rFonts w:asciiTheme="majorHAnsi" w:hAnsiTheme="majorHAnsi"/>
          <w:sz w:val="20"/>
          <w:szCs w:val="20"/>
        </w:rPr>
        <w:t xml:space="preserve">Bien que le site web de l’ICCAT indique actuellement une date limite pour </w:t>
      </w:r>
      <w:proofErr w:type="gramStart"/>
      <w:r w:rsidRPr="00903DDF">
        <w:rPr>
          <w:rFonts w:asciiTheme="majorHAnsi" w:hAnsiTheme="majorHAnsi"/>
          <w:sz w:val="20"/>
          <w:szCs w:val="20"/>
        </w:rPr>
        <w:t>M:BFT</w:t>
      </w:r>
      <w:proofErr w:type="gramEnd"/>
      <w:r w:rsidRPr="00903DDF">
        <w:rPr>
          <w:rFonts w:asciiTheme="majorHAnsi" w:hAnsiTheme="majorHAnsi"/>
          <w:sz w:val="20"/>
          <w:szCs w:val="20"/>
        </w:rPr>
        <w:t xml:space="preserve">02, cela peut sembler vague ou redondant, étant donné que les opérations de mise en cage et de libération sont déjà traitées dans le cadre de </w:t>
      </w:r>
      <w:proofErr w:type="gramStart"/>
      <w:r w:rsidRPr="00903DDF">
        <w:rPr>
          <w:rFonts w:asciiTheme="majorHAnsi" w:hAnsiTheme="majorHAnsi"/>
          <w:sz w:val="20"/>
          <w:szCs w:val="20"/>
        </w:rPr>
        <w:t>M:BFT</w:t>
      </w:r>
      <w:proofErr w:type="gramEnd"/>
      <w:r w:rsidRPr="00903DDF">
        <w:rPr>
          <w:rFonts w:asciiTheme="majorHAnsi" w:hAnsiTheme="majorHAnsi"/>
          <w:sz w:val="20"/>
          <w:szCs w:val="20"/>
        </w:rPr>
        <w:t>04. L'absence de délai clairement défini dans la recommandation actuelle pourrait prêter à confusion. Il pourrait être utile de clarifier les données spécifiques requises et de fixer un délai explicite pour ces opérations supplémentaires dans la nouvelle recommandation sur le thon rouge de l’Est qui sera élaborée cette année.</w:t>
      </w:r>
    </w:p>
    <w:p w14:paraId="69D932E1" w14:textId="77777777" w:rsidR="00413C9A" w:rsidRPr="00903DDF" w:rsidRDefault="00413C9A" w:rsidP="00790E78">
      <w:pPr>
        <w:pStyle w:val="BodyText"/>
        <w:spacing w:before="4"/>
        <w:ind w:left="720"/>
        <w:jc w:val="both"/>
        <w:rPr>
          <w:rFonts w:asciiTheme="majorHAnsi" w:hAnsiTheme="majorHAnsi"/>
          <w:sz w:val="20"/>
          <w:szCs w:val="20"/>
        </w:rPr>
      </w:pPr>
    </w:p>
    <w:p w14:paraId="3BCE8DD3" w14:textId="542CDC4B" w:rsidR="009A43AA" w:rsidRPr="00903DDF" w:rsidRDefault="009F37F9" w:rsidP="00454874">
      <w:pPr>
        <w:pStyle w:val="BodyText"/>
        <w:numPr>
          <w:ilvl w:val="0"/>
          <w:numId w:val="3"/>
        </w:numPr>
        <w:spacing w:line="256" w:lineRule="auto"/>
        <w:ind w:right="132"/>
        <w:jc w:val="both"/>
        <w:rPr>
          <w:rFonts w:asciiTheme="majorHAnsi" w:hAnsiTheme="majorHAnsi"/>
          <w:sz w:val="20"/>
          <w:szCs w:val="20"/>
        </w:rPr>
      </w:pPr>
      <w:r w:rsidRPr="00903DDF">
        <w:rPr>
          <w:rFonts w:asciiTheme="majorHAnsi" w:hAnsiTheme="majorHAnsi"/>
          <w:sz w:val="20"/>
          <w:szCs w:val="20"/>
        </w:rPr>
        <w:t xml:space="preserve">Thonidés tropicaux : Afin de réduire la charge de déclaration actuelle des CPC, ainsi que de minimiser la redondance et les divergences dans les données soumises en vertu des exigences </w:t>
      </w:r>
      <w:proofErr w:type="gramStart"/>
      <w:r w:rsidRPr="00903DDF">
        <w:rPr>
          <w:rFonts w:asciiTheme="majorHAnsi" w:hAnsiTheme="majorHAnsi"/>
          <w:sz w:val="20"/>
          <w:szCs w:val="20"/>
        </w:rPr>
        <w:t>M:TRO</w:t>
      </w:r>
      <w:proofErr w:type="gramEnd"/>
      <w:r w:rsidRPr="00903DDF">
        <w:rPr>
          <w:rFonts w:asciiTheme="majorHAnsi" w:hAnsiTheme="majorHAnsi"/>
          <w:sz w:val="20"/>
          <w:szCs w:val="20"/>
        </w:rPr>
        <w:t xml:space="preserve">09 et </w:t>
      </w:r>
      <w:proofErr w:type="gramStart"/>
      <w:r w:rsidRPr="00903DDF">
        <w:rPr>
          <w:rFonts w:asciiTheme="majorHAnsi" w:hAnsiTheme="majorHAnsi"/>
          <w:sz w:val="20"/>
          <w:szCs w:val="20"/>
        </w:rPr>
        <w:t>M:TRO</w:t>
      </w:r>
      <w:proofErr w:type="gramEnd"/>
      <w:r w:rsidRPr="00903DDF">
        <w:rPr>
          <w:rFonts w:asciiTheme="majorHAnsi" w:hAnsiTheme="majorHAnsi"/>
          <w:sz w:val="20"/>
          <w:szCs w:val="20"/>
        </w:rPr>
        <w:t>13, il est suggéré que les données de capture des thonidés tropicaux soient déclarées exclusivement sur une base mensuelle jusqu'à ce que 80% de la limite de capture de thon obèse de la CPC ait été atteinte. À partir de ce moment, la déclaration des captures se ferait sur une base hebdomadaire.</w:t>
      </w:r>
    </w:p>
    <w:p w14:paraId="7E23B529" w14:textId="77777777" w:rsidR="009A43AA" w:rsidRPr="00903DDF" w:rsidRDefault="009A43AA" w:rsidP="009A43AA">
      <w:pPr>
        <w:pStyle w:val="BodyText"/>
        <w:spacing w:line="256" w:lineRule="auto"/>
        <w:ind w:left="720" w:right="132"/>
        <w:jc w:val="both"/>
        <w:rPr>
          <w:rFonts w:asciiTheme="majorHAnsi" w:hAnsiTheme="majorHAnsi"/>
          <w:sz w:val="20"/>
          <w:szCs w:val="20"/>
        </w:rPr>
      </w:pPr>
    </w:p>
    <w:p w14:paraId="318E57F9" w14:textId="3AE9DA1C" w:rsidR="009A43AA" w:rsidRPr="00903DDF" w:rsidRDefault="009A43AA" w:rsidP="009A43AA">
      <w:pPr>
        <w:pStyle w:val="BodyText"/>
        <w:spacing w:line="256" w:lineRule="auto"/>
        <w:ind w:left="720" w:right="132"/>
        <w:jc w:val="both"/>
        <w:rPr>
          <w:rFonts w:asciiTheme="majorHAnsi" w:hAnsiTheme="majorHAnsi"/>
          <w:sz w:val="20"/>
          <w:szCs w:val="20"/>
        </w:rPr>
      </w:pPr>
      <w:r w:rsidRPr="00903DDF">
        <w:rPr>
          <w:rFonts w:asciiTheme="majorHAnsi" w:hAnsiTheme="majorHAnsi"/>
          <w:sz w:val="20"/>
          <w:szCs w:val="20"/>
        </w:rPr>
        <w:t>Par conséquent, les paragraphes 15 et 16 de la Rec. 24-01 pourraient être amendés comme suit :</w:t>
      </w:r>
    </w:p>
    <w:p w14:paraId="443CD28C" w14:textId="77777777" w:rsidR="00A816D0" w:rsidRPr="00903DDF" w:rsidRDefault="00A816D0" w:rsidP="00A816D0">
      <w:pPr>
        <w:pStyle w:val="BodyText"/>
        <w:spacing w:line="256" w:lineRule="auto"/>
        <w:ind w:left="720" w:right="132"/>
        <w:jc w:val="both"/>
        <w:rPr>
          <w:rFonts w:asciiTheme="majorHAnsi" w:hAnsiTheme="majorHAnsi"/>
          <w:sz w:val="20"/>
          <w:szCs w:val="20"/>
        </w:rPr>
      </w:pPr>
    </w:p>
    <w:p w14:paraId="048B042C" w14:textId="5212AB5F" w:rsidR="000D7F9D" w:rsidRPr="00903DDF" w:rsidRDefault="009F37F9" w:rsidP="003B7414">
      <w:pPr>
        <w:pStyle w:val="BodyText"/>
        <w:spacing w:line="256" w:lineRule="auto"/>
        <w:ind w:left="720" w:right="132"/>
        <w:jc w:val="both"/>
        <w:rPr>
          <w:rFonts w:asciiTheme="majorHAnsi" w:hAnsiTheme="majorHAnsi" w:cs="Times New Roman"/>
          <w:i/>
          <w:iCs/>
          <w:sz w:val="20"/>
          <w:szCs w:val="20"/>
        </w:rPr>
      </w:pPr>
      <w:r w:rsidRPr="00903DDF">
        <w:rPr>
          <w:rFonts w:asciiTheme="majorHAnsi" w:hAnsiTheme="majorHAnsi"/>
          <w:i/>
          <w:iCs/>
          <w:sz w:val="20"/>
          <w:szCs w:val="20"/>
        </w:rPr>
        <w:t>« 15.</w:t>
      </w:r>
      <w:r w:rsidRPr="00903DDF">
        <w:rPr>
          <w:rFonts w:asciiTheme="majorHAnsi" w:hAnsiTheme="majorHAnsi"/>
          <w:i/>
          <w:sz w:val="20"/>
          <w:szCs w:val="20"/>
        </w:rPr>
        <w:t xml:space="preserve"> Les CPC devront déclarer au Secrétariat de l’ICCAT tous les mois le volume de thonidés tropicaux par espèce capturé par les navires battant leur pavillon, dans le mois suivant celui au cours duquel les captures ont été réalisées.</w:t>
      </w:r>
    </w:p>
    <w:p w14:paraId="031A4059" w14:textId="77777777" w:rsidR="003B7414" w:rsidRPr="00903DDF" w:rsidRDefault="003B7414" w:rsidP="003B7414">
      <w:pPr>
        <w:pStyle w:val="BodyText"/>
        <w:spacing w:line="256" w:lineRule="auto"/>
        <w:ind w:right="132" w:firstLine="720"/>
        <w:jc w:val="both"/>
        <w:rPr>
          <w:rFonts w:asciiTheme="majorHAnsi" w:hAnsiTheme="majorHAnsi" w:cs="Times New Roman"/>
          <w:i/>
          <w:iCs/>
          <w:sz w:val="20"/>
          <w:szCs w:val="20"/>
        </w:rPr>
      </w:pPr>
    </w:p>
    <w:p w14:paraId="15A14350" w14:textId="1940AB94" w:rsidR="009F37F9" w:rsidRPr="00903DDF" w:rsidRDefault="009F37F9" w:rsidP="003B7414">
      <w:pPr>
        <w:pStyle w:val="BodyText"/>
        <w:spacing w:line="256" w:lineRule="auto"/>
        <w:ind w:left="720" w:right="132"/>
        <w:jc w:val="both"/>
        <w:rPr>
          <w:rFonts w:asciiTheme="majorHAnsi" w:hAnsiTheme="majorHAnsi"/>
          <w:sz w:val="20"/>
          <w:szCs w:val="20"/>
        </w:rPr>
      </w:pPr>
      <w:r w:rsidRPr="00903DDF">
        <w:rPr>
          <w:rFonts w:asciiTheme="majorHAnsi" w:hAnsiTheme="majorHAnsi"/>
          <w:i/>
          <w:sz w:val="20"/>
          <w:szCs w:val="20"/>
        </w:rPr>
        <w:t xml:space="preserve">16. Nonobstant le paragraphe 15, les CPC devront faire une déclaration sur une base hebdomadaire une fois que </w:t>
      </w:r>
      <w:bookmarkStart w:id="0" w:name="_Hlk203054223"/>
      <w:r w:rsidRPr="00903DDF">
        <w:rPr>
          <w:rFonts w:asciiTheme="majorHAnsi" w:hAnsiTheme="majorHAnsi"/>
          <w:i/>
          <w:sz w:val="20"/>
          <w:szCs w:val="20"/>
        </w:rPr>
        <w:t>80% de leurs limites de capture de thon obèse ont été atteintes</w:t>
      </w:r>
      <w:bookmarkEnd w:id="0"/>
      <w:r w:rsidRPr="00903DDF">
        <w:rPr>
          <w:rFonts w:asciiTheme="majorHAnsi" w:hAnsiTheme="majorHAnsi"/>
          <w:i/>
          <w:sz w:val="20"/>
          <w:szCs w:val="20"/>
        </w:rPr>
        <w:t>.</w:t>
      </w:r>
      <w:r w:rsidRPr="00903DDF">
        <w:rPr>
          <w:rFonts w:asciiTheme="majorHAnsi" w:hAnsiTheme="majorHAnsi"/>
          <w:sz w:val="20"/>
          <w:szCs w:val="20"/>
        </w:rPr>
        <w:t> »</w:t>
      </w:r>
    </w:p>
    <w:p w14:paraId="6E20A41D" w14:textId="77777777" w:rsidR="00790E78" w:rsidRPr="00903DDF" w:rsidRDefault="00790E78" w:rsidP="00790E78">
      <w:pPr>
        <w:pStyle w:val="BodyText"/>
        <w:spacing w:before="4"/>
        <w:ind w:left="720"/>
        <w:jc w:val="both"/>
        <w:rPr>
          <w:rFonts w:asciiTheme="majorHAnsi" w:hAnsiTheme="majorHAnsi"/>
          <w:sz w:val="20"/>
          <w:szCs w:val="20"/>
        </w:rPr>
      </w:pPr>
    </w:p>
    <w:p w14:paraId="4A2A96E3" w14:textId="77777777" w:rsidR="00903DDF" w:rsidRPr="00AE3AD7" w:rsidRDefault="00903DDF" w:rsidP="00903DDF">
      <w:pPr>
        <w:pStyle w:val="BodyText"/>
        <w:numPr>
          <w:ilvl w:val="0"/>
          <w:numId w:val="3"/>
        </w:numPr>
        <w:spacing w:before="4" w:line="256" w:lineRule="auto"/>
        <w:ind w:right="132"/>
        <w:jc w:val="both"/>
        <w:rPr>
          <w:rFonts w:asciiTheme="majorHAnsi" w:hAnsiTheme="majorHAnsi"/>
          <w:sz w:val="20"/>
          <w:szCs w:val="20"/>
        </w:rPr>
      </w:pPr>
      <w:r w:rsidRPr="00AE3AD7">
        <w:rPr>
          <w:rFonts w:asciiTheme="majorHAnsi" w:hAnsiTheme="majorHAnsi"/>
          <w:color w:val="231F20"/>
          <w:sz w:val="20"/>
          <w:szCs w:val="20"/>
        </w:rPr>
        <w:t xml:space="preserve">Germon de Méditerranée : Les dispositions définissant les exigences </w:t>
      </w:r>
      <w:proofErr w:type="gramStart"/>
      <w:r w:rsidRPr="00AE3AD7">
        <w:rPr>
          <w:rFonts w:asciiTheme="majorHAnsi" w:hAnsiTheme="majorHAnsi"/>
          <w:color w:val="231F20"/>
          <w:sz w:val="20"/>
          <w:szCs w:val="20"/>
        </w:rPr>
        <w:t>M:ALB</w:t>
      </w:r>
      <w:proofErr w:type="gramEnd"/>
      <w:r w:rsidRPr="00AE3AD7">
        <w:rPr>
          <w:rFonts w:asciiTheme="majorHAnsi" w:hAnsiTheme="majorHAnsi"/>
          <w:color w:val="231F20"/>
          <w:sz w:val="20"/>
          <w:szCs w:val="20"/>
        </w:rPr>
        <w:t xml:space="preserve">09 et </w:t>
      </w:r>
      <w:proofErr w:type="gramStart"/>
      <w:r w:rsidRPr="00AE3AD7">
        <w:rPr>
          <w:rFonts w:asciiTheme="majorHAnsi" w:hAnsiTheme="majorHAnsi"/>
          <w:color w:val="231F20"/>
          <w:sz w:val="20"/>
          <w:szCs w:val="20"/>
        </w:rPr>
        <w:t>M:ALB</w:t>
      </w:r>
      <w:proofErr w:type="gramEnd"/>
      <w:r w:rsidRPr="00AE3AD7">
        <w:rPr>
          <w:rFonts w:asciiTheme="majorHAnsi" w:hAnsiTheme="majorHAnsi"/>
          <w:color w:val="231F20"/>
          <w:sz w:val="20"/>
          <w:szCs w:val="20"/>
        </w:rPr>
        <w:t xml:space="preserve">10, concernant la soumission des données de capture mensuelles et trimestrielles, respectivement, pour le germon de la Méditerranée, ainsi que l'obligation pour les CPC de notifier le Secrétariat de l'ICCAT lorsqu'elles ont atteint 80% du TAC, ne sont pas contenues dans la Rec. 24-08, mais dans le rapport de la réunion du Groupe de travail </w:t>
      </w:r>
      <w:r w:rsidRPr="00AE3AD7">
        <w:rPr>
          <w:rFonts w:asciiTheme="majorHAnsi" w:hAnsiTheme="majorHAnsi"/>
          <w:i/>
          <w:iCs/>
          <w:color w:val="231F20"/>
          <w:sz w:val="20"/>
          <w:szCs w:val="20"/>
        </w:rPr>
        <w:t>ad hoc</w:t>
      </w:r>
      <w:r w:rsidRPr="00AE3AD7">
        <w:rPr>
          <w:rFonts w:asciiTheme="majorHAnsi" w:hAnsiTheme="majorHAnsi"/>
          <w:color w:val="231F20"/>
          <w:sz w:val="20"/>
          <w:szCs w:val="20"/>
        </w:rPr>
        <w:t xml:space="preserve"> sur le germon de la Méditerranée tenue en février 2022. Il est suggéré que toute recommandation amendant ou remplaçant la Rec. 24-08 inclue explicitement ces obligations.</w:t>
      </w:r>
    </w:p>
    <w:p w14:paraId="5EEB5269" w14:textId="77777777" w:rsidR="00903DDF" w:rsidRPr="00903DDF" w:rsidRDefault="00903DDF" w:rsidP="00903DDF">
      <w:pPr>
        <w:rPr>
          <w:rFonts w:asciiTheme="majorHAnsi" w:hAnsiTheme="majorHAnsi"/>
          <w:sz w:val="20"/>
          <w:szCs w:val="20"/>
        </w:rPr>
      </w:pPr>
    </w:p>
    <w:p w14:paraId="7DA8F87B" w14:textId="4316FE16" w:rsidR="00E158A1" w:rsidRPr="00903DDF" w:rsidRDefault="003A5EC9" w:rsidP="004662A0">
      <w:pPr>
        <w:pStyle w:val="BodyText"/>
        <w:numPr>
          <w:ilvl w:val="0"/>
          <w:numId w:val="3"/>
        </w:numPr>
        <w:spacing w:before="4" w:line="256" w:lineRule="auto"/>
        <w:ind w:right="132"/>
        <w:jc w:val="both"/>
        <w:rPr>
          <w:rFonts w:asciiTheme="majorHAnsi" w:hAnsiTheme="majorHAnsi"/>
          <w:sz w:val="20"/>
          <w:szCs w:val="20"/>
        </w:rPr>
      </w:pPr>
      <w:r w:rsidRPr="00903DDF">
        <w:rPr>
          <w:rFonts w:asciiTheme="majorHAnsi" w:hAnsiTheme="majorHAnsi"/>
          <w:color w:val="231F20"/>
          <w:sz w:val="20"/>
          <w:szCs w:val="20"/>
        </w:rPr>
        <w:t>Espadon de l'Atlantique Sud : Pour plus de facilité, il est suggéré que les futurs amendements soient directement réalisés dans la mesure principale, ou qu’une nouvelle mesure soit proposée dans son intégralité.</w:t>
      </w:r>
    </w:p>
    <w:p w14:paraId="56517101" w14:textId="77777777" w:rsidR="00E158A1" w:rsidRPr="00903DDF" w:rsidRDefault="00E158A1" w:rsidP="000C3A47">
      <w:pPr>
        <w:pStyle w:val="BodyText"/>
        <w:spacing w:before="19"/>
        <w:jc w:val="both"/>
        <w:rPr>
          <w:rFonts w:asciiTheme="majorHAnsi" w:hAnsiTheme="majorHAnsi"/>
          <w:sz w:val="20"/>
          <w:szCs w:val="20"/>
        </w:rPr>
      </w:pPr>
    </w:p>
    <w:p w14:paraId="0D6929FA" w14:textId="7DC204C0" w:rsidR="00E158A1" w:rsidRPr="00903DDF" w:rsidRDefault="003A5EC9" w:rsidP="00C00778">
      <w:pPr>
        <w:pStyle w:val="BodyText"/>
        <w:numPr>
          <w:ilvl w:val="0"/>
          <w:numId w:val="3"/>
        </w:numPr>
        <w:spacing w:line="256" w:lineRule="auto"/>
        <w:ind w:right="132"/>
        <w:jc w:val="both"/>
        <w:rPr>
          <w:rFonts w:asciiTheme="majorHAnsi" w:hAnsiTheme="majorHAnsi"/>
          <w:sz w:val="20"/>
          <w:szCs w:val="20"/>
        </w:rPr>
      </w:pPr>
      <w:bookmarkStart w:id="1" w:name="_Hlk202349882"/>
      <w:r w:rsidRPr="00903DDF">
        <w:rPr>
          <w:rFonts w:asciiTheme="majorHAnsi" w:hAnsiTheme="majorHAnsi"/>
          <w:color w:val="231F20"/>
          <w:sz w:val="20"/>
          <w:szCs w:val="20"/>
        </w:rPr>
        <w:t xml:space="preserve">Oiseaux de mer : </w:t>
      </w:r>
      <w:r w:rsidRPr="00903DDF">
        <w:rPr>
          <w:rFonts w:asciiTheme="majorHAnsi" w:hAnsiTheme="majorHAnsi"/>
          <w:sz w:val="20"/>
          <w:szCs w:val="20"/>
        </w:rPr>
        <w:t xml:space="preserve">La combinaison de la </w:t>
      </w:r>
      <w:r w:rsidRPr="00903DDF">
        <w:rPr>
          <w:rFonts w:asciiTheme="majorHAnsi" w:hAnsiTheme="majorHAnsi"/>
          <w:color w:val="005EAC"/>
          <w:sz w:val="20"/>
          <w:szCs w:val="20"/>
        </w:rPr>
        <w:t>Rec. 07-07</w:t>
      </w:r>
      <w:r w:rsidRPr="00903DDF">
        <w:rPr>
          <w:rFonts w:asciiTheme="majorHAnsi" w:hAnsiTheme="majorHAnsi"/>
          <w:color w:val="231F20"/>
          <w:sz w:val="20"/>
          <w:szCs w:val="20"/>
        </w:rPr>
        <w:t xml:space="preserve"> et de la Rec. </w:t>
      </w:r>
      <w:r w:rsidRPr="00903DDF">
        <w:rPr>
          <w:rFonts w:asciiTheme="majorHAnsi" w:hAnsiTheme="majorHAnsi"/>
          <w:color w:val="005EAC"/>
          <w:sz w:val="20"/>
          <w:szCs w:val="20"/>
        </w:rPr>
        <w:t>11-09</w:t>
      </w:r>
      <w:r w:rsidRPr="00903DDF">
        <w:rPr>
          <w:rFonts w:asciiTheme="majorHAnsi" w:hAnsiTheme="majorHAnsi"/>
          <w:sz w:val="20"/>
          <w:szCs w:val="20"/>
        </w:rPr>
        <w:t xml:space="preserve"> sur les oiseaux de mer est toujours en attente.</w:t>
      </w:r>
      <w:r w:rsidRPr="00903DDF">
        <w:rPr>
          <w:rFonts w:asciiTheme="majorHAnsi" w:hAnsiTheme="majorHAnsi"/>
          <w:color w:val="231F20"/>
          <w:sz w:val="20"/>
          <w:szCs w:val="20"/>
        </w:rPr>
        <w:t xml:space="preserve"> </w:t>
      </w:r>
      <w:r w:rsidRPr="00903DDF">
        <w:rPr>
          <w:rFonts w:asciiTheme="majorHAnsi" w:hAnsiTheme="majorHAnsi"/>
          <w:sz w:val="20"/>
          <w:szCs w:val="20"/>
        </w:rPr>
        <w:t>Le Sous-comité des écosystèmes et des prises accessoires a pris note des développements en cours concernant les mesures d'atténuation des prises accessoires d'oiseaux de mer, qui devraient être achevées à la fin de 2026 ou au début de 2027. Il a donc été suggéré que tout effort visant à combiner ou à réviser ces recommandations attende que la Commission reçoive tout nouvel avis du SCRS.</w:t>
      </w:r>
    </w:p>
    <w:bookmarkEnd w:id="1"/>
    <w:p w14:paraId="167C23E7" w14:textId="77777777" w:rsidR="00E158A1" w:rsidRPr="00903DDF" w:rsidRDefault="00E158A1" w:rsidP="000C3A47">
      <w:pPr>
        <w:pStyle w:val="BodyText"/>
        <w:spacing w:before="4"/>
        <w:jc w:val="both"/>
        <w:rPr>
          <w:rFonts w:asciiTheme="majorHAnsi" w:hAnsiTheme="majorHAnsi"/>
          <w:sz w:val="20"/>
          <w:szCs w:val="20"/>
        </w:rPr>
      </w:pPr>
    </w:p>
    <w:p w14:paraId="337A24B8" w14:textId="59F6C1EB" w:rsidR="00E158A1" w:rsidRPr="00903DDF" w:rsidRDefault="003A5EC9" w:rsidP="00C00778">
      <w:pPr>
        <w:pStyle w:val="BodyText"/>
        <w:numPr>
          <w:ilvl w:val="0"/>
          <w:numId w:val="3"/>
        </w:numPr>
        <w:spacing w:line="256" w:lineRule="auto"/>
        <w:ind w:right="132"/>
        <w:jc w:val="both"/>
        <w:rPr>
          <w:rFonts w:asciiTheme="majorHAnsi" w:hAnsiTheme="majorHAnsi"/>
          <w:sz w:val="20"/>
          <w:szCs w:val="20"/>
        </w:rPr>
      </w:pPr>
      <w:r w:rsidRPr="00903DDF">
        <w:rPr>
          <w:rFonts w:asciiTheme="majorHAnsi" w:hAnsiTheme="majorHAnsi"/>
          <w:color w:val="231F20"/>
          <w:sz w:val="20"/>
          <w:szCs w:val="20"/>
        </w:rPr>
        <w:t xml:space="preserve">Requins en général : Il existe plusieurs mesures relatives aux requins : </w:t>
      </w:r>
      <w:r w:rsidR="00521678" w:rsidRPr="00903DDF">
        <w:rPr>
          <w:rFonts w:asciiTheme="majorHAnsi" w:hAnsiTheme="majorHAnsi"/>
          <w:color w:val="005EAC"/>
          <w:sz w:val="20"/>
          <w:szCs w:val="20"/>
        </w:rPr>
        <w:t>Rés</w:t>
      </w:r>
      <w:r w:rsidRPr="00903DDF">
        <w:rPr>
          <w:rFonts w:asciiTheme="majorHAnsi" w:hAnsiTheme="majorHAnsi"/>
          <w:color w:val="005EAC"/>
          <w:sz w:val="20"/>
          <w:szCs w:val="20"/>
        </w:rPr>
        <w:t>. 95-</w:t>
      </w:r>
      <w:r w:rsidR="00521678" w:rsidRPr="00903DDF">
        <w:rPr>
          <w:rFonts w:asciiTheme="majorHAnsi" w:hAnsiTheme="majorHAnsi"/>
          <w:color w:val="005EAC"/>
          <w:sz w:val="20"/>
          <w:szCs w:val="20"/>
        </w:rPr>
        <w:t>02</w:t>
      </w:r>
      <w:r w:rsidR="00521678" w:rsidRPr="00903DDF">
        <w:rPr>
          <w:rFonts w:asciiTheme="majorHAnsi" w:hAnsiTheme="majorHAnsi"/>
          <w:color w:val="231F20"/>
          <w:sz w:val="20"/>
          <w:szCs w:val="20"/>
        </w:rPr>
        <w:t xml:space="preserve"> ;</w:t>
      </w:r>
      <w:r w:rsidRPr="00903DDF">
        <w:rPr>
          <w:rFonts w:asciiTheme="majorHAnsi" w:hAnsiTheme="majorHAnsi"/>
          <w:color w:val="231F20"/>
          <w:sz w:val="20"/>
          <w:szCs w:val="20"/>
        </w:rPr>
        <w:t xml:space="preserve"> </w:t>
      </w:r>
      <w:r w:rsidR="00521678" w:rsidRPr="00903DDF">
        <w:rPr>
          <w:rFonts w:asciiTheme="majorHAnsi" w:hAnsiTheme="majorHAnsi"/>
          <w:color w:val="005EAC"/>
          <w:sz w:val="20"/>
          <w:szCs w:val="20"/>
        </w:rPr>
        <w:t>Rés</w:t>
      </w:r>
      <w:r w:rsidRPr="00903DDF">
        <w:rPr>
          <w:rFonts w:asciiTheme="majorHAnsi" w:hAnsiTheme="majorHAnsi"/>
          <w:color w:val="005EAC"/>
          <w:sz w:val="20"/>
          <w:szCs w:val="20"/>
        </w:rPr>
        <w:t xml:space="preserve">. 03- </w:t>
      </w:r>
      <w:r w:rsidR="00521678" w:rsidRPr="00903DDF">
        <w:rPr>
          <w:rFonts w:asciiTheme="majorHAnsi" w:hAnsiTheme="majorHAnsi"/>
          <w:color w:val="005EAC"/>
          <w:sz w:val="20"/>
          <w:szCs w:val="20"/>
        </w:rPr>
        <w:t>10</w:t>
      </w:r>
      <w:r w:rsidR="00521678" w:rsidRPr="00903DDF">
        <w:rPr>
          <w:rFonts w:asciiTheme="majorHAnsi" w:hAnsiTheme="majorHAnsi"/>
          <w:color w:val="231F20"/>
          <w:sz w:val="20"/>
          <w:szCs w:val="20"/>
        </w:rPr>
        <w:t xml:space="preserve"> ;</w:t>
      </w:r>
      <w:r w:rsidRPr="00903DDF">
        <w:rPr>
          <w:rFonts w:asciiTheme="majorHAnsi" w:hAnsiTheme="majorHAnsi"/>
          <w:color w:val="231F20"/>
          <w:sz w:val="20"/>
          <w:szCs w:val="20"/>
        </w:rPr>
        <w:t xml:space="preserve"> </w:t>
      </w:r>
      <w:r w:rsidRPr="00903DDF">
        <w:rPr>
          <w:rFonts w:asciiTheme="majorHAnsi" w:hAnsiTheme="majorHAnsi"/>
          <w:color w:val="005EAC"/>
          <w:sz w:val="20"/>
          <w:szCs w:val="20"/>
        </w:rPr>
        <w:t>Rec. 04-</w:t>
      </w:r>
      <w:r w:rsidR="00521678" w:rsidRPr="00903DDF">
        <w:rPr>
          <w:rFonts w:asciiTheme="majorHAnsi" w:hAnsiTheme="majorHAnsi"/>
          <w:color w:val="005EAC"/>
          <w:sz w:val="20"/>
          <w:szCs w:val="20"/>
        </w:rPr>
        <w:t>10</w:t>
      </w:r>
      <w:r w:rsidR="00521678" w:rsidRPr="00903DDF">
        <w:rPr>
          <w:rFonts w:asciiTheme="majorHAnsi" w:hAnsiTheme="majorHAnsi"/>
          <w:color w:val="231F20"/>
          <w:sz w:val="20"/>
          <w:szCs w:val="20"/>
        </w:rPr>
        <w:t xml:space="preserve"> ;</w:t>
      </w:r>
      <w:r w:rsidRPr="00903DDF">
        <w:rPr>
          <w:rFonts w:asciiTheme="majorHAnsi" w:hAnsiTheme="majorHAnsi"/>
          <w:color w:val="231F20"/>
          <w:sz w:val="20"/>
          <w:szCs w:val="20"/>
        </w:rPr>
        <w:t xml:space="preserve"> </w:t>
      </w:r>
      <w:r w:rsidRPr="00903DDF">
        <w:rPr>
          <w:rFonts w:asciiTheme="majorHAnsi" w:hAnsiTheme="majorHAnsi"/>
          <w:color w:val="005EAC"/>
          <w:sz w:val="20"/>
          <w:szCs w:val="20"/>
        </w:rPr>
        <w:t>Rec. 07-</w:t>
      </w:r>
      <w:r w:rsidR="00521678" w:rsidRPr="00903DDF">
        <w:rPr>
          <w:rFonts w:asciiTheme="majorHAnsi" w:hAnsiTheme="majorHAnsi"/>
          <w:color w:val="005EAC"/>
          <w:sz w:val="20"/>
          <w:szCs w:val="20"/>
        </w:rPr>
        <w:t>06</w:t>
      </w:r>
      <w:r w:rsidR="00521678" w:rsidRPr="00903DDF">
        <w:rPr>
          <w:rFonts w:asciiTheme="majorHAnsi" w:hAnsiTheme="majorHAnsi"/>
          <w:color w:val="231F20"/>
          <w:sz w:val="20"/>
          <w:szCs w:val="20"/>
        </w:rPr>
        <w:t xml:space="preserve"> </w:t>
      </w:r>
      <w:r w:rsidR="00B33091">
        <w:rPr>
          <w:rFonts w:asciiTheme="majorHAnsi" w:hAnsiTheme="majorHAnsi"/>
          <w:color w:val="231F20"/>
          <w:sz w:val="20"/>
          <w:szCs w:val="20"/>
        </w:rPr>
        <w:t>et</w:t>
      </w:r>
      <w:r w:rsidRPr="00903DDF">
        <w:rPr>
          <w:rFonts w:asciiTheme="majorHAnsi" w:hAnsiTheme="majorHAnsi"/>
          <w:color w:val="231F20"/>
          <w:sz w:val="20"/>
          <w:szCs w:val="20"/>
        </w:rPr>
        <w:t xml:space="preserve"> </w:t>
      </w:r>
      <w:r w:rsidRPr="00903DDF">
        <w:rPr>
          <w:rFonts w:asciiTheme="majorHAnsi" w:hAnsiTheme="majorHAnsi"/>
          <w:color w:val="005EAC"/>
          <w:sz w:val="20"/>
          <w:szCs w:val="20"/>
        </w:rPr>
        <w:t>Rec. 13-10</w:t>
      </w:r>
      <w:r w:rsidRPr="00903DDF">
        <w:rPr>
          <w:rFonts w:asciiTheme="majorHAnsi" w:hAnsiTheme="majorHAnsi"/>
          <w:color w:val="231F20"/>
          <w:sz w:val="20"/>
          <w:szCs w:val="20"/>
        </w:rPr>
        <w:t>. Il est suggéré que les dispositions pertinentes de ces mesures soient consolidées dans une seule mesure, pour plus de facilité et pour simplifier la feuille de contrôle s’appliquant aux requins (</w:t>
      </w:r>
      <w:r w:rsidRPr="00903DDF">
        <w:rPr>
          <w:rFonts w:asciiTheme="majorHAnsi" w:hAnsiTheme="majorHAnsi"/>
          <w:color w:val="005EAC"/>
          <w:sz w:val="20"/>
          <w:szCs w:val="20"/>
        </w:rPr>
        <w:t>Rec. 18-06</w:t>
      </w:r>
      <w:r w:rsidRPr="00903DDF">
        <w:rPr>
          <w:rFonts w:asciiTheme="majorHAnsi" w:hAnsiTheme="majorHAnsi"/>
          <w:color w:val="231F20"/>
          <w:sz w:val="20"/>
          <w:szCs w:val="20"/>
        </w:rPr>
        <w:t>)</w:t>
      </w:r>
      <w:r w:rsidRPr="00903DDF">
        <w:rPr>
          <w:rFonts w:asciiTheme="majorHAnsi" w:hAnsiTheme="majorHAnsi"/>
          <w:sz w:val="20"/>
          <w:szCs w:val="20"/>
        </w:rPr>
        <w:t xml:space="preserve"> qui devient de plus en plus complexe et fastidieuse.</w:t>
      </w:r>
      <w:r w:rsidRPr="00903DDF">
        <w:rPr>
          <w:rFonts w:asciiTheme="majorHAnsi" w:hAnsiTheme="majorHAnsi"/>
          <w:color w:val="231F20"/>
          <w:sz w:val="20"/>
          <w:szCs w:val="20"/>
        </w:rPr>
        <w:t xml:space="preserve"> Toute version consolidée devrait être examinée et approuvée par la Sous-commission</w:t>
      </w:r>
      <w:r w:rsidR="00AE3AD7">
        <w:rPr>
          <w:rFonts w:asciiTheme="majorHAnsi" w:hAnsiTheme="majorHAnsi"/>
          <w:color w:val="231F20"/>
          <w:sz w:val="20"/>
          <w:szCs w:val="20"/>
        </w:rPr>
        <w:t> </w:t>
      </w:r>
      <w:r w:rsidRPr="00903DDF">
        <w:rPr>
          <w:rFonts w:asciiTheme="majorHAnsi" w:hAnsiTheme="majorHAnsi"/>
          <w:color w:val="231F20"/>
          <w:sz w:val="20"/>
          <w:szCs w:val="20"/>
        </w:rPr>
        <w:t>4.</w:t>
      </w:r>
    </w:p>
    <w:p w14:paraId="340BBA4B" w14:textId="77777777" w:rsidR="00E158A1" w:rsidRPr="00903DDF" w:rsidRDefault="00E158A1" w:rsidP="000C3A47">
      <w:pPr>
        <w:pStyle w:val="BodyText"/>
        <w:spacing w:before="3"/>
        <w:jc w:val="both"/>
        <w:rPr>
          <w:rFonts w:asciiTheme="majorHAnsi" w:hAnsiTheme="majorHAnsi"/>
          <w:sz w:val="20"/>
          <w:szCs w:val="20"/>
        </w:rPr>
      </w:pPr>
    </w:p>
    <w:sectPr w:rsidR="00E158A1" w:rsidRPr="00903DDF" w:rsidSect="00F07856">
      <w:headerReference w:type="default" r:id="rId10"/>
      <w:footerReference w:type="default" r:id="rId11"/>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2BD9" w14:textId="77777777" w:rsidR="001D6DB3" w:rsidRDefault="001D6DB3">
      <w:r>
        <w:separator/>
      </w:r>
    </w:p>
  </w:endnote>
  <w:endnote w:type="continuationSeparator" w:id="0">
    <w:p w14:paraId="32FE3F04" w14:textId="77777777" w:rsidR="001D6DB3" w:rsidRDefault="001D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AE3AD7"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rPr>
          <w:fldChar w:fldCharType="begin"/>
        </w:r>
        <w:r w:rsidR="00846B16" w:rsidRPr="00713AD4">
          <w:rPr>
            <w:rFonts w:eastAsia="Calibri" w:cs="Calibri"/>
            <w:sz w:val="20"/>
          </w:rPr>
          <w:instrText xml:space="preserve"> PAGE </w:instrText>
        </w:r>
        <w:r w:rsidR="00846B16" w:rsidRPr="00713AD4">
          <w:rPr>
            <w:rFonts w:eastAsia="Calibri" w:cs="Calibri"/>
            <w:sz w:val="20"/>
          </w:rPr>
          <w:fldChar w:fldCharType="separate"/>
        </w:r>
        <w:r w:rsidR="00846B16">
          <w:rPr>
            <w:rFonts w:eastAsia="Calibri" w:cs="Calibri"/>
            <w:sz w:val="20"/>
          </w:rPr>
          <w:t>1</w:t>
        </w:r>
        <w:r w:rsidR="00846B16" w:rsidRPr="00713AD4">
          <w:rPr>
            <w:rFonts w:eastAsia="Calibri" w:cs="Calibri"/>
            <w:sz w:val="20"/>
          </w:rPr>
          <w:fldChar w:fldCharType="end"/>
        </w:r>
        <w:r w:rsidR="0099142C">
          <w:rPr>
            <w:sz w:val="20"/>
          </w:rPr>
          <w:t xml:space="preserve"> / </w:t>
        </w:r>
        <w:r w:rsidR="00846B16" w:rsidRPr="00713AD4">
          <w:rPr>
            <w:rFonts w:eastAsia="Calibri" w:cs="Calibri"/>
            <w:sz w:val="20"/>
          </w:rPr>
          <w:fldChar w:fldCharType="begin"/>
        </w:r>
        <w:r w:rsidR="00846B16" w:rsidRPr="00713AD4">
          <w:rPr>
            <w:rFonts w:eastAsia="Calibri" w:cs="Calibri"/>
            <w:sz w:val="20"/>
          </w:rPr>
          <w:instrText xml:space="preserve"> NUMPAGES  </w:instrText>
        </w:r>
        <w:r w:rsidR="00846B16" w:rsidRPr="00713AD4">
          <w:rPr>
            <w:rFonts w:eastAsia="Calibri" w:cs="Calibri"/>
            <w:sz w:val="20"/>
          </w:rPr>
          <w:fldChar w:fldCharType="separate"/>
        </w:r>
        <w:r w:rsidR="00846B16">
          <w:rPr>
            <w:rFonts w:eastAsia="Calibri" w:cs="Calibri"/>
            <w:sz w:val="20"/>
          </w:rPr>
          <w:t>2</w:t>
        </w:r>
        <w:r w:rsidR="00846B16" w:rsidRPr="00713AD4">
          <w:rPr>
            <w:rFonts w:eastAsia="Calibri" w:cs="Calibri"/>
            <w:sz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5E4D" w14:textId="77777777" w:rsidR="001D6DB3" w:rsidRDefault="001D6DB3">
      <w:r>
        <w:separator/>
      </w:r>
    </w:p>
  </w:footnote>
  <w:footnote w:type="continuationSeparator" w:id="0">
    <w:p w14:paraId="441F42C0" w14:textId="77777777" w:rsidR="001D6DB3" w:rsidRDefault="001D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36A8" w14:textId="79EB054B" w:rsidR="00F07856" w:rsidRPr="00EB3CAC" w:rsidRDefault="00F07856" w:rsidP="00F07856">
    <w:pPr>
      <w:tabs>
        <w:tab w:val="left" w:pos="7320"/>
      </w:tabs>
      <w:spacing w:line="240" w:lineRule="exact"/>
      <w:jc w:val="right"/>
      <w:rPr>
        <w:b/>
        <w:bCs/>
        <w:sz w:val="20"/>
        <w:szCs w:val="20"/>
      </w:rPr>
    </w:pPr>
    <w:r>
      <w:rPr>
        <w:b/>
        <w:sz w:val="20"/>
      </w:rPr>
      <w:t>PLE_103/2025</w:t>
    </w:r>
  </w:p>
  <w:p w14:paraId="19625AA7" w14:textId="06F4F72F" w:rsidR="00E158A1" w:rsidRDefault="00F07856" w:rsidP="00F07856">
    <w:pPr>
      <w:tabs>
        <w:tab w:val="left" w:pos="7320"/>
      </w:tabs>
      <w:spacing w:line="240" w:lineRule="exact"/>
      <w:jc w:val="right"/>
      <w:rPr>
        <w:sz w:val="20"/>
      </w:rPr>
    </w:pPr>
    <w:r>
      <w:rPr>
        <w:b/>
        <w:sz w:val="16"/>
      </w:rPr>
      <w:fldChar w:fldCharType="begin"/>
    </w:r>
    <w:r>
      <w:rPr>
        <w:b/>
        <w:sz w:val="16"/>
      </w:rPr>
      <w:instrText xml:space="preserve"> TIME \@ "dd/MM/yyyy H:mm" </w:instrText>
    </w:r>
    <w:r>
      <w:rPr>
        <w:b/>
        <w:sz w:val="16"/>
      </w:rPr>
      <w:fldChar w:fldCharType="separate"/>
    </w:r>
    <w:r w:rsidR="00525B03">
      <w:rPr>
        <w:b/>
        <w:noProof/>
        <w:sz w:val="16"/>
      </w:rPr>
      <w:t>18/08/2025 14:11</w:t>
    </w:r>
    <w:r>
      <w:rPr>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2"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1"/>
  </w:num>
  <w:num w:numId="2" w16cid:durableId="283461935">
    <w:abstractNumId w:val="0"/>
  </w:num>
  <w:num w:numId="3" w16cid:durableId="1193229979">
    <w:abstractNumId w:val="2"/>
  </w:num>
  <w:num w:numId="4" w16cid:durableId="705300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65C36"/>
    <w:rsid w:val="00066145"/>
    <w:rsid w:val="000801D6"/>
    <w:rsid w:val="000C3A47"/>
    <w:rsid w:val="000D7F9D"/>
    <w:rsid w:val="0012438E"/>
    <w:rsid w:val="00160F01"/>
    <w:rsid w:val="001C0922"/>
    <w:rsid w:val="001D0F06"/>
    <w:rsid w:val="001D6DB3"/>
    <w:rsid w:val="001F05A9"/>
    <w:rsid w:val="00243214"/>
    <w:rsid w:val="002551C5"/>
    <w:rsid w:val="00323B76"/>
    <w:rsid w:val="00332A5A"/>
    <w:rsid w:val="003371F7"/>
    <w:rsid w:val="0034175A"/>
    <w:rsid w:val="00353A53"/>
    <w:rsid w:val="003A2991"/>
    <w:rsid w:val="003A5EC9"/>
    <w:rsid w:val="003B7414"/>
    <w:rsid w:val="00413C9A"/>
    <w:rsid w:val="00422A19"/>
    <w:rsid w:val="004662A0"/>
    <w:rsid w:val="0048346D"/>
    <w:rsid w:val="00490C3A"/>
    <w:rsid w:val="004B1493"/>
    <w:rsid w:val="004D02C0"/>
    <w:rsid w:val="00521678"/>
    <w:rsid w:val="00525B03"/>
    <w:rsid w:val="00564ED8"/>
    <w:rsid w:val="005D5B14"/>
    <w:rsid w:val="00695183"/>
    <w:rsid w:val="006C2BF1"/>
    <w:rsid w:val="006E5286"/>
    <w:rsid w:val="007142F0"/>
    <w:rsid w:val="007325C3"/>
    <w:rsid w:val="00742BBF"/>
    <w:rsid w:val="007817D5"/>
    <w:rsid w:val="00790E78"/>
    <w:rsid w:val="00800CEB"/>
    <w:rsid w:val="00846371"/>
    <w:rsid w:val="00846B16"/>
    <w:rsid w:val="008736F6"/>
    <w:rsid w:val="008E2ED7"/>
    <w:rsid w:val="00903DDF"/>
    <w:rsid w:val="0093685F"/>
    <w:rsid w:val="00961BF6"/>
    <w:rsid w:val="0099142C"/>
    <w:rsid w:val="009A43AA"/>
    <w:rsid w:val="009F37F9"/>
    <w:rsid w:val="009F5D54"/>
    <w:rsid w:val="00A34EB1"/>
    <w:rsid w:val="00A53B54"/>
    <w:rsid w:val="00A816D0"/>
    <w:rsid w:val="00AC643D"/>
    <w:rsid w:val="00AE3AD7"/>
    <w:rsid w:val="00B33091"/>
    <w:rsid w:val="00B3695F"/>
    <w:rsid w:val="00BA15B5"/>
    <w:rsid w:val="00BE156D"/>
    <w:rsid w:val="00BE280B"/>
    <w:rsid w:val="00C00778"/>
    <w:rsid w:val="00CA13F0"/>
    <w:rsid w:val="00D8183F"/>
    <w:rsid w:val="00DB5D09"/>
    <w:rsid w:val="00DB76AF"/>
    <w:rsid w:val="00DF1A51"/>
    <w:rsid w:val="00E158A1"/>
    <w:rsid w:val="00EB0373"/>
    <w:rsid w:val="00EB47F8"/>
    <w:rsid w:val="00EB505F"/>
    <w:rsid w:val="00ED5CC5"/>
    <w:rsid w:val="00EF3C95"/>
    <w:rsid w:val="00F07856"/>
    <w:rsid w:val="00FC1003"/>
    <w:rsid w:val="00FD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903DDF"/>
    <w:rPr>
      <w:rFonts w:ascii="Cambria" w:eastAsia="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3B5EE071-4DB7-40FE-B611-A9B74F82C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Christine Peyre</cp:lastModifiedBy>
  <cp:revision>36</cp:revision>
  <dcterms:created xsi:type="dcterms:W3CDTF">2024-11-18T10:49:00Z</dcterms:created>
  <dcterms:modified xsi:type="dcterms:W3CDTF">2025-08-18T12:32:00Z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