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0871" w14:textId="77777777" w:rsidR="00E158A1" w:rsidRPr="00525739" w:rsidRDefault="003A5EC9" w:rsidP="00F07856">
      <w:pPr>
        <w:pStyle w:val="Heading1"/>
        <w:ind w:left="0" w:right="134"/>
        <w:jc w:val="right"/>
        <w:rPr>
          <w:rFonts w:asciiTheme="majorHAnsi" w:hAnsiTheme="majorHAnsi"/>
          <w:sz w:val="20"/>
          <w:szCs w:val="20"/>
        </w:rPr>
      </w:pPr>
      <w:r w:rsidRPr="00525739">
        <w:rPr>
          <w:rFonts w:asciiTheme="majorHAnsi" w:hAnsiTheme="majorHAnsi"/>
          <w:color w:val="231F20"/>
          <w:sz w:val="20"/>
          <w:szCs w:val="20"/>
        </w:rPr>
        <w:t>Original : anglais/espagnol</w:t>
      </w:r>
    </w:p>
    <w:p w14:paraId="75D88462" w14:textId="77777777" w:rsidR="00E158A1" w:rsidRPr="00525739" w:rsidRDefault="00E158A1" w:rsidP="00F07856">
      <w:pPr>
        <w:pStyle w:val="BodyText"/>
        <w:rPr>
          <w:rFonts w:asciiTheme="majorHAnsi" w:hAnsiTheme="majorHAnsi"/>
          <w:b/>
          <w:sz w:val="20"/>
          <w:szCs w:val="20"/>
        </w:rPr>
      </w:pPr>
    </w:p>
    <w:p w14:paraId="0E5B9053" w14:textId="77777777" w:rsidR="00E158A1" w:rsidRPr="00525739" w:rsidRDefault="003A5EC9">
      <w:pPr>
        <w:ind w:left="2" w:right="2"/>
        <w:jc w:val="center"/>
        <w:rPr>
          <w:rFonts w:asciiTheme="majorHAnsi" w:hAnsiTheme="majorHAnsi"/>
          <w:b/>
          <w:sz w:val="20"/>
          <w:szCs w:val="20"/>
        </w:rPr>
      </w:pPr>
      <w:r w:rsidRPr="00525739">
        <w:rPr>
          <w:rFonts w:asciiTheme="majorHAnsi" w:hAnsiTheme="majorHAnsi"/>
          <w:b/>
          <w:color w:val="231F20"/>
          <w:sz w:val="20"/>
          <w:szCs w:val="20"/>
        </w:rPr>
        <w:t>Simplification des mesures de conservation et de gestion de l’ICCAT</w:t>
      </w:r>
    </w:p>
    <w:p w14:paraId="69BC8935" w14:textId="77777777" w:rsidR="00E158A1" w:rsidRPr="00525739" w:rsidRDefault="003A5EC9">
      <w:pPr>
        <w:spacing w:before="15"/>
        <w:ind w:left="2"/>
        <w:jc w:val="center"/>
        <w:rPr>
          <w:rFonts w:asciiTheme="majorHAnsi" w:hAnsiTheme="majorHAnsi"/>
          <w:i/>
          <w:sz w:val="20"/>
          <w:szCs w:val="20"/>
        </w:rPr>
      </w:pPr>
      <w:r w:rsidRPr="00525739">
        <w:rPr>
          <w:rFonts w:asciiTheme="majorHAnsi" w:hAnsiTheme="majorHAnsi"/>
          <w:i/>
          <w:color w:val="231F20"/>
          <w:sz w:val="20"/>
          <w:szCs w:val="20"/>
        </w:rPr>
        <w:t>Secrétariat de l’ICCAT</w:t>
      </w:r>
    </w:p>
    <w:p w14:paraId="00E893EB" w14:textId="77777777" w:rsidR="00E158A1" w:rsidRPr="00525739" w:rsidRDefault="00E158A1" w:rsidP="00BE280B">
      <w:pPr>
        <w:pStyle w:val="BodyText"/>
        <w:spacing w:before="29"/>
        <w:jc w:val="both"/>
        <w:rPr>
          <w:rFonts w:asciiTheme="majorHAnsi" w:hAnsiTheme="majorHAnsi"/>
          <w:i/>
          <w:sz w:val="20"/>
          <w:szCs w:val="20"/>
        </w:rPr>
      </w:pPr>
    </w:p>
    <w:p w14:paraId="757F53CB" w14:textId="4CACB293" w:rsidR="00E158A1" w:rsidRPr="00525739" w:rsidRDefault="003A5EC9" w:rsidP="00323B76">
      <w:pPr>
        <w:pStyle w:val="Heading1"/>
        <w:ind w:left="0"/>
        <w:jc w:val="both"/>
        <w:rPr>
          <w:rFonts w:asciiTheme="majorHAnsi" w:hAnsiTheme="majorHAnsi"/>
          <w:sz w:val="20"/>
          <w:szCs w:val="20"/>
        </w:rPr>
      </w:pPr>
      <w:r w:rsidRPr="00525739">
        <w:rPr>
          <w:rFonts w:asciiTheme="majorHAnsi" w:hAnsiTheme="majorHAnsi"/>
          <w:color w:val="231F20"/>
          <w:sz w:val="20"/>
          <w:szCs w:val="20"/>
        </w:rPr>
        <w:t>Mesures qui ont été abrogées et/ou remplacées par des mesures adoptées en 2024</w:t>
      </w:r>
    </w:p>
    <w:p w14:paraId="30BE8025" w14:textId="77777777" w:rsidR="00E158A1" w:rsidRPr="00525739" w:rsidRDefault="00E158A1" w:rsidP="00323B76">
      <w:pPr>
        <w:pStyle w:val="BodyText"/>
        <w:spacing w:before="28"/>
        <w:jc w:val="both"/>
        <w:rPr>
          <w:rFonts w:asciiTheme="majorHAnsi" w:hAnsiTheme="majorHAnsi"/>
          <w:b/>
          <w:sz w:val="20"/>
          <w:szCs w:val="20"/>
        </w:rPr>
      </w:pPr>
    </w:p>
    <w:p w14:paraId="1746D1F4" w14:textId="7B70AC16" w:rsidR="00E158A1" w:rsidRPr="00525739" w:rsidRDefault="003A5EC9" w:rsidP="00323B76">
      <w:pPr>
        <w:spacing w:line="268" w:lineRule="auto"/>
        <w:ind w:right="127"/>
        <w:jc w:val="both"/>
        <w:rPr>
          <w:rFonts w:asciiTheme="majorHAnsi" w:hAnsiTheme="majorHAnsi"/>
          <w:sz w:val="20"/>
          <w:szCs w:val="20"/>
        </w:rPr>
      </w:pPr>
      <w:r w:rsidRPr="00525739">
        <w:rPr>
          <w:rFonts w:asciiTheme="majorHAnsi" w:hAnsiTheme="majorHAnsi"/>
          <w:color w:val="231F20"/>
          <w:sz w:val="20"/>
          <w:szCs w:val="20"/>
        </w:rPr>
        <w:t xml:space="preserve">Rec. 14-13 : </w:t>
      </w:r>
      <w:r w:rsidRPr="00525739">
        <w:rPr>
          <w:rFonts w:asciiTheme="majorHAnsi" w:hAnsiTheme="majorHAnsi"/>
          <w:i/>
          <w:color w:val="231F20"/>
          <w:sz w:val="20"/>
          <w:szCs w:val="20"/>
        </w:rPr>
        <w:t>Recommandation de l’ICCAT amendant la Recommandation de l'ICCAT visant à renforcer le dialogue entre les halieutes et les gestionnaires des pêcheries</w:t>
      </w:r>
    </w:p>
    <w:p w14:paraId="12F12E32" w14:textId="012BC4AD" w:rsidR="00E158A1" w:rsidRPr="00525739" w:rsidRDefault="003A5EC9" w:rsidP="00323B76">
      <w:pPr>
        <w:pStyle w:val="BodyText"/>
        <w:spacing w:before="152"/>
        <w:jc w:val="both"/>
        <w:rPr>
          <w:rFonts w:asciiTheme="majorHAnsi" w:hAnsiTheme="majorHAnsi"/>
          <w:sz w:val="20"/>
          <w:szCs w:val="20"/>
        </w:rPr>
      </w:pPr>
      <w:r w:rsidRPr="00525739">
        <w:rPr>
          <w:rFonts w:asciiTheme="majorHAnsi" w:hAnsiTheme="majorHAnsi"/>
          <w:color w:val="0F4B8E"/>
          <w:sz w:val="20"/>
          <w:szCs w:val="20"/>
        </w:rPr>
        <w:t>Abrogée et remplacée par la Rec. 24-13</w:t>
      </w:r>
    </w:p>
    <w:p w14:paraId="351F21B2" w14:textId="217B660A" w:rsidR="00E158A1" w:rsidRPr="00525739" w:rsidRDefault="003A5EC9" w:rsidP="00323B76">
      <w:pPr>
        <w:spacing w:before="177"/>
        <w:jc w:val="both"/>
        <w:rPr>
          <w:rFonts w:asciiTheme="majorHAnsi" w:hAnsiTheme="majorHAnsi"/>
          <w:i/>
          <w:sz w:val="20"/>
          <w:szCs w:val="20"/>
        </w:rPr>
      </w:pPr>
      <w:r w:rsidRPr="00525739">
        <w:rPr>
          <w:rFonts w:asciiTheme="majorHAnsi" w:hAnsiTheme="majorHAnsi"/>
          <w:color w:val="231F20"/>
          <w:sz w:val="20"/>
          <w:szCs w:val="20"/>
        </w:rPr>
        <w:t xml:space="preserve">Rec. 17-02 : </w:t>
      </w:r>
      <w:r w:rsidRPr="00525739">
        <w:rPr>
          <w:rFonts w:asciiTheme="majorHAnsi" w:hAnsiTheme="majorHAnsi"/>
          <w:i/>
          <w:iCs/>
          <w:color w:val="231F20"/>
          <w:sz w:val="20"/>
          <w:szCs w:val="20"/>
        </w:rPr>
        <w:t>Recommandation de l’ICCAT amendant la Recommandation 16-03 sur la conservation de l’espadon de l’Atlantique Nord</w:t>
      </w:r>
    </w:p>
    <w:p w14:paraId="065C6948" w14:textId="6E280DAA" w:rsidR="00E158A1" w:rsidRPr="00525739" w:rsidRDefault="003A5EC9" w:rsidP="00323B76">
      <w:pPr>
        <w:pStyle w:val="BodyText"/>
        <w:spacing w:before="177"/>
        <w:jc w:val="both"/>
        <w:rPr>
          <w:rFonts w:asciiTheme="majorHAnsi" w:hAnsiTheme="majorHAnsi"/>
          <w:sz w:val="20"/>
          <w:szCs w:val="20"/>
        </w:rPr>
      </w:pPr>
      <w:r w:rsidRPr="00525739">
        <w:rPr>
          <w:rFonts w:asciiTheme="majorHAnsi" w:hAnsiTheme="majorHAnsi"/>
          <w:color w:val="0F4B8E"/>
          <w:sz w:val="20"/>
          <w:szCs w:val="20"/>
        </w:rPr>
        <w:t>Abrogée et remplacée par la Rec. 24-10</w:t>
      </w:r>
    </w:p>
    <w:p w14:paraId="7F88446C" w14:textId="721E9836" w:rsidR="00E158A1" w:rsidRPr="00525739" w:rsidRDefault="003A5EC9" w:rsidP="00323B76">
      <w:pPr>
        <w:spacing w:before="177"/>
        <w:jc w:val="both"/>
        <w:rPr>
          <w:rFonts w:asciiTheme="majorHAnsi" w:hAnsiTheme="majorHAnsi"/>
          <w:i/>
          <w:sz w:val="20"/>
          <w:szCs w:val="20"/>
        </w:rPr>
      </w:pPr>
      <w:r w:rsidRPr="00525739">
        <w:rPr>
          <w:rFonts w:asciiTheme="majorHAnsi" w:hAnsiTheme="majorHAnsi"/>
          <w:color w:val="231F20"/>
          <w:sz w:val="20"/>
          <w:szCs w:val="20"/>
        </w:rPr>
        <w:t xml:space="preserve">Rés. 19-14 : </w:t>
      </w:r>
      <w:r w:rsidRPr="00525739">
        <w:rPr>
          <w:rFonts w:asciiTheme="majorHAnsi" w:hAnsiTheme="majorHAnsi"/>
          <w:i/>
          <w:iCs/>
          <w:color w:val="231F20"/>
          <w:sz w:val="20"/>
          <w:szCs w:val="20"/>
        </w:rPr>
        <w:t>Résolution de l’ICCAT sur l’élaboration d’objectifs de gestion initiaux s'appliquant à l'espadon de l'Atlantique Nord</w:t>
      </w:r>
      <w:r w:rsidRPr="00525739">
        <w:rPr>
          <w:rFonts w:asciiTheme="majorHAnsi" w:hAnsiTheme="majorHAnsi"/>
          <w:color w:val="231F20"/>
          <w:sz w:val="20"/>
          <w:szCs w:val="20"/>
        </w:rPr>
        <w:t xml:space="preserve"> </w:t>
      </w:r>
    </w:p>
    <w:p w14:paraId="29B5EE27" w14:textId="29D66FF9" w:rsidR="00E158A1" w:rsidRPr="00525739" w:rsidRDefault="003A5EC9" w:rsidP="00323B76">
      <w:pPr>
        <w:pStyle w:val="BodyText"/>
        <w:spacing w:before="177"/>
        <w:jc w:val="both"/>
        <w:rPr>
          <w:rFonts w:asciiTheme="majorHAnsi" w:hAnsiTheme="majorHAnsi"/>
          <w:color w:val="0F4B8E"/>
          <w:sz w:val="20"/>
          <w:szCs w:val="20"/>
        </w:rPr>
      </w:pPr>
      <w:r w:rsidRPr="00525739">
        <w:rPr>
          <w:rFonts w:asciiTheme="majorHAnsi" w:hAnsiTheme="majorHAnsi"/>
          <w:color w:val="0F4B8E"/>
          <w:sz w:val="20"/>
          <w:szCs w:val="20"/>
        </w:rPr>
        <w:t>Abrogée et remplacée par la Rec. 24-10</w:t>
      </w:r>
    </w:p>
    <w:p w14:paraId="437E1F04" w14:textId="44E0A3AB" w:rsidR="007142F0" w:rsidRPr="00525739" w:rsidRDefault="007142F0" w:rsidP="00323B76">
      <w:pPr>
        <w:pStyle w:val="BodyText"/>
        <w:spacing w:before="177"/>
        <w:jc w:val="both"/>
        <w:rPr>
          <w:rFonts w:asciiTheme="majorHAnsi" w:hAnsiTheme="majorHAnsi"/>
          <w:i/>
          <w:color w:val="231F20"/>
          <w:sz w:val="20"/>
          <w:szCs w:val="20"/>
        </w:rPr>
      </w:pPr>
      <w:r w:rsidRPr="00525739">
        <w:rPr>
          <w:rFonts w:asciiTheme="majorHAnsi" w:hAnsiTheme="majorHAnsi"/>
          <w:color w:val="231F20"/>
          <w:sz w:val="20"/>
          <w:szCs w:val="20"/>
        </w:rPr>
        <w:t xml:space="preserve">Rec. 21-15 : </w:t>
      </w:r>
      <w:r w:rsidRPr="00525739">
        <w:rPr>
          <w:rFonts w:asciiTheme="majorHAnsi" w:hAnsiTheme="majorHAnsi"/>
          <w:i/>
          <w:iCs/>
          <w:color w:val="231F20"/>
          <w:sz w:val="20"/>
          <w:szCs w:val="20"/>
        </w:rPr>
        <w:t>Recommandation de l’ICCAT sur le transbordement</w:t>
      </w:r>
    </w:p>
    <w:p w14:paraId="5878B5EB" w14:textId="56F6BE60" w:rsidR="007142F0" w:rsidRPr="00525739" w:rsidRDefault="007142F0" w:rsidP="00323B76">
      <w:pPr>
        <w:pStyle w:val="BodyText"/>
        <w:spacing w:before="177"/>
        <w:jc w:val="both"/>
        <w:rPr>
          <w:rFonts w:asciiTheme="majorHAnsi" w:hAnsiTheme="majorHAnsi"/>
          <w:color w:val="0F4B8E"/>
          <w:sz w:val="20"/>
          <w:szCs w:val="20"/>
        </w:rPr>
      </w:pPr>
      <w:r w:rsidRPr="00525739">
        <w:rPr>
          <w:rFonts w:asciiTheme="majorHAnsi" w:hAnsiTheme="majorHAnsi"/>
          <w:color w:val="0F4B8E"/>
          <w:sz w:val="20"/>
          <w:szCs w:val="20"/>
        </w:rPr>
        <w:t>Abrogée et remplacée par la Rec. 24-15</w:t>
      </w:r>
    </w:p>
    <w:p w14:paraId="3CC5FB4F" w14:textId="13847B17" w:rsidR="00E158A1" w:rsidRPr="00525739" w:rsidRDefault="003A5EC9" w:rsidP="00323B76">
      <w:pPr>
        <w:spacing w:before="178"/>
        <w:jc w:val="both"/>
        <w:rPr>
          <w:rFonts w:asciiTheme="majorHAnsi" w:hAnsiTheme="majorHAnsi"/>
          <w:i/>
          <w:sz w:val="20"/>
          <w:szCs w:val="20"/>
        </w:rPr>
      </w:pPr>
      <w:r w:rsidRPr="00525739">
        <w:rPr>
          <w:rFonts w:asciiTheme="majorHAnsi" w:hAnsiTheme="majorHAnsi"/>
          <w:color w:val="231F20"/>
          <w:sz w:val="20"/>
          <w:szCs w:val="20"/>
        </w:rPr>
        <w:t xml:space="preserve">Rec. 22-01 : </w:t>
      </w:r>
      <w:r w:rsidRPr="00525739">
        <w:rPr>
          <w:rFonts w:asciiTheme="majorHAnsi" w:hAnsiTheme="majorHAnsi"/>
          <w:i/>
          <w:iCs/>
          <w:color w:val="231F20"/>
          <w:sz w:val="20"/>
          <w:szCs w:val="20"/>
        </w:rPr>
        <w:t>Recommandation de l’ICCAT remplaçant la Recommandation 21-01 sur un programme pluriannuel de conservation et de gestion pour les thonidés tropicaux</w:t>
      </w:r>
    </w:p>
    <w:p w14:paraId="1246D20E" w14:textId="203C247A" w:rsidR="00E158A1" w:rsidRPr="00525739" w:rsidRDefault="003A5EC9" w:rsidP="00323B76">
      <w:pPr>
        <w:pStyle w:val="BodyText"/>
        <w:spacing w:before="177"/>
        <w:jc w:val="both"/>
        <w:rPr>
          <w:rFonts w:asciiTheme="majorHAnsi" w:hAnsiTheme="majorHAnsi"/>
          <w:sz w:val="20"/>
          <w:szCs w:val="20"/>
        </w:rPr>
      </w:pPr>
      <w:r w:rsidRPr="00525739">
        <w:rPr>
          <w:rFonts w:asciiTheme="majorHAnsi" w:hAnsiTheme="majorHAnsi"/>
          <w:color w:val="0F4B8E"/>
          <w:sz w:val="20"/>
          <w:szCs w:val="20"/>
        </w:rPr>
        <w:t>Abrogée et remplacée par la Rec. 24-01</w:t>
      </w:r>
    </w:p>
    <w:p w14:paraId="72F67DE7" w14:textId="7EF3D8B7" w:rsidR="00E158A1" w:rsidRPr="00525739" w:rsidRDefault="003A5EC9" w:rsidP="00323B76">
      <w:pPr>
        <w:spacing w:before="177"/>
        <w:jc w:val="both"/>
        <w:rPr>
          <w:rFonts w:asciiTheme="majorHAnsi" w:hAnsiTheme="majorHAnsi"/>
          <w:i/>
          <w:sz w:val="20"/>
          <w:szCs w:val="20"/>
        </w:rPr>
      </w:pPr>
      <w:r w:rsidRPr="00525739">
        <w:rPr>
          <w:rFonts w:asciiTheme="majorHAnsi" w:hAnsiTheme="majorHAnsi"/>
          <w:color w:val="231F20"/>
          <w:sz w:val="20"/>
          <w:szCs w:val="20"/>
        </w:rPr>
        <w:t xml:space="preserve">Rés. 22-02 : </w:t>
      </w:r>
      <w:r w:rsidRPr="00525739">
        <w:rPr>
          <w:rFonts w:asciiTheme="majorHAnsi" w:hAnsiTheme="majorHAnsi"/>
          <w:i/>
          <w:iCs/>
          <w:color w:val="231F20"/>
          <w:sz w:val="20"/>
          <w:szCs w:val="20"/>
        </w:rPr>
        <w:t>Résolution de l’ICCAT concernant l’élaboration d’objectifs de gestion conceptuels initiaux pour le listao de l’Atlantique Ouest</w:t>
      </w:r>
    </w:p>
    <w:p w14:paraId="754904CB" w14:textId="013639A5" w:rsidR="00E158A1" w:rsidRPr="00525739" w:rsidRDefault="003A5EC9" w:rsidP="00323B76">
      <w:pPr>
        <w:pStyle w:val="BodyText"/>
        <w:spacing w:before="177"/>
        <w:jc w:val="both"/>
        <w:rPr>
          <w:rFonts w:asciiTheme="majorHAnsi" w:hAnsiTheme="majorHAnsi"/>
          <w:sz w:val="20"/>
          <w:szCs w:val="20"/>
        </w:rPr>
      </w:pPr>
      <w:r w:rsidRPr="00525739">
        <w:rPr>
          <w:rFonts w:asciiTheme="majorHAnsi" w:hAnsiTheme="majorHAnsi"/>
          <w:color w:val="0F4B8E"/>
          <w:sz w:val="20"/>
          <w:szCs w:val="20"/>
        </w:rPr>
        <w:t>Abrogée et remplacée par la Rec. 24-04</w:t>
      </w:r>
    </w:p>
    <w:p w14:paraId="670734AD" w14:textId="411AAA71" w:rsidR="00E158A1" w:rsidRPr="00525739" w:rsidRDefault="003A5EC9" w:rsidP="00323B76">
      <w:pPr>
        <w:spacing w:before="178"/>
        <w:jc w:val="both"/>
        <w:rPr>
          <w:rFonts w:asciiTheme="majorHAnsi" w:hAnsiTheme="majorHAnsi"/>
          <w:i/>
          <w:sz w:val="20"/>
          <w:szCs w:val="20"/>
        </w:rPr>
      </w:pPr>
      <w:r w:rsidRPr="00525739">
        <w:rPr>
          <w:rFonts w:asciiTheme="majorHAnsi" w:hAnsiTheme="majorHAnsi"/>
          <w:color w:val="231F20"/>
          <w:sz w:val="20"/>
          <w:szCs w:val="20"/>
        </w:rPr>
        <w:t xml:space="preserve">Rec. 22-05 : </w:t>
      </w:r>
      <w:r w:rsidRPr="00525739">
        <w:rPr>
          <w:rFonts w:asciiTheme="majorHAnsi" w:hAnsiTheme="majorHAnsi"/>
          <w:i/>
          <w:iCs/>
          <w:color w:val="231F20"/>
          <w:sz w:val="20"/>
          <w:szCs w:val="20"/>
        </w:rPr>
        <w:t>Recommandation de l'ICCAT amendant la Recommandation 21-06 établissant un programme de rétablissement pour le germon de la Méditerranée</w:t>
      </w:r>
    </w:p>
    <w:p w14:paraId="1A7CC0CB" w14:textId="0866EF66" w:rsidR="00E158A1" w:rsidRPr="00525739" w:rsidRDefault="003A5EC9" w:rsidP="00323B76">
      <w:pPr>
        <w:pStyle w:val="BodyText"/>
        <w:spacing w:before="179"/>
        <w:jc w:val="both"/>
        <w:rPr>
          <w:rFonts w:asciiTheme="majorHAnsi" w:hAnsiTheme="majorHAnsi"/>
          <w:sz w:val="20"/>
          <w:szCs w:val="20"/>
        </w:rPr>
      </w:pPr>
      <w:r w:rsidRPr="00525739">
        <w:rPr>
          <w:rFonts w:asciiTheme="majorHAnsi" w:hAnsiTheme="majorHAnsi"/>
          <w:color w:val="0F4B8E"/>
          <w:sz w:val="20"/>
          <w:szCs w:val="20"/>
        </w:rPr>
        <w:t>Abrogée et remplacée par la Rec. 24-08</w:t>
      </w:r>
    </w:p>
    <w:p w14:paraId="082E86D0" w14:textId="30CACE86" w:rsidR="00E158A1" w:rsidRPr="00525739" w:rsidRDefault="003A5EC9" w:rsidP="00323B76">
      <w:pPr>
        <w:spacing w:before="177"/>
        <w:jc w:val="both"/>
        <w:rPr>
          <w:rFonts w:asciiTheme="majorHAnsi" w:hAnsiTheme="majorHAnsi"/>
          <w:i/>
          <w:sz w:val="20"/>
          <w:szCs w:val="20"/>
        </w:rPr>
      </w:pPr>
      <w:r w:rsidRPr="00525739">
        <w:rPr>
          <w:rFonts w:asciiTheme="majorHAnsi" w:hAnsiTheme="majorHAnsi"/>
          <w:color w:val="231F20"/>
          <w:sz w:val="20"/>
          <w:szCs w:val="20"/>
        </w:rPr>
        <w:t>Rec. 22-08</w:t>
      </w:r>
      <w:r w:rsidR="00CA13F0" w:rsidRPr="00525739">
        <w:rPr>
          <w:rFonts w:asciiTheme="majorHAnsi" w:hAnsiTheme="majorHAnsi"/>
          <w:color w:val="231F20"/>
          <w:sz w:val="20"/>
          <w:szCs w:val="20"/>
        </w:rPr>
        <w:t xml:space="preserve"> </w:t>
      </w:r>
      <w:r w:rsidRPr="00525739">
        <w:rPr>
          <w:rFonts w:asciiTheme="majorHAnsi" w:hAnsiTheme="majorHAnsi"/>
          <w:i/>
          <w:color w:val="231F20"/>
          <w:sz w:val="20"/>
          <w:szCs w:val="20"/>
        </w:rPr>
        <w:t>: Recommandation de l’ICCAT amendant la Recommandation 21-08 établissant un plan pluriannuel de gestion du thon rouge dans l’Atlantique Est et la Méditerranée</w:t>
      </w:r>
    </w:p>
    <w:p w14:paraId="7BF67CDA" w14:textId="57C5D5ED" w:rsidR="00E158A1" w:rsidRPr="00525739" w:rsidRDefault="003A5EC9" w:rsidP="00323B76">
      <w:pPr>
        <w:pStyle w:val="BodyText"/>
        <w:spacing w:before="177"/>
        <w:jc w:val="both"/>
        <w:rPr>
          <w:rFonts w:asciiTheme="majorHAnsi" w:hAnsiTheme="majorHAnsi"/>
          <w:sz w:val="20"/>
          <w:szCs w:val="20"/>
        </w:rPr>
      </w:pPr>
      <w:r w:rsidRPr="00525739">
        <w:rPr>
          <w:rFonts w:asciiTheme="majorHAnsi" w:hAnsiTheme="majorHAnsi"/>
          <w:color w:val="0F4B8E"/>
          <w:sz w:val="20"/>
          <w:szCs w:val="20"/>
        </w:rPr>
        <w:t>Abrogée et remplacée par la Rec. 24-05</w:t>
      </w:r>
    </w:p>
    <w:p w14:paraId="3A20A63D" w14:textId="52BE78CC" w:rsidR="00E158A1" w:rsidRPr="00525739" w:rsidRDefault="003A5EC9" w:rsidP="00323B76">
      <w:pPr>
        <w:spacing w:before="178"/>
        <w:jc w:val="both"/>
        <w:rPr>
          <w:rFonts w:asciiTheme="majorHAnsi" w:hAnsiTheme="majorHAnsi"/>
          <w:i/>
          <w:sz w:val="20"/>
          <w:szCs w:val="20"/>
        </w:rPr>
      </w:pPr>
      <w:r w:rsidRPr="00525739">
        <w:rPr>
          <w:rFonts w:asciiTheme="majorHAnsi" w:hAnsiTheme="majorHAnsi"/>
          <w:color w:val="231F20"/>
          <w:sz w:val="20"/>
          <w:szCs w:val="20"/>
        </w:rPr>
        <w:t>Rec. 22-16 :</w:t>
      </w:r>
      <w:r w:rsidRPr="00525739">
        <w:rPr>
          <w:rFonts w:asciiTheme="majorHAnsi" w:hAnsiTheme="majorHAnsi"/>
          <w:i/>
          <w:iCs/>
          <w:color w:val="231F20"/>
          <w:sz w:val="20"/>
          <w:szCs w:val="20"/>
        </w:rPr>
        <w:t xml:space="preserve"> Recommandation de l’ICCAT amendant la Recommandation 21-18 concernant l’application du système eBCD</w:t>
      </w:r>
    </w:p>
    <w:p w14:paraId="1196537F" w14:textId="082C3C6C" w:rsidR="00E158A1" w:rsidRPr="00525739" w:rsidRDefault="003A5EC9" w:rsidP="00323B76">
      <w:pPr>
        <w:pStyle w:val="BodyText"/>
        <w:spacing w:before="177"/>
        <w:jc w:val="both"/>
        <w:rPr>
          <w:rFonts w:asciiTheme="majorHAnsi" w:hAnsiTheme="majorHAnsi"/>
          <w:color w:val="0F4B8E"/>
          <w:sz w:val="20"/>
          <w:szCs w:val="20"/>
        </w:rPr>
      </w:pPr>
      <w:r w:rsidRPr="00525739">
        <w:rPr>
          <w:rFonts w:asciiTheme="majorHAnsi" w:hAnsiTheme="majorHAnsi"/>
          <w:color w:val="0F4B8E"/>
          <w:sz w:val="20"/>
          <w:szCs w:val="20"/>
        </w:rPr>
        <w:t>Abrogée et remplacée par la Rec. 24-16</w:t>
      </w:r>
    </w:p>
    <w:p w14:paraId="6EC10ECB" w14:textId="430D90F2" w:rsidR="00961BF6" w:rsidRPr="00525739" w:rsidRDefault="00961BF6" w:rsidP="00323B76">
      <w:pPr>
        <w:spacing w:before="177"/>
        <w:jc w:val="both"/>
        <w:rPr>
          <w:rFonts w:asciiTheme="majorHAnsi" w:hAnsiTheme="majorHAnsi"/>
          <w:i/>
          <w:sz w:val="20"/>
          <w:szCs w:val="20"/>
        </w:rPr>
      </w:pPr>
      <w:r w:rsidRPr="00525739">
        <w:rPr>
          <w:rFonts w:asciiTheme="majorHAnsi" w:hAnsiTheme="majorHAnsi"/>
          <w:color w:val="231F20"/>
          <w:sz w:val="20"/>
          <w:szCs w:val="20"/>
        </w:rPr>
        <w:t xml:space="preserve">Rec. 22-17 : </w:t>
      </w:r>
      <w:r w:rsidRPr="00525739">
        <w:rPr>
          <w:rFonts w:asciiTheme="majorHAnsi" w:hAnsiTheme="majorHAnsi"/>
          <w:i/>
          <w:color w:val="231F20"/>
          <w:sz w:val="20"/>
          <w:szCs w:val="20"/>
        </w:rPr>
        <w:t>Recommandation de l'ICCAT sur l'application du système intégré de gestion en ligne</w:t>
      </w:r>
    </w:p>
    <w:p w14:paraId="7F617B5A" w14:textId="6E87CE3B" w:rsidR="00961BF6" w:rsidRPr="00525739" w:rsidRDefault="00961BF6" w:rsidP="00323B76">
      <w:pPr>
        <w:pStyle w:val="BodyText"/>
        <w:spacing w:before="177"/>
        <w:jc w:val="both"/>
        <w:rPr>
          <w:rFonts w:asciiTheme="majorHAnsi" w:hAnsiTheme="majorHAnsi"/>
          <w:sz w:val="20"/>
          <w:szCs w:val="20"/>
        </w:rPr>
      </w:pPr>
      <w:r w:rsidRPr="00525739">
        <w:rPr>
          <w:rFonts w:asciiTheme="majorHAnsi" w:hAnsiTheme="majorHAnsi"/>
          <w:color w:val="0F4B8E"/>
          <w:sz w:val="20"/>
          <w:szCs w:val="20"/>
        </w:rPr>
        <w:t>Abrogée et remplacée par la Rec. 24-17</w:t>
      </w:r>
    </w:p>
    <w:p w14:paraId="59C62467" w14:textId="4BD5B7EA" w:rsidR="00961BF6" w:rsidRPr="00525739" w:rsidRDefault="007C5936" w:rsidP="00323B76">
      <w:pPr>
        <w:spacing w:before="178"/>
        <w:jc w:val="both"/>
        <w:rPr>
          <w:rFonts w:asciiTheme="majorHAnsi" w:hAnsiTheme="majorHAnsi"/>
          <w:i/>
          <w:sz w:val="20"/>
          <w:szCs w:val="20"/>
        </w:rPr>
      </w:pPr>
      <w:r w:rsidRPr="00525739">
        <w:rPr>
          <w:rFonts w:asciiTheme="majorHAnsi" w:hAnsiTheme="majorHAnsi"/>
          <w:color w:val="231F20"/>
          <w:sz w:val="20"/>
          <w:szCs w:val="20"/>
        </w:rPr>
        <w:t>Réf</w:t>
      </w:r>
      <w:r w:rsidR="00961BF6" w:rsidRPr="00525739">
        <w:rPr>
          <w:rFonts w:asciiTheme="majorHAnsi" w:hAnsiTheme="majorHAnsi"/>
          <w:color w:val="231F20"/>
          <w:sz w:val="20"/>
          <w:szCs w:val="20"/>
        </w:rPr>
        <w:t xml:space="preserve">. 22-19 : </w:t>
      </w:r>
      <w:r w:rsidR="00961BF6" w:rsidRPr="00525739">
        <w:rPr>
          <w:rFonts w:asciiTheme="majorHAnsi" w:hAnsiTheme="majorHAnsi"/>
          <w:i/>
          <w:color w:val="231F20"/>
          <w:sz w:val="20"/>
          <w:szCs w:val="20"/>
        </w:rPr>
        <w:t>Numéro de document sur la déclaration de transbordement</w:t>
      </w:r>
    </w:p>
    <w:p w14:paraId="216F753C" w14:textId="06027DAA" w:rsidR="00961BF6" w:rsidRPr="00525739" w:rsidRDefault="00961BF6" w:rsidP="00323B76">
      <w:pPr>
        <w:pStyle w:val="BodyText"/>
        <w:spacing w:before="177"/>
        <w:jc w:val="both"/>
        <w:rPr>
          <w:rFonts w:asciiTheme="majorHAnsi" w:hAnsiTheme="majorHAnsi"/>
          <w:sz w:val="20"/>
          <w:szCs w:val="20"/>
        </w:rPr>
      </w:pPr>
      <w:r w:rsidRPr="00525739">
        <w:rPr>
          <w:rFonts w:asciiTheme="majorHAnsi" w:hAnsiTheme="majorHAnsi"/>
          <w:color w:val="0F4B8E"/>
          <w:sz w:val="20"/>
          <w:szCs w:val="20"/>
        </w:rPr>
        <w:t>Abrogée et remplacée par la Rec. 24-15</w:t>
      </w:r>
    </w:p>
    <w:p w14:paraId="4BF15544" w14:textId="1090A42C" w:rsidR="00961BF6" w:rsidRPr="00525739" w:rsidRDefault="00961BF6" w:rsidP="00323B76">
      <w:pPr>
        <w:spacing w:before="177"/>
        <w:jc w:val="both"/>
        <w:rPr>
          <w:rFonts w:asciiTheme="majorHAnsi" w:hAnsiTheme="majorHAnsi"/>
          <w:i/>
          <w:sz w:val="20"/>
          <w:szCs w:val="20"/>
        </w:rPr>
      </w:pPr>
      <w:r w:rsidRPr="00525739">
        <w:rPr>
          <w:rFonts w:asciiTheme="majorHAnsi" w:hAnsiTheme="majorHAnsi"/>
          <w:color w:val="231F20"/>
          <w:sz w:val="20"/>
          <w:szCs w:val="20"/>
        </w:rPr>
        <w:t>Rec. 23-01 :</w:t>
      </w:r>
      <w:r w:rsidRPr="00525739">
        <w:rPr>
          <w:rFonts w:asciiTheme="majorHAnsi" w:hAnsiTheme="majorHAnsi"/>
          <w:i/>
          <w:color w:val="231F20"/>
          <w:sz w:val="20"/>
          <w:szCs w:val="20"/>
        </w:rPr>
        <w:t xml:space="preserve"> Recommandation de l’ICCAT prolongeant et amendant la Recommandation 22-01 sur un programme pluriannuel de conservation et de gestion pour les thonidés tropicaux</w:t>
      </w:r>
    </w:p>
    <w:p w14:paraId="0460DCB6" w14:textId="46117FD2" w:rsidR="00961BF6" w:rsidRPr="00525739" w:rsidRDefault="00961BF6" w:rsidP="00323B76">
      <w:pPr>
        <w:pStyle w:val="BodyText"/>
        <w:spacing w:before="177"/>
        <w:jc w:val="both"/>
        <w:rPr>
          <w:rFonts w:asciiTheme="majorHAnsi" w:hAnsiTheme="majorHAnsi"/>
          <w:sz w:val="20"/>
          <w:szCs w:val="20"/>
        </w:rPr>
      </w:pPr>
      <w:r w:rsidRPr="00525739">
        <w:rPr>
          <w:rFonts w:asciiTheme="majorHAnsi" w:hAnsiTheme="majorHAnsi"/>
          <w:color w:val="0F4B8E"/>
          <w:sz w:val="20"/>
          <w:szCs w:val="20"/>
        </w:rPr>
        <w:t>Abrogée et remplacée par la Rec. 24-01</w:t>
      </w:r>
    </w:p>
    <w:p w14:paraId="12FFDEC7" w14:textId="1ADE72E8" w:rsidR="00961BF6" w:rsidRPr="00525739" w:rsidRDefault="00961BF6" w:rsidP="00323B76">
      <w:pPr>
        <w:spacing w:before="178"/>
        <w:jc w:val="both"/>
        <w:rPr>
          <w:rFonts w:asciiTheme="majorHAnsi" w:hAnsiTheme="majorHAnsi"/>
          <w:i/>
          <w:sz w:val="20"/>
          <w:szCs w:val="20"/>
        </w:rPr>
      </w:pPr>
      <w:r w:rsidRPr="00525739">
        <w:rPr>
          <w:rFonts w:asciiTheme="majorHAnsi" w:hAnsiTheme="majorHAnsi"/>
          <w:color w:val="231F20"/>
          <w:sz w:val="20"/>
          <w:szCs w:val="20"/>
        </w:rPr>
        <w:t xml:space="preserve">Rec. 23-02 : </w:t>
      </w:r>
      <w:r w:rsidRPr="00525739">
        <w:rPr>
          <w:rFonts w:asciiTheme="majorHAnsi" w:hAnsiTheme="majorHAnsi"/>
          <w:i/>
          <w:iCs/>
          <w:color w:val="231F20"/>
          <w:sz w:val="20"/>
          <w:szCs w:val="20"/>
        </w:rPr>
        <w:t>Recommandation de l’ICCAT concernant le plan de remboursement de thon obèse par le Brésil</w:t>
      </w:r>
    </w:p>
    <w:p w14:paraId="7D1235A8" w14:textId="4D0231F9" w:rsidR="00961BF6" w:rsidRPr="00525739" w:rsidRDefault="00961BF6" w:rsidP="00323B76">
      <w:pPr>
        <w:pStyle w:val="BodyText"/>
        <w:spacing w:before="177"/>
        <w:jc w:val="both"/>
        <w:rPr>
          <w:rFonts w:asciiTheme="majorHAnsi" w:hAnsiTheme="majorHAnsi"/>
          <w:color w:val="0F4B8E"/>
          <w:sz w:val="20"/>
          <w:szCs w:val="20"/>
        </w:rPr>
      </w:pPr>
      <w:r w:rsidRPr="00525739">
        <w:rPr>
          <w:rFonts w:asciiTheme="majorHAnsi" w:hAnsiTheme="majorHAnsi"/>
          <w:color w:val="0F4B8E"/>
          <w:sz w:val="20"/>
          <w:szCs w:val="20"/>
        </w:rPr>
        <w:lastRenderedPageBreak/>
        <w:t>Abrogée et remplacée par la Rec. 24-03</w:t>
      </w:r>
    </w:p>
    <w:p w14:paraId="59FA14F9" w14:textId="5FB38526" w:rsidR="00961BF6" w:rsidRPr="00525739" w:rsidRDefault="00961BF6" w:rsidP="00323B76">
      <w:pPr>
        <w:spacing w:before="177"/>
        <w:jc w:val="both"/>
        <w:rPr>
          <w:rFonts w:asciiTheme="majorHAnsi" w:hAnsiTheme="majorHAnsi"/>
          <w:i/>
          <w:sz w:val="20"/>
          <w:szCs w:val="20"/>
        </w:rPr>
      </w:pPr>
      <w:r w:rsidRPr="00525739">
        <w:rPr>
          <w:rFonts w:asciiTheme="majorHAnsi" w:hAnsiTheme="majorHAnsi"/>
          <w:color w:val="231F20"/>
          <w:sz w:val="20"/>
          <w:szCs w:val="20"/>
        </w:rPr>
        <w:t xml:space="preserve">Rec. 23-04 : </w:t>
      </w:r>
      <w:r w:rsidRPr="00525739">
        <w:rPr>
          <w:rFonts w:asciiTheme="majorHAnsi" w:hAnsiTheme="majorHAnsi"/>
          <w:i/>
          <w:iCs/>
          <w:color w:val="231F20"/>
          <w:sz w:val="20"/>
          <w:szCs w:val="20"/>
        </w:rPr>
        <w:t>Recommandation de l’ICCAT remplaçant la Recommandation 22-03 prolongeant et modifiant la Recommandation 17-02 sur la conservation de l’espadon de l’Atlantique Nord</w:t>
      </w:r>
    </w:p>
    <w:p w14:paraId="6A036F91" w14:textId="599C6BD3" w:rsidR="00961BF6" w:rsidRPr="00525739" w:rsidRDefault="00961BF6" w:rsidP="00323B76">
      <w:pPr>
        <w:pStyle w:val="BodyText"/>
        <w:spacing w:before="177"/>
        <w:jc w:val="both"/>
        <w:rPr>
          <w:rFonts w:asciiTheme="majorHAnsi" w:hAnsiTheme="majorHAnsi"/>
          <w:sz w:val="20"/>
          <w:szCs w:val="20"/>
        </w:rPr>
      </w:pPr>
      <w:r w:rsidRPr="00525739">
        <w:rPr>
          <w:rFonts w:asciiTheme="majorHAnsi" w:hAnsiTheme="majorHAnsi"/>
          <w:color w:val="0F4B8E"/>
          <w:sz w:val="20"/>
          <w:szCs w:val="20"/>
        </w:rPr>
        <w:t>Abrogée et remplacée par la Rec. 24-10</w:t>
      </w:r>
    </w:p>
    <w:p w14:paraId="20DC0916" w14:textId="6F61BFDF" w:rsidR="00961BF6" w:rsidRPr="00525739" w:rsidRDefault="00961BF6" w:rsidP="00323B76">
      <w:pPr>
        <w:spacing w:before="178"/>
        <w:jc w:val="both"/>
        <w:rPr>
          <w:rFonts w:asciiTheme="majorHAnsi" w:hAnsiTheme="majorHAnsi"/>
          <w:i/>
          <w:sz w:val="20"/>
          <w:szCs w:val="20"/>
        </w:rPr>
      </w:pPr>
      <w:r w:rsidRPr="00525739">
        <w:rPr>
          <w:rFonts w:asciiTheme="majorHAnsi" w:hAnsiTheme="majorHAnsi"/>
          <w:color w:val="231F20"/>
          <w:sz w:val="20"/>
          <w:szCs w:val="20"/>
        </w:rPr>
        <w:t>Rec. 23-06</w:t>
      </w:r>
      <w:r w:rsidRPr="00525739">
        <w:rPr>
          <w:rFonts w:asciiTheme="majorHAnsi" w:hAnsiTheme="majorHAnsi"/>
          <w:i/>
          <w:color w:val="231F20"/>
          <w:sz w:val="20"/>
          <w:szCs w:val="20"/>
        </w:rPr>
        <w:t xml:space="preserve"> : Recommandation de l’ICCAT amendant la Recommandation 22-08 établissant un plan pluriannuel de gestion pour le thon rouge dans l’Atlantique Est et la Méditerranée</w:t>
      </w:r>
    </w:p>
    <w:p w14:paraId="34554AB0" w14:textId="10DE16DA" w:rsidR="00961BF6" w:rsidRPr="00525739" w:rsidRDefault="00961BF6" w:rsidP="00323B76">
      <w:pPr>
        <w:pStyle w:val="BodyText"/>
        <w:spacing w:before="177"/>
        <w:jc w:val="both"/>
        <w:rPr>
          <w:rFonts w:asciiTheme="majorHAnsi" w:hAnsiTheme="majorHAnsi"/>
          <w:color w:val="0F4B8E"/>
          <w:sz w:val="20"/>
          <w:szCs w:val="20"/>
        </w:rPr>
      </w:pPr>
      <w:r w:rsidRPr="00525739">
        <w:rPr>
          <w:rFonts w:asciiTheme="majorHAnsi" w:hAnsiTheme="majorHAnsi"/>
          <w:color w:val="0F4B8E"/>
          <w:sz w:val="20"/>
          <w:szCs w:val="20"/>
        </w:rPr>
        <w:t>Abrogée et remplacée par la Rec. 24-05</w:t>
      </w:r>
    </w:p>
    <w:p w14:paraId="7498D29E" w14:textId="571ABEBF" w:rsidR="00961BF6" w:rsidRPr="00525739" w:rsidRDefault="00961BF6" w:rsidP="00323B76">
      <w:pPr>
        <w:spacing w:before="178"/>
        <w:jc w:val="both"/>
        <w:rPr>
          <w:rFonts w:asciiTheme="majorHAnsi" w:hAnsiTheme="majorHAnsi"/>
          <w:i/>
          <w:sz w:val="20"/>
          <w:szCs w:val="20"/>
        </w:rPr>
      </w:pPr>
      <w:r w:rsidRPr="00525739">
        <w:rPr>
          <w:rFonts w:asciiTheme="majorHAnsi" w:hAnsiTheme="majorHAnsi"/>
          <w:color w:val="231F20"/>
          <w:sz w:val="20"/>
          <w:szCs w:val="20"/>
        </w:rPr>
        <w:t xml:space="preserve">Rec. 23-08 : </w:t>
      </w:r>
      <w:r w:rsidRPr="00525739">
        <w:rPr>
          <w:rFonts w:asciiTheme="majorHAnsi" w:hAnsiTheme="majorHAnsi"/>
          <w:i/>
          <w:iCs/>
          <w:color w:val="231F20"/>
          <w:sz w:val="20"/>
          <w:szCs w:val="20"/>
        </w:rPr>
        <w:t>Recommandation de l’ICCAT relative à un projet pilote d'élevage du thon rouge</w:t>
      </w:r>
      <w:r w:rsidRPr="00525739">
        <w:rPr>
          <w:rFonts w:asciiTheme="majorHAnsi" w:hAnsiTheme="majorHAnsi"/>
          <w:color w:val="231F20"/>
          <w:sz w:val="20"/>
          <w:szCs w:val="20"/>
        </w:rPr>
        <w:t xml:space="preserve"> (Thunnus thynnus) </w:t>
      </w:r>
      <w:r w:rsidRPr="00525739">
        <w:rPr>
          <w:rFonts w:asciiTheme="majorHAnsi" w:hAnsiTheme="majorHAnsi"/>
          <w:i/>
          <w:iCs/>
          <w:color w:val="231F20"/>
          <w:sz w:val="20"/>
          <w:szCs w:val="20"/>
        </w:rPr>
        <w:t>dans la mer Cantabrique</w:t>
      </w:r>
    </w:p>
    <w:p w14:paraId="25D4E9D1" w14:textId="075B8EFC" w:rsidR="00961BF6" w:rsidRPr="00525739" w:rsidRDefault="00961BF6" w:rsidP="00323B76">
      <w:pPr>
        <w:pStyle w:val="BodyText"/>
        <w:spacing w:before="177"/>
        <w:jc w:val="both"/>
        <w:rPr>
          <w:rFonts w:asciiTheme="majorHAnsi" w:hAnsiTheme="majorHAnsi"/>
          <w:sz w:val="20"/>
          <w:szCs w:val="20"/>
        </w:rPr>
      </w:pPr>
      <w:r w:rsidRPr="00525739">
        <w:rPr>
          <w:rFonts w:asciiTheme="majorHAnsi" w:hAnsiTheme="majorHAnsi"/>
          <w:color w:val="0F4B8E"/>
          <w:sz w:val="20"/>
          <w:szCs w:val="20"/>
        </w:rPr>
        <w:t>Abrogée et remplacée par la Rec. 24-06</w:t>
      </w:r>
    </w:p>
    <w:p w14:paraId="50212657" w14:textId="55A07C2C" w:rsidR="00961BF6" w:rsidRPr="00525739" w:rsidRDefault="00961BF6" w:rsidP="00323B76">
      <w:pPr>
        <w:spacing w:before="178"/>
        <w:jc w:val="both"/>
        <w:rPr>
          <w:rFonts w:asciiTheme="majorHAnsi" w:hAnsiTheme="majorHAnsi"/>
          <w:i/>
          <w:sz w:val="20"/>
          <w:szCs w:val="20"/>
        </w:rPr>
      </w:pPr>
      <w:r w:rsidRPr="00525739">
        <w:rPr>
          <w:rFonts w:asciiTheme="majorHAnsi" w:hAnsiTheme="majorHAnsi"/>
          <w:color w:val="231F20"/>
          <w:sz w:val="20"/>
          <w:szCs w:val="20"/>
        </w:rPr>
        <w:t xml:space="preserve">Rec. 23-14 : </w:t>
      </w:r>
      <w:r w:rsidRPr="00525739">
        <w:rPr>
          <w:rFonts w:asciiTheme="majorHAnsi" w:hAnsiTheme="majorHAnsi"/>
          <w:i/>
          <w:iCs/>
          <w:color w:val="231F20"/>
          <w:sz w:val="20"/>
          <w:szCs w:val="20"/>
        </w:rPr>
        <w:t>Recommandation de l’ICCAT sur les raies mobulidées (famille Mobulidae) capturées en association avec les pêcheries de l’ICCAT</w:t>
      </w:r>
    </w:p>
    <w:p w14:paraId="09F3F314" w14:textId="6212218E" w:rsidR="00961BF6" w:rsidRPr="00525739" w:rsidRDefault="00961BF6" w:rsidP="00323B76">
      <w:pPr>
        <w:pStyle w:val="BodyText"/>
        <w:spacing w:before="177"/>
        <w:jc w:val="both"/>
        <w:rPr>
          <w:rFonts w:asciiTheme="majorHAnsi" w:hAnsiTheme="majorHAnsi"/>
          <w:sz w:val="20"/>
          <w:szCs w:val="20"/>
        </w:rPr>
      </w:pPr>
      <w:r w:rsidRPr="00525739">
        <w:rPr>
          <w:rFonts w:asciiTheme="majorHAnsi" w:hAnsiTheme="majorHAnsi"/>
          <w:color w:val="0F4B8E"/>
          <w:sz w:val="20"/>
          <w:szCs w:val="20"/>
        </w:rPr>
        <w:t>Abrogée et remplacée par la Rec. 24-12</w:t>
      </w:r>
    </w:p>
    <w:p w14:paraId="52A498D7" w14:textId="77777777" w:rsidR="00F9000B" w:rsidRPr="00525739" w:rsidRDefault="00F9000B" w:rsidP="000C3A47">
      <w:pPr>
        <w:pStyle w:val="Heading1"/>
        <w:spacing w:before="91"/>
        <w:ind w:left="0"/>
        <w:jc w:val="both"/>
        <w:rPr>
          <w:rFonts w:asciiTheme="majorHAnsi" w:hAnsiTheme="majorHAnsi"/>
          <w:color w:val="231F20"/>
          <w:sz w:val="20"/>
          <w:szCs w:val="20"/>
        </w:rPr>
      </w:pPr>
    </w:p>
    <w:p w14:paraId="75F5E7FA" w14:textId="724B6D14" w:rsidR="00E158A1" w:rsidRPr="00525739" w:rsidRDefault="003A5EC9" w:rsidP="000C3A47">
      <w:pPr>
        <w:pStyle w:val="Heading1"/>
        <w:spacing w:before="91"/>
        <w:ind w:left="0"/>
        <w:jc w:val="both"/>
        <w:rPr>
          <w:rFonts w:asciiTheme="majorHAnsi" w:hAnsiTheme="majorHAnsi"/>
          <w:sz w:val="20"/>
          <w:szCs w:val="20"/>
        </w:rPr>
      </w:pPr>
      <w:r w:rsidRPr="00525739">
        <w:rPr>
          <w:rFonts w:asciiTheme="majorHAnsi" w:hAnsiTheme="majorHAnsi"/>
          <w:color w:val="231F20"/>
          <w:sz w:val="20"/>
          <w:szCs w:val="20"/>
        </w:rPr>
        <w:t>Suggestions visant à une future simplification des Recommandations</w:t>
      </w:r>
    </w:p>
    <w:p w14:paraId="75D166D1" w14:textId="77777777" w:rsidR="00E158A1" w:rsidRPr="00525739" w:rsidRDefault="00E158A1" w:rsidP="000C3A47">
      <w:pPr>
        <w:pStyle w:val="BodyText"/>
        <w:spacing w:before="19"/>
        <w:jc w:val="both"/>
        <w:rPr>
          <w:rFonts w:asciiTheme="majorHAnsi" w:hAnsiTheme="majorHAnsi"/>
          <w:b/>
          <w:sz w:val="20"/>
          <w:szCs w:val="20"/>
        </w:rPr>
      </w:pPr>
    </w:p>
    <w:p w14:paraId="52AB33F9" w14:textId="4FBDB540" w:rsidR="00BD4841" w:rsidRPr="00525739" w:rsidRDefault="007221D3" w:rsidP="00BD4841">
      <w:pPr>
        <w:pStyle w:val="BodyText"/>
        <w:spacing w:before="4"/>
        <w:jc w:val="both"/>
        <w:rPr>
          <w:rFonts w:asciiTheme="majorHAnsi" w:hAnsiTheme="majorHAnsi"/>
          <w:b/>
          <w:bCs/>
          <w:sz w:val="20"/>
          <w:szCs w:val="20"/>
        </w:rPr>
      </w:pPr>
      <w:r w:rsidRPr="00525739">
        <w:rPr>
          <w:rFonts w:asciiTheme="majorHAnsi" w:hAnsiTheme="majorHAnsi"/>
          <w:b/>
          <w:bCs/>
          <w:sz w:val="20"/>
          <w:szCs w:val="20"/>
        </w:rPr>
        <w:t>Sous-commission</w:t>
      </w:r>
      <w:r w:rsidR="00BD4841" w:rsidRPr="00525739">
        <w:rPr>
          <w:rFonts w:asciiTheme="majorHAnsi" w:hAnsiTheme="majorHAnsi"/>
          <w:b/>
          <w:bCs/>
          <w:sz w:val="20"/>
          <w:szCs w:val="20"/>
        </w:rPr>
        <w:t xml:space="preserve"> 1</w:t>
      </w:r>
    </w:p>
    <w:p w14:paraId="4B5FC299" w14:textId="77777777" w:rsidR="00BD4841" w:rsidRPr="00525739" w:rsidRDefault="00BD4841" w:rsidP="00BD4841">
      <w:pPr>
        <w:pStyle w:val="BodyText"/>
        <w:spacing w:before="4"/>
        <w:jc w:val="both"/>
        <w:rPr>
          <w:rFonts w:asciiTheme="majorHAnsi" w:hAnsiTheme="majorHAnsi"/>
          <w:strike/>
          <w:sz w:val="20"/>
          <w:szCs w:val="20"/>
        </w:rPr>
      </w:pPr>
    </w:p>
    <w:p w14:paraId="216F65F4" w14:textId="77777777" w:rsidR="006D73CC" w:rsidRPr="00525739" w:rsidRDefault="009F37F9" w:rsidP="00BD4841">
      <w:pPr>
        <w:pStyle w:val="BodyText"/>
        <w:spacing w:line="256" w:lineRule="auto"/>
        <w:ind w:left="426" w:right="132" w:hanging="426"/>
        <w:jc w:val="both"/>
        <w:rPr>
          <w:rFonts w:asciiTheme="majorHAnsi" w:hAnsiTheme="majorHAnsi"/>
          <w:b/>
          <w:bCs/>
          <w:i/>
          <w:iCs/>
          <w:sz w:val="20"/>
          <w:szCs w:val="20"/>
        </w:rPr>
      </w:pPr>
      <w:r w:rsidRPr="00525739">
        <w:rPr>
          <w:rFonts w:asciiTheme="majorHAnsi" w:hAnsiTheme="majorHAnsi"/>
          <w:b/>
          <w:bCs/>
          <w:i/>
          <w:iCs/>
          <w:sz w:val="20"/>
          <w:szCs w:val="20"/>
        </w:rPr>
        <w:t>Thonidés tropicaux</w:t>
      </w:r>
    </w:p>
    <w:p w14:paraId="29F2F993" w14:textId="77777777" w:rsidR="006D73CC" w:rsidRPr="00525739" w:rsidRDefault="006D73CC" w:rsidP="00BD4841">
      <w:pPr>
        <w:pStyle w:val="BodyText"/>
        <w:spacing w:line="256" w:lineRule="auto"/>
        <w:ind w:left="426" w:right="132" w:hanging="426"/>
        <w:jc w:val="both"/>
        <w:rPr>
          <w:rFonts w:asciiTheme="majorHAnsi" w:hAnsiTheme="majorHAnsi"/>
          <w:sz w:val="20"/>
          <w:szCs w:val="20"/>
        </w:rPr>
      </w:pPr>
    </w:p>
    <w:p w14:paraId="4BBBDCD3" w14:textId="58A9FAD6" w:rsidR="00C35D17" w:rsidRPr="00525739" w:rsidRDefault="009F37F9" w:rsidP="00C35D17">
      <w:pPr>
        <w:pStyle w:val="BodyText"/>
        <w:numPr>
          <w:ilvl w:val="0"/>
          <w:numId w:val="10"/>
        </w:numPr>
        <w:spacing w:line="256" w:lineRule="auto"/>
        <w:ind w:left="426" w:right="132"/>
        <w:jc w:val="both"/>
        <w:rPr>
          <w:sz w:val="20"/>
          <w:szCs w:val="20"/>
          <w:u w:val="single"/>
        </w:rPr>
      </w:pPr>
      <w:r w:rsidRPr="00525739">
        <w:rPr>
          <w:rFonts w:asciiTheme="majorHAnsi" w:hAnsiTheme="majorHAnsi"/>
          <w:sz w:val="20"/>
          <w:szCs w:val="20"/>
        </w:rPr>
        <w:t xml:space="preserve">Afin </w:t>
      </w:r>
      <w:r w:rsidR="007221D3" w:rsidRPr="00525739">
        <w:rPr>
          <w:rFonts w:asciiTheme="majorHAnsi" w:hAnsiTheme="majorHAnsi"/>
          <w:sz w:val="20"/>
          <w:szCs w:val="20"/>
        </w:rPr>
        <w:t>d’</w:t>
      </w:r>
      <w:r w:rsidR="007221D3" w:rsidRPr="00525739">
        <w:t>h</w:t>
      </w:r>
      <w:r w:rsidR="007221D3" w:rsidRPr="00525739">
        <w:rPr>
          <w:rFonts w:asciiTheme="majorHAnsi" w:hAnsiTheme="majorHAnsi"/>
          <w:sz w:val="20"/>
          <w:szCs w:val="20"/>
        </w:rPr>
        <w:t xml:space="preserve">armoniser les dispositions relatives aux données et </w:t>
      </w:r>
      <w:r w:rsidRPr="00525739">
        <w:rPr>
          <w:rFonts w:asciiTheme="majorHAnsi" w:hAnsiTheme="majorHAnsi"/>
          <w:sz w:val="20"/>
          <w:szCs w:val="20"/>
        </w:rPr>
        <w:t xml:space="preserve">de réduire la charge de déclaration actuelle des CPC, ainsi que de minimiser la redondance et les divergences dans les données soumises en vertu des exigences </w:t>
      </w:r>
      <w:proofErr w:type="gramStart"/>
      <w:r w:rsidRPr="00525739">
        <w:rPr>
          <w:rFonts w:asciiTheme="majorHAnsi" w:hAnsiTheme="majorHAnsi"/>
          <w:sz w:val="20"/>
          <w:szCs w:val="20"/>
        </w:rPr>
        <w:t>M:TRO</w:t>
      </w:r>
      <w:proofErr w:type="gramEnd"/>
      <w:r w:rsidRPr="00525739">
        <w:rPr>
          <w:rFonts w:asciiTheme="majorHAnsi" w:hAnsiTheme="majorHAnsi"/>
          <w:sz w:val="20"/>
          <w:szCs w:val="20"/>
        </w:rPr>
        <w:t xml:space="preserve">09 et </w:t>
      </w:r>
      <w:proofErr w:type="gramStart"/>
      <w:r w:rsidRPr="00525739">
        <w:rPr>
          <w:rFonts w:asciiTheme="majorHAnsi" w:hAnsiTheme="majorHAnsi"/>
          <w:sz w:val="20"/>
          <w:szCs w:val="20"/>
        </w:rPr>
        <w:t>M:TRO</w:t>
      </w:r>
      <w:proofErr w:type="gramEnd"/>
      <w:r w:rsidRPr="00525739">
        <w:rPr>
          <w:rFonts w:asciiTheme="majorHAnsi" w:hAnsiTheme="majorHAnsi"/>
          <w:sz w:val="20"/>
          <w:szCs w:val="20"/>
        </w:rPr>
        <w:t xml:space="preserve">13, il est suggéré que les données de capture des thonidés tropicaux soient déclarées exclusivement sur une base mensuelle </w:t>
      </w:r>
      <w:r w:rsidR="00C35D17" w:rsidRPr="00525739">
        <w:rPr>
          <w:sz w:val="20"/>
          <w:u w:val="single"/>
        </w:rPr>
        <w:t xml:space="preserve">pour les senneurs et les grands palangriers (LOA de 20 m ou plus), et tous les trois mois pour </w:t>
      </w:r>
      <w:r w:rsidR="008137F5" w:rsidRPr="00525739">
        <w:rPr>
          <w:sz w:val="20"/>
          <w:u w:val="single"/>
        </w:rPr>
        <w:t>le reste</w:t>
      </w:r>
      <w:r w:rsidR="00C35D17" w:rsidRPr="00525739">
        <w:rPr>
          <w:sz w:val="20"/>
          <w:u w:val="single"/>
        </w:rPr>
        <w:t xml:space="preserve"> </w:t>
      </w:r>
      <w:r w:rsidR="00F674BA" w:rsidRPr="00525739">
        <w:rPr>
          <w:sz w:val="20"/>
          <w:u w:val="single"/>
        </w:rPr>
        <w:t>des</w:t>
      </w:r>
      <w:r w:rsidR="00C35D17" w:rsidRPr="00525739">
        <w:rPr>
          <w:sz w:val="20"/>
          <w:u w:val="single"/>
        </w:rPr>
        <w:t xml:space="preserve"> navires</w:t>
      </w:r>
      <w:r w:rsidR="00C35D17" w:rsidRPr="00525739">
        <w:rPr>
          <w:sz w:val="20"/>
        </w:rPr>
        <w:t>.</w:t>
      </w:r>
    </w:p>
    <w:p w14:paraId="7E23B529" w14:textId="01136C7A" w:rsidR="009A43AA" w:rsidRPr="00525739" w:rsidRDefault="009A43AA" w:rsidP="00C35D17">
      <w:pPr>
        <w:pStyle w:val="BodyText"/>
        <w:spacing w:line="256" w:lineRule="auto"/>
        <w:ind w:left="426" w:right="132" w:hanging="426"/>
        <w:jc w:val="both"/>
        <w:rPr>
          <w:rFonts w:asciiTheme="majorHAnsi" w:hAnsiTheme="majorHAnsi"/>
          <w:sz w:val="20"/>
          <w:szCs w:val="20"/>
        </w:rPr>
      </w:pPr>
    </w:p>
    <w:p w14:paraId="11FD243A" w14:textId="7C8A197F" w:rsidR="00966684" w:rsidRPr="00525739" w:rsidRDefault="00966684" w:rsidP="00966684">
      <w:pPr>
        <w:pStyle w:val="BodyText"/>
        <w:spacing w:line="256" w:lineRule="auto"/>
        <w:ind w:left="426" w:right="132"/>
        <w:jc w:val="both"/>
        <w:rPr>
          <w:sz w:val="20"/>
          <w:szCs w:val="20"/>
          <w:u w:val="single"/>
        </w:rPr>
      </w:pPr>
      <w:r w:rsidRPr="00525739">
        <w:rPr>
          <w:sz w:val="20"/>
          <w:u w:val="single"/>
        </w:rPr>
        <w:t xml:space="preserve">Lorsque la CPC atteint 80% de sa limite de capture de thon obèse, cette CPC devra </w:t>
      </w:r>
      <w:r w:rsidR="00BF07B1" w:rsidRPr="00525739">
        <w:rPr>
          <w:sz w:val="20"/>
          <w:u w:val="single"/>
        </w:rPr>
        <w:t>transmettre</w:t>
      </w:r>
      <w:r w:rsidRPr="00525739">
        <w:rPr>
          <w:sz w:val="20"/>
          <w:u w:val="single"/>
        </w:rPr>
        <w:t xml:space="preserve"> chaque semaine </w:t>
      </w:r>
      <w:r w:rsidR="00BF07B1" w:rsidRPr="00525739">
        <w:rPr>
          <w:sz w:val="20"/>
          <w:u w:val="single"/>
        </w:rPr>
        <w:t>l</w:t>
      </w:r>
      <w:r w:rsidRPr="00525739">
        <w:rPr>
          <w:sz w:val="20"/>
          <w:u w:val="single"/>
        </w:rPr>
        <w:t>es rapports de capture.</w:t>
      </w:r>
    </w:p>
    <w:p w14:paraId="4431C4A5" w14:textId="77777777" w:rsidR="00110612" w:rsidRPr="00525739" w:rsidRDefault="00110612" w:rsidP="00C35D17">
      <w:pPr>
        <w:pStyle w:val="BodyText"/>
        <w:spacing w:line="256" w:lineRule="auto"/>
        <w:ind w:left="426" w:right="132" w:hanging="426"/>
        <w:jc w:val="both"/>
        <w:rPr>
          <w:rFonts w:asciiTheme="majorHAnsi" w:hAnsiTheme="majorHAnsi"/>
          <w:sz w:val="20"/>
          <w:szCs w:val="20"/>
        </w:rPr>
      </w:pPr>
    </w:p>
    <w:p w14:paraId="318E57F9" w14:textId="0F010FCD" w:rsidR="009A43AA" w:rsidRPr="00525739" w:rsidRDefault="009A43AA" w:rsidP="009562B3">
      <w:pPr>
        <w:pStyle w:val="BodyText"/>
        <w:spacing w:line="256" w:lineRule="auto"/>
        <w:ind w:left="426" w:right="132"/>
        <w:jc w:val="both"/>
        <w:rPr>
          <w:rFonts w:asciiTheme="majorHAnsi" w:hAnsiTheme="majorHAnsi"/>
          <w:sz w:val="20"/>
          <w:szCs w:val="20"/>
        </w:rPr>
      </w:pPr>
      <w:r w:rsidRPr="00525739">
        <w:rPr>
          <w:rFonts w:asciiTheme="majorHAnsi" w:hAnsiTheme="majorHAnsi"/>
          <w:sz w:val="20"/>
          <w:szCs w:val="20"/>
        </w:rPr>
        <w:t>Par conséquent, les paragraphes 15 et 16 de la Rec. 24-01 pourraient être amendés comme suit</w:t>
      </w:r>
      <w:r w:rsidR="004B3228" w:rsidRPr="00525739">
        <w:rPr>
          <w:rFonts w:asciiTheme="majorHAnsi" w:hAnsiTheme="majorHAnsi"/>
          <w:sz w:val="20"/>
          <w:szCs w:val="20"/>
        </w:rPr>
        <w:t xml:space="preserve"> </w:t>
      </w:r>
      <w:r w:rsidR="005A7E29" w:rsidRPr="00525739">
        <w:rPr>
          <w:rFonts w:asciiTheme="majorHAnsi" w:hAnsiTheme="majorHAnsi"/>
          <w:sz w:val="20"/>
          <w:szCs w:val="20"/>
        </w:rPr>
        <w:t xml:space="preserve">(a, b original ; c, d </w:t>
      </w:r>
      <w:r w:rsidR="00966684" w:rsidRPr="00525739">
        <w:rPr>
          <w:rFonts w:asciiTheme="majorHAnsi" w:hAnsiTheme="majorHAnsi"/>
          <w:sz w:val="20"/>
          <w:szCs w:val="20"/>
          <w:u w:val="single"/>
        </w:rPr>
        <w:t>et e</w:t>
      </w:r>
      <w:r w:rsidR="003763A4" w:rsidRPr="00525739">
        <w:rPr>
          <w:rFonts w:asciiTheme="majorHAnsi" w:hAnsiTheme="majorHAnsi"/>
          <w:sz w:val="20"/>
          <w:szCs w:val="20"/>
          <w:u w:val="single"/>
        </w:rPr>
        <w:t xml:space="preserve"> </w:t>
      </w:r>
      <w:r w:rsidR="005A7E29" w:rsidRPr="00525739">
        <w:rPr>
          <w:rFonts w:asciiTheme="majorHAnsi" w:hAnsiTheme="majorHAnsi"/>
          <w:sz w:val="20"/>
          <w:szCs w:val="20"/>
        </w:rPr>
        <w:t>proposition) :</w:t>
      </w:r>
    </w:p>
    <w:p w14:paraId="443CD28C" w14:textId="77777777" w:rsidR="00A816D0" w:rsidRPr="00525739" w:rsidRDefault="00A816D0" w:rsidP="00A816D0">
      <w:pPr>
        <w:pStyle w:val="BodyText"/>
        <w:spacing w:line="256" w:lineRule="auto"/>
        <w:ind w:left="720" w:right="132"/>
        <w:jc w:val="both"/>
        <w:rPr>
          <w:rFonts w:asciiTheme="majorHAnsi" w:hAnsiTheme="majorHAnsi"/>
          <w:sz w:val="20"/>
          <w:szCs w:val="20"/>
        </w:rPr>
      </w:pPr>
    </w:p>
    <w:p w14:paraId="6AB9F7D9" w14:textId="06B023CC" w:rsidR="00AB4342" w:rsidRPr="00525739" w:rsidRDefault="007B7098" w:rsidP="00233938">
      <w:pPr>
        <w:pStyle w:val="BodyText"/>
        <w:spacing w:line="256" w:lineRule="auto"/>
        <w:ind w:left="851" w:hanging="425"/>
        <w:jc w:val="both"/>
        <w:rPr>
          <w:rFonts w:asciiTheme="majorHAnsi" w:hAnsiTheme="majorHAnsi"/>
          <w:i/>
          <w:iCs/>
          <w:sz w:val="20"/>
          <w:szCs w:val="20"/>
        </w:rPr>
      </w:pPr>
      <w:r w:rsidRPr="00525739">
        <w:rPr>
          <w:rFonts w:asciiTheme="majorHAnsi" w:hAnsiTheme="majorHAnsi"/>
          <w:iCs/>
          <w:sz w:val="20"/>
          <w:szCs w:val="20"/>
        </w:rPr>
        <w:t>a)</w:t>
      </w:r>
      <w:r w:rsidRPr="00525739">
        <w:rPr>
          <w:rFonts w:asciiTheme="majorHAnsi" w:hAnsiTheme="majorHAnsi"/>
          <w:i/>
          <w:sz w:val="20"/>
          <w:szCs w:val="20"/>
        </w:rPr>
        <w:t xml:space="preserve"> </w:t>
      </w:r>
      <w:r w:rsidR="00335E60" w:rsidRPr="00525739">
        <w:rPr>
          <w:rFonts w:asciiTheme="majorHAnsi" w:hAnsiTheme="majorHAnsi"/>
          <w:i/>
          <w:sz w:val="20"/>
          <w:szCs w:val="20"/>
        </w:rPr>
        <w:tab/>
      </w:r>
      <w:r w:rsidR="00AB4342" w:rsidRPr="00525739">
        <w:rPr>
          <w:rFonts w:asciiTheme="majorHAnsi" w:hAnsiTheme="majorHAnsi"/>
          <w:i/>
          <w:sz w:val="20"/>
          <w:szCs w:val="20"/>
        </w:rPr>
        <w:t>« 15. Les CPC devront déclarer au Secrétariat de l’ICCAT tous les trois mois le volume de thonidés tropicaux par espèce capturé par les navires battant leur pavillon, dans les 30 jours suivant la fin de la période durant laquelle les captures ont été réalisées.</w:t>
      </w:r>
    </w:p>
    <w:p w14:paraId="7B662E33" w14:textId="77777777" w:rsidR="00AB4342" w:rsidRPr="00525739" w:rsidRDefault="00AB4342" w:rsidP="00233938">
      <w:pPr>
        <w:pStyle w:val="BodyText"/>
        <w:spacing w:line="256" w:lineRule="auto"/>
        <w:ind w:left="851" w:hanging="425"/>
        <w:jc w:val="both"/>
        <w:rPr>
          <w:rFonts w:asciiTheme="majorHAnsi" w:hAnsiTheme="majorHAnsi"/>
          <w:i/>
          <w:iCs/>
          <w:sz w:val="20"/>
          <w:szCs w:val="20"/>
        </w:rPr>
      </w:pPr>
    </w:p>
    <w:p w14:paraId="1A0749B9" w14:textId="048C4947" w:rsidR="00AB4342" w:rsidRPr="00525739" w:rsidRDefault="007B7098" w:rsidP="00233938">
      <w:pPr>
        <w:pStyle w:val="BodyText"/>
        <w:spacing w:line="256" w:lineRule="auto"/>
        <w:ind w:left="851" w:hanging="425"/>
        <w:jc w:val="both"/>
        <w:rPr>
          <w:rFonts w:asciiTheme="majorHAnsi" w:hAnsiTheme="majorHAnsi"/>
          <w:sz w:val="20"/>
          <w:szCs w:val="20"/>
        </w:rPr>
      </w:pPr>
      <w:r w:rsidRPr="00525739">
        <w:rPr>
          <w:rFonts w:asciiTheme="majorHAnsi" w:hAnsiTheme="majorHAnsi"/>
          <w:iCs/>
          <w:sz w:val="20"/>
          <w:szCs w:val="20"/>
        </w:rPr>
        <w:t>b)</w:t>
      </w:r>
      <w:r w:rsidRPr="00525739">
        <w:rPr>
          <w:rFonts w:asciiTheme="majorHAnsi" w:hAnsiTheme="majorHAnsi"/>
          <w:i/>
          <w:sz w:val="20"/>
          <w:szCs w:val="20"/>
        </w:rPr>
        <w:t xml:space="preserve"> </w:t>
      </w:r>
      <w:r w:rsidR="00335E60" w:rsidRPr="00525739">
        <w:rPr>
          <w:rFonts w:asciiTheme="majorHAnsi" w:hAnsiTheme="majorHAnsi"/>
          <w:i/>
          <w:sz w:val="20"/>
          <w:szCs w:val="20"/>
        </w:rPr>
        <w:tab/>
      </w:r>
      <w:r w:rsidR="00AB4342" w:rsidRPr="00525739">
        <w:rPr>
          <w:rFonts w:asciiTheme="majorHAnsi" w:hAnsiTheme="majorHAnsi"/>
          <w:i/>
          <w:sz w:val="20"/>
          <w:szCs w:val="20"/>
        </w:rPr>
        <w:t>16. Nonobstant les dispositions du paragraphe 15, en ce qui concerne les senneurs et les grands palangriers (dont la longueur hors tout est égale ou supérieure à 20 m), les CPC devront déclarer la capture sur une base mensuelle, et, lorsque 80% de leurs limites de capture de thon obèse a été atteint, sur une base hebdomadaire.</w:t>
      </w:r>
      <w:r w:rsidR="00C56991" w:rsidRPr="00525739">
        <w:rPr>
          <w:rFonts w:asciiTheme="majorHAnsi" w:hAnsiTheme="majorHAnsi"/>
          <w:i/>
          <w:sz w:val="20"/>
          <w:szCs w:val="20"/>
        </w:rPr>
        <w:t> »</w:t>
      </w:r>
    </w:p>
    <w:p w14:paraId="2A19E96F" w14:textId="77777777" w:rsidR="00202C5A" w:rsidRPr="00525739" w:rsidRDefault="00202C5A" w:rsidP="00233938">
      <w:pPr>
        <w:pStyle w:val="BodyText"/>
        <w:spacing w:line="256" w:lineRule="auto"/>
        <w:ind w:left="720" w:right="132"/>
        <w:jc w:val="both"/>
        <w:rPr>
          <w:rFonts w:asciiTheme="majorHAnsi" w:hAnsiTheme="majorHAnsi"/>
          <w:sz w:val="20"/>
          <w:szCs w:val="20"/>
        </w:rPr>
      </w:pPr>
    </w:p>
    <w:p w14:paraId="1B7ADEE6" w14:textId="77777777" w:rsidR="003B3185" w:rsidRPr="00525739" w:rsidRDefault="003B3185" w:rsidP="00C406AC">
      <w:pPr>
        <w:pStyle w:val="ListParagraph"/>
        <w:numPr>
          <w:ilvl w:val="0"/>
          <w:numId w:val="14"/>
        </w:numPr>
        <w:jc w:val="both"/>
        <w:rPr>
          <w:i/>
          <w:iCs/>
          <w:sz w:val="20"/>
          <w:szCs w:val="20"/>
        </w:rPr>
      </w:pPr>
      <w:r w:rsidRPr="00525739">
        <w:rPr>
          <w:i/>
          <w:sz w:val="20"/>
        </w:rPr>
        <w:t>15. Les CPC devront déclarer mensuellement au Secrétariat le volume de thonidés tropicaux par espèce capturé</w:t>
      </w:r>
      <w:r w:rsidRPr="00525739">
        <w:rPr>
          <w:i/>
          <w:sz w:val="20"/>
          <w:u w:val="single"/>
        </w:rPr>
        <w:t xml:space="preserve"> par les senneurs et les grands palangriers (LOA de 20 m ou plus</w:t>
      </w:r>
      <w:r w:rsidRPr="00525739">
        <w:rPr>
          <w:i/>
          <w:sz w:val="20"/>
        </w:rPr>
        <w:t>) battant leur pavillon,</w:t>
      </w:r>
      <w:r w:rsidRPr="00525739">
        <w:rPr>
          <w:i/>
          <w:sz w:val="20"/>
          <w:u w:val="single"/>
        </w:rPr>
        <w:t xml:space="preserve"> au plus tard le dernier jour</w:t>
      </w:r>
      <w:r w:rsidRPr="00525739">
        <w:rPr>
          <w:i/>
          <w:sz w:val="20"/>
        </w:rPr>
        <w:t xml:space="preserve"> du mois suivant le mois au cours duquel les captures ont été réalisées. </w:t>
      </w:r>
    </w:p>
    <w:p w14:paraId="53C5D3CD" w14:textId="77777777" w:rsidR="003B3185" w:rsidRPr="00525739" w:rsidRDefault="003B3185" w:rsidP="003B3185">
      <w:pPr>
        <w:pStyle w:val="ListParagraph"/>
        <w:ind w:left="851"/>
        <w:jc w:val="both"/>
        <w:rPr>
          <w:i/>
          <w:iCs/>
          <w:sz w:val="20"/>
          <w:szCs w:val="20"/>
          <w:u w:val="single"/>
        </w:rPr>
      </w:pPr>
    </w:p>
    <w:p w14:paraId="675B4CCA" w14:textId="77777777" w:rsidR="003B3185" w:rsidRPr="00525739" w:rsidRDefault="003B3185" w:rsidP="00C406AC">
      <w:pPr>
        <w:pStyle w:val="ListParagraph"/>
        <w:numPr>
          <w:ilvl w:val="0"/>
          <w:numId w:val="14"/>
        </w:numPr>
        <w:ind w:left="851" w:hanging="425"/>
        <w:jc w:val="both"/>
        <w:rPr>
          <w:i/>
          <w:iCs/>
          <w:sz w:val="20"/>
          <w:szCs w:val="20"/>
          <w:u w:val="single"/>
        </w:rPr>
      </w:pPr>
      <w:r w:rsidRPr="00525739">
        <w:rPr>
          <w:i/>
          <w:sz w:val="20"/>
          <w:u w:val="single"/>
        </w:rPr>
        <w:t>16. Les CPC devront déclarer au Secrétariat tous les trois mois le volume de thonidés tropicaux par espèce capturé par les navires battant leur pavillon et qui ne sont pas inclus parmi ceux indiqués au paragraphe 15, dans les 30 jours suivant la fin de la période durant laquelle les captures ont été réalisées.</w:t>
      </w:r>
    </w:p>
    <w:p w14:paraId="349DE21C" w14:textId="77777777" w:rsidR="003B3185" w:rsidRPr="00525739" w:rsidRDefault="003B3185" w:rsidP="003B3185">
      <w:pPr>
        <w:pStyle w:val="BodyText"/>
        <w:spacing w:line="256" w:lineRule="auto"/>
        <w:ind w:left="426" w:right="132"/>
        <w:jc w:val="both"/>
        <w:rPr>
          <w:i/>
          <w:iCs/>
          <w:sz w:val="20"/>
          <w:szCs w:val="22"/>
          <w:u w:val="single"/>
        </w:rPr>
      </w:pPr>
    </w:p>
    <w:p w14:paraId="27F82843" w14:textId="77777777" w:rsidR="003B3185" w:rsidRPr="00525739" w:rsidRDefault="003B3185" w:rsidP="00C406AC">
      <w:pPr>
        <w:pStyle w:val="ListParagraph"/>
        <w:numPr>
          <w:ilvl w:val="0"/>
          <w:numId w:val="14"/>
        </w:numPr>
        <w:ind w:left="851" w:hanging="425"/>
        <w:jc w:val="both"/>
        <w:rPr>
          <w:rFonts w:cs="Times New Roman"/>
          <w:i/>
          <w:iCs/>
          <w:sz w:val="20"/>
          <w:szCs w:val="20"/>
          <w:u w:val="single"/>
        </w:rPr>
      </w:pPr>
      <w:r w:rsidRPr="00525739">
        <w:rPr>
          <w:i/>
          <w:sz w:val="20"/>
          <w:u w:val="single"/>
        </w:rPr>
        <w:t xml:space="preserve">17. Lorsqu'une CPC aura atteint 80% de sa limite de capture de thon obèse, cette CPC devra </w:t>
      </w:r>
      <w:r w:rsidRPr="00525739">
        <w:rPr>
          <w:i/>
          <w:sz w:val="20"/>
          <w:u w:val="single"/>
        </w:rPr>
        <w:lastRenderedPageBreak/>
        <w:t>augmenter la fréquence de toutes les déclarations de capture pour les flottilles visées aux paragraphes 15 et 16 à une fréquence hebdomadaire.</w:t>
      </w:r>
    </w:p>
    <w:p w14:paraId="4195661B" w14:textId="77777777" w:rsidR="003B3185" w:rsidRPr="00525739" w:rsidRDefault="003B3185" w:rsidP="00233938">
      <w:pPr>
        <w:pStyle w:val="BodyText"/>
        <w:spacing w:line="256" w:lineRule="auto"/>
        <w:ind w:left="720" w:right="132"/>
        <w:jc w:val="both"/>
        <w:rPr>
          <w:rFonts w:asciiTheme="majorHAnsi" w:hAnsiTheme="majorHAnsi"/>
          <w:sz w:val="20"/>
          <w:szCs w:val="20"/>
        </w:rPr>
      </w:pPr>
    </w:p>
    <w:p w14:paraId="540C86F3" w14:textId="7E314595" w:rsidR="008D70D9" w:rsidRPr="00525739" w:rsidRDefault="008D70D9" w:rsidP="008D70D9">
      <w:pPr>
        <w:pStyle w:val="BodyText"/>
        <w:spacing w:line="256" w:lineRule="auto"/>
        <w:ind w:left="426" w:right="132" w:hanging="426"/>
        <w:jc w:val="both"/>
        <w:rPr>
          <w:rFonts w:asciiTheme="majorHAnsi" w:hAnsiTheme="majorHAnsi"/>
          <w:sz w:val="20"/>
          <w:szCs w:val="20"/>
        </w:rPr>
      </w:pPr>
      <w:r w:rsidRPr="00525739">
        <w:rPr>
          <w:rFonts w:asciiTheme="majorHAnsi" w:hAnsiTheme="majorHAnsi"/>
          <w:sz w:val="20"/>
          <w:szCs w:val="20"/>
        </w:rPr>
        <w:t>2.</w:t>
      </w:r>
      <w:r w:rsidRPr="00525739">
        <w:rPr>
          <w:rFonts w:asciiTheme="majorHAnsi" w:hAnsiTheme="majorHAnsi"/>
          <w:sz w:val="20"/>
          <w:szCs w:val="20"/>
        </w:rPr>
        <w:tab/>
        <w:t xml:space="preserve">Afin de clarifier les deux concepts différents mélangés au paragraphe 57 de la Rec. 24-01, le </w:t>
      </w:r>
      <w:r w:rsidRPr="00525739">
        <w:rPr>
          <w:rFonts w:asciiTheme="majorHAnsi" w:hAnsiTheme="majorHAnsi"/>
          <w:b/>
          <w:bCs/>
          <w:sz w:val="20"/>
          <w:szCs w:val="20"/>
        </w:rPr>
        <w:t>tonnage</w:t>
      </w:r>
      <w:r w:rsidRPr="00525739">
        <w:rPr>
          <w:rFonts w:asciiTheme="majorHAnsi" w:hAnsiTheme="majorHAnsi"/>
          <w:sz w:val="20"/>
          <w:szCs w:val="20"/>
        </w:rPr>
        <w:t xml:space="preserve"> (GT : tonnage brut – sans dimension, ou l'ancien GRT : tonnage brut enregistré – « tonnes </w:t>
      </w:r>
      <w:r w:rsidR="00FD4C6A" w:rsidRPr="00525739">
        <w:rPr>
          <w:rFonts w:asciiTheme="majorHAnsi" w:hAnsiTheme="majorHAnsi"/>
          <w:sz w:val="20"/>
          <w:szCs w:val="20"/>
        </w:rPr>
        <w:t>enregistrées »</w:t>
      </w:r>
      <w:r w:rsidRPr="00525739">
        <w:rPr>
          <w:rFonts w:asciiTheme="majorHAnsi" w:hAnsiTheme="majorHAnsi"/>
          <w:sz w:val="20"/>
          <w:szCs w:val="20"/>
        </w:rPr>
        <w:t>, chacune équivalant à 2,83 m</w:t>
      </w:r>
      <w:r w:rsidRPr="00525739">
        <w:rPr>
          <w:rFonts w:asciiTheme="majorHAnsi" w:hAnsiTheme="majorHAnsi"/>
          <w:sz w:val="20"/>
          <w:szCs w:val="20"/>
          <w:vertAlign w:val="superscript"/>
        </w:rPr>
        <w:t>3</w:t>
      </w:r>
      <w:r w:rsidRPr="00525739">
        <w:rPr>
          <w:rFonts w:asciiTheme="majorHAnsi" w:hAnsiTheme="majorHAnsi"/>
          <w:sz w:val="20"/>
          <w:szCs w:val="20"/>
        </w:rPr>
        <w:t xml:space="preserve">) qui mesure le volume interne d'un navire, et la </w:t>
      </w:r>
      <w:r w:rsidRPr="00525739">
        <w:rPr>
          <w:rFonts w:asciiTheme="majorHAnsi" w:hAnsiTheme="majorHAnsi"/>
          <w:b/>
          <w:bCs/>
          <w:sz w:val="20"/>
          <w:szCs w:val="20"/>
        </w:rPr>
        <w:t>capacité de charge</w:t>
      </w:r>
      <w:r w:rsidRPr="00525739">
        <w:rPr>
          <w:rFonts w:asciiTheme="majorHAnsi" w:hAnsiTheme="majorHAnsi"/>
          <w:sz w:val="20"/>
          <w:szCs w:val="20"/>
        </w:rPr>
        <w:t xml:space="preserve"> (tonnes métriques) qui mesure la capacité à contenir/transporter une certaine quantité de poisson (explication détaillée dans le document </w:t>
      </w:r>
      <w:bookmarkStart w:id="0" w:name="_Hlk211344574"/>
      <w:r w:rsidRPr="00525739">
        <w:rPr>
          <w:rFonts w:asciiTheme="majorHAnsi" w:hAnsiTheme="majorHAnsi"/>
          <w:sz w:val="20"/>
          <w:szCs w:val="20"/>
        </w:rPr>
        <w:t>SCRS/2025/161</w:t>
      </w:r>
      <w:bookmarkEnd w:id="0"/>
      <w:r w:rsidRPr="00525739">
        <w:rPr>
          <w:rFonts w:asciiTheme="majorHAnsi" w:hAnsiTheme="majorHAnsi"/>
          <w:sz w:val="20"/>
          <w:szCs w:val="20"/>
        </w:rPr>
        <w:t>, en réponse au paragraphe 79b de la Recommandation 24-01), il est suggéré de modifier le paragraphe 57 comme suit (a. original ; b. proposition)</w:t>
      </w:r>
      <w:r w:rsidR="00F9000B" w:rsidRPr="00525739">
        <w:rPr>
          <w:rFonts w:asciiTheme="majorHAnsi" w:hAnsiTheme="majorHAnsi"/>
          <w:sz w:val="20"/>
          <w:szCs w:val="20"/>
        </w:rPr>
        <w:t> :</w:t>
      </w:r>
    </w:p>
    <w:p w14:paraId="7FA1F553" w14:textId="77777777" w:rsidR="008D70D9" w:rsidRPr="00525739" w:rsidRDefault="008D70D9" w:rsidP="008D70D9">
      <w:pPr>
        <w:pStyle w:val="BodyText"/>
        <w:spacing w:line="256" w:lineRule="auto"/>
        <w:ind w:left="851" w:hanging="425"/>
        <w:jc w:val="both"/>
        <w:rPr>
          <w:rFonts w:asciiTheme="majorHAnsi" w:hAnsiTheme="majorHAnsi"/>
          <w:sz w:val="20"/>
          <w:szCs w:val="20"/>
        </w:rPr>
      </w:pPr>
    </w:p>
    <w:p w14:paraId="034D5C4E" w14:textId="7E7671D2" w:rsidR="008D70D9" w:rsidRPr="00525739" w:rsidRDefault="008D70D9" w:rsidP="008D70D9">
      <w:pPr>
        <w:pStyle w:val="BodyText"/>
        <w:spacing w:line="256" w:lineRule="auto"/>
        <w:ind w:left="851" w:hanging="425"/>
        <w:jc w:val="both"/>
        <w:rPr>
          <w:rFonts w:asciiTheme="majorHAnsi" w:hAnsiTheme="majorHAnsi"/>
          <w:i/>
          <w:sz w:val="20"/>
          <w:szCs w:val="20"/>
        </w:rPr>
      </w:pPr>
      <w:r w:rsidRPr="00525739">
        <w:rPr>
          <w:rFonts w:asciiTheme="majorHAnsi" w:hAnsiTheme="majorHAnsi"/>
          <w:iCs/>
          <w:sz w:val="20"/>
          <w:szCs w:val="20"/>
        </w:rPr>
        <w:t>a)</w:t>
      </w:r>
      <w:r w:rsidRPr="00525739">
        <w:rPr>
          <w:rFonts w:asciiTheme="majorHAnsi" w:hAnsiTheme="majorHAnsi"/>
          <w:i/>
          <w:sz w:val="20"/>
          <w:szCs w:val="20"/>
        </w:rPr>
        <w:tab/>
        <w:t xml:space="preserve">« 57. Les CPC devront fournir la liste des navires autorisés au Secrétaire exécutif en version électronique, conformément au format stipulé dans les Directives pour la soumission des données et des informations requises par l’ICCAT. Pour les senneurs, la notification devra comprendre des données sur la capacité de transport ou de charge des navires en tonneaux de jauge brute (TJB) ou, le cas échéant, en jauge brute (JB), afin de permettre à l’ICCAT de contrôler la capacité de l'activité de la flottille dans la zone de la Convention. </w:t>
      </w:r>
    </w:p>
    <w:p w14:paraId="57096C2F" w14:textId="77777777" w:rsidR="008D70D9" w:rsidRPr="00525739" w:rsidRDefault="008D70D9" w:rsidP="008D70D9">
      <w:pPr>
        <w:pStyle w:val="BodyText"/>
        <w:spacing w:line="256" w:lineRule="auto"/>
        <w:ind w:left="851" w:hanging="425"/>
        <w:jc w:val="both"/>
        <w:rPr>
          <w:rFonts w:asciiTheme="majorHAnsi" w:hAnsiTheme="majorHAnsi"/>
          <w:sz w:val="20"/>
          <w:szCs w:val="20"/>
        </w:rPr>
      </w:pPr>
    </w:p>
    <w:p w14:paraId="1F882902" w14:textId="0660674E" w:rsidR="008D70D9" w:rsidRPr="00525739" w:rsidRDefault="008D70D9" w:rsidP="00F80B9F">
      <w:pPr>
        <w:pStyle w:val="BodyText"/>
        <w:spacing w:line="256" w:lineRule="auto"/>
        <w:ind w:left="851" w:hanging="425"/>
        <w:jc w:val="both"/>
        <w:rPr>
          <w:rFonts w:asciiTheme="majorHAnsi" w:hAnsiTheme="majorHAnsi"/>
          <w:i/>
          <w:iCs/>
          <w:sz w:val="20"/>
          <w:szCs w:val="20"/>
        </w:rPr>
      </w:pPr>
      <w:r w:rsidRPr="00525739">
        <w:rPr>
          <w:rFonts w:asciiTheme="majorHAnsi" w:hAnsiTheme="majorHAnsi"/>
          <w:sz w:val="20"/>
          <w:szCs w:val="20"/>
        </w:rPr>
        <w:t>b)</w:t>
      </w:r>
      <w:r w:rsidRPr="00525739">
        <w:rPr>
          <w:rFonts w:asciiTheme="majorHAnsi" w:hAnsiTheme="majorHAnsi"/>
          <w:i/>
          <w:iCs/>
          <w:sz w:val="20"/>
          <w:szCs w:val="20"/>
        </w:rPr>
        <w:tab/>
        <w:t>« 57.</w:t>
      </w:r>
      <w:r w:rsidRPr="00525739">
        <w:rPr>
          <w:rFonts w:asciiTheme="majorHAnsi" w:hAnsiTheme="majorHAnsi"/>
          <w:i/>
          <w:sz w:val="20"/>
          <w:szCs w:val="20"/>
        </w:rPr>
        <w:t xml:space="preserve"> Les CPC devront fournir la liste des navires autorisés au Secrétaire exécutif en version électronique, conformément au format stipulé dans les Directives pour la soumission des données et des informations requises par l’ICCAT. </w:t>
      </w:r>
      <w:r w:rsidRPr="00525739">
        <w:rPr>
          <w:rFonts w:asciiTheme="majorHAnsi" w:hAnsiTheme="majorHAnsi"/>
          <w:i/>
          <w:iCs/>
          <w:sz w:val="20"/>
          <w:szCs w:val="20"/>
        </w:rPr>
        <w:t>Pour les senneurs, la notification devra comprendre</w:t>
      </w:r>
      <w:r w:rsidR="00F80B9F" w:rsidRPr="00525739">
        <w:rPr>
          <w:rFonts w:asciiTheme="majorHAnsi" w:hAnsiTheme="majorHAnsi"/>
          <w:i/>
          <w:iCs/>
          <w:sz w:val="20"/>
          <w:szCs w:val="20"/>
        </w:rPr>
        <w:t xml:space="preserve"> </w:t>
      </w:r>
      <w:r w:rsidRPr="00525739">
        <w:rPr>
          <w:rFonts w:asciiTheme="majorHAnsi" w:hAnsiTheme="majorHAnsi"/>
          <w:i/>
          <w:iCs/>
          <w:sz w:val="20"/>
          <w:szCs w:val="20"/>
        </w:rPr>
        <w:t>la capacité de transport de poissons (FCC, en tonnes métriques), [ou/et] le volume de la cale à poisson (FHV, en m</w:t>
      </w:r>
      <w:r w:rsidRPr="00525739">
        <w:rPr>
          <w:rFonts w:asciiTheme="majorHAnsi" w:hAnsiTheme="majorHAnsi"/>
          <w:i/>
          <w:iCs/>
          <w:sz w:val="20"/>
          <w:szCs w:val="20"/>
          <w:vertAlign w:val="superscript"/>
        </w:rPr>
        <w:t>3</w:t>
      </w:r>
      <w:r w:rsidRPr="00525739">
        <w:rPr>
          <w:rFonts w:asciiTheme="majorHAnsi" w:hAnsiTheme="majorHAnsi"/>
          <w:i/>
          <w:iCs/>
          <w:sz w:val="20"/>
          <w:szCs w:val="20"/>
        </w:rPr>
        <w:t>) du navire, afin de permettre à l’ICCAT de contrôler la capacité de l'activité de la flottille dans la zone de la Convention. »</w:t>
      </w:r>
    </w:p>
    <w:p w14:paraId="4599F4B6" w14:textId="77777777" w:rsidR="008D70D9" w:rsidRPr="00525739" w:rsidRDefault="008D70D9" w:rsidP="008D70D9">
      <w:pPr>
        <w:pStyle w:val="BodyText"/>
        <w:spacing w:line="256" w:lineRule="auto"/>
        <w:ind w:left="851" w:hanging="425"/>
        <w:rPr>
          <w:rFonts w:asciiTheme="majorHAnsi" w:hAnsiTheme="majorHAnsi"/>
          <w:sz w:val="20"/>
          <w:szCs w:val="20"/>
        </w:rPr>
      </w:pPr>
    </w:p>
    <w:p w14:paraId="4A9C8612" w14:textId="24E7CF32" w:rsidR="008D70D9" w:rsidRPr="00525739" w:rsidRDefault="008D70D9" w:rsidP="008D70D9">
      <w:pPr>
        <w:pStyle w:val="BodyText"/>
        <w:spacing w:line="256" w:lineRule="auto"/>
        <w:ind w:left="426" w:right="132" w:hanging="426"/>
        <w:jc w:val="both"/>
        <w:rPr>
          <w:rFonts w:asciiTheme="majorHAnsi" w:hAnsiTheme="majorHAnsi"/>
          <w:sz w:val="20"/>
          <w:szCs w:val="20"/>
        </w:rPr>
      </w:pPr>
      <w:r w:rsidRPr="00525739">
        <w:rPr>
          <w:rFonts w:asciiTheme="majorHAnsi" w:hAnsiTheme="majorHAnsi"/>
          <w:sz w:val="20"/>
          <w:szCs w:val="20"/>
        </w:rPr>
        <w:t>3.</w:t>
      </w:r>
      <w:r w:rsidRPr="00525739">
        <w:rPr>
          <w:rFonts w:asciiTheme="majorHAnsi" w:hAnsiTheme="majorHAnsi"/>
          <w:sz w:val="20"/>
          <w:szCs w:val="20"/>
        </w:rPr>
        <w:tab/>
        <w:t xml:space="preserve">Afin de rationaliser davantage les informations déclarées sur les caractéristiques des navires, il est également suggéré d'harmoniser les exigences en matière d’application et de statistiques, conformément aux paragraphes 57 et 76 b) de la Rec. 24-01 respectivement. L'exigence d’application « </w:t>
      </w:r>
      <w:proofErr w:type="gramStart"/>
      <w:r w:rsidRPr="00525739">
        <w:rPr>
          <w:rFonts w:asciiTheme="majorHAnsi" w:hAnsiTheme="majorHAnsi"/>
          <w:sz w:val="20"/>
          <w:szCs w:val="20"/>
        </w:rPr>
        <w:t>M:TRO</w:t>
      </w:r>
      <w:proofErr w:type="gramEnd"/>
      <w:r w:rsidRPr="00525739">
        <w:rPr>
          <w:rFonts w:asciiTheme="majorHAnsi" w:hAnsiTheme="majorHAnsi"/>
          <w:sz w:val="20"/>
          <w:szCs w:val="20"/>
        </w:rPr>
        <w:t>01 » oblige les CPC à déclarer la liste des navires autorisés à pêcher les thonidés tropicaux, conformément au paragraphe 57.</w:t>
      </w:r>
      <w:bookmarkStart w:id="1" w:name="_Hlk210725917"/>
      <w:r w:rsidRPr="00525739">
        <w:rPr>
          <w:rFonts w:asciiTheme="majorHAnsi" w:hAnsiTheme="majorHAnsi"/>
          <w:sz w:val="20"/>
          <w:szCs w:val="20"/>
        </w:rPr>
        <w:t xml:space="preserve"> </w:t>
      </w:r>
      <w:bookmarkEnd w:id="1"/>
      <w:r w:rsidRPr="00525739">
        <w:rPr>
          <w:rFonts w:asciiTheme="majorHAnsi" w:hAnsiTheme="majorHAnsi"/>
          <w:sz w:val="20"/>
          <w:szCs w:val="20"/>
        </w:rPr>
        <w:t xml:space="preserve">D’après l’exigence statistique « </w:t>
      </w:r>
      <w:proofErr w:type="gramStart"/>
      <w:r w:rsidRPr="00525739">
        <w:rPr>
          <w:rFonts w:asciiTheme="majorHAnsi" w:hAnsiTheme="majorHAnsi"/>
          <w:sz w:val="20"/>
          <w:szCs w:val="20"/>
        </w:rPr>
        <w:t>S:GEN</w:t>
      </w:r>
      <w:proofErr w:type="gramEnd"/>
      <w:r w:rsidRPr="00525739">
        <w:rPr>
          <w:rFonts w:asciiTheme="majorHAnsi" w:hAnsiTheme="majorHAnsi"/>
          <w:sz w:val="20"/>
          <w:szCs w:val="20"/>
        </w:rPr>
        <w:t>02 », les CPC sont tenues de soumettre des informations sur les caractéristiques de la flottille des navires en activité au cours de l'année précédente, conformément au paragraphe 76</w:t>
      </w:r>
      <w:r w:rsidR="008D6E77" w:rsidRPr="00525739">
        <w:rPr>
          <w:rFonts w:asciiTheme="majorHAnsi" w:hAnsiTheme="majorHAnsi"/>
          <w:sz w:val="20"/>
          <w:szCs w:val="20"/>
        </w:rPr>
        <w:t xml:space="preserve"> </w:t>
      </w:r>
      <w:r w:rsidRPr="00525739">
        <w:rPr>
          <w:rFonts w:asciiTheme="majorHAnsi" w:hAnsiTheme="majorHAnsi"/>
          <w:sz w:val="20"/>
          <w:szCs w:val="20"/>
        </w:rPr>
        <w:t>b). Bien qu'elles se recoupent, ces obligations de déclaration imposent aux CPC de déclarer des informations identiques (caractéristiques des navires), mais sous des formats différents. Afin de simplifier la collecte des données et d'assurer la cohérence entre les sources de données, à la lumière des délibérations tenues lors de la réunion du SCRS</w:t>
      </w:r>
      <w:r w:rsidRPr="00525739">
        <w:rPr>
          <w:rFonts w:asciiTheme="majorHAnsi" w:hAnsiTheme="majorHAnsi"/>
          <w:sz w:val="20"/>
          <w:szCs w:val="20"/>
          <w:vertAlign w:val="superscript"/>
        </w:rPr>
        <w:footnoteReference w:id="1"/>
      </w:r>
      <w:r w:rsidRPr="00525739">
        <w:rPr>
          <w:rFonts w:asciiTheme="majorHAnsi" w:hAnsiTheme="majorHAnsi"/>
          <w:sz w:val="20"/>
          <w:szCs w:val="20"/>
        </w:rPr>
        <w:t>, les modifications suivantes sont proposées au formulaire CP01</w:t>
      </w:r>
      <w:r w:rsidR="005B790B" w:rsidRPr="00525739">
        <w:rPr>
          <w:rStyle w:val="FootnoteReference"/>
          <w:rFonts w:asciiTheme="majorHAnsi" w:hAnsiTheme="majorHAnsi"/>
          <w:sz w:val="20"/>
          <w:szCs w:val="20"/>
        </w:rPr>
        <w:footnoteReference w:id="2"/>
      </w:r>
      <w:r w:rsidR="008D6E77" w:rsidRPr="00525739">
        <w:rPr>
          <w:rFonts w:asciiTheme="majorHAnsi" w:hAnsiTheme="majorHAnsi"/>
          <w:sz w:val="20"/>
          <w:szCs w:val="20"/>
        </w:rPr>
        <w:t> :</w:t>
      </w:r>
    </w:p>
    <w:p w14:paraId="71D02F96" w14:textId="77777777" w:rsidR="008D70D9" w:rsidRPr="00525739" w:rsidRDefault="008D70D9" w:rsidP="008D70D9">
      <w:pPr>
        <w:pStyle w:val="BodyText"/>
        <w:spacing w:line="256" w:lineRule="auto"/>
        <w:ind w:left="851" w:hanging="425"/>
        <w:rPr>
          <w:rFonts w:asciiTheme="majorHAnsi" w:hAnsiTheme="majorHAnsi"/>
          <w:sz w:val="20"/>
          <w:szCs w:val="20"/>
        </w:rPr>
      </w:pPr>
    </w:p>
    <w:p w14:paraId="5ABE7F88" w14:textId="77777777" w:rsidR="008D70D9" w:rsidRPr="00525739" w:rsidRDefault="008D70D9" w:rsidP="00012814">
      <w:pPr>
        <w:pStyle w:val="BodyText"/>
        <w:numPr>
          <w:ilvl w:val="0"/>
          <w:numId w:val="9"/>
        </w:numPr>
        <w:spacing w:line="256" w:lineRule="auto"/>
        <w:ind w:left="851" w:hanging="425"/>
        <w:jc w:val="both"/>
        <w:rPr>
          <w:rFonts w:asciiTheme="majorHAnsi" w:hAnsiTheme="majorHAnsi"/>
          <w:sz w:val="20"/>
          <w:szCs w:val="20"/>
        </w:rPr>
      </w:pPr>
      <w:r w:rsidRPr="00525739">
        <w:rPr>
          <w:rFonts w:asciiTheme="majorHAnsi" w:hAnsiTheme="majorHAnsi"/>
          <w:sz w:val="20"/>
          <w:szCs w:val="20"/>
        </w:rPr>
        <w:t xml:space="preserve">Longueur du navire : utiliser exclusivement la longueur hors tout (LOA, en mètres) ; </w:t>
      </w:r>
    </w:p>
    <w:p w14:paraId="592F6FED" w14:textId="77777777" w:rsidR="008D70D9" w:rsidRPr="00525739" w:rsidRDefault="008D70D9" w:rsidP="00012814">
      <w:pPr>
        <w:pStyle w:val="BodyText"/>
        <w:spacing w:line="256" w:lineRule="auto"/>
        <w:ind w:left="851" w:hanging="425"/>
        <w:jc w:val="both"/>
        <w:rPr>
          <w:rFonts w:asciiTheme="majorHAnsi" w:hAnsiTheme="majorHAnsi"/>
          <w:sz w:val="20"/>
          <w:szCs w:val="20"/>
        </w:rPr>
      </w:pPr>
    </w:p>
    <w:p w14:paraId="0BE5CA0B" w14:textId="77777777" w:rsidR="008D70D9" w:rsidRPr="00525739" w:rsidRDefault="008D70D9" w:rsidP="00012814">
      <w:pPr>
        <w:pStyle w:val="BodyText"/>
        <w:numPr>
          <w:ilvl w:val="0"/>
          <w:numId w:val="9"/>
        </w:numPr>
        <w:spacing w:line="256" w:lineRule="auto"/>
        <w:ind w:left="851" w:hanging="425"/>
        <w:jc w:val="both"/>
        <w:rPr>
          <w:rFonts w:asciiTheme="majorHAnsi" w:hAnsiTheme="majorHAnsi"/>
          <w:sz w:val="20"/>
          <w:szCs w:val="20"/>
        </w:rPr>
      </w:pPr>
      <w:r w:rsidRPr="00525739">
        <w:rPr>
          <w:rFonts w:asciiTheme="majorHAnsi" w:hAnsiTheme="majorHAnsi"/>
          <w:sz w:val="20"/>
          <w:szCs w:val="20"/>
        </w:rPr>
        <w:t>Tonnage du navire : utiliser par défaut le tonnage brut (GT, sans dimension), ou le tonnage brut enregistré (GRT, en m</w:t>
      </w:r>
      <w:r w:rsidRPr="00525739">
        <w:rPr>
          <w:rFonts w:asciiTheme="majorHAnsi" w:hAnsiTheme="majorHAnsi"/>
          <w:sz w:val="20"/>
          <w:szCs w:val="20"/>
          <w:vertAlign w:val="superscript"/>
        </w:rPr>
        <w:t>3</w:t>
      </w:r>
      <w:r w:rsidRPr="00525739">
        <w:rPr>
          <w:rFonts w:asciiTheme="majorHAnsi" w:hAnsiTheme="majorHAnsi"/>
          <w:sz w:val="20"/>
          <w:szCs w:val="20"/>
        </w:rPr>
        <w:t xml:space="preserve"> ou 2,83 x tonnes enregistrées) en option ; </w:t>
      </w:r>
    </w:p>
    <w:p w14:paraId="0984AD8A" w14:textId="77777777" w:rsidR="008D70D9" w:rsidRPr="00525739" w:rsidRDefault="008D70D9" w:rsidP="00012814">
      <w:pPr>
        <w:pStyle w:val="BodyText"/>
        <w:spacing w:line="256" w:lineRule="auto"/>
        <w:ind w:left="851" w:hanging="425"/>
        <w:jc w:val="both"/>
        <w:rPr>
          <w:rFonts w:asciiTheme="majorHAnsi" w:hAnsiTheme="majorHAnsi"/>
          <w:sz w:val="20"/>
          <w:szCs w:val="20"/>
        </w:rPr>
      </w:pPr>
    </w:p>
    <w:p w14:paraId="42023AAF" w14:textId="322F67EA" w:rsidR="008D70D9" w:rsidRPr="00525739" w:rsidRDefault="008D70D9" w:rsidP="00012814">
      <w:pPr>
        <w:pStyle w:val="BodyText"/>
        <w:numPr>
          <w:ilvl w:val="0"/>
          <w:numId w:val="9"/>
        </w:numPr>
        <w:spacing w:line="256" w:lineRule="auto"/>
        <w:ind w:left="851" w:hanging="425"/>
        <w:jc w:val="both"/>
        <w:rPr>
          <w:rFonts w:asciiTheme="majorHAnsi" w:hAnsiTheme="majorHAnsi"/>
          <w:sz w:val="20"/>
          <w:szCs w:val="20"/>
        </w:rPr>
      </w:pPr>
      <w:r w:rsidRPr="00525739">
        <w:rPr>
          <w:rFonts w:asciiTheme="majorHAnsi" w:hAnsiTheme="majorHAnsi"/>
          <w:sz w:val="20"/>
          <w:szCs w:val="20"/>
        </w:rPr>
        <w:t>Augmenter la capacité de transport des navires de pêche et adopter des unités standard uniques :</w:t>
      </w:r>
    </w:p>
    <w:p w14:paraId="6A922436" w14:textId="77777777" w:rsidR="008D70D9" w:rsidRPr="00525739" w:rsidRDefault="008D70D9" w:rsidP="008D70D9">
      <w:pPr>
        <w:pStyle w:val="BodyText"/>
        <w:spacing w:line="256" w:lineRule="auto"/>
        <w:ind w:left="851" w:hanging="425"/>
        <w:rPr>
          <w:rFonts w:asciiTheme="majorHAnsi" w:hAnsiTheme="majorHAnsi"/>
          <w:sz w:val="20"/>
          <w:szCs w:val="20"/>
        </w:rPr>
      </w:pPr>
    </w:p>
    <w:p w14:paraId="03842741" w14:textId="77777777" w:rsidR="008D70D9" w:rsidRPr="00525739" w:rsidRDefault="008D70D9" w:rsidP="008D70D9">
      <w:pPr>
        <w:pStyle w:val="BodyText"/>
        <w:numPr>
          <w:ilvl w:val="1"/>
          <w:numId w:val="9"/>
        </w:numPr>
        <w:spacing w:line="256" w:lineRule="auto"/>
        <w:ind w:left="1276" w:hanging="425"/>
        <w:rPr>
          <w:rFonts w:asciiTheme="majorHAnsi" w:hAnsiTheme="majorHAnsi"/>
          <w:sz w:val="20"/>
          <w:szCs w:val="20"/>
        </w:rPr>
      </w:pPr>
      <w:r w:rsidRPr="00525739">
        <w:rPr>
          <w:rFonts w:asciiTheme="majorHAnsi" w:hAnsiTheme="majorHAnsi"/>
          <w:sz w:val="20"/>
          <w:szCs w:val="20"/>
        </w:rPr>
        <w:t xml:space="preserve">Navires </w:t>
      </w:r>
      <w:proofErr w:type="gramStart"/>
      <w:r w:rsidRPr="00525739">
        <w:rPr>
          <w:rFonts w:asciiTheme="majorHAnsi" w:hAnsiTheme="majorHAnsi"/>
          <w:sz w:val="20"/>
          <w:szCs w:val="20"/>
        </w:rPr>
        <w:t>transporteurs:</w:t>
      </w:r>
      <w:proofErr w:type="gramEnd"/>
      <w:r w:rsidRPr="00525739">
        <w:rPr>
          <w:rFonts w:asciiTheme="majorHAnsi" w:hAnsiTheme="majorHAnsi"/>
          <w:sz w:val="20"/>
          <w:szCs w:val="20"/>
        </w:rPr>
        <w:t xml:space="preserve"> capacité de transport des transporteurs (CCC, tonnes métriques),</w:t>
      </w:r>
    </w:p>
    <w:p w14:paraId="7FE290D9" w14:textId="77777777" w:rsidR="008D70D9" w:rsidRPr="00525739" w:rsidRDefault="008D70D9" w:rsidP="008D70D9">
      <w:pPr>
        <w:pStyle w:val="BodyText"/>
        <w:numPr>
          <w:ilvl w:val="1"/>
          <w:numId w:val="9"/>
        </w:numPr>
        <w:spacing w:line="256" w:lineRule="auto"/>
        <w:ind w:left="1276" w:hanging="425"/>
        <w:rPr>
          <w:rFonts w:asciiTheme="majorHAnsi" w:hAnsiTheme="majorHAnsi"/>
          <w:sz w:val="20"/>
          <w:szCs w:val="20"/>
        </w:rPr>
      </w:pPr>
      <w:r w:rsidRPr="00525739">
        <w:rPr>
          <w:rFonts w:asciiTheme="majorHAnsi" w:hAnsiTheme="majorHAnsi"/>
          <w:sz w:val="20"/>
          <w:szCs w:val="20"/>
        </w:rPr>
        <w:t xml:space="preserve">Navire de </w:t>
      </w:r>
      <w:proofErr w:type="gramStart"/>
      <w:r w:rsidRPr="00525739">
        <w:rPr>
          <w:rFonts w:asciiTheme="majorHAnsi" w:hAnsiTheme="majorHAnsi"/>
          <w:sz w:val="20"/>
          <w:szCs w:val="20"/>
        </w:rPr>
        <w:t>pêche:</w:t>
      </w:r>
      <w:proofErr w:type="gramEnd"/>
      <w:r w:rsidRPr="00525739">
        <w:rPr>
          <w:rFonts w:asciiTheme="majorHAnsi" w:hAnsiTheme="majorHAnsi"/>
          <w:sz w:val="20"/>
          <w:szCs w:val="20"/>
        </w:rPr>
        <w:t xml:space="preserve"> </w:t>
      </w:r>
    </w:p>
    <w:p w14:paraId="31DBC36D" w14:textId="77777777" w:rsidR="008D70D9" w:rsidRPr="00525739" w:rsidRDefault="008D70D9" w:rsidP="008D70D9">
      <w:pPr>
        <w:pStyle w:val="BodyText"/>
        <w:spacing w:line="256" w:lineRule="auto"/>
        <w:ind w:left="851" w:hanging="425"/>
        <w:rPr>
          <w:rFonts w:asciiTheme="majorHAnsi" w:hAnsiTheme="majorHAnsi"/>
          <w:sz w:val="20"/>
          <w:szCs w:val="20"/>
        </w:rPr>
      </w:pPr>
    </w:p>
    <w:p w14:paraId="56E50A55" w14:textId="38BAB9B6" w:rsidR="008D70D9" w:rsidRPr="00525739" w:rsidRDefault="00012814" w:rsidP="008D70D9">
      <w:pPr>
        <w:pStyle w:val="BodyText"/>
        <w:numPr>
          <w:ilvl w:val="2"/>
          <w:numId w:val="9"/>
        </w:numPr>
        <w:spacing w:line="256" w:lineRule="auto"/>
        <w:ind w:left="1701" w:hanging="425"/>
        <w:rPr>
          <w:rFonts w:asciiTheme="majorHAnsi" w:hAnsiTheme="majorHAnsi"/>
          <w:sz w:val="20"/>
          <w:szCs w:val="20"/>
        </w:rPr>
      </w:pPr>
      <w:r w:rsidRPr="00525739">
        <w:rPr>
          <w:rFonts w:asciiTheme="majorHAnsi" w:hAnsiTheme="majorHAnsi"/>
          <w:sz w:val="20"/>
          <w:szCs w:val="20"/>
        </w:rPr>
        <w:t xml:space="preserve">Capacité </w:t>
      </w:r>
      <w:r w:rsidR="008D70D9" w:rsidRPr="00525739">
        <w:rPr>
          <w:rFonts w:asciiTheme="majorHAnsi" w:hAnsiTheme="majorHAnsi"/>
          <w:sz w:val="20"/>
          <w:szCs w:val="20"/>
        </w:rPr>
        <w:t>de transport de poissons (FCC, tonnes métriques), [ou/et],</w:t>
      </w:r>
    </w:p>
    <w:p w14:paraId="0944CD21" w14:textId="77777777" w:rsidR="008D70D9" w:rsidRPr="00525739" w:rsidRDefault="008D70D9" w:rsidP="008D70D9">
      <w:pPr>
        <w:pStyle w:val="BodyText"/>
        <w:numPr>
          <w:ilvl w:val="2"/>
          <w:numId w:val="9"/>
        </w:numPr>
        <w:spacing w:line="256" w:lineRule="auto"/>
        <w:ind w:left="1701" w:hanging="425"/>
        <w:rPr>
          <w:rFonts w:asciiTheme="majorHAnsi" w:hAnsiTheme="majorHAnsi"/>
          <w:sz w:val="20"/>
          <w:szCs w:val="20"/>
        </w:rPr>
      </w:pPr>
      <w:r w:rsidRPr="00525739">
        <w:rPr>
          <w:rFonts w:asciiTheme="majorHAnsi" w:hAnsiTheme="majorHAnsi"/>
          <w:sz w:val="20"/>
          <w:szCs w:val="20"/>
        </w:rPr>
        <w:t>Nouvelle colonne pour le volume de la cale à poissons (FHV, m</w:t>
      </w:r>
      <w:r w:rsidRPr="00525739">
        <w:rPr>
          <w:rFonts w:asciiTheme="majorHAnsi" w:hAnsiTheme="majorHAnsi"/>
          <w:sz w:val="20"/>
          <w:szCs w:val="20"/>
          <w:vertAlign w:val="superscript"/>
        </w:rPr>
        <w:t>3</w:t>
      </w:r>
      <w:r w:rsidRPr="00525739">
        <w:rPr>
          <w:rFonts w:asciiTheme="majorHAnsi" w:hAnsiTheme="majorHAnsi"/>
          <w:sz w:val="20"/>
          <w:szCs w:val="20"/>
        </w:rPr>
        <w:t>).</w:t>
      </w:r>
    </w:p>
    <w:p w14:paraId="2F7E2655" w14:textId="77777777" w:rsidR="008D70D9" w:rsidRPr="00525739" w:rsidRDefault="008D70D9" w:rsidP="008D70D9">
      <w:pPr>
        <w:pStyle w:val="BodyText"/>
        <w:spacing w:line="256" w:lineRule="auto"/>
        <w:ind w:left="851" w:hanging="425"/>
        <w:rPr>
          <w:rFonts w:asciiTheme="majorHAnsi" w:hAnsiTheme="majorHAnsi"/>
          <w:sz w:val="20"/>
          <w:szCs w:val="20"/>
        </w:rPr>
      </w:pPr>
    </w:p>
    <w:p w14:paraId="39C72DE3" w14:textId="37FE55CF" w:rsidR="00F0005C" w:rsidRPr="00525739" w:rsidRDefault="008D70D9" w:rsidP="00076F9E">
      <w:pPr>
        <w:pStyle w:val="BodyText"/>
        <w:spacing w:line="256" w:lineRule="auto"/>
        <w:rPr>
          <w:rFonts w:asciiTheme="majorHAnsi" w:hAnsiTheme="majorHAnsi"/>
          <w:sz w:val="20"/>
          <w:szCs w:val="20"/>
        </w:rPr>
      </w:pPr>
      <w:r w:rsidRPr="00525739">
        <w:rPr>
          <w:rFonts w:asciiTheme="majorHAnsi" w:hAnsiTheme="majorHAnsi"/>
          <w:sz w:val="20"/>
          <w:szCs w:val="20"/>
        </w:rPr>
        <w:t xml:space="preserve">Afin de simplifier le processus de validation et de maintenir la cohérence entre les bases de données sur les navires, le Secrétariat propose de standardiser les mesures susmentionnées (longueur, tonnage, CCC, </w:t>
      </w:r>
      <w:r w:rsidRPr="00525739">
        <w:rPr>
          <w:rFonts w:asciiTheme="majorHAnsi" w:hAnsiTheme="majorHAnsi"/>
          <w:sz w:val="20"/>
          <w:szCs w:val="20"/>
        </w:rPr>
        <w:lastRenderedPageBreak/>
        <w:t>FCC, FHV) en arrondissant les valeurs déclarées à une décimale près.</w:t>
      </w:r>
    </w:p>
    <w:p w14:paraId="24BDA378" w14:textId="77777777" w:rsidR="00C406AC" w:rsidRPr="00525739" w:rsidRDefault="00C406AC" w:rsidP="00076F9E">
      <w:pPr>
        <w:pStyle w:val="BodyText"/>
        <w:spacing w:line="256" w:lineRule="auto"/>
        <w:rPr>
          <w:rFonts w:asciiTheme="majorHAnsi" w:hAnsiTheme="majorHAnsi"/>
          <w:sz w:val="20"/>
          <w:szCs w:val="20"/>
        </w:rPr>
      </w:pPr>
    </w:p>
    <w:p w14:paraId="6C242733" w14:textId="435F0B23" w:rsidR="00F0005C" w:rsidRPr="00525739" w:rsidRDefault="00F0005C" w:rsidP="00F0005C">
      <w:pPr>
        <w:pStyle w:val="BodyText"/>
        <w:spacing w:line="256" w:lineRule="auto"/>
        <w:rPr>
          <w:rFonts w:asciiTheme="majorHAnsi" w:hAnsiTheme="majorHAnsi"/>
          <w:b/>
          <w:bCs/>
          <w:sz w:val="20"/>
          <w:szCs w:val="20"/>
        </w:rPr>
      </w:pPr>
      <w:r w:rsidRPr="00525739">
        <w:rPr>
          <w:rFonts w:asciiTheme="majorHAnsi" w:hAnsiTheme="majorHAnsi"/>
          <w:b/>
          <w:bCs/>
          <w:sz w:val="20"/>
          <w:szCs w:val="20"/>
        </w:rPr>
        <w:t>Sous-commission 2 :</w:t>
      </w:r>
    </w:p>
    <w:p w14:paraId="64FB0027" w14:textId="77777777" w:rsidR="00F0005C" w:rsidRPr="00525739" w:rsidRDefault="00F0005C" w:rsidP="00F0005C">
      <w:pPr>
        <w:pStyle w:val="BodyText"/>
        <w:spacing w:line="256" w:lineRule="auto"/>
        <w:rPr>
          <w:rFonts w:asciiTheme="majorHAnsi" w:hAnsiTheme="majorHAnsi"/>
          <w:b/>
          <w:bCs/>
          <w:sz w:val="20"/>
          <w:szCs w:val="20"/>
        </w:rPr>
      </w:pPr>
    </w:p>
    <w:p w14:paraId="0E0CA70E" w14:textId="77777777" w:rsidR="00F0005C" w:rsidRPr="00525739" w:rsidRDefault="00903DDF" w:rsidP="00F0005C">
      <w:pPr>
        <w:pStyle w:val="BodyText"/>
        <w:spacing w:before="4" w:line="256" w:lineRule="auto"/>
        <w:ind w:right="132"/>
        <w:jc w:val="both"/>
        <w:rPr>
          <w:rFonts w:asciiTheme="majorHAnsi" w:hAnsiTheme="majorHAnsi"/>
          <w:color w:val="231F20"/>
          <w:sz w:val="20"/>
          <w:szCs w:val="20"/>
        </w:rPr>
      </w:pPr>
      <w:r w:rsidRPr="00525739">
        <w:rPr>
          <w:rFonts w:asciiTheme="majorHAnsi" w:hAnsiTheme="majorHAnsi"/>
          <w:b/>
          <w:bCs/>
          <w:i/>
          <w:iCs/>
          <w:color w:val="231F20"/>
          <w:sz w:val="20"/>
          <w:szCs w:val="20"/>
        </w:rPr>
        <w:t>Germon de Méditerranée</w:t>
      </w:r>
    </w:p>
    <w:p w14:paraId="1C9F82FC" w14:textId="77777777" w:rsidR="00F0005C" w:rsidRPr="00525739" w:rsidRDefault="00F0005C" w:rsidP="00F0005C">
      <w:pPr>
        <w:pStyle w:val="BodyText"/>
        <w:spacing w:before="4" w:line="256" w:lineRule="auto"/>
        <w:ind w:right="132"/>
        <w:jc w:val="both"/>
        <w:rPr>
          <w:rFonts w:asciiTheme="majorHAnsi" w:hAnsiTheme="majorHAnsi"/>
          <w:color w:val="231F20"/>
          <w:sz w:val="20"/>
          <w:szCs w:val="20"/>
        </w:rPr>
      </w:pPr>
    </w:p>
    <w:p w14:paraId="4A2A96E3" w14:textId="1C8ACE0C" w:rsidR="00903DDF" w:rsidRPr="00525739" w:rsidRDefault="00903DDF" w:rsidP="00F0005C">
      <w:pPr>
        <w:pStyle w:val="BodyText"/>
        <w:spacing w:before="4" w:line="256" w:lineRule="auto"/>
        <w:ind w:right="132"/>
        <w:jc w:val="both"/>
        <w:rPr>
          <w:rFonts w:asciiTheme="majorHAnsi" w:hAnsiTheme="majorHAnsi"/>
          <w:sz w:val="20"/>
          <w:szCs w:val="20"/>
        </w:rPr>
      </w:pPr>
      <w:r w:rsidRPr="00525739">
        <w:rPr>
          <w:rFonts w:asciiTheme="majorHAnsi" w:hAnsiTheme="majorHAnsi"/>
          <w:color w:val="231F20"/>
          <w:sz w:val="20"/>
          <w:szCs w:val="20"/>
        </w:rPr>
        <w:t xml:space="preserve">Les dispositions définissant les exigences </w:t>
      </w:r>
      <w:proofErr w:type="gramStart"/>
      <w:r w:rsidRPr="00525739">
        <w:rPr>
          <w:rFonts w:asciiTheme="majorHAnsi" w:hAnsiTheme="majorHAnsi"/>
          <w:color w:val="231F20"/>
          <w:sz w:val="20"/>
          <w:szCs w:val="20"/>
        </w:rPr>
        <w:t>M:ALB</w:t>
      </w:r>
      <w:proofErr w:type="gramEnd"/>
      <w:r w:rsidRPr="00525739">
        <w:rPr>
          <w:rFonts w:asciiTheme="majorHAnsi" w:hAnsiTheme="majorHAnsi"/>
          <w:color w:val="231F20"/>
          <w:sz w:val="20"/>
          <w:szCs w:val="20"/>
        </w:rPr>
        <w:t xml:space="preserve">09 et </w:t>
      </w:r>
      <w:proofErr w:type="gramStart"/>
      <w:r w:rsidRPr="00525739">
        <w:rPr>
          <w:rFonts w:asciiTheme="majorHAnsi" w:hAnsiTheme="majorHAnsi"/>
          <w:color w:val="231F20"/>
          <w:sz w:val="20"/>
          <w:szCs w:val="20"/>
        </w:rPr>
        <w:t>M:ALB</w:t>
      </w:r>
      <w:proofErr w:type="gramEnd"/>
      <w:r w:rsidRPr="00525739">
        <w:rPr>
          <w:rFonts w:asciiTheme="majorHAnsi" w:hAnsiTheme="majorHAnsi"/>
          <w:color w:val="231F20"/>
          <w:sz w:val="20"/>
          <w:szCs w:val="20"/>
        </w:rPr>
        <w:t xml:space="preserve">10, concernant la soumission des données de capture mensuelles et trimestrielles, respectivement, pour le germon de la Méditerranée, ainsi que l'obligation pour les CPC de notifier le Secrétariat de l'ICCAT lorsqu'elles ont atteint 80% </w:t>
      </w:r>
      <w:r w:rsidR="00064879" w:rsidRPr="00525739">
        <w:rPr>
          <w:rFonts w:asciiTheme="majorHAnsi" w:hAnsiTheme="majorHAnsi"/>
          <w:color w:val="231F20"/>
          <w:sz w:val="20"/>
          <w:szCs w:val="20"/>
        </w:rPr>
        <w:t>de leur</w:t>
      </w:r>
      <w:r w:rsidRPr="00525739">
        <w:rPr>
          <w:rFonts w:asciiTheme="majorHAnsi" w:hAnsiTheme="majorHAnsi"/>
          <w:color w:val="231F20"/>
          <w:sz w:val="20"/>
          <w:szCs w:val="20"/>
        </w:rPr>
        <w:t xml:space="preserve"> TAC, ne sont pas contenues dans la Rec. 24-08, mais </w:t>
      </w:r>
      <w:r w:rsidR="00064879" w:rsidRPr="00525739">
        <w:rPr>
          <w:rFonts w:asciiTheme="majorHAnsi" w:hAnsiTheme="majorHAnsi"/>
          <w:color w:val="231F20"/>
          <w:sz w:val="20"/>
          <w:szCs w:val="20"/>
        </w:rPr>
        <w:t xml:space="preserve">plutôt </w:t>
      </w:r>
      <w:r w:rsidRPr="00525739">
        <w:rPr>
          <w:rFonts w:asciiTheme="majorHAnsi" w:hAnsiTheme="majorHAnsi"/>
          <w:color w:val="231F20"/>
          <w:sz w:val="20"/>
          <w:szCs w:val="20"/>
        </w:rPr>
        <w:t xml:space="preserve">dans le rapport de la réunion du Groupe de travail </w:t>
      </w:r>
      <w:r w:rsidRPr="00525739">
        <w:rPr>
          <w:rFonts w:asciiTheme="majorHAnsi" w:hAnsiTheme="majorHAnsi"/>
          <w:i/>
          <w:iCs/>
          <w:color w:val="231F20"/>
          <w:sz w:val="20"/>
          <w:szCs w:val="20"/>
        </w:rPr>
        <w:t>ad hoc</w:t>
      </w:r>
      <w:r w:rsidRPr="00525739">
        <w:rPr>
          <w:rFonts w:asciiTheme="majorHAnsi" w:hAnsiTheme="majorHAnsi"/>
          <w:color w:val="231F20"/>
          <w:sz w:val="20"/>
          <w:szCs w:val="20"/>
        </w:rPr>
        <w:t xml:space="preserve"> sur le germon de la Méditerranée tenue en février 2022. Il est suggéré que toute recommandation amendant ou remplaçant la Rec. 24-08 </w:t>
      </w:r>
      <w:r w:rsidR="00064879" w:rsidRPr="00525739">
        <w:rPr>
          <w:rFonts w:asciiTheme="majorHAnsi" w:hAnsiTheme="majorHAnsi"/>
          <w:color w:val="231F20"/>
          <w:sz w:val="20"/>
          <w:szCs w:val="20"/>
        </w:rPr>
        <w:t>devrait inclure</w:t>
      </w:r>
      <w:r w:rsidRPr="00525739">
        <w:rPr>
          <w:rFonts w:asciiTheme="majorHAnsi" w:hAnsiTheme="majorHAnsi"/>
          <w:color w:val="231F20"/>
          <w:sz w:val="20"/>
          <w:szCs w:val="20"/>
        </w:rPr>
        <w:t xml:space="preserve"> explicitement ces obligations.</w:t>
      </w:r>
    </w:p>
    <w:p w14:paraId="5EEB5269" w14:textId="77777777" w:rsidR="00903DDF" w:rsidRPr="00525739" w:rsidRDefault="00903DDF" w:rsidP="00903DDF">
      <w:pPr>
        <w:rPr>
          <w:rFonts w:asciiTheme="majorHAnsi" w:hAnsiTheme="majorHAnsi"/>
          <w:sz w:val="20"/>
          <w:szCs w:val="20"/>
        </w:rPr>
      </w:pPr>
    </w:p>
    <w:p w14:paraId="13592262" w14:textId="7C054AFA" w:rsidR="00F0005C" w:rsidRPr="00525739" w:rsidRDefault="00F0005C" w:rsidP="00F0005C">
      <w:pPr>
        <w:pStyle w:val="BodyText"/>
        <w:spacing w:line="256" w:lineRule="auto"/>
        <w:rPr>
          <w:rFonts w:asciiTheme="majorHAnsi" w:hAnsiTheme="majorHAnsi"/>
          <w:b/>
          <w:bCs/>
          <w:sz w:val="20"/>
          <w:szCs w:val="20"/>
        </w:rPr>
      </w:pPr>
      <w:r w:rsidRPr="00525739">
        <w:rPr>
          <w:rFonts w:asciiTheme="majorHAnsi" w:hAnsiTheme="majorHAnsi"/>
          <w:b/>
          <w:bCs/>
          <w:sz w:val="20"/>
          <w:szCs w:val="20"/>
        </w:rPr>
        <w:t>Sous-commission 4 :</w:t>
      </w:r>
    </w:p>
    <w:p w14:paraId="34A5C075" w14:textId="77777777" w:rsidR="00F0005C" w:rsidRPr="00525739" w:rsidRDefault="00F0005C" w:rsidP="00903DDF">
      <w:pPr>
        <w:rPr>
          <w:rFonts w:asciiTheme="majorHAnsi" w:hAnsiTheme="majorHAnsi"/>
          <w:sz w:val="20"/>
          <w:szCs w:val="20"/>
        </w:rPr>
      </w:pPr>
    </w:p>
    <w:p w14:paraId="1F487953" w14:textId="77777777" w:rsidR="00F0005C" w:rsidRPr="00525739" w:rsidRDefault="003A5EC9" w:rsidP="00F0005C">
      <w:pPr>
        <w:pStyle w:val="BodyText"/>
        <w:spacing w:before="4" w:line="256" w:lineRule="auto"/>
        <w:ind w:right="132"/>
        <w:jc w:val="both"/>
        <w:rPr>
          <w:rFonts w:asciiTheme="majorHAnsi" w:hAnsiTheme="majorHAnsi"/>
          <w:b/>
          <w:bCs/>
          <w:i/>
          <w:iCs/>
          <w:color w:val="231F20"/>
          <w:sz w:val="20"/>
          <w:szCs w:val="20"/>
        </w:rPr>
      </w:pPr>
      <w:r w:rsidRPr="00525739">
        <w:rPr>
          <w:rFonts w:asciiTheme="majorHAnsi" w:hAnsiTheme="majorHAnsi"/>
          <w:b/>
          <w:bCs/>
          <w:i/>
          <w:iCs/>
          <w:color w:val="231F20"/>
          <w:sz w:val="20"/>
          <w:szCs w:val="20"/>
        </w:rPr>
        <w:t>Espadon de l'Atlantique Sud</w:t>
      </w:r>
    </w:p>
    <w:p w14:paraId="081BFA00" w14:textId="77777777" w:rsidR="00F0005C" w:rsidRPr="00525739" w:rsidRDefault="00F0005C" w:rsidP="00F0005C">
      <w:pPr>
        <w:pStyle w:val="BodyText"/>
        <w:spacing w:before="4" w:line="256" w:lineRule="auto"/>
        <w:ind w:right="132"/>
        <w:jc w:val="both"/>
        <w:rPr>
          <w:rFonts w:asciiTheme="majorHAnsi" w:hAnsiTheme="majorHAnsi"/>
          <w:b/>
          <w:bCs/>
          <w:i/>
          <w:iCs/>
          <w:color w:val="231F20"/>
          <w:sz w:val="20"/>
          <w:szCs w:val="20"/>
        </w:rPr>
      </w:pPr>
    </w:p>
    <w:p w14:paraId="7DA8F87B" w14:textId="3A6321FF" w:rsidR="00E158A1" w:rsidRPr="00525739" w:rsidRDefault="003A5EC9" w:rsidP="00F0005C">
      <w:pPr>
        <w:pStyle w:val="BodyText"/>
        <w:spacing w:before="4" w:line="256" w:lineRule="auto"/>
        <w:ind w:right="132"/>
        <w:jc w:val="both"/>
        <w:rPr>
          <w:rFonts w:asciiTheme="majorHAnsi" w:hAnsiTheme="majorHAnsi"/>
          <w:sz w:val="20"/>
          <w:szCs w:val="20"/>
        </w:rPr>
      </w:pPr>
      <w:r w:rsidRPr="00525739">
        <w:rPr>
          <w:rFonts w:asciiTheme="majorHAnsi" w:hAnsiTheme="majorHAnsi"/>
          <w:color w:val="231F20"/>
          <w:sz w:val="20"/>
          <w:szCs w:val="20"/>
        </w:rPr>
        <w:t>Pour plus de facilité, il est suggéré que les futurs amendements soient directement réalisés dans la mesure principale, ou qu’une nouvelle mesure soit proposée dans son intégralité.</w:t>
      </w:r>
    </w:p>
    <w:p w14:paraId="56517101" w14:textId="77777777" w:rsidR="00E158A1" w:rsidRPr="00525739" w:rsidRDefault="00E158A1" w:rsidP="000C3A47">
      <w:pPr>
        <w:pStyle w:val="BodyText"/>
        <w:spacing w:before="19"/>
        <w:jc w:val="both"/>
        <w:rPr>
          <w:rFonts w:asciiTheme="majorHAnsi" w:hAnsiTheme="majorHAnsi"/>
          <w:sz w:val="20"/>
          <w:szCs w:val="20"/>
        </w:rPr>
      </w:pPr>
    </w:p>
    <w:p w14:paraId="144A1347" w14:textId="77777777" w:rsidR="00F0005C" w:rsidRPr="00525739" w:rsidRDefault="003A5EC9" w:rsidP="00F0005C">
      <w:pPr>
        <w:pStyle w:val="BodyText"/>
        <w:spacing w:line="256" w:lineRule="auto"/>
        <w:ind w:right="132"/>
        <w:jc w:val="both"/>
        <w:rPr>
          <w:rFonts w:asciiTheme="majorHAnsi" w:hAnsiTheme="majorHAnsi"/>
          <w:b/>
          <w:bCs/>
          <w:i/>
          <w:iCs/>
          <w:color w:val="231F20"/>
          <w:sz w:val="20"/>
          <w:szCs w:val="20"/>
        </w:rPr>
      </w:pPr>
      <w:bookmarkStart w:id="2" w:name="_Hlk202349882"/>
      <w:r w:rsidRPr="00525739">
        <w:rPr>
          <w:rFonts w:asciiTheme="majorHAnsi" w:hAnsiTheme="majorHAnsi"/>
          <w:b/>
          <w:bCs/>
          <w:i/>
          <w:iCs/>
          <w:color w:val="231F20"/>
          <w:sz w:val="20"/>
          <w:szCs w:val="20"/>
        </w:rPr>
        <w:t>Oiseaux de mer</w:t>
      </w:r>
    </w:p>
    <w:p w14:paraId="377A4E68" w14:textId="77777777" w:rsidR="00F0005C" w:rsidRPr="00525739" w:rsidRDefault="00F0005C" w:rsidP="00F0005C">
      <w:pPr>
        <w:pStyle w:val="BodyText"/>
        <w:spacing w:line="256" w:lineRule="auto"/>
        <w:ind w:right="132"/>
        <w:jc w:val="both"/>
        <w:rPr>
          <w:rFonts w:asciiTheme="majorHAnsi" w:hAnsiTheme="majorHAnsi"/>
          <w:color w:val="231F20"/>
          <w:sz w:val="20"/>
          <w:szCs w:val="20"/>
        </w:rPr>
      </w:pPr>
    </w:p>
    <w:p w14:paraId="0D6929FA" w14:textId="78D250FF" w:rsidR="00E158A1" w:rsidRPr="00525739" w:rsidRDefault="003A5EC9" w:rsidP="00F0005C">
      <w:pPr>
        <w:pStyle w:val="BodyText"/>
        <w:spacing w:line="256" w:lineRule="auto"/>
        <w:ind w:right="132"/>
        <w:jc w:val="both"/>
        <w:rPr>
          <w:rFonts w:asciiTheme="majorHAnsi" w:hAnsiTheme="majorHAnsi"/>
          <w:sz w:val="20"/>
          <w:szCs w:val="20"/>
        </w:rPr>
      </w:pPr>
      <w:r w:rsidRPr="00525739">
        <w:rPr>
          <w:rFonts w:asciiTheme="majorHAnsi" w:hAnsiTheme="majorHAnsi"/>
          <w:sz w:val="20"/>
          <w:szCs w:val="20"/>
        </w:rPr>
        <w:t xml:space="preserve">La combinaison de la </w:t>
      </w:r>
      <w:r w:rsidRPr="00525739">
        <w:rPr>
          <w:rFonts w:asciiTheme="majorHAnsi" w:hAnsiTheme="majorHAnsi"/>
          <w:color w:val="005EAC"/>
          <w:sz w:val="20"/>
          <w:szCs w:val="20"/>
        </w:rPr>
        <w:t>Rec. 07-07</w:t>
      </w:r>
      <w:r w:rsidRPr="00525739">
        <w:rPr>
          <w:rFonts w:asciiTheme="majorHAnsi" w:hAnsiTheme="majorHAnsi"/>
          <w:color w:val="231F20"/>
          <w:sz w:val="20"/>
          <w:szCs w:val="20"/>
        </w:rPr>
        <w:t xml:space="preserve"> et de la Rec. </w:t>
      </w:r>
      <w:r w:rsidRPr="00525739">
        <w:rPr>
          <w:rFonts w:asciiTheme="majorHAnsi" w:hAnsiTheme="majorHAnsi"/>
          <w:color w:val="005EAC"/>
          <w:sz w:val="20"/>
          <w:szCs w:val="20"/>
        </w:rPr>
        <w:t>11-09</w:t>
      </w:r>
      <w:r w:rsidRPr="00525739">
        <w:rPr>
          <w:rFonts w:asciiTheme="majorHAnsi" w:hAnsiTheme="majorHAnsi"/>
          <w:sz w:val="20"/>
          <w:szCs w:val="20"/>
        </w:rPr>
        <w:t xml:space="preserve"> sur les oiseaux de mer est toujours en attente.</w:t>
      </w:r>
      <w:r w:rsidRPr="00525739">
        <w:rPr>
          <w:rFonts w:asciiTheme="majorHAnsi" w:hAnsiTheme="majorHAnsi"/>
          <w:color w:val="231F20"/>
          <w:sz w:val="20"/>
          <w:szCs w:val="20"/>
        </w:rPr>
        <w:t xml:space="preserve"> </w:t>
      </w:r>
      <w:r w:rsidRPr="00525739">
        <w:rPr>
          <w:rFonts w:asciiTheme="majorHAnsi" w:hAnsiTheme="majorHAnsi"/>
          <w:sz w:val="20"/>
          <w:szCs w:val="20"/>
        </w:rPr>
        <w:t>Le Sous-comité des écosystèmes et des prises accessoires a pris note des développements en cours concernant les mesures d'atténuation des prises accessoires d'oiseaux de mer, qui devraient être achevées à la fin de 2026 ou au début de 2027. Il a donc été suggéré que tout effort visant à combiner ou à réviser ces recommandations attende que la Commission reçoive tout nouvel avis du SCRS.</w:t>
      </w:r>
    </w:p>
    <w:bookmarkEnd w:id="2"/>
    <w:p w14:paraId="167C23E7" w14:textId="77777777" w:rsidR="00E158A1" w:rsidRPr="00525739" w:rsidRDefault="00E158A1" w:rsidP="000C3A47">
      <w:pPr>
        <w:pStyle w:val="BodyText"/>
        <w:spacing w:before="4"/>
        <w:jc w:val="both"/>
        <w:rPr>
          <w:rFonts w:asciiTheme="majorHAnsi" w:hAnsiTheme="majorHAnsi"/>
          <w:sz w:val="20"/>
          <w:szCs w:val="20"/>
        </w:rPr>
      </w:pPr>
    </w:p>
    <w:p w14:paraId="000CB6F7" w14:textId="77777777" w:rsidR="00651D10" w:rsidRPr="00525739" w:rsidRDefault="003A5EC9" w:rsidP="00F0005C">
      <w:pPr>
        <w:pStyle w:val="BodyText"/>
        <w:spacing w:line="256" w:lineRule="auto"/>
        <w:ind w:right="132"/>
        <w:jc w:val="both"/>
        <w:rPr>
          <w:rFonts w:asciiTheme="majorHAnsi" w:hAnsiTheme="majorHAnsi"/>
          <w:b/>
          <w:bCs/>
          <w:i/>
          <w:iCs/>
          <w:color w:val="231F20"/>
          <w:sz w:val="20"/>
          <w:szCs w:val="20"/>
        </w:rPr>
      </w:pPr>
      <w:r w:rsidRPr="00525739">
        <w:rPr>
          <w:rFonts w:asciiTheme="majorHAnsi" w:hAnsiTheme="majorHAnsi"/>
          <w:b/>
          <w:bCs/>
          <w:i/>
          <w:iCs/>
          <w:color w:val="231F20"/>
          <w:sz w:val="20"/>
          <w:szCs w:val="20"/>
        </w:rPr>
        <w:t>Requins en général</w:t>
      </w:r>
    </w:p>
    <w:p w14:paraId="14989911" w14:textId="77777777" w:rsidR="00651D10" w:rsidRPr="00525739" w:rsidRDefault="00651D10" w:rsidP="00F0005C">
      <w:pPr>
        <w:pStyle w:val="BodyText"/>
        <w:spacing w:line="256" w:lineRule="auto"/>
        <w:ind w:right="132"/>
        <w:jc w:val="both"/>
        <w:rPr>
          <w:rFonts w:asciiTheme="majorHAnsi" w:hAnsiTheme="majorHAnsi"/>
          <w:color w:val="231F20"/>
          <w:sz w:val="20"/>
          <w:szCs w:val="20"/>
        </w:rPr>
      </w:pPr>
    </w:p>
    <w:p w14:paraId="337A24B8" w14:textId="02D3DB81" w:rsidR="00E158A1" w:rsidRPr="00665B70" w:rsidRDefault="003A5EC9" w:rsidP="00F0005C">
      <w:pPr>
        <w:pStyle w:val="BodyText"/>
        <w:spacing w:line="256" w:lineRule="auto"/>
        <w:ind w:right="132"/>
        <w:jc w:val="both"/>
        <w:rPr>
          <w:rFonts w:asciiTheme="majorHAnsi" w:hAnsiTheme="majorHAnsi"/>
          <w:sz w:val="20"/>
          <w:szCs w:val="20"/>
        </w:rPr>
      </w:pPr>
      <w:r w:rsidRPr="00525739">
        <w:rPr>
          <w:rFonts w:asciiTheme="majorHAnsi" w:hAnsiTheme="majorHAnsi"/>
          <w:color w:val="231F20"/>
          <w:sz w:val="20"/>
          <w:szCs w:val="20"/>
        </w:rPr>
        <w:t xml:space="preserve">Il existe plusieurs mesures relatives aux requins : </w:t>
      </w:r>
      <w:r w:rsidR="00521678" w:rsidRPr="00525739">
        <w:rPr>
          <w:rFonts w:asciiTheme="majorHAnsi" w:hAnsiTheme="majorHAnsi"/>
          <w:color w:val="005EAC"/>
          <w:sz w:val="20"/>
          <w:szCs w:val="20"/>
        </w:rPr>
        <w:t>Rés</w:t>
      </w:r>
      <w:r w:rsidRPr="00525739">
        <w:rPr>
          <w:rFonts w:asciiTheme="majorHAnsi" w:hAnsiTheme="majorHAnsi"/>
          <w:color w:val="005EAC"/>
          <w:sz w:val="20"/>
          <w:szCs w:val="20"/>
        </w:rPr>
        <w:t>. 95-</w:t>
      </w:r>
      <w:r w:rsidR="00521678" w:rsidRPr="00525739">
        <w:rPr>
          <w:rFonts w:asciiTheme="majorHAnsi" w:hAnsiTheme="majorHAnsi"/>
          <w:color w:val="005EAC"/>
          <w:sz w:val="20"/>
          <w:szCs w:val="20"/>
        </w:rPr>
        <w:t>02</w:t>
      </w:r>
      <w:r w:rsidR="00521678" w:rsidRPr="00525739">
        <w:rPr>
          <w:rFonts w:asciiTheme="majorHAnsi" w:hAnsiTheme="majorHAnsi"/>
          <w:color w:val="231F20"/>
          <w:sz w:val="20"/>
          <w:szCs w:val="20"/>
        </w:rPr>
        <w:t xml:space="preserve"> ;</w:t>
      </w:r>
      <w:r w:rsidRPr="00525739">
        <w:rPr>
          <w:rFonts w:asciiTheme="majorHAnsi" w:hAnsiTheme="majorHAnsi"/>
          <w:color w:val="231F20"/>
          <w:sz w:val="20"/>
          <w:szCs w:val="20"/>
        </w:rPr>
        <w:t xml:space="preserve"> </w:t>
      </w:r>
      <w:r w:rsidR="00521678" w:rsidRPr="00525739">
        <w:rPr>
          <w:rFonts w:asciiTheme="majorHAnsi" w:hAnsiTheme="majorHAnsi"/>
          <w:color w:val="005EAC"/>
          <w:sz w:val="20"/>
          <w:szCs w:val="20"/>
        </w:rPr>
        <w:t>Rés</w:t>
      </w:r>
      <w:r w:rsidRPr="00525739">
        <w:rPr>
          <w:rFonts w:asciiTheme="majorHAnsi" w:hAnsiTheme="majorHAnsi"/>
          <w:color w:val="005EAC"/>
          <w:sz w:val="20"/>
          <w:szCs w:val="20"/>
        </w:rPr>
        <w:t xml:space="preserve">. 03- </w:t>
      </w:r>
      <w:r w:rsidR="00521678" w:rsidRPr="00525739">
        <w:rPr>
          <w:rFonts w:asciiTheme="majorHAnsi" w:hAnsiTheme="majorHAnsi"/>
          <w:color w:val="005EAC"/>
          <w:sz w:val="20"/>
          <w:szCs w:val="20"/>
        </w:rPr>
        <w:t>10</w:t>
      </w:r>
      <w:r w:rsidR="00521678" w:rsidRPr="00525739">
        <w:rPr>
          <w:rFonts w:asciiTheme="majorHAnsi" w:hAnsiTheme="majorHAnsi"/>
          <w:color w:val="231F20"/>
          <w:sz w:val="20"/>
          <w:szCs w:val="20"/>
        </w:rPr>
        <w:t xml:space="preserve"> ;</w:t>
      </w:r>
      <w:r w:rsidRPr="00525739">
        <w:rPr>
          <w:rFonts w:asciiTheme="majorHAnsi" w:hAnsiTheme="majorHAnsi"/>
          <w:color w:val="231F20"/>
          <w:sz w:val="20"/>
          <w:szCs w:val="20"/>
        </w:rPr>
        <w:t xml:space="preserve"> </w:t>
      </w:r>
      <w:r w:rsidRPr="00525739">
        <w:rPr>
          <w:rFonts w:asciiTheme="majorHAnsi" w:hAnsiTheme="majorHAnsi"/>
          <w:color w:val="005EAC"/>
          <w:sz w:val="20"/>
          <w:szCs w:val="20"/>
        </w:rPr>
        <w:t>Rec. 04-</w:t>
      </w:r>
      <w:r w:rsidR="00521678" w:rsidRPr="00525739">
        <w:rPr>
          <w:rFonts w:asciiTheme="majorHAnsi" w:hAnsiTheme="majorHAnsi"/>
          <w:color w:val="005EAC"/>
          <w:sz w:val="20"/>
          <w:szCs w:val="20"/>
        </w:rPr>
        <w:t>10</w:t>
      </w:r>
      <w:r w:rsidR="00521678" w:rsidRPr="00525739">
        <w:rPr>
          <w:rFonts w:asciiTheme="majorHAnsi" w:hAnsiTheme="majorHAnsi"/>
          <w:color w:val="231F20"/>
          <w:sz w:val="20"/>
          <w:szCs w:val="20"/>
        </w:rPr>
        <w:t xml:space="preserve"> ;</w:t>
      </w:r>
      <w:r w:rsidRPr="00525739">
        <w:rPr>
          <w:rFonts w:asciiTheme="majorHAnsi" w:hAnsiTheme="majorHAnsi"/>
          <w:color w:val="231F20"/>
          <w:sz w:val="20"/>
          <w:szCs w:val="20"/>
        </w:rPr>
        <w:t xml:space="preserve"> </w:t>
      </w:r>
      <w:r w:rsidRPr="00525739">
        <w:rPr>
          <w:rFonts w:asciiTheme="majorHAnsi" w:hAnsiTheme="majorHAnsi"/>
          <w:color w:val="005EAC"/>
          <w:sz w:val="20"/>
          <w:szCs w:val="20"/>
        </w:rPr>
        <w:t>Rec. 07-</w:t>
      </w:r>
      <w:r w:rsidR="00521678" w:rsidRPr="00525739">
        <w:rPr>
          <w:rFonts w:asciiTheme="majorHAnsi" w:hAnsiTheme="majorHAnsi"/>
          <w:color w:val="005EAC"/>
          <w:sz w:val="20"/>
          <w:szCs w:val="20"/>
        </w:rPr>
        <w:t>06</w:t>
      </w:r>
      <w:r w:rsidR="00521678" w:rsidRPr="00525739">
        <w:rPr>
          <w:rFonts w:asciiTheme="majorHAnsi" w:hAnsiTheme="majorHAnsi"/>
          <w:color w:val="231F20"/>
          <w:sz w:val="20"/>
          <w:szCs w:val="20"/>
        </w:rPr>
        <w:t xml:space="preserve"> </w:t>
      </w:r>
      <w:r w:rsidR="00B33091" w:rsidRPr="00525739">
        <w:rPr>
          <w:rFonts w:asciiTheme="majorHAnsi" w:hAnsiTheme="majorHAnsi"/>
          <w:color w:val="231F20"/>
          <w:sz w:val="20"/>
          <w:szCs w:val="20"/>
        </w:rPr>
        <w:t>et</w:t>
      </w:r>
      <w:r w:rsidRPr="00525739">
        <w:rPr>
          <w:rFonts w:asciiTheme="majorHAnsi" w:hAnsiTheme="majorHAnsi"/>
          <w:color w:val="231F20"/>
          <w:sz w:val="20"/>
          <w:szCs w:val="20"/>
        </w:rPr>
        <w:t xml:space="preserve"> </w:t>
      </w:r>
      <w:r w:rsidRPr="00525739">
        <w:rPr>
          <w:rFonts w:asciiTheme="majorHAnsi" w:hAnsiTheme="majorHAnsi"/>
          <w:color w:val="005EAC"/>
          <w:sz w:val="20"/>
          <w:szCs w:val="20"/>
        </w:rPr>
        <w:t>Rec. 13-10</w:t>
      </w:r>
      <w:r w:rsidRPr="00525739">
        <w:rPr>
          <w:rFonts w:asciiTheme="majorHAnsi" w:hAnsiTheme="majorHAnsi"/>
          <w:color w:val="231F20"/>
          <w:sz w:val="20"/>
          <w:szCs w:val="20"/>
        </w:rPr>
        <w:t>. Il est suggéré que les dispositions pertinentes de ces mesures soient consolidées dans une seule mesure, pour plus de facilité et pour simplifier la feuille de contrôle s’appliquant aux requins (</w:t>
      </w:r>
      <w:r w:rsidRPr="00525739">
        <w:rPr>
          <w:rFonts w:asciiTheme="majorHAnsi" w:hAnsiTheme="majorHAnsi"/>
          <w:color w:val="005EAC"/>
          <w:sz w:val="20"/>
          <w:szCs w:val="20"/>
        </w:rPr>
        <w:t>Rec. 18-06</w:t>
      </w:r>
      <w:r w:rsidRPr="00525739">
        <w:rPr>
          <w:rFonts w:asciiTheme="majorHAnsi" w:hAnsiTheme="majorHAnsi"/>
          <w:color w:val="231F20"/>
          <w:sz w:val="20"/>
          <w:szCs w:val="20"/>
        </w:rPr>
        <w:t>)</w:t>
      </w:r>
      <w:r w:rsidRPr="00525739">
        <w:rPr>
          <w:rFonts w:asciiTheme="majorHAnsi" w:hAnsiTheme="majorHAnsi"/>
          <w:sz w:val="20"/>
          <w:szCs w:val="20"/>
        </w:rPr>
        <w:t xml:space="preserve"> qui devient de plus en plus complexe et fastidieuse.</w:t>
      </w:r>
      <w:r w:rsidRPr="00525739">
        <w:rPr>
          <w:rFonts w:asciiTheme="majorHAnsi" w:hAnsiTheme="majorHAnsi"/>
          <w:color w:val="231F20"/>
          <w:sz w:val="20"/>
          <w:szCs w:val="20"/>
        </w:rPr>
        <w:t xml:space="preserve"> Toute version consolidée devrait être examinée et approuvée par la Sous-commission</w:t>
      </w:r>
      <w:r w:rsidR="00AE3AD7" w:rsidRPr="00525739">
        <w:rPr>
          <w:rFonts w:asciiTheme="majorHAnsi" w:hAnsiTheme="majorHAnsi"/>
          <w:color w:val="231F20"/>
          <w:sz w:val="20"/>
          <w:szCs w:val="20"/>
        </w:rPr>
        <w:t> </w:t>
      </w:r>
      <w:r w:rsidRPr="00525739">
        <w:rPr>
          <w:rFonts w:asciiTheme="majorHAnsi" w:hAnsiTheme="majorHAnsi"/>
          <w:color w:val="231F20"/>
          <w:sz w:val="20"/>
          <w:szCs w:val="20"/>
        </w:rPr>
        <w:t>4.</w:t>
      </w:r>
    </w:p>
    <w:p w14:paraId="340BBA4B" w14:textId="77777777" w:rsidR="00E158A1" w:rsidRPr="00665B70" w:rsidRDefault="00E158A1" w:rsidP="000C3A47">
      <w:pPr>
        <w:pStyle w:val="BodyText"/>
        <w:spacing w:before="3"/>
        <w:jc w:val="both"/>
        <w:rPr>
          <w:rFonts w:asciiTheme="majorHAnsi" w:hAnsiTheme="majorHAnsi"/>
          <w:sz w:val="20"/>
          <w:szCs w:val="20"/>
        </w:rPr>
      </w:pPr>
    </w:p>
    <w:sectPr w:rsidR="00E158A1" w:rsidRPr="00665B70" w:rsidSect="00F07856">
      <w:headerReference w:type="default" r:id="rId11"/>
      <w:footerReference w:type="default" r:id="rId12"/>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51569" w14:textId="77777777" w:rsidR="007B10B7" w:rsidRDefault="007B10B7">
      <w:r>
        <w:separator/>
      </w:r>
    </w:p>
  </w:endnote>
  <w:endnote w:type="continuationSeparator" w:id="0">
    <w:p w14:paraId="3A80491E" w14:textId="77777777" w:rsidR="007B10B7" w:rsidRDefault="007B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701A" w14:textId="77777777" w:rsidR="00846B16" w:rsidRDefault="00525739" w:rsidP="00846B16">
    <w:pPr>
      <w:pStyle w:val="Footer"/>
      <w:jc w:val="center"/>
    </w:pPr>
    <w:sdt>
      <w:sdtPr>
        <w:rPr>
          <w:rFonts w:ascii="Calibri" w:eastAsia="Calibri" w:hAnsi="Calibri" w:cs="Calibri"/>
          <w:sz w:val="20"/>
          <w:szCs w:val="20"/>
        </w:rPr>
        <w:id w:val="810910487"/>
        <w:docPartObj>
          <w:docPartGallery w:val="Page Numbers (Top of Page)"/>
          <w:docPartUnique/>
        </w:docPartObj>
      </w:sdtPr>
      <w:sdtEndPr/>
      <w:sdtContent>
        <w:r w:rsidR="00846B16" w:rsidRPr="00713AD4">
          <w:rPr>
            <w:rFonts w:eastAsia="Calibri" w:cs="Calibri"/>
            <w:sz w:val="20"/>
          </w:rPr>
          <w:fldChar w:fldCharType="begin"/>
        </w:r>
        <w:r w:rsidR="00846B16" w:rsidRPr="00713AD4">
          <w:rPr>
            <w:rFonts w:eastAsia="Calibri" w:cs="Calibri"/>
            <w:sz w:val="20"/>
          </w:rPr>
          <w:instrText xml:space="preserve"> PAGE </w:instrText>
        </w:r>
        <w:r w:rsidR="00846B16" w:rsidRPr="00713AD4">
          <w:rPr>
            <w:rFonts w:eastAsia="Calibri" w:cs="Calibri"/>
            <w:sz w:val="20"/>
          </w:rPr>
          <w:fldChar w:fldCharType="separate"/>
        </w:r>
        <w:r w:rsidR="00846B16">
          <w:rPr>
            <w:rFonts w:eastAsia="Calibri" w:cs="Calibri"/>
            <w:sz w:val="20"/>
          </w:rPr>
          <w:t>1</w:t>
        </w:r>
        <w:r w:rsidR="00846B16" w:rsidRPr="00713AD4">
          <w:rPr>
            <w:rFonts w:eastAsia="Calibri" w:cs="Calibri"/>
            <w:sz w:val="20"/>
          </w:rPr>
          <w:fldChar w:fldCharType="end"/>
        </w:r>
        <w:r w:rsidR="0099142C">
          <w:rPr>
            <w:sz w:val="20"/>
          </w:rPr>
          <w:t xml:space="preserve"> / </w:t>
        </w:r>
        <w:r w:rsidR="00846B16" w:rsidRPr="00713AD4">
          <w:rPr>
            <w:rFonts w:eastAsia="Calibri" w:cs="Calibri"/>
            <w:sz w:val="20"/>
          </w:rPr>
          <w:fldChar w:fldCharType="begin"/>
        </w:r>
        <w:r w:rsidR="00846B16" w:rsidRPr="00713AD4">
          <w:rPr>
            <w:rFonts w:eastAsia="Calibri" w:cs="Calibri"/>
            <w:sz w:val="20"/>
          </w:rPr>
          <w:instrText xml:space="preserve"> NUMPAGES  </w:instrText>
        </w:r>
        <w:r w:rsidR="00846B16" w:rsidRPr="00713AD4">
          <w:rPr>
            <w:rFonts w:eastAsia="Calibri" w:cs="Calibri"/>
            <w:sz w:val="20"/>
          </w:rPr>
          <w:fldChar w:fldCharType="separate"/>
        </w:r>
        <w:r w:rsidR="00846B16">
          <w:rPr>
            <w:rFonts w:eastAsia="Calibri" w:cs="Calibri"/>
            <w:sz w:val="20"/>
          </w:rPr>
          <w:t>2</w:t>
        </w:r>
        <w:r w:rsidR="00846B16" w:rsidRPr="00713AD4">
          <w:rPr>
            <w:rFonts w:eastAsia="Calibri" w:cs="Calibri"/>
            <w:sz w:val="20"/>
          </w:rPr>
          <w:fldChar w:fldCharType="end"/>
        </w:r>
      </w:sdtContent>
    </w:sdt>
  </w:p>
  <w:p w14:paraId="4432A069" w14:textId="396DC2BE" w:rsidR="00E158A1" w:rsidRDefault="00E158A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8809" w14:textId="77777777" w:rsidR="007B10B7" w:rsidRDefault="007B10B7">
      <w:r>
        <w:separator/>
      </w:r>
    </w:p>
  </w:footnote>
  <w:footnote w:type="continuationSeparator" w:id="0">
    <w:p w14:paraId="32B31CFD" w14:textId="77777777" w:rsidR="007B10B7" w:rsidRDefault="007B10B7">
      <w:r>
        <w:continuationSeparator/>
      </w:r>
    </w:p>
  </w:footnote>
  <w:footnote w:id="1">
    <w:p w14:paraId="0502C1D5" w14:textId="09677224" w:rsidR="008D70D9" w:rsidRPr="0013369C" w:rsidRDefault="008D70D9" w:rsidP="008D70D9">
      <w:pPr>
        <w:pStyle w:val="FootnoteText"/>
        <w:rPr>
          <w:sz w:val="16"/>
          <w:szCs w:val="16"/>
        </w:rPr>
      </w:pPr>
      <w:r w:rsidRPr="0013369C">
        <w:rPr>
          <w:rStyle w:val="FootnoteReference"/>
          <w:sz w:val="16"/>
          <w:szCs w:val="16"/>
        </w:rPr>
        <w:footnoteRef/>
      </w:r>
      <w:r w:rsidRPr="0013369C">
        <w:rPr>
          <w:sz w:val="16"/>
          <w:szCs w:val="16"/>
        </w:rPr>
        <w:t xml:space="preserve"> Voir </w:t>
      </w:r>
      <w:r w:rsidR="0081158E" w:rsidRPr="0013369C">
        <w:rPr>
          <w:sz w:val="16"/>
          <w:szCs w:val="16"/>
        </w:rPr>
        <w:t xml:space="preserve">Restrepo </w:t>
      </w:r>
      <w:r w:rsidR="0081158E" w:rsidRPr="0013369C">
        <w:rPr>
          <w:i/>
          <w:iCs/>
          <w:sz w:val="16"/>
          <w:szCs w:val="16"/>
        </w:rPr>
        <w:t>et al.,</w:t>
      </w:r>
      <w:r w:rsidR="0081158E" w:rsidRPr="0013369C">
        <w:rPr>
          <w:sz w:val="16"/>
          <w:szCs w:val="16"/>
        </w:rPr>
        <w:t xml:space="preserve"> (sous presse) (document SCRS/2025/161)</w:t>
      </w:r>
      <w:r w:rsidR="00E55D8B" w:rsidRPr="0013369C">
        <w:rPr>
          <w:sz w:val="16"/>
          <w:szCs w:val="16"/>
        </w:rPr>
        <w:t xml:space="preserve"> et le point 19.37 du rapport annuel du SCRS (PLE_104/2025).</w:t>
      </w:r>
    </w:p>
  </w:footnote>
  <w:footnote w:id="2">
    <w:p w14:paraId="28525281" w14:textId="704599F1" w:rsidR="005B790B" w:rsidRPr="0013369C" w:rsidRDefault="005B790B" w:rsidP="005C3A9B">
      <w:pPr>
        <w:pStyle w:val="FootnoteText"/>
        <w:jc w:val="both"/>
        <w:rPr>
          <w:sz w:val="16"/>
          <w:szCs w:val="16"/>
        </w:rPr>
      </w:pPr>
      <w:r w:rsidRPr="0013369C">
        <w:rPr>
          <w:rStyle w:val="FootnoteReference"/>
          <w:sz w:val="16"/>
          <w:szCs w:val="16"/>
        </w:rPr>
        <w:footnoteRef/>
      </w:r>
      <w:r w:rsidRPr="0013369C">
        <w:rPr>
          <w:sz w:val="16"/>
          <w:szCs w:val="16"/>
        </w:rPr>
        <w:t xml:space="preserve"> </w:t>
      </w:r>
      <w:r w:rsidR="005C3A9B" w:rsidRPr="0013369C">
        <w:rPr>
          <w:sz w:val="16"/>
          <w:szCs w:val="16"/>
        </w:rPr>
        <w:t>Ces suggestions du Secrétariat, approuvées par le SCRS, s'appliqueraient à tous les navires devant être inscrits au registre des navires de l'ICCAT, et pas seulement à ceux figurant dans le registre des navires autorisés à pêcher les thonidés tropicaux de l'ICCAT.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36A8" w14:textId="7DE932DE" w:rsidR="00F07856" w:rsidRPr="00EB3CAC" w:rsidRDefault="00F07856" w:rsidP="00F07856">
    <w:pPr>
      <w:tabs>
        <w:tab w:val="left" w:pos="7320"/>
      </w:tabs>
      <w:spacing w:line="240" w:lineRule="exact"/>
      <w:jc w:val="right"/>
      <w:rPr>
        <w:b/>
        <w:bCs/>
        <w:sz w:val="20"/>
        <w:szCs w:val="20"/>
      </w:rPr>
    </w:pPr>
    <w:r>
      <w:rPr>
        <w:b/>
        <w:sz w:val="20"/>
      </w:rPr>
      <w:t>PLE_103</w:t>
    </w:r>
    <w:r w:rsidR="003C235C">
      <w:rPr>
        <w:b/>
        <w:sz w:val="20"/>
      </w:rPr>
      <w:t>A</w:t>
    </w:r>
    <w:r>
      <w:rPr>
        <w:b/>
        <w:sz w:val="20"/>
      </w:rPr>
      <w:t>/2025</w:t>
    </w:r>
  </w:p>
  <w:p w14:paraId="19625AA7" w14:textId="2810739B" w:rsidR="00E158A1" w:rsidRDefault="00F07856" w:rsidP="00F07856">
    <w:pPr>
      <w:tabs>
        <w:tab w:val="left" w:pos="7320"/>
      </w:tabs>
      <w:spacing w:line="240" w:lineRule="exact"/>
      <w:jc w:val="right"/>
      <w:rPr>
        <w:sz w:val="20"/>
      </w:rPr>
    </w:pPr>
    <w:r>
      <w:rPr>
        <w:b/>
        <w:sz w:val="16"/>
      </w:rPr>
      <w:fldChar w:fldCharType="begin"/>
    </w:r>
    <w:r>
      <w:rPr>
        <w:b/>
        <w:sz w:val="16"/>
      </w:rPr>
      <w:instrText xml:space="preserve"> TIME \@ "dd/MM/yyyy H:mm" </w:instrText>
    </w:r>
    <w:r>
      <w:rPr>
        <w:b/>
        <w:sz w:val="16"/>
      </w:rPr>
      <w:fldChar w:fldCharType="separate"/>
    </w:r>
    <w:r w:rsidR="001A4789">
      <w:rPr>
        <w:b/>
        <w:noProof/>
        <w:sz w:val="16"/>
      </w:rPr>
      <w:t>19/11/2025 12:08</w:t>
    </w:r>
    <w:r>
      <w:rPr>
        <w:b/>
        <w:bCs/>
        <w:sz w:val="16"/>
        <w:szCs w:val="16"/>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78CA"/>
    <w:multiLevelType w:val="hybridMultilevel"/>
    <w:tmpl w:val="6B2CFEAA"/>
    <w:lvl w:ilvl="0" w:tplc="C4742554">
      <w:start w:val="2"/>
      <w:numFmt w:val="bullet"/>
      <w:lvlText w:val="-"/>
      <w:lvlJc w:val="left"/>
      <w:pPr>
        <w:ind w:left="720" w:hanging="360"/>
      </w:pPr>
      <w:rPr>
        <w:rFonts w:ascii="Cambria" w:eastAsia="Cambria" w:hAnsi="Cambria" w:cs="Cambria" w:hint="default"/>
        <w:color w:val="231F20"/>
        <w:w w:val="105"/>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4647F"/>
    <w:multiLevelType w:val="hybridMultilevel"/>
    <w:tmpl w:val="8E92F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6013D"/>
    <w:multiLevelType w:val="hybridMultilevel"/>
    <w:tmpl w:val="95E03874"/>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C0D5E19"/>
    <w:multiLevelType w:val="hybridMultilevel"/>
    <w:tmpl w:val="3F3AF4AE"/>
    <w:lvl w:ilvl="0" w:tplc="9548805E">
      <w:start w:val="1"/>
      <w:numFmt w:val="bullet"/>
      <w:lvlText w:val="-"/>
      <w:lvlJc w:val="left"/>
      <w:pPr>
        <w:ind w:left="1080" w:hanging="360"/>
      </w:pPr>
      <w:rPr>
        <w:rFonts w:ascii="Cambria" w:eastAsia="Cambria" w:hAnsi="Cambria" w:cs="Cambria" w:hint="default"/>
        <w:i/>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31F539DB"/>
    <w:multiLevelType w:val="hybridMultilevel"/>
    <w:tmpl w:val="F5AA2138"/>
    <w:lvl w:ilvl="0" w:tplc="04090001">
      <w:start w:val="1"/>
      <w:numFmt w:val="bullet"/>
      <w:lvlText w:val=""/>
      <w:lvlJc w:val="left"/>
      <w:pPr>
        <w:ind w:left="1220" w:hanging="400"/>
      </w:pPr>
      <w:rPr>
        <w:rFonts w:ascii="Symbol" w:hAnsi="Symbol" w:hint="default"/>
        <w:b w:val="0"/>
        <w:bCs w:val="0"/>
        <w:i w:val="0"/>
        <w:iCs w:val="0"/>
        <w:color w:val="231F20"/>
        <w:spacing w:val="0"/>
        <w:w w:val="104"/>
        <w:sz w:val="18"/>
        <w:szCs w:val="18"/>
        <w:lang w:val="en-US" w:eastAsia="en-US" w:bidi="ar-SA"/>
      </w:rPr>
    </w:lvl>
    <w:lvl w:ilvl="1" w:tplc="1B90D898">
      <w:numFmt w:val="bullet"/>
      <w:lvlText w:val="•"/>
      <w:lvlJc w:val="left"/>
      <w:pPr>
        <w:ind w:left="1982" w:hanging="400"/>
      </w:pPr>
      <w:rPr>
        <w:rFonts w:hint="default"/>
        <w:lang w:val="en-US" w:eastAsia="en-US" w:bidi="ar-SA"/>
      </w:rPr>
    </w:lvl>
    <w:lvl w:ilvl="2" w:tplc="FD58CFDA">
      <w:numFmt w:val="bullet"/>
      <w:lvlText w:val="•"/>
      <w:lvlJc w:val="left"/>
      <w:pPr>
        <w:ind w:left="2742" w:hanging="400"/>
      </w:pPr>
      <w:rPr>
        <w:rFonts w:hint="default"/>
        <w:lang w:val="en-US" w:eastAsia="en-US" w:bidi="ar-SA"/>
      </w:rPr>
    </w:lvl>
    <w:lvl w:ilvl="3" w:tplc="76FADE44">
      <w:numFmt w:val="bullet"/>
      <w:lvlText w:val="•"/>
      <w:lvlJc w:val="left"/>
      <w:pPr>
        <w:ind w:left="3502" w:hanging="400"/>
      </w:pPr>
      <w:rPr>
        <w:rFonts w:hint="default"/>
        <w:lang w:val="en-US" w:eastAsia="en-US" w:bidi="ar-SA"/>
      </w:rPr>
    </w:lvl>
    <w:lvl w:ilvl="4" w:tplc="682E1D72">
      <w:numFmt w:val="bullet"/>
      <w:lvlText w:val="•"/>
      <w:lvlJc w:val="left"/>
      <w:pPr>
        <w:ind w:left="4262" w:hanging="400"/>
      </w:pPr>
      <w:rPr>
        <w:rFonts w:hint="default"/>
        <w:lang w:val="en-US" w:eastAsia="en-US" w:bidi="ar-SA"/>
      </w:rPr>
    </w:lvl>
    <w:lvl w:ilvl="5" w:tplc="EBC0BA62">
      <w:numFmt w:val="bullet"/>
      <w:lvlText w:val="•"/>
      <w:lvlJc w:val="left"/>
      <w:pPr>
        <w:ind w:left="5022" w:hanging="400"/>
      </w:pPr>
      <w:rPr>
        <w:rFonts w:hint="default"/>
        <w:lang w:val="en-US" w:eastAsia="en-US" w:bidi="ar-SA"/>
      </w:rPr>
    </w:lvl>
    <w:lvl w:ilvl="6" w:tplc="AF9A474A">
      <w:numFmt w:val="bullet"/>
      <w:lvlText w:val="•"/>
      <w:lvlJc w:val="left"/>
      <w:pPr>
        <w:ind w:left="5782" w:hanging="400"/>
      </w:pPr>
      <w:rPr>
        <w:rFonts w:hint="default"/>
        <w:lang w:val="en-US" w:eastAsia="en-US" w:bidi="ar-SA"/>
      </w:rPr>
    </w:lvl>
    <w:lvl w:ilvl="7" w:tplc="4FB43C90">
      <w:numFmt w:val="bullet"/>
      <w:lvlText w:val="•"/>
      <w:lvlJc w:val="left"/>
      <w:pPr>
        <w:ind w:left="6542" w:hanging="400"/>
      </w:pPr>
      <w:rPr>
        <w:rFonts w:hint="default"/>
        <w:lang w:val="en-US" w:eastAsia="en-US" w:bidi="ar-SA"/>
      </w:rPr>
    </w:lvl>
    <w:lvl w:ilvl="8" w:tplc="BFB04A4E">
      <w:numFmt w:val="bullet"/>
      <w:lvlText w:val="•"/>
      <w:lvlJc w:val="left"/>
      <w:pPr>
        <w:ind w:left="7302" w:hanging="400"/>
      </w:pPr>
      <w:rPr>
        <w:rFonts w:hint="default"/>
        <w:lang w:val="en-US" w:eastAsia="en-US" w:bidi="ar-SA"/>
      </w:rPr>
    </w:lvl>
  </w:abstractNum>
  <w:abstractNum w:abstractNumId="5" w15:restartNumberingAfterBreak="0">
    <w:nsid w:val="33A45E42"/>
    <w:multiLevelType w:val="hybridMultilevel"/>
    <w:tmpl w:val="9CA84318"/>
    <w:lvl w:ilvl="0" w:tplc="123AA99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D3A0D"/>
    <w:multiLevelType w:val="hybridMultilevel"/>
    <w:tmpl w:val="49804AFE"/>
    <w:lvl w:ilvl="0" w:tplc="F3EEB024">
      <w:start w:val="2"/>
      <w:numFmt w:val="bullet"/>
      <w:lvlText w:val="-"/>
      <w:lvlJc w:val="left"/>
      <w:pPr>
        <w:ind w:left="720" w:hanging="360"/>
      </w:pPr>
      <w:rPr>
        <w:rFonts w:ascii="Cambria" w:eastAsia="Cambria" w:hAnsi="Cambria" w:cs="Cambria" w:hint="default"/>
        <w:strike w:val="0"/>
        <w:dstrike w:val="0"/>
        <w:color w:val="231F20"/>
        <w:w w:val="105"/>
        <w:u w:val="none"/>
        <w:effect w:val="none"/>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8465A41"/>
    <w:multiLevelType w:val="hybridMultilevel"/>
    <w:tmpl w:val="21BA546E"/>
    <w:lvl w:ilvl="0" w:tplc="3DAEC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64B45"/>
    <w:multiLevelType w:val="hybridMultilevel"/>
    <w:tmpl w:val="3AAA1A72"/>
    <w:lvl w:ilvl="0" w:tplc="04090017">
      <w:start w:val="1"/>
      <w:numFmt w:val="lowerLetter"/>
      <w:lvlText w:val="%1)"/>
      <w:lvlJc w:val="left"/>
      <w:pPr>
        <w:ind w:left="720" w:hanging="360"/>
      </w:pPr>
      <w:rPr>
        <w:i w:val="0"/>
        <w:iCs w:val="0"/>
      </w:rPr>
    </w:lvl>
    <w:lvl w:ilvl="1" w:tplc="BDA4CA92">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E9B6918"/>
    <w:multiLevelType w:val="hybridMultilevel"/>
    <w:tmpl w:val="D9FA0CDE"/>
    <w:lvl w:ilvl="0" w:tplc="DC286FD0">
      <w:start w:val="1"/>
      <w:numFmt w:val="lowerLetter"/>
      <w:lvlText w:val="%1."/>
      <w:lvlJc w:val="left"/>
      <w:pPr>
        <w:ind w:left="366" w:hanging="360"/>
      </w:pPr>
      <w:rPr>
        <w:rFonts w:eastAsia="Cambria" w:cs="Arial"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 w15:restartNumberingAfterBreak="0">
    <w:nsid w:val="4FE954CC"/>
    <w:multiLevelType w:val="hybridMultilevel"/>
    <w:tmpl w:val="E8EAFD3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2B77076"/>
    <w:multiLevelType w:val="hybridMultilevel"/>
    <w:tmpl w:val="2C7037B8"/>
    <w:lvl w:ilvl="0" w:tplc="2F94BCF8">
      <w:start w:val="1"/>
      <w:numFmt w:val="bullet"/>
      <w:lvlText w:val=""/>
      <w:lvlJc w:val="left"/>
      <w:pPr>
        <w:ind w:left="720" w:hanging="360"/>
      </w:pPr>
      <w:rPr>
        <w:rFonts w:ascii="Symbol" w:hAnsi="Symbol" w:hint="default"/>
        <w:color w:val="231F20"/>
        <w:w w:val="105"/>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A357E1"/>
    <w:multiLevelType w:val="hybridMultilevel"/>
    <w:tmpl w:val="CB5E9332"/>
    <w:lvl w:ilvl="0" w:tplc="2F94BCF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46965328">
    <w:abstractNumId w:val="4"/>
  </w:num>
  <w:num w:numId="2" w16cid:durableId="283461935">
    <w:abstractNumId w:val="0"/>
  </w:num>
  <w:num w:numId="3" w16cid:durableId="1193229979">
    <w:abstractNumId w:val="11"/>
  </w:num>
  <w:num w:numId="4" w16cid:durableId="705300603">
    <w:abstractNumId w:val="12"/>
  </w:num>
  <w:num w:numId="5" w16cid:durableId="503207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79650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9352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2671048">
    <w:abstractNumId w:val="3"/>
  </w:num>
  <w:num w:numId="9" w16cid:durableId="679741866">
    <w:abstractNumId w:val="6"/>
  </w:num>
  <w:num w:numId="10" w16cid:durableId="1562015185">
    <w:abstractNumId w:val="7"/>
  </w:num>
  <w:num w:numId="11" w16cid:durableId="976450747">
    <w:abstractNumId w:val="9"/>
  </w:num>
  <w:num w:numId="12" w16cid:durableId="1259942805">
    <w:abstractNumId w:val="2"/>
  </w:num>
  <w:num w:numId="13" w16cid:durableId="15809850">
    <w:abstractNumId w:val="1"/>
  </w:num>
  <w:num w:numId="14" w16cid:durableId="636179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A1"/>
    <w:rsid w:val="00006A80"/>
    <w:rsid w:val="00012814"/>
    <w:rsid w:val="00026AEA"/>
    <w:rsid w:val="00064879"/>
    <w:rsid w:val="00065C36"/>
    <w:rsid w:val="00066145"/>
    <w:rsid w:val="00076F9E"/>
    <w:rsid w:val="000801D6"/>
    <w:rsid w:val="000C3A47"/>
    <w:rsid w:val="000D7F9D"/>
    <w:rsid w:val="00110612"/>
    <w:rsid w:val="0012438E"/>
    <w:rsid w:val="0013369C"/>
    <w:rsid w:val="00160F01"/>
    <w:rsid w:val="00196106"/>
    <w:rsid w:val="001A4789"/>
    <w:rsid w:val="001C0922"/>
    <w:rsid w:val="001D0F06"/>
    <w:rsid w:val="001D6DB3"/>
    <w:rsid w:val="001F05A9"/>
    <w:rsid w:val="00202C5A"/>
    <w:rsid w:val="00233938"/>
    <w:rsid w:val="00243214"/>
    <w:rsid w:val="00254274"/>
    <w:rsid w:val="002551C5"/>
    <w:rsid w:val="002E35C7"/>
    <w:rsid w:val="00323B76"/>
    <w:rsid w:val="00332A5A"/>
    <w:rsid w:val="00335E60"/>
    <w:rsid w:val="003371F7"/>
    <w:rsid w:val="0034175A"/>
    <w:rsid w:val="00353A53"/>
    <w:rsid w:val="003763A4"/>
    <w:rsid w:val="003A2991"/>
    <w:rsid w:val="003A5EC9"/>
    <w:rsid w:val="003B3185"/>
    <w:rsid w:val="003B7414"/>
    <w:rsid w:val="003C235C"/>
    <w:rsid w:val="00413C9A"/>
    <w:rsid w:val="00422A19"/>
    <w:rsid w:val="004662A0"/>
    <w:rsid w:val="0048346D"/>
    <w:rsid w:val="004875F8"/>
    <w:rsid w:val="00490C3A"/>
    <w:rsid w:val="004B1493"/>
    <w:rsid w:val="004B3228"/>
    <w:rsid w:val="004D02C0"/>
    <w:rsid w:val="00521678"/>
    <w:rsid w:val="00525739"/>
    <w:rsid w:val="00525B03"/>
    <w:rsid w:val="00564ED8"/>
    <w:rsid w:val="00585170"/>
    <w:rsid w:val="005A7E29"/>
    <w:rsid w:val="005B790B"/>
    <w:rsid w:val="005C3A9B"/>
    <w:rsid w:val="005D5B14"/>
    <w:rsid w:val="00651D10"/>
    <w:rsid w:val="00665B70"/>
    <w:rsid w:val="00695183"/>
    <w:rsid w:val="006C2BF1"/>
    <w:rsid w:val="006D73CC"/>
    <w:rsid w:val="006E5286"/>
    <w:rsid w:val="007142F0"/>
    <w:rsid w:val="007221D3"/>
    <w:rsid w:val="007325C3"/>
    <w:rsid w:val="007374CE"/>
    <w:rsid w:val="00742BBF"/>
    <w:rsid w:val="007817D5"/>
    <w:rsid w:val="00790E78"/>
    <w:rsid w:val="007B10B7"/>
    <w:rsid w:val="007B7098"/>
    <w:rsid w:val="007C5936"/>
    <w:rsid w:val="00800CEB"/>
    <w:rsid w:val="0081158E"/>
    <w:rsid w:val="008137F5"/>
    <w:rsid w:val="00846371"/>
    <w:rsid w:val="00846B16"/>
    <w:rsid w:val="008736F6"/>
    <w:rsid w:val="008D6E77"/>
    <w:rsid w:val="008D70D9"/>
    <w:rsid w:val="008E2ED7"/>
    <w:rsid w:val="00903DDF"/>
    <w:rsid w:val="00925563"/>
    <w:rsid w:val="0093685F"/>
    <w:rsid w:val="009562B3"/>
    <w:rsid w:val="00961BF6"/>
    <w:rsid w:val="00963DB6"/>
    <w:rsid w:val="00966684"/>
    <w:rsid w:val="00970E6E"/>
    <w:rsid w:val="0099142C"/>
    <w:rsid w:val="009A43AA"/>
    <w:rsid w:val="009F37F9"/>
    <w:rsid w:val="009F5D54"/>
    <w:rsid w:val="00A23608"/>
    <w:rsid w:val="00A34EB1"/>
    <w:rsid w:val="00A53B54"/>
    <w:rsid w:val="00A816D0"/>
    <w:rsid w:val="00AA00DE"/>
    <w:rsid w:val="00AB4342"/>
    <w:rsid w:val="00AC643D"/>
    <w:rsid w:val="00AE3AD7"/>
    <w:rsid w:val="00AF5DBA"/>
    <w:rsid w:val="00B33091"/>
    <w:rsid w:val="00B3695F"/>
    <w:rsid w:val="00B513B1"/>
    <w:rsid w:val="00BA15B5"/>
    <w:rsid w:val="00BD05EA"/>
    <w:rsid w:val="00BD4841"/>
    <w:rsid w:val="00BE156D"/>
    <w:rsid w:val="00BE280B"/>
    <w:rsid w:val="00BF07B1"/>
    <w:rsid w:val="00C00778"/>
    <w:rsid w:val="00C16F20"/>
    <w:rsid w:val="00C35D17"/>
    <w:rsid w:val="00C406AC"/>
    <w:rsid w:val="00C56991"/>
    <w:rsid w:val="00C96ADB"/>
    <w:rsid w:val="00CA13F0"/>
    <w:rsid w:val="00D21AC0"/>
    <w:rsid w:val="00D6494D"/>
    <w:rsid w:val="00D8183F"/>
    <w:rsid w:val="00DB5D09"/>
    <w:rsid w:val="00DB76AF"/>
    <w:rsid w:val="00DF1A51"/>
    <w:rsid w:val="00E158A1"/>
    <w:rsid w:val="00E169C9"/>
    <w:rsid w:val="00E3524D"/>
    <w:rsid w:val="00E414A0"/>
    <w:rsid w:val="00E55D8B"/>
    <w:rsid w:val="00EB0373"/>
    <w:rsid w:val="00EB1A6A"/>
    <w:rsid w:val="00EB47F8"/>
    <w:rsid w:val="00EB505F"/>
    <w:rsid w:val="00ED5CC5"/>
    <w:rsid w:val="00EF3C95"/>
    <w:rsid w:val="00F0005C"/>
    <w:rsid w:val="00F07856"/>
    <w:rsid w:val="00F24F3C"/>
    <w:rsid w:val="00F56EEE"/>
    <w:rsid w:val="00F674BA"/>
    <w:rsid w:val="00F80B9F"/>
    <w:rsid w:val="00F9000B"/>
    <w:rsid w:val="00F90149"/>
    <w:rsid w:val="00FB683B"/>
    <w:rsid w:val="00FC1003"/>
    <w:rsid w:val="00FD1312"/>
    <w:rsid w:val="00FD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904"/>
  <w15:docId w15:val="{790D0E42-77E0-4B25-8521-CF2DD2A8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link w:val="Heading1Char"/>
    <w:uiPriority w:val="1"/>
    <w:qFormat/>
    <w:pPr>
      <w:ind w:left="13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1197" w:right="135" w:hanging="4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14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F0"/>
    <w:rPr>
      <w:rFonts w:ascii="Segoe UI" w:eastAsia="Cambria" w:hAnsi="Segoe UI" w:cs="Segoe UI"/>
      <w:sz w:val="18"/>
      <w:szCs w:val="18"/>
    </w:rPr>
  </w:style>
  <w:style w:type="character" w:styleId="CommentReference">
    <w:name w:val="annotation reference"/>
    <w:basedOn w:val="DefaultParagraphFont"/>
    <w:uiPriority w:val="99"/>
    <w:semiHidden/>
    <w:unhideWhenUsed/>
    <w:rsid w:val="00800CEB"/>
    <w:rPr>
      <w:sz w:val="16"/>
      <w:szCs w:val="16"/>
    </w:rPr>
  </w:style>
  <w:style w:type="paragraph" w:styleId="CommentText">
    <w:name w:val="annotation text"/>
    <w:basedOn w:val="Normal"/>
    <w:link w:val="CommentTextChar"/>
    <w:uiPriority w:val="99"/>
    <w:semiHidden/>
    <w:unhideWhenUsed/>
    <w:rsid w:val="00800CEB"/>
    <w:rPr>
      <w:sz w:val="20"/>
      <w:szCs w:val="20"/>
    </w:rPr>
  </w:style>
  <w:style w:type="character" w:customStyle="1" w:styleId="CommentTextChar">
    <w:name w:val="Comment Text Char"/>
    <w:basedOn w:val="DefaultParagraphFont"/>
    <w:link w:val="CommentText"/>
    <w:uiPriority w:val="99"/>
    <w:semiHidden/>
    <w:rsid w:val="00800CEB"/>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00CEB"/>
    <w:rPr>
      <w:b/>
      <w:bCs/>
    </w:rPr>
  </w:style>
  <w:style w:type="character" w:customStyle="1" w:styleId="CommentSubjectChar">
    <w:name w:val="Comment Subject Char"/>
    <w:basedOn w:val="CommentTextChar"/>
    <w:link w:val="CommentSubject"/>
    <w:uiPriority w:val="99"/>
    <w:semiHidden/>
    <w:rsid w:val="00800CEB"/>
    <w:rPr>
      <w:rFonts w:ascii="Cambria" w:eastAsia="Cambria" w:hAnsi="Cambria" w:cs="Cambria"/>
      <w:b/>
      <w:bCs/>
      <w:sz w:val="20"/>
      <w:szCs w:val="20"/>
    </w:rPr>
  </w:style>
  <w:style w:type="paragraph" w:styleId="Header">
    <w:name w:val="header"/>
    <w:basedOn w:val="Normal"/>
    <w:link w:val="HeaderChar"/>
    <w:uiPriority w:val="99"/>
    <w:unhideWhenUsed/>
    <w:rsid w:val="00564ED8"/>
    <w:pPr>
      <w:tabs>
        <w:tab w:val="center" w:pos="4513"/>
        <w:tab w:val="right" w:pos="9026"/>
      </w:tabs>
    </w:pPr>
  </w:style>
  <w:style w:type="character" w:customStyle="1" w:styleId="HeaderChar">
    <w:name w:val="Header Char"/>
    <w:basedOn w:val="DefaultParagraphFont"/>
    <w:link w:val="Header"/>
    <w:uiPriority w:val="99"/>
    <w:rsid w:val="00564ED8"/>
    <w:rPr>
      <w:rFonts w:ascii="Cambria" w:eastAsia="Cambria" w:hAnsi="Cambria" w:cs="Cambria"/>
    </w:rPr>
  </w:style>
  <w:style w:type="paragraph" w:styleId="Footer">
    <w:name w:val="footer"/>
    <w:basedOn w:val="Normal"/>
    <w:link w:val="FooterChar"/>
    <w:uiPriority w:val="99"/>
    <w:unhideWhenUsed/>
    <w:rsid w:val="00564ED8"/>
    <w:pPr>
      <w:tabs>
        <w:tab w:val="center" w:pos="4513"/>
        <w:tab w:val="right" w:pos="9026"/>
      </w:tabs>
    </w:pPr>
  </w:style>
  <w:style w:type="character" w:customStyle="1" w:styleId="FooterChar">
    <w:name w:val="Footer Char"/>
    <w:basedOn w:val="DefaultParagraphFont"/>
    <w:link w:val="Footer"/>
    <w:uiPriority w:val="99"/>
    <w:rsid w:val="00564ED8"/>
    <w:rPr>
      <w:rFonts w:ascii="Cambria" w:eastAsia="Cambria" w:hAnsi="Cambria" w:cs="Cambria"/>
    </w:rPr>
  </w:style>
  <w:style w:type="paragraph" w:styleId="NormalWeb">
    <w:name w:val="Normal (Web)"/>
    <w:basedOn w:val="Normal"/>
    <w:uiPriority w:val="99"/>
    <w:semiHidden/>
    <w:unhideWhenUsed/>
    <w:rsid w:val="00FD131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1"/>
    <w:rsid w:val="00903DDF"/>
    <w:rPr>
      <w:rFonts w:ascii="Cambria" w:eastAsia="Cambria" w:hAnsi="Cambria" w:cs="Cambria"/>
      <w:sz w:val="18"/>
      <w:szCs w:val="18"/>
    </w:rPr>
  </w:style>
  <w:style w:type="character" w:customStyle="1" w:styleId="Heading1Char">
    <w:name w:val="Heading 1 Char"/>
    <w:basedOn w:val="DefaultParagraphFont"/>
    <w:link w:val="Heading1"/>
    <w:uiPriority w:val="1"/>
    <w:rsid w:val="004875F8"/>
    <w:rPr>
      <w:rFonts w:ascii="Cambria" w:eastAsia="Cambria" w:hAnsi="Cambria" w:cs="Cambria"/>
      <w:b/>
      <w:bCs/>
      <w:sz w:val="18"/>
      <w:szCs w:val="18"/>
    </w:rPr>
  </w:style>
  <w:style w:type="paragraph" w:styleId="FootnoteText">
    <w:name w:val="footnote text"/>
    <w:basedOn w:val="Normal"/>
    <w:link w:val="FootnoteTextChar"/>
    <w:uiPriority w:val="99"/>
    <w:semiHidden/>
    <w:unhideWhenUsed/>
    <w:rsid w:val="008D70D9"/>
    <w:rPr>
      <w:sz w:val="20"/>
      <w:szCs w:val="20"/>
    </w:rPr>
  </w:style>
  <w:style w:type="character" w:customStyle="1" w:styleId="FootnoteTextChar">
    <w:name w:val="Footnote Text Char"/>
    <w:basedOn w:val="DefaultParagraphFont"/>
    <w:link w:val="FootnoteText"/>
    <w:uiPriority w:val="99"/>
    <w:semiHidden/>
    <w:rsid w:val="008D70D9"/>
    <w:rPr>
      <w:rFonts w:ascii="Cambria" w:eastAsia="Cambria" w:hAnsi="Cambria" w:cs="Cambria"/>
      <w:sz w:val="20"/>
      <w:szCs w:val="20"/>
    </w:rPr>
  </w:style>
  <w:style w:type="character" w:styleId="Hyperlink">
    <w:name w:val="Hyperlink"/>
    <w:basedOn w:val="DefaultParagraphFont"/>
    <w:uiPriority w:val="99"/>
    <w:semiHidden/>
    <w:unhideWhenUsed/>
    <w:rsid w:val="008D70D9"/>
    <w:rPr>
      <w:color w:val="0000FF" w:themeColor="hyperlink"/>
      <w:u w:val="single"/>
    </w:rPr>
  </w:style>
  <w:style w:type="character" w:styleId="FootnoteReference">
    <w:name w:val="footnote reference"/>
    <w:basedOn w:val="DefaultParagraphFont"/>
    <w:uiPriority w:val="99"/>
    <w:semiHidden/>
    <w:unhideWhenUsed/>
    <w:rsid w:val="008D70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48434">
      <w:bodyDiv w:val="1"/>
      <w:marLeft w:val="0"/>
      <w:marRight w:val="0"/>
      <w:marTop w:val="0"/>
      <w:marBottom w:val="0"/>
      <w:divBdr>
        <w:top w:val="none" w:sz="0" w:space="0" w:color="auto"/>
        <w:left w:val="none" w:sz="0" w:space="0" w:color="auto"/>
        <w:bottom w:val="none" w:sz="0" w:space="0" w:color="auto"/>
        <w:right w:val="none" w:sz="0" w:space="0" w:color="auto"/>
      </w:divBdr>
    </w:div>
    <w:div w:id="531767047">
      <w:bodyDiv w:val="1"/>
      <w:marLeft w:val="0"/>
      <w:marRight w:val="0"/>
      <w:marTop w:val="0"/>
      <w:marBottom w:val="0"/>
      <w:divBdr>
        <w:top w:val="none" w:sz="0" w:space="0" w:color="auto"/>
        <w:left w:val="none" w:sz="0" w:space="0" w:color="auto"/>
        <w:bottom w:val="none" w:sz="0" w:space="0" w:color="auto"/>
        <w:right w:val="none" w:sz="0" w:space="0" w:color="auto"/>
      </w:divBdr>
    </w:div>
    <w:div w:id="779109400">
      <w:bodyDiv w:val="1"/>
      <w:marLeft w:val="0"/>
      <w:marRight w:val="0"/>
      <w:marTop w:val="0"/>
      <w:marBottom w:val="0"/>
      <w:divBdr>
        <w:top w:val="none" w:sz="0" w:space="0" w:color="auto"/>
        <w:left w:val="none" w:sz="0" w:space="0" w:color="auto"/>
        <w:bottom w:val="none" w:sz="0" w:space="0" w:color="auto"/>
        <w:right w:val="none" w:sz="0" w:space="0" w:color="auto"/>
      </w:divBdr>
    </w:div>
    <w:div w:id="1268536868">
      <w:bodyDiv w:val="1"/>
      <w:marLeft w:val="0"/>
      <w:marRight w:val="0"/>
      <w:marTop w:val="0"/>
      <w:marBottom w:val="0"/>
      <w:divBdr>
        <w:top w:val="none" w:sz="0" w:space="0" w:color="auto"/>
        <w:left w:val="none" w:sz="0" w:space="0" w:color="auto"/>
        <w:bottom w:val="none" w:sz="0" w:space="0" w:color="auto"/>
        <w:right w:val="none" w:sz="0" w:space="0" w:color="auto"/>
      </w:divBdr>
    </w:div>
    <w:div w:id="1335572363">
      <w:bodyDiv w:val="1"/>
      <w:marLeft w:val="0"/>
      <w:marRight w:val="0"/>
      <w:marTop w:val="0"/>
      <w:marBottom w:val="0"/>
      <w:divBdr>
        <w:top w:val="none" w:sz="0" w:space="0" w:color="auto"/>
        <w:left w:val="none" w:sz="0" w:space="0" w:color="auto"/>
        <w:bottom w:val="none" w:sz="0" w:space="0" w:color="auto"/>
        <w:right w:val="none" w:sz="0" w:space="0" w:color="auto"/>
      </w:divBdr>
    </w:div>
    <w:div w:id="1532500180">
      <w:bodyDiv w:val="1"/>
      <w:marLeft w:val="0"/>
      <w:marRight w:val="0"/>
      <w:marTop w:val="0"/>
      <w:marBottom w:val="0"/>
      <w:divBdr>
        <w:top w:val="none" w:sz="0" w:space="0" w:color="auto"/>
        <w:left w:val="none" w:sz="0" w:space="0" w:color="auto"/>
        <w:bottom w:val="none" w:sz="0" w:space="0" w:color="auto"/>
        <w:right w:val="none" w:sz="0" w:space="0" w:color="auto"/>
      </w:divBdr>
    </w:div>
    <w:div w:id="1729918046">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845ae9bf7730e4c6e59b85cb5bbd8af9">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4b352ccc93337f0cbb572eb4e7ef500d"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d73a274-b5d4-4934-af93-8b8c31f6f19f">
      <UserInfo>
        <DisplayName/>
        <AccountId xsi:nil="true"/>
        <AccountType/>
      </UserInfo>
    </SharedWithUsers>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C8B0F3-830C-4DDA-B32E-C886870A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2C222-4556-4BEA-A7F3-B9B2D6AE382E}">
  <ds:schemaRefs>
    <ds:schemaRef ds:uri="http://schemas.openxmlformats.org/officeDocument/2006/bibliography"/>
  </ds:schemaRefs>
</ds:datastoreItem>
</file>

<file path=customXml/itemProps3.xml><?xml version="1.0" encoding="utf-8"?>
<ds:datastoreItem xmlns:ds="http://schemas.openxmlformats.org/officeDocument/2006/customXml" ds:itemID="{3B5EE071-4DB7-40FE-B611-A9B74F82C7C7}">
  <ds:schemaRefs>
    <ds:schemaRef ds:uri="http://schemas.microsoft.com/sharepoint/v3/contenttype/forms"/>
  </ds:schemaRefs>
</ds:datastoreItem>
</file>

<file path=customXml/itemProps4.xml><?xml version="1.0" encoding="utf-8"?>
<ds:datastoreItem xmlns:ds="http://schemas.openxmlformats.org/officeDocument/2006/customXml" ds:itemID="{584A910D-8D91-4284-9E3C-C23C63DDDAFE}">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Peyre</dc:creator>
  <dc:description/>
  <cp:lastModifiedBy>Christine Peyre</cp:lastModifiedBy>
  <cp:revision>25</cp:revision>
  <dcterms:created xsi:type="dcterms:W3CDTF">2025-11-19T11:08:00Z</dcterms:created>
  <dcterms:modified xsi:type="dcterms:W3CDTF">2025-11-19T11:46:00Z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8981900</vt:r8>
  </property>
  <property fmtid="{D5CDD505-2E9C-101B-9397-08002B2CF9AE}" pid="3" name="ContentTypeId">
    <vt:lpwstr>0x0101003E84DD1BACBE3641B802C49D00950036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