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8208" w14:textId="27FFD15E" w:rsidR="00B07CD4" w:rsidRPr="000444F2" w:rsidRDefault="00B07CD4" w:rsidP="00B07CD4">
      <w:pPr>
        <w:jc w:val="right"/>
        <w:rPr>
          <w:b/>
          <w:bCs/>
          <w:iCs/>
          <w:color w:val="000000"/>
          <w:sz w:val="20"/>
          <w:szCs w:val="20"/>
          <w:lang w:val="fr-FR"/>
        </w:rPr>
      </w:pPr>
      <w:r w:rsidRPr="000444F2">
        <w:rPr>
          <w:b/>
          <w:bCs/>
          <w:iCs/>
          <w:color w:val="000000"/>
          <w:sz w:val="20"/>
          <w:szCs w:val="20"/>
          <w:lang w:val="fr-FR"/>
        </w:rPr>
        <w:t>Original</w:t>
      </w:r>
      <w:r w:rsidR="00F910F5" w:rsidRPr="000444F2">
        <w:rPr>
          <w:b/>
          <w:bCs/>
          <w:iCs/>
          <w:color w:val="000000"/>
          <w:sz w:val="20"/>
          <w:szCs w:val="20"/>
          <w:lang w:val="fr-FR"/>
        </w:rPr>
        <w:t xml:space="preserve"> </w:t>
      </w:r>
      <w:r w:rsidRPr="000444F2">
        <w:rPr>
          <w:b/>
          <w:bCs/>
          <w:iCs/>
          <w:color w:val="000000"/>
          <w:sz w:val="20"/>
          <w:szCs w:val="20"/>
          <w:lang w:val="fr-FR"/>
        </w:rPr>
        <w:t xml:space="preserve">: </w:t>
      </w:r>
      <w:r w:rsidR="00F910F5" w:rsidRPr="000444F2">
        <w:rPr>
          <w:b/>
          <w:bCs/>
          <w:iCs/>
          <w:color w:val="000000"/>
          <w:sz w:val="20"/>
          <w:szCs w:val="20"/>
          <w:lang w:val="fr-FR"/>
        </w:rPr>
        <w:t>anglais</w:t>
      </w:r>
      <w:r w:rsidRPr="000444F2">
        <w:rPr>
          <w:b/>
          <w:bCs/>
          <w:iCs/>
          <w:color w:val="000000"/>
          <w:sz w:val="20"/>
          <w:szCs w:val="20"/>
          <w:lang w:val="fr-FR"/>
        </w:rPr>
        <w:t xml:space="preserve"> </w:t>
      </w:r>
    </w:p>
    <w:p w14:paraId="4296D92D" w14:textId="77777777" w:rsidR="00B07CD4" w:rsidRPr="000444F2" w:rsidRDefault="00B07CD4" w:rsidP="00B07CD4">
      <w:pPr>
        <w:jc w:val="center"/>
        <w:rPr>
          <w:b/>
          <w:bCs/>
          <w:iCs/>
          <w:color w:val="000000"/>
          <w:sz w:val="20"/>
          <w:szCs w:val="20"/>
          <w:lang w:val="fr-FR"/>
        </w:rPr>
      </w:pPr>
    </w:p>
    <w:p w14:paraId="2430EF07" w14:textId="77777777" w:rsidR="00F910F5" w:rsidRPr="000444F2" w:rsidRDefault="00F910F5" w:rsidP="00B07CD4">
      <w:pPr>
        <w:jc w:val="center"/>
        <w:rPr>
          <w:b/>
          <w:bCs/>
          <w:iCs/>
          <w:color w:val="000000"/>
          <w:sz w:val="20"/>
          <w:szCs w:val="20"/>
          <w:lang w:val="fr-FR"/>
        </w:rPr>
      </w:pPr>
    </w:p>
    <w:p w14:paraId="59BDA6B2" w14:textId="081E730A" w:rsidR="00F910F5" w:rsidRPr="004A4FE0" w:rsidRDefault="004A4FE0" w:rsidP="00B07CD4">
      <w:pPr>
        <w:jc w:val="center"/>
        <w:rPr>
          <w:b/>
          <w:bCs/>
          <w:iCs/>
          <w:color w:val="000000"/>
          <w:sz w:val="20"/>
          <w:szCs w:val="20"/>
          <w:lang w:val="fr-FR"/>
        </w:rPr>
      </w:pPr>
      <w:r w:rsidRPr="004A4FE0">
        <w:rPr>
          <w:b/>
          <w:bCs/>
          <w:iCs/>
          <w:color w:val="000000"/>
          <w:sz w:val="20"/>
          <w:szCs w:val="20"/>
          <w:lang w:val="fr-FR"/>
        </w:rPr>
        <w:t xml:space="preserve">Projet de </w:t>
      </w:r>
      <w:r w:rsidR="007A2445" w:rsidRPr="004A4FE0">
        <w:rPr>
          <w:b/>
          <w:bCs/>
          <w:iCs/>
          <w:color w:val="000000"/>
          <w:sz w:val="20"/>
          <w:szCs w:val="20"/>
          <w:lang w:val="fr-FR"/>
        </w:rPr>
        <w:t>recommandation</w:t>
      </w:r>
      <w:r w:rsidRPr="004A4FE0">
        <w:rPr>
          <w:b/>
          <w:bCs/>
          <w:iCs/>
          <w:color w:val="000000"/>
          <w:sz w:val="20"/>
          <w:szCs w:val="20"/>
          <w:lang w:val="fr-FR"/>
        </w:rPr>
        <w:t xml:space="preserve"> de l</w:t>
      </w:r>
      <w:r>
        <w:rPr>
          <w:b/>
          <w:bCs/>
          <w:iCs/>
          <w:color w:val="000000"/>
          <w:sz w:val="20"/>
          <w:szCs w:val="20"/>
          <w:lang w:val="fr-FR"/>
        </w:rPr>
        <w:t>’ICCAT sur des mesures de conservation et de gestion, incluant une procédure de gestion, pour l’es</w:t>
      </w:r>
      <w:r w:rsidR="009D5843">
        <w:rPr>
          <w:b/>
          <w:bCs/>
          <w:iCs/>
          <w:color w:val="000000"/>
          <w:sz w:val="20"/>
          <w:szCs w:val="20"/>
          <w:lang w:val="fr-FR"/>
        </w:rPr>
        <w:t>padon de l’Atlantique Nord</w:t>
      </w:r>
    </w:p>
    <w:p w14:paraId="2D75A0C4" w14:textId="77777777" w:rsidR="00F910F5" w:rsidRPr="004A4FE0" w:rsidRDefault="00F910F5" w:rsidP="00B07CD4">
      <w:pPr>
        <w:jc w:val="center"/>
        <w:rPr>
          <w:b/>
          <w:bCs/>
          <w:iCs/>
          <w:color w:val="000000"/>
          <w:sz w:val="20"/>
          <w:szCs w:val="20"/>
          <w:lang w:val="fr-FR"/>
        </w:rPr>
      </w:pPr>
    </w:p>
    <w:p w14:paraId="68CE8C46" w14:textId="7C842411" w:rsidR="00D54393" w:rsidRPr="007A2445" w:rsidRDefault="00D54393" w:rsidP="002949E9">
      <w:pPr>
        <w:ind w:left="1950" w:right="1950"/>
        <w:jc w:val="center"/>
        <w:rPr>
          <w:i/>
          <w:color w:val="000000"/>
          <w:sz w:val="20"/>
          <w:szCs w:val="20"/>
          <w:lang w:val="fr-FR"/>
        </w:rPr>
      </w:pPr>
      <w:r w:rsidRPr="004038C0">
        <w:rPr>
          <w:i/>
          <w:color w:val="000000"/>
          <w:sz w:val="20"/>
          <w:szCs w:val="20"/>
          <w:lang w:val="fr-FR"/>
        </w:rPr>
        <w:t>(</w:t>
      </w:r>
      <w:r w:rsidR="007A2445" w:rsidRPr="004038C0">
        <w:rPr>
          <w:i/>
          <w:color w:val="000000"/>
          <w:sz w:val="20"/>
          <w:szCs w:val="20"/>
          <w:lang w:val="fr-FR"/>
        </w:rPr>
        <w:t xml:space="preserve">Document soumis par le </w:t>
      </w:r>
      <w:r w:rsidR="000D1A9B" w:rsidRPr="004038C0">
        <w:rPr>
          <w:i/>
          <w:color w:val="000000"/>
          <w:sz w:val="20"/>
          <w:szCs w:val="20"/>
          <w:lang w:val="fr-FR"/>
        </w:rPr>
        <w:t>Canada)</w:t>
      </w:r>
    </w:p>
    <w:p w14:paraId="25E88F8C" w14:textId="77777777" w:rsidR="002432BD" w:rsidRPr="007A2445" w:rsidRDefault="002432BD" w:rsidP="002949E9">
      <w:pPr>
        <w:ind w:left="1950" w:right="1950"/>
        <w:jc w:val="center"/>
        <w:rPr>
          <w:i/>
          <w:color w:val="000000"/>
          <w:sz w:val="20"/>
          <w:szCs w:val="20"/>
          <w:lang w:val="fr-FR"/>
        </w:rPr>
      </w:pPr>
    </w:p>
    <w:p w14:paraId="21B946E3" w14:textId="77777777" w:rsidR="00F36422" w:rsidRPr="00F36422" w:rsidRDefault="00F36422" w:rsidP="00F36422">
      <w:pPr>
        <w:ind w:right="220" w:firstLine="420"/>
        <w:jc w:val="both"/>
        <w:rPr>
          <w:i/>
          <w:sz w:val="20"/>
          <w:szCs w:val="20"/>
          <w:lang w:val="fr-FR"/>
        </w:rPr>
      </w:pPr>
      <w:r w:rsidRPr="00F36422">
        <w:rPr>
          <w:i/>
          <w:iCs/>
          <w:sz w:val="20"/>
          <w:szCs w:val="20"/>
          <w:lang w:val="fr-FR"/>
        </w:rPr>
        <w:t>RAPPELANT</w:t>
      </w:r>
      <w:r w:rsidRPr="00F36422">
        <w:rPr>
          <w:i/>
          <w:sz w:val="20"/>
          <w:szCs w:val="20"/>
          <w:lang w:val="fr-FR"/>
        </w:rPr>
        <w:t xml:space="preserve"> </w:t>
      </w:r>
      <w:r w:rsidRPr="00F36422">
        <w:rPr>
          <w:sz w:val="20"/>
          <w:szCs w:val="20"/>
          <w:lang w:val="fr-FR"/>
        </w:rPr>
        <w:t>la</w:t>
      </w:r>
      <w:r w:rsidRPr="00F36422">
        <w:rPr>
          <w:i/>
          <w:iCs/>
          <w:sz w:val="20"/>
          <w:szCs w:val="20"/>
          <w:lang w:val="fr-FR"/>
        </w:rPr>
        <w:t xml:space="preserve"> Recommandation supplémentaire de l’ICCAT visant à amender le programme de rétablissement de l’espadon de l’Atlantique Nord </w:t>
      </w:r>
      <w:r w:rsidRPr="00F36422">
        <w:rPr>
          <w:sz w:val="20"/>
          <w:szCs w:val="20"/>
          <w:lang w:val="fr-FR"/>
        </w:rPr>
        <w:t xml:space="preserve">(Rec. 06-02), la </w:t>
      </w:r>
      <w:r w:rsidRPr="00F36422">
        <w:rPr>
          <w:i/>
          <w:iCs/>
          <w:sz w:val="20"/>
          <w:szCs w:val="20"/>
          <w:lang w:val="fr-FR"/>
        </w:rPr>
        <w:t>Recommandation de l’ICCAT sur la conservation de l’espadon de l’Atlantique Nord</w:t>
      </w:r>
      <w:r w:rsidRPr="00F36422">
        <w:rPr>
          <w:sz w:val="20"/>
          <w:szCs w:val="20"/>
          <w:lang w:val="fr-FR"/>
        </w:rPr>
        <w:t xml:space="preserve"> (Rec. 10-02, Rec. 11-02, Rec. 16-03) et la </w:t>
      </w:r>
      <w:r w:rsidRPr="00F36422">
        <w:rPr>
          <w:i/>
          <w:iCs/>
          <w:sz w:val="20"/>
          <w:szCs w:val="20"/>
          <w:lang w:val="fr-FR"/>
        </w:rPr>
        <w:t>Recommandation de l’ICCAT amendant la Recommandation 16-03 sur la conservation de l’espadon de l’Atlantique Nord</w:t>
      </w:r>
      <w:r w:rsidRPr="00F36422">
        <w:rPr>
          <w:sz w:val="20"/>
          <w:szCs w:val="20"/>
          <w:lang w:val="fr-FR"/>
        </w:rPr>
        <w:t xml:space="preserve"> (Rec.  17-02) amendée par la </w:t>
      </w:r>
      <w:r w:rsidRPr="00F36422">
        <w:rPr>
          <w:i/>
          <w:iCs/>
          <w:sz w:val="20"/>
          <w:szCs w:val="20"/>
          <w:lang w:val="fr-FR"/>
        </w:rPr>
        <w:t>Recommandation de l’ICCAT remplaçant la Recommandation 22-03 prolongeant et modifiant la Recommandation 17-02 sur la conservation de l’espadon de l’Atlantique Nord</w:t>
      </w:r>
      <w:r w:rsidRPr="00F36422">
        <w:rPr>
          <w:sz w:val="20"/>
          <w:szCs w:val="20"/>
          <w:lang w:val="fr-FR"/>
        </w:rPr>
        <w:t xml:space="preserve"> (Rec. 23-04</w:t>
      </w:r>
      <w:proofErr w:type="gramStart"/>
      <w:r w:rsidRPr="00F36422">
        <w:rPr>
          <w:sz w:val="20"/>
          <w:szCs w:val="20"/>
          <w:lang w:val="fr-FR"/>
        </w:rPr>
        <w:t>);</w:t>
      </w:r>
      <w:proofErr w:type="gramEnd"/>
    </w:p>
    <w:p w14:paraId="5BE12471" w14:textId="77777777" w:rsidR="00F36422" w:rsidRPr="00F36422" w:rsidRDefault="00F36422" w:rsidP="00F36422">
      <w:pPr>
        <w:ind w:left="120" w:right="220" w:firstLine="420"/>
        <w:jc w:val="both"/>
        <w:rPr>
          <w:i/>
          <w:sz w:val="20"/>
          <w:szCs w:val="20"/>
          <w:lang w:val="fr-FR"/>
        </w:rPr>
      </w:pPr>
    </w:p>
    <w:p w14:paraId="673FE2CF" w14:textId="77777777" w:rsidR="00F36422" w:rsidRPr="00F36422" w:rsidRDefault="00F36422" w:rsidP="00F36422">
      <w:pPr>
        <w:ind w:right="220" w:firstLine="420"/>
        <w:jc w:val="both"/>
        <w:rPr>
          <w:i/>
          <w:sz w:val="20"/>
          <w:szCs w:val="20"/>
          <w:lang w:val="fr-FR"/>
        </w:rPr>
      </w:pPr>
      <w:r w:rsidRPr="00F36422">
        <w:rPr>
          <w:i/>
          <w:iCs/>
          <w:sz w:val="20"/>
          <w:szCs w:val="20"/>
          <w:lang w:val="fr-FR"/>
        </w:rPr>
        <w:t xml:space="preserve">RAPPELANT EN OUTRE </w:t>
      </w:r>
      <w:r w:rsidRPr="00F36422">
        <w:rPr>
          <w:sz w:val="20"/>
          <w:szCs w:val="20"/>
          <w:lang w:val="fr-FR"/>
        </w:rPr>
        <w:t xml:space="preserve">la </w:t>
      </w:r>
      <w:r w:rsidRPr="00F36422">
        <w:rPr>
          <w:i/>
          <w:iCs/>
          <w:sz w:val="20"/>
          <w:szCs w:val="20"/>
          <w:lang w:val="fr-FR"/>
        </w:rPr>
        <w:t>Recommandation de l'ICCAT sur les principes de la prise de décisions sur des mesures de conservation et de gestion de l’ICCAT</w:t>
      </w:r>
      <w:r w:rsidRPr="00F36422">
        <w:rPr>
          <w:sz w:val="20"/>
          <w:szCs w:val="20"/>
          <w:lang w:val="fr-FR"/>
        </w:rPr>
        <w:t xml:space="preserve"> (Rec. 11-13) et la </w:t>
      </w:r>
      <w:r w:rsidRPr="00F36422">
        <w:rPr>
          <w:i/>
          <w:iCs/>
          <w:sz w:val="20"/>
          <w:szCs w:val="20"/>
          <w:lang w:val="fr-FR"/>
        </w:rPr>
        <w:t>Recommandation de l’ICCAT sur le développement de règles de contrôle de l’exploitation et d'une évaluation de la stratégie de gestion</w:t>
      </w:r>
      <w:r w:rsidRPr="00F36422">
        <w:rPr>
          <w:sz w:val="20"/>
          <w:szCs w:val="20"/>
          <w:lang w:val="fr-FR"/>
        </w:rPr>
        <w:t xml:space="preserve"> (Rec. 15-07) ;</w:t>
      </w:r>
    </w:p>
    <w:p w14:paraId="18ECFE49" w14:textId="77777777" w:rsidR="00F36422" w:rsidRPr="00F36422" w:rsidRDefault="00F36422" w:rsidP="00F36422">
      <w:pPr>
        <w:ind w:left="120" w:right="220" w:firstLine="420"/>
        <w:jc w:val="both"/>
        <w:rPr>
          <w:i/>
          <w:sz w:val="20"/>
          <w:szCs w:val="20"/>
          <w:lang w:val="fr-FR"/>
        </w:rPr>
      </w:pPr>
    </w:p>
    <w:p w14:paraId="56E3FD40" w14:textId="77777777" w:rsidR="00F36422" w:rsidRPr="00F36422" w:rsidRDefault="00F36422" w:rsidP="00F36422">
      <w:pPr>
        <w:ind w:right="220" w:firstLine="420"/>
        <w:jc w:val="both"/>
        <w:rPr>
          <w:i/>
          <w:sz w:val="20"/>
          <w:szCs w:val="20"/>
          <w:lang w:val="fr-FR"/>
        </w:rPr>
      </w:pPr>
      <w:r w:rsidRPr="00F36422">
        <w:rPr>
          <w:i/>
          <w:sz w:val="20"/>
          <w:szCs w:val="20"/>
          <w:lang w:val="fr-FR"/>
        </w:rPr>
        <w:t>NOTANT</w:t>
      </w:r>
      <w:r w:rsidRPr="00F36422">
        <w:rPr>
          <w:sz w:val="20"/>
          <w:szCs w:val="20"/>
          <w:lang w:val="fr-FR"/>
        </w:rPr>
        <w:t xml:space="preserve"> que l’objectif de la Convention est de maintenir les populations de thonidés et d’espèces apparentées à des niveaux qui permettront la prise maximale équilibrée (dénommée généralement « production maximale équilibrée » (PME)) ;</w:t>
      </w:r>
    </w:p>
    <w:p w14:paraId="03776C13" w14:textId="77777777" w:rsidR="00F36422" w:rsidRPr="00F36422" w:rsidRDefault="00F36422" w:rsidP="00F36422">
      <w:pPr>
        <w:ind w:left="120" w:right="220" w:firstLine="420"/>
        <w:jc w:val="both"/>
        <w:rPr>
          <w:i/>
          <w:sz w:val="20"/>
          <w:szCs w:val="20"/>
          <w:lang w:val="fr-FR"/>
        </w:rPr>
      </w:pPr>
    </w:p>
    <w:p w14:paraId="1779D6FE" w14:textId="77777777" w:rsidR="00F36422" w:rsidRPr="00F36422" w:rsidRDefault="00F36422" w:rsidP="00F36422">
      <w:pPr>
        <w:ind w:right="220" w:firstLine="420"/>
        <w:jc w:val="both"/>
        <w:rPr>
          <w:i/>
          <w:sz w:val="20"/>
          <w:szCs w:val="20"/>
          <w:lang w:val="fr-FR"/>
        </w:rPr>
      </w:pPr>
      <w:r w:rsidRPr="00F36422">
        <w:rPr>
          <w:i/>
          <w:iCs/>
          <w:sz w:val="20"/>
          <w:szCs w:val="20"/>
          <w:lang w:val="fr-FR"/>
        </w:rPr>
        <w:t>RAPPELANT</w:t>
      </w:r>
      <w:r w:rsidRPr="00F36422">
        <w:rPr>
          <w:sz w:val="20"/>
          <w:szCs w:val="20"/>
          <w:lang w:val="fr-FR"/>
        </w:rPr>
        <w:t xml:space="preserve"> les travaux de la Commission visant à développer une évaluation de la stratégie de gestion (MSE) pour l'espadon de l'Atlantique Nord afin de gérer les pêcheries de manière plus efficace face aux incertitudes identifiées, y compris les efforts visant à développer des objectifs de gestion opérationnels, en particulier la </w:t>
      </w:r>
      <w:r w:rsidRPr="00F36422">
        <w:rPr>
          <w:i/>
          <w:iCs/>
          <w:sz w:val="20"/>
          <w:szCs w:val="20"/>
          <w:lang w:val="fr-FR"/>
        </w:rPr>
        <w:t>Résolution de l’ICCAT sur l’élaboration d’objectifs de gestion initiaux s'appliquant à l'espadon de l'Atlantique Nord</w:t>
      </w:r>
      <w:r w:rsidRPr="00F36422">
        <w:rPr>
          <w:sz w:val="20"/>
          <w:szCs w:val="20"/>
          <w:lang w:val="fr-FR"/>
        </w:rPr>
        <w:t xml:space="preserve"> (Rés. 19-14) ;</w:t>
      </w:r>
    </w:p>
    <w:p w14:paraId="383989B1" w14:textId="77777777" w:rsidR="00F36422" w:rsidRPr="00F36422" w:rsidRDefault="00F36422" w:rsidP="00F36422">
      <w:pPr>
        <w:ind w:left="120" w:right="220" w:firstLine="420"/>
        <w:jc w:val="both"/>
        <w:rPr>
          <w:i/>
          <w:sz w:val="20"/>
          <w:szCs w:val="20"/>
          <w:lang w:val="fr-FR"/>
        </w:rPr>
      </w:pPr>
    </w:p>
    <w:p w14:paraId="126426B7" w14:textId="77777777" w:rsidR="00F36422" w:rsidRPr="00F36422" w:rsidRDefault="00F36422" w:rsidP="00F36422">
      <w:pPr>
        <w:ind w:right="220" w:firstLine="420"/>
        <w:jc w:val="both"/>
        <w:rPr>
          <w:sz w:val="20"/>
          <w:szCs w:val="20"/>
          <w:lang w:val="fr-FR"/>
        </w:rPr>
      </w:pPr>
      <w:r w:rsidRPr="00F36422">
        <w:rPr>
          <w:i/>
          <w:iCs/>
          <w:sz w:val="20"/>
          <w:szCs w:val="20"/>
          <w:lang w:val="fr-FR"/>
        </w:rPr>
        <w:t>RAPPELANT EN OUTRE</w:t>
      </w:r>
      <w:r w:rsidRPr="00F36422">
        <w:rPr>
          <w:sz w:val="20"/>
          <w:szCs w:val="20"/>
          <w:lang w:val="fr-FR"/>
        </w:rPr>
        <w:t xml:space="preserve"> que le paragraphe 1e) de la Rec. 23-04 demandait à la Commission d'adopter une procédure de gestion (MP) pour l'espadon de l'Atlantique Nord en 2024 et d'appliquer la MP pour établir le total admissible de captures (TAC) pour 2025-2027 et les années suivantes ;</w:t>
      </w:r>
    </w:p>
    <w:p w14:paraId="272E0509" w14:textId="77777777" w:rsidR="00F36422" w:rsidRPr="00F36422" w:rsidRDefault="00F36422" w:rsidP="00F36422">
      <w:pPr>
        <w:ind w:left="120" w:right="220" w:firstLine="420"/>
        <w:jc w:val="both"/>
        <w:rPr>
          <w:i/>
          <w:sz w:val="20"/>
          <w:szCs w:val="20"/>
          <w:lang w:val="fr-FR"/>
        </w:rPr>
      </w:pPr>
    </w:p>
    <w:p w14:paraId="2B83F9D8" w14:textId="77777777" w:rsidR="00F36422" w:rsidRPr="00F36422" w:rsidRDefault="00F36422" w:rsidP="00F36422">
      <w:pPr>
        <w:ind w:right="220" w:firstLine="420"/>
        <w:jc w:val="both"/>
        <w:rPr>
          <w:i/>
          <w:sz w:val="20"/>
          <w:szCs w:val="20"/>
          <w:lang w:val="fr-FR"/>
        </w:rPr>
      </w:pPr>
      <w:r w:rsidRPr="00F36422">
        <w:rPr>
          <w:i/>
          <w:iCs/>
          <w:sz w:val="20"/>
          <w:szCs w:val="20"/>
          <w:lang w:val="fr-FR"/>
        </w:rPr>
        <w:t>RAPPELANT ÉGALEMENT</w:t>
      </w:r>
      <w:r w:rsidRPr="00F36422">
        <w:rPr>
          <w:sz w:val="20"/>
          <w:szCs w:val="20"/>
          <w:lang w:val="fr-FR"/>
        </w:rPr>
        <w:t xml:space="preserve"> les résultats de l’évaluation du stock d’espadon de l’Atlantique Nord de 2022 qui montraient que le stock se situait dans le quadrant vert du diagramme de Kobe (non surexploité et non victime de surpêche) en 2020 ;</w:t>
      </w:r>
    </w:p>
    <w:p w14:paraId="0114A991" w14:textId="77777777" w:rsidR="00F36422" w:rsidRPr="00F36422" w:rsidRDefault="00F36422" w:rsidP="00F36422">
      <w:pPr>
        <w:ind w:right="215"/>
        <w:jc w:val="both"/>
        <w:rPr>
          <w:i/>
          <w:sz w:val="20"/>
          <w:szCs w:val="20"/>
          <w:lang w:val="fr-FR"/>
        </w:rPr>
      </w:pPr>
    </w:p>
    <w:p w14:paraId="10B9C7D7" w14:textId="77777777" w:rsidR="00F36422" w:rsidRPr="00F36422" w:rsidRDefault="00F36422" w:rsidP="00F36422">
      <w:pPr>
        <w:ind w:right="220" w:firstLine="420"/>
        <w:jc w:val="both"/>
        <w:rPr>
          <w:sz w:val="20"/>
          <w:szCs w:val="20"/>
          <w:lang w:val="fr-FR"/>
        </w:rPr>
      </w:pPr>
      <w:r w:rsidRPr="00F36422">
        <w:rPr>
          <w:i/>
          <w:iCs/>
          <w:sz w:val="20"/>
          <w:szCs w:val="20"/>
          <w:lang w:val="fr-FR"/>
        </w:rPr>
        <w:t>RECONNAISSANT</w:t>
      </w:r>
      <w:r w:rsidRPr="00F36422">
        <w:rPr>
          <w:sz w:val="20"/>
          <w:szCs w:val="20"/>
          <w:lang w:val="fr-FR"/>
        </w:rPr>
        <w:t xml:space="preserve"> que l'allocation totale des possibilités de pêche pour l'espadon de l'Atlantique Nord </w:t>
      </w:r>
      <w:proofErr w:type="gramStart"/>
      <w:r w:rsidRPr="00F36422">
        <w:rPr>
          <w:sz w:val="20"/>
          <w:szCs w:val="20"/>
          <w:lang w:val="fr-FR"/>
        </w:rPr>
        <w:t>est</w:t>
      </w:r>
      <w:proofErr w:type="gramEnd"/>
      <w:r w:rsidRPr="00F36422">
        <w:rPr>
          <w:sz w:val="20"/>
          <w:szCs w:val="20"/>
          <w:lang w:val="fr-FR"/>
        </w:rPr>
        <w:t xml:space="preserve"> supérieure aux niveaux récents des TAC annuels et que les captures sont bien inférieures à ces niveaux depuis de nombreuses années ;</w:t>
      </w:r>
    </w:p>
    <w:p w14:paraId="4234445F" w14:textId="77777777" w:rsidR="00F36422" w:rsidRPr="00F36422" w:rsidRDefault="00F36422" w:rsidP="00F36422">
      <w:pPr>
        <w:ind w:left="118" w:right="215" w:firstLine="427"/>
        <w:jc w:val="both"/>
        <w:rPr>
          <w:i/>
          <w:sz w:val="20"/>
          <w:szCs w:val="20"/>
          <w:lang w:val="fr-FR"/>
        </w:rPr>
      </w:pPr>
    </w:p>
    <w:p w14:paraId="6A2FB781" w14:textId="77777777" w:rsidR="00F36422" w:rsidRPr="00F36422" w:rsidRDefault="00F36422" w:rsidP="00F36422">
      <w:pPr>
        <w:ind w:right="220" w:firstLine="420"/>
        <w:jc w:val="both"/>
        <w:rPr>
          <w:sz w:val="20"/>
          <w:szCs w:val="20"/>
          <w:lang w:val="fr-FR"/>
        </w:rPr>
      </w:pPr>
      <w:r w:rsidRPr="00F36422">
        <w:rPr>
          <w:i/>
          <w:sz w:val="20"/>
          <w:szCs w:val="20"/>
          <w:lang w:val="fr-FR"/>
        </w:rPr>
        <w:t xml:space="preserve">PRENANT NOTE de </w:t>
      </w:r>
      <w:r w:rsidRPr="00F36422">
        <w:rPr>
          <w:sz w:val="20"/>
          <w:szCs w:val="20"/>
          <w:lang w:val="fr-FR"/>
        </w:rPr>
        <w:t>la</w:t>
      </w:r>
      <w:r w:rsidRPr="00F36422">
        <w:rPr>
          <w:i/>
          <w:sz w:val="20"/>
          <w:szCs w:val="20"/>
          <w:lang w:val="fr-FR"/>
        </w:rPr>
        <w:t xml:space="preserve"> Résolution de l’ICCAT portant sur les critères pour l’allocation de possibilités de pêche </w:t>
      </w:r>
      <w:r w:rsidRPr="00F36422">
        <w:rPr>
          <w:sz w:val="20"/>
          <w:szCs w:val="20"/>
          <w:lang w:val="fr-FR"/>
        </w:rPr>
        <w:t>(Rés. 15-13) ;</w:t>
      </w:r>
    </w:p>
    <w:p w14:paraId="439FC0DB" w14:textId="77777777" w:rsidR="00F36422" w:rsidRPr="00F36422" w:rsidRDefault="00F36422" w:rsidP="00F36422">
      <w:pPr>
        <w:ind w:right="215"/>
        <w:jc w:val="both"/>
        <w:rPr>
          <w:i/>
          <w:sz w:val="20"/>
          <w:szCs w:val="20"/>
          <w:lang w:val="fr-FR"/>
        </w:rPr>
      </w:pPr>
    </w:p>
    <w:p w14:paraId="62B66819" w14:textId="77777777" w:rsidR="00F36422" w:rsidRPr="00F36422" w:rsidRDefault="00F36422" w:rsidP="00F36422">
      <w:pPr>
        <w:ind w:right="220" w:firstLine="420"/>
        <w:jc w:val="both"/>
        <w:rPr>
          <w:sz w:val="20"/>
          <w:szCs w:val="20"/>
          <w:lang w:val="fr-FR"/>
        </w:rPr>
      </w:pPr>
      <w:r w:rsidRPr="00F36422">
        <w:rPr>
          <w:i/>
          <w:sz w:val="20"/>
          <w:szCs w:val="20"/>
          <w:lang w:val="fr-FR"/>
        </w:rPr>
        <w:t>RAPPELANT</w:t>
      </w:r>
      <w:r w:rsidRPr="00F36422">
        <w:rPr>
          <w:sz w:val="20"/>
          <w:szCs w:val="20"/>
          <w:lang w:val="fr-FR"/>
        </w:rPr>
        <w:t xml:space="preserve"> la </w:t>
      </w:r>
      <w:r w:rsidRPr="00F36422">
        <w:rPr>
          <w:i/>
          <w:sz w:val="20"/>
          <w:szCs w:val="20"/>
          <w:lang w:val="fr-FR"/>
        </w:rPr>
        <w:t>Recommandation de l’ICCAT sur l’application dans les pêcheries de thon rouge de l’Atlantique et d’espadon de l’Atlantique Nord</w:t>
      </w:r>
      <w:r w:rsidRPr="00F36422">
        <w:rPr>
          <w:sz w:val="20"/>
          <w:szCs w:val="20"/>
          <w:lang w:val="fr-FR"/>
        </w:rPr>
        <w:t xml:space="preserve"> (Rec. 96-14) ;</w:t>
      </w:r>
    </w:p>
    <w:p w14:paraId="0AC47F6C" w14:textId="77777777" w:rsidR="00F36422" w:rsidRPr="00F36422" w:rsidRDefault="00F36422" w:rsidP="00F36422">
      <w:pPr>
        <w:ind w:right="215"/>
        <w:jc w:val="both"/>
        <w:rPr>
          <w:i/>
          <w:sz w:val="20"/>
          <w:szCs w:val="20"/>
          <w:lang w:val="fr-FR"/>
        </w:rPr>
      </w:pPr>
    </w:p>
    <w:p w14:paraId="2F58FAC6" w14:textId="77777777" w:rsidR="00F36422" w:rsidRPr="00F36422" w:rsidRDefault="00F36422" w:rsidP="00F36422">
      <w:pPr>
        <w:ind w:right="220" w:firstLine="420"/>
        <w:jc w:val="both"/>
        <w:rPr>
          <w:sz w:val="20"/>
          <w:szCs w:val="20"/>
          <w:lang w:val="fr-FR"/>
        </w:rPr>
      </w:pPr>
      <w:r w:rsidRPr="00F36422">
        <w:rPr>
          <w:i/>
          <w:iCs/>
          <w:sz w:val="20"/>
          <w:szCs w:val="20"/>
          <w:lang w:val="fr-FR"/>
        </w:rPr>
        <w:t>CHERCHANT</w:t>
      </w:r>
      <w:r w:rsidRPr="00F36422">
        <w:rPr>
          <w:sz w:val="20"/>
          <w:szCs w:val="20"/>
          <w:lang w:val="fr-FR"/>
        </w:rPr>
        <w:t xml:space="preserve"> à s’assurer que la prise totale ne dépasse pas le TAC annuel ;</w:t>
      </w:r>
    </w:p>
    <w:p w14:paraId="03993BAD" w14:textId="77777777" w:rsidR="00F36422" w:rsidRPr="00F36422" w:rsidRDefault="00F36422" w:rsidP="00F36422">
      <w:pPr>
        <w:ind w:left="120" w:right="220" w:firstLine="420"/>
        <w:jc w:val="both"/>
        <w:rPr>
          <w:i/>
          <w:sz w:val="20"/>
          <w:szCs w:val="20"/>
          <w:lang w:val="fr-FR"/>
        </w:rPr>
      </w:pPr>
    </w:p>
    <w:p w14:paraId="289302BD" w14:textId="77777777" w:rsidR="00F36422" w:rsidRPr="00F36422" w:rsidRDefault="00F36422" w:rsidP="00F36422">
      <w:pPr>
        <w:ind w:right="220" w:firstLine="420"/>
        <w:jc w:val="both"/>
        <w:rPr>
          <w:i/>
          <w:sz w:val="20"/>
          <w:szCs w:val="20"/>
          <w:lang w:val="fr-FR"/>
        </w:rPr>
      </w:pPr>
      <w:r w:rsidRPr="00F36422">
        <w:rPr>
          <w:i/>
          <w:iCs/>
          <w:sz w:val="20"/>
          <w:szCs w:val="20"/>
          <w:lang w:val="fr-FR"/>
        </w:rPr>
        <w:t>RECONNAISSANT</w:t>
      </w:r>
      <w:r w:rsidRPr="00F36422">
        <w:rPr>
          <w:sz w:val="20"/>
          <w:szCs w:val="20"/>
          <w:lang w:val="fr-FR"/>
        </w:rPr>
        <w:t xml:space="preserve"> que la MSE sur l'espadon de l'Atlantique Nord incorpore un large éventail d'incertitudes afin de garantir que la MP sélectionnée qui a été testée par le biais de la MSE répond aux objectifs de gestion identifiés concernant l'état, la sécurité, la stabilité et la production, et soutient l'objectif général de la Convention ;</w:t>
      </w:r>
    </w:p>
    <w:p w14:paraId="2ADCCA8D" w14:textId="77777777" w:rsidR="00F36422" w:rsidRPr="00F36422" w:rsidRDefault="00F36422" w:rsidP="00F36422">
      <w:pPr>
        <w:ind w:right="220"/>
        <w:jc w:val="both"/>
        <w:rPr>
          <w:i/>
          <w:sz w:val="20"/>
          <w:szCs w:val="20"/>
          <w:lang w:val="fr-FR"/>
        </w:rPr>
      </w:pPr>
    </w:p>
    <w:p w14:paraId="73535E68" w14:textId="77777777" w:rsidR="00F36422" w:rsidRPr="00F36422" w:rsidRDefault="00F36422" w:rsidP="00F36422">
      <w:pPr>
        <w:ind w:right="220" w:firstLine="426"/>
        <w:jc w:val="both"/>
        <w:rPr>
          <w:iCs/>
          <w:sz w:val="20"/>
          <w:szCs w:val="20"/>
          <w:lang w:val="fr-FR"/>
        </w:rPr>
      </w:pPr>
      <w:r w:rsidRPr="00F36422">
        <w:rPr>
          <w:i/>
          <w:iCs/>
          <w:sz w:val="20"/>
          <w:szCs w:val="20"/>
          <w:lang w:val="fr-FR"/>
        </w:rPr>
        <w:t>RECONNAISSANT EN OUTRE</w:t>
      </w:r>
      <w:r w:rsidRPr="00F36422">
        <w:rPr>
          <w:i/>
          <w:sz w:val="20"/>
          <w:szCs w:val="20"/>
          <w:lang w:val="fr-FR"/>
        </w:rPr>
        <w:t xml:space="preserve"> </w:t>
      </w:r>
      <w:r w:rsidRPr="00F36422">
        <w:rPr>
          <w:iCs/>
          <w:sz w:val="20"/>
          <w:szCs w:val="20"/>
          <w:lang w:val="fr-FR"/>
        </w:rPr>
        <w:t>l'importance de concilier la somme des limites de capture avec le TAC par le biais de toute augmentation découlant de l'application de la MP pour le cycle de gestion 2028-2030 ;</w:t>
      </w:r>
    </w:p>
    <w:p w14:paraId="6059BE28" w14:textId="77777777" w:rsidR="00F36422" w:rsidRPr="00F36422" w:rsidRDefault="00F36422" w:rsidP="00F36422">
      <w:pPr>
        <w:ind w:right="220" w:firstLine="426"/>
        <w:jc w:val="both"/>
        <w:rPr>
          <w:iCs/>
          <w:sz w:val="20"/>
          <w:szCs w:val="20"/>
          <w:lang w:val="fr-FR"/>
        </w:rPr>
      </w:pPr>
    </w:p>
    <w:p w14:paraId="6DE0E077" w14:textId="77777777" w:rsidR="00F36422" w:rsidRPr="00F36422" w:rsidRDefault="00F36422" w:rsidP="00F36422">
      <w:pPr>
        <w:ind w:right="220" w:firstLine="420"/>
        <w:jc w:val="both"/>
        <w:rPr>
          <w:i/>
          <w:sz w:val="20"/>
          <w:szCs w:val="20"/>
          <w:lang w:val="fr-FR"/>
        </w:rPr>
      </w:pPr>
      <w:r w:rsidRPr="00F36422">
        <w:rPr>
          <w:i/>
          <w:sz w:val="20"/>
          <w:szCs w:val="20"/>
          <w:lang w:val="fr-FR"/>
        </w:rPr>
        <w:t xml:space="preserve">NOTANT </w:t>
      </w:r>
      <w:r w:rsidRPr="00F36422">
        <w:rPr>
          <w:sz w:val="20"/>
          <w:szCs w:val="20"/>
          <w:lang w:val="fr-FR"/>
        </w:rPr>
        <w:t xml:space="preserve">l'importance d'identifier les circonstances exceptionnelles (EC) qui entraîneraient la suspension ou la modification de l'application de la MP afin de rester conforme à la </w:t>
      </w:r>
      <w:r w:rsidRPr="00F36422">
        <w:rPr>
          <w:i/>
          <w:sz w:val="20"/>
          <w:szCs w:val="20"/>
          <w:lang w:val="fr-FR"/>
        </w:rPr>
        <w:t>Recommandation de l'ICCAT sur les principes de prise de décisions sur des mesures de conservation et de gestion</w:t>
      </w:r>
      <w:r w:rsidRPr="00F36422">
        <w:rPr>
          <w:sz w:val="20"/>
          <w:szCs w:val="20"/>
          <w:lang w:val="fr-FR"/>
        </w:rPr>
        <w:t xml:space="preserve"> de l’ICCAT (Rec. 11-13) ;</w:t>
      </w:r>
    </w:p>
    <w:p w14:paraId="6710308F" w14:textId="77777777" w:rsidR="00F36422" w:rsidRPr="00F36422" w:rsidRDefault="00F36422" w:rsidP="00F36422">
      <w:pPr>
        <w:widowControl/>
        <w:spacing w:after="160" w:line="259" w:lineRule="auto"/>
        <w:rPr>
          <w:sz w:val="20"/>
          <w:szCs w:val="20"/>
          <w:lang w:val="fr-FR"/>
        </w:rPr>
      </w:pPr>
    </w:p>
    <w:p w14:paraId="7323DD8D" w14:textId="77777777" w:rsidR="00F36422" w:rsidRPr="00F36422" w:rsidRDefault="00F36422" w:rsidP="00F36422">
      <w:pPr>
        <w:pBdr>
          <w:top w:val="nil"/>
          <w:left w:val="nil"/>
          <w:bottom w:val="nil"/>
          <w:right w:val="nil"/>
          <w:between w:val="nil"/>
        </w:pBdr>
        <w:spacing w:line="244" w:lineRule="auto"/>
        <w:ind w:right="2"/>
        <w:jc w:val="center"/>
        <w:rPr>
          <w:sz w:val="20"/>
          <w:szCs w:val="20"/>
          <w:lang w:val="fr-FR"/>
        </w:rPr>
      </w:pPr>
      <w:r w:rsidRPr="00F36422">
        <w:rPr>
          <w:sz w:val="20"/>
          <w:szCs w:val="20"/>
          <w:lang w:val="fr-FR"/>
        </w:rPr>
        <w:t xml:space="preserve">LA COMMISSION INTERNATIONALE POUR LA CONSERVATION </w:t>
      </w:r>
    </w:p>
    <w:p w14:paraId="41F750E0" w14:textId="77777777" w:rsidR="00F36422" w:rsidRPr="00F36422" w:rsidRDefault="00F36422" w:rsidP="00F36422">
      <w:pPr>
        <w:pBdr>
          <w:top w:val="nil"/>
          <w:left w:val="nil"/>
          <w:bottom w:val="nil"/>
          <w:right w:val="nil"/>
          <w:between w:val="nil"/>
        </w:pBdr>
        <w:spacing w:line="244" w:lineRule="auto"/>
        <w:ind w:right="2"/>
        <w:jc w:val="center"/>
        <w:rPr>
          <w:sz w:val="20"/>
          <w:szCs w:val="20"/>
          <w:lang w:val="fr-FR"/>
        </w:rPr>
      </w:pPr>
      <w:r w:rsidRPr="00F36422">
        <w:rPr>
          <w:sz w:val="20"/>
          <w:szCs w:val="20"/>
          <w:lang w:val="fr-FR"/>
        </w:rPr>
        <w:t>DES THONIDÉS DE L’ATLANTIQUE (ICCAT) RECOMMANDE CE QUI SUIT :</w:t>
      </w:r>
    </w:p>
    <w:p w14:paraId="47E67585" w14:textId="77777777" w:rsidR="00F36422" w:rsidRPr="00F36422" w:rsidRDefault="00F36422" w:rsidP="00F36422">
      <w:pPr>
        <w:pBdr>
          <w:top w:val="nil"/>
          <w:left w:val="nil"/>
          <w:bottom w:val="nil"/>
          <w:right w:val="nil"/>
          <w:between w:val="nil"/>
        </w:pBdr>
        <w:spacing w:before="7"/>
        <w:jc w:val="center"/>
        <w:rPr>
          <w:b/>
          <w:sz w:val="20"/>
          <w:szCs w:val="20"/>
          <w:lang w:val="fr-FR"/>
        </w:rPr>
      </w:pPr>
    </w:p>
    <w:p w14:paraId="6F37487B" w14:textId="77777777" w:rsidR="00F36422" w:rsidRPr="00F36422" w:rsidRDefault="00F36422" w:rsidP="00F36422">
      <w:pPr>
        <w:pBdr>
          <w:top w:val="nil"/>
          <w:left w:val="nil"/>
          <w:bottom w:val="nil"/>
          <w:right w:val="nil"/>
          <w:between w:val="nil"/>
        </w:pBdr>
        <w:spacing w:before="7"/>
        <w:jc w:val="center"/>
        <w:rPr>
          <w:b/>
          <w:sz w:val="20"/>
          <w:szCs w:val="20"/>
          <w:lang w:val="fr-FR"/>
        </w:rPr>
      </w:pPr>
    </w:p>
    <w:p w14:paraId="36E4765E" w14:textId="77777777" w:rsidR="00F36422" w:rsidRPr="00E25C82" w:rsidRDefault="00F36422" w:rsidP="00F36422">
      <w:pPr>
        <w:pBdr>
          <w:top w:val="nil"/>
          <w:left w:val="nil"/>
          <w:bottom w:val="nil"/>
          <w:right w:val="nil"/>
          <w:between w:val="nil"/>
        </w:pBdr>
        <w:spacing w:before="7"/>
        <w:jc w:val="center"/>
        <w:rPr>
          <w:b/>
          <w:sz w:val="20"/>
          <w:szCs w:val="20"/>
        </w:rPr>
      </w:pPr>
      <w:r w:rsidRPr="00E25C82">
        <w:rPr>
          <w:b/>
          <w:sz w:val="20"/>
          <w:szCs w:val="20"/>
        </w:rPr>
        <w:t xml:space="preserve">Ie PARTIE </w:t>
      </w:r>
    </w:p>
    <w:p w14:paraId="759DCC56" w14:textId="77777777" w:rsidR="00F36422" w:rsidRPr="00E25C82" w:rsidRDefault="00F36422" w:rsidP="00F36422">
      <w:pPr>
        <w:pBdr>
          <w:top w:val="nil"/>
          <w:left w:val="nil"/>
          <w:bottom w:val="nil"/>
          <w:right w:val="nil"/>
          <w:between w:val="nil"/>
        </w:pBdr>
        <w:spacing w:before="7"/>
        <w:jc w:val="center"/>
        <w:rPr>
          <w:b/>
          <w:sz w:val="20"/>
          <w:szCs w:val="20"/>
        </w:rPr>
      </w:pPr>
      <w:r w:rsidRPr="00E25C82">
        <w:rPr>
          <w:b/>
          <w:sz w:val="20"/>
          <w:szCs w:val="20"/>
        </w:rPr>
        <w:t>DISPOSITIONS GÉNÉRALES</w:t>
      </w:r>
    </w:p>
    <w:p w14:paraId="41B4F76D" w14:textId="77777777" w:rsidR="00F36422" w:rsidRPr="00E25C82" w:rsidRDefault="00F36422" w:rsidP="00F36422">
      <w:pPr>
        <w:pBdr>
          <w:top w:val="nil"/>
          <w:left w:val="nil"/>
          <w:bottom w:val="nil"/>
          <w:right w:val="nil"/>
          <w:between w:val="nil"/>
        </w:pBdr>
        <w:spacing w:before="7"/>
        <w:rPr>
          <w:sz w:val="20"/>
          <w:szCs w:val="20"/>
        </w:rPr>
      </w:pPr>
    </w:p>
    <w:p w14:paraId="5684F7EC" w14:textId="77777777" w:rsidR="00F36422" w:rsidRPr="00F36422" w:rsidRDefault="00F36422" w:rsidP="00F36422">
      <w:pPr>
        <w:numPr>
          <w:ilvl w:val="0"/>
          <w:numId w:val="1"/>
        </w:numPr>
        <w:pBdr>
          <w:top w:val="nil"/>
          <w:left w:val="nil"/>
          <w:bottom w:val="nil"/>
          <w:right w:val="nil"/>
          <w:between w:val="nil"/>
        </w:pBdr>
        <w:spacing w:line="244" w:lineRule="auto"/>
        <w:ind w:left="426" w:right="114" w:hanging="426"/>
        <w:jc w:val="both"/>
        <w:rPr>
          <w:sz w:val="20"/>
          <w:szCs w:val="20"/>
          <w:lang w:val="fr-FR"/>
        </w:rPr>
      </w:pPr>
      <w:r w:rsidRPr="00F36422">
        <w:rPr>
          <w:sz w:val="20"/>
          <w:szCs w:val="20"/>
          <w:lang w:val="fr-FR"/>
        </w:rPr>
        <w:t>Les Parties contractantes et Parties, Entités ou Entités de pêche non contractantes coopérantes (« CPC ») dont les navires capturent de l'espadon de l'Atlantique Nord dans la zone de la Convention devront mettre en œuvre les mesures suivantes de conservation et de gestion, qui comprennent la MP présentée à l'</w:t>
      </w:r>
      <w:r w:rsidRPr="00F36422">
        <w:rPr>
          <w:b/>
          <w:sz w:val="20"/>
          <w:szCs w:val="20"/>
          <w:lang w:val="fr-FR"/>
        </w:rPr>
        <w:t>annexe 1</w:t>
      </w:r>
      <w:r w:rsidRPr="00F36422">
        <w:rPr>
          <w:sz w:val="20"/>
          <w:szCs w:val="20"/>
          <w:lang w:val="fr-FR"/>
        </w:rPr>
        <w:t xml:space="preserve"> pour l'établissement des TAC annuels.</w:t>
      </w:r>
    </w:p>
    <w:p w14:paraId="46280515" w14:textId="77777777" w:rsidR="00F36422" w:rsidRPr="00F36422" w:rsidRDefault="00F36422" w:rsidP="00F36422">
      <w:pPr>
        <w:pBdr>
          <w:top w:val="nil"/>
          <w:left w:val="nil"/>
          <w:bottom w:val="nil"/>
          <w:right w:val="nil"/>
          <w:between w:val="nil"/>
        </w:pBdr>
        <w:tabs>
          <w:tab w:val="left" w:pos="542"/>
          <w:tab w:val="left" w:pos="544"/>
        </w:tabs>
        <w:spacing w:line="244" w:lineRule="auto"/>
        <w:ind w:right="114"/>
        <w:jc w:val="both"/>
        <w:rPr>
          <w:i/>
          <w:sz w:val="20"/>
          <w:szCs w:val="20"/>
          <w:lang w:val="fr-FR"/>
        </w:rPr>
      </w:pPr>
    </w:p>
    <w:p w14:paraId="0857C322" w14:textId="77777777" w:rsidR="00F36422" w:rsidRPr="00E25C82" w:rsidRDefault="00F36422" w:rsidP="00F36422">
      <w:pPr>
        <w:pBdr>
          <w:top w:val="nil"/>
          <w:left w:val="nil"/>
          <w:bottom w:val="nil"/>
          <w:right w:val="nil"/>
          <w:between w:val="nil"/>
        </w:pBdr>
        <w:tabs>
          <w:tab w:val="left" w:pos="542"/>
          <w:tab w:val="left" w:pos="544"/>
        </w:tabs>
        <w:spacing w:line="244" w:lineRule="auto"/>
        <w:ind w:right="114"/>
        <w:jc w:val="both"/>
        <w:rPr>
          <w:b/>
          <w:sz w:val="20"/>
          <w:szCs w:val="20"/>
        </w:rPr>
      </w:pPr>
      <w:proofErr w:type="spellStart"/>
      <w:r w:rsidRPr="00E25C82">
        <w:rPr>
          <w:b/>
          <w:sz w:val="20"/>
          <w:szCs w:val="20"/>
        </w:rPr>
        <w:t>Objectifs</w:t>
      </w:r>
      <w:proofErr w:type="spellEnd"/>
      <w:r w:rsidRPr="00E25C82">
        <w:rPr>
          <w:b/>
          <w:sz w:val="20"/>
          <w:szCs w:val="20"/>
        </w:rPr>
        <w:t xml:space="preserve"> de gestion</w:t>
      </w:r>
    </w:p>
    <w:p w14:paraId="29E5B44A" w14:textId="77777777" w:rsidR="00F36422" w:rsidRPr="00E25C82" w:rsidRDefault="00F36422" w:rsidP="00F36422">
      <w:pPr>
        <w:pBdr>
          <w:top w:val="nil"/>
          <w:left w:val="nil"/>
          <w:bottom w:val="nil"/>
          <w:right w:val="nil"/>
          <w:between w:val="nil"/>
        </w:pBdr>
        <w:tabs>
          <w:tab w:val="left" w:pos="542"/>
          <w:tab w:val="left" w:pos="544"/>
        </w:tabs>
        <w:spacing w:line="244" w:lineRule="auto"/>
        <w:ind w:right="114"/>
        <w:jc w:val="both"/>
        <w:rPr>
          <w:sz w:val="20"/>
          <w:szCs w:val="20"/>
        </w:rPr>
      </w:pPr>
    </w:p>
    <w:p w14:paraId="6C42328D" w14:textId="77777777" w:rsidR="00F36422" w:rsidRPr="00F36422" w:rsidRDefault="00F36422" w:rsidP="00F36422">
      <w:pPr>
        <w:numPr>
          <w:ilvl w:val="0"/>
          <w:numId w:val="1"/>
        </w:numPr>
        <w:pBdr>
          <w:top w:val="nil"/>
          <w:left w:val="nil"/>
          <w:bottom w:val="nil"/>
          <w:right w:val="nil"/>
          <w:between w:val="nil"/>
        </w:pBdr>
        <w:spacing w:line="244" w:lineRule="auto"/>
        <w:ind w:left="426" w:right="114" w:hanging="426"/>
        <w:jc w:val="both"/>
        <w:rPr>
          <w:sz w:val="20"/>
          <w:szCs w:val="20"/>
          <w:lang w:val="fr-FR"/>
        </w:rPr>
      </w:pPr>
      <w:r w:rsidRPr="00F36422">
        <w:rPr>
          <w:sz w:val="20"/>
          <w:szCs w:val="20"/>
          <w:lang w:val="fr-FR"/>
        </w:rPr>
        <w:t>Les objectifs de gestion pour le stock d'espadon de l'Atlantique Nord sont :</w:t>
      </w:r>
    </w:p>
    <w:p w14:paraId="429A49DA"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both"/>
        <w:rPr>
          <w:sz w:val="20"/>
          <w:szCs w:val="20"/>
          <w:lang w:val="fr-FR"/>
        </w:rPr>
      </w:pPr>
    </w:p>
    <w:p w14:paraId="34100923" w14:textId="77777777" w:rsidR="00F36422" w:rsidRPr="00E25C82" w:rsidRDefault="00F36422" w:rsidP="00F36422">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r w:rsidRPr="00E25C82">
        <w:rPr>
          <w:sz w:val="20"/>
          <w:szCs w:val="20"/>
        </w:rPr>
        <w:t xml:space="preserve">État du </w:t>
      </w:r>
      <w:proofErr w:type="gramStart"/>
      <w:r w:rsidRPr="00E25C82">
        <w:rPr>
          <w:sz w:val="20"/>
          <w:szCs w:val="20"/>
        </w:rPr>
        <w:t>stock :</w:t>
      </w:r>
      <w:proofErr w:type="gramEnd"/>
    </w:p>
    <w:p w14:paraId="663B4E7E" w14:textId="77777777" w:rsidR="00F36422" w:rsidRPr="00E25C82" w:rsidRDefault="00F36422" w:rsidP="00F36422">
      <w:pPr>
        <w:pBdr>
          <w:top w:val="nil"/>
          <w:left w:val="nil"/>
          <w:bottom w:val="nil"/>
          <w:right w:val="nil"/>
          <w:between w:val="nil"/>
        </w:pBdr>
        <w:tabs>
          <w:tab w:val="left" w:pos="542"/>
          <w:tab w:val="left" w:pos="544"/>
        </w:tabs>
        <w:spacing w:line="244" w:lineRule="auto"/>
        <w:ind w:left="838" w:right="114"/>
        <w:jc w:val="both"/>
        <w:rPr>
          <w:sz w:val="20"/>
          <w:szCs w:val="20"/>
        </w:rPr>
      </w:pPr>
    </w:p>
    <w:p w14:paraId="0C3F1C41" w14:textId="77777777" w:rsidR="00F36422" w:rsidRPr="00F36422" w:rsidRDefault="00F36422" w:rsidP="00F36422">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lang w:val="fr-FR"/>
        </w:rPr>
      </w:pPr>
      <w:r w:rsidRPr="00F36422">
        <w:rPr>
          <w:sz w:val="20"/>
          <w:szCs w:val="20"/>
          <w:lang w:val="fr-FR"/>
        </w:rPr>
        <w:t>La probabilité que le stock se situe dans le quadrant vert du diagramme de Kobe (</w:t>
      </w:r>
      <w:proofErr w:type="gramStart"/>
      <w:r w:rsidRPr="00F36422">
        <w:rPr>
          <w:sz w:val="20"/>
          <w:szCs w:val="20"/>
          <w:lang w:val="fr-FR"/>
        </w:rPr>
        <w:t>non victime</w:t>
      </w:r>
      <w:proofErr w:type="gramEnd"/>
      <w:r w:rsidRPr="00F36422">
        <w:rPr>
          <w:sz w:val="20"/>
          <w:szCs w:val="20"/>
          <w:lang w:val="fr-FR"/>
        </w:rPr>
        <w:t xml:space="preserve"> de surpêche et non surexploité) devra être de 60% ou plus.</w:t>
      </w:r>
    </w:p>
    <w:p w14:paraId="6C2BB357"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both"/>
        <w:rPr>
          <w:sz w:val="20"/>
          <w:szCs w:val="20"/>
          <w:lang w:val="fr-FR"/>
        </w:rPr>
      </w:pPr>
    </w:p>
    <w:p w14:paraId="638C069E" w14:textId="77777777" w:rsidR="00F36422" w:rsidRPr="00E25C82" w:rsidRDefault="00F36422" w:rsidP="00F36422">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proofErr w:type="spellStart"/>
      <w:proofErr w:type="gramStart"/>
      <w:r w:rsidRPr="00E25C82">
        <w:rPr>
          <w:sz w:val="20"/>
          <w:szCs w:val="20"/>
        </w:rPr>
        <w:t>Sécurité</w:t>
      </w:r>
      <w:proofErr w:type="spellEnd"/>
      <w:r w:rsidRPr="00E25C82">
        <w:rPr>
          <w:sz w:val="20"/>
          <w:szCs w:val="20"/>
        </w:rPr>
        <w:t xml:space="preserve"> :</w:t>
      </w:r>
      <w:proofErr w:type="gramEnd"/>
    </w:p>
    <w:p w14:paraId="0DE6B88A" w14:textId="77777777" w:rsidR="00F36422" w:rsidRPr="00E25C82" w:rsidRDefault="00F36422" w:rsidP="00F36422">
      <w:pPr>
        <w:pBdr>
          <w:top w:val="nil"/>
          <w:left w:val="nil"/>
          <w:bottom w:val="nil"/>
          <w:right w:val="nil"/>
          <w:between w:val="nil"/>
        </w:pBdr>
        <w:tabs>
          <w:tab w:val="left" w:pos="542"/>
          <w:tab w:val="left" w:pos="544"/>
        </w:tabs>
        <w:spacing w:line="244" w:lineRule="auto"/>
        <w:ind w:left="838" w:right="114"/>
        <w:jc w:val="both"/>
        <w:rPr>
          <w:sz w:val="20"/>
          <w:szCs w:val="20"/>
        </w:rPr>
      </w:pPr>
    </w:p>
    <w:p w14:paraId="67423124" w14:textId="77777777" w:rsidR="00F36422" w:rsidRPr="00F36422" w:rsidRDefault="00F36422" w:rsidP="00F36422">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lang w:val="fr-FR"/>
        </w:rPr>
      </w:pPr>
      <w:r w:rsidRPr="00F36422">
        <w:rPr>
          <w:sz w:val="20"/>
          <w:szCs w:val="20"/>
          <w:lang w:val="fr-FR"/>
        </w:rPr>
        <w:t>La probabilité que le stock chute en dessous de B</w:t>
      </w:r>
      <w:r w:rsidRPr="00F36422">
        <w:rPr>
          <w:sz w:val="20"/>
          <w:szCs w:val="20"/>
          <w:vertAlign w:val="subscript"/>
          <w:lang w:val="fr-FR"/>
        </w:rPr>
        <w:t>LIM</w:t>
      </w:r>
      <w:r w:rsidRPr="00F36422">
        <w:rPr>
          <w:rFonts w:ascii="ZWAdobeF" w:hAnsi="ZWAdobeF" w:cs="ZWAdobeF"/>
          <w:sz w:val="2"/>
          <w:szCs w:val="2"/>
          <w:lang w:val="fr-FR"/>
        </w:rPr>
        <w:t>0F</w:t>
      </w:r>
      <w:r w:rsidRPr="00E25C82">
        <w:rPr>
          <w:sz w:val="20"/>
          <w:szCs w:val="20"/>
          <w:vertAlign w:val="superscript"/>
        </w:rPr>
        <w:footnoteReference w:id="2"/>
      </w:r>
      <w:r w:rsidRPr="00F36422">
        <w:rPr>
          <w:sz w:val="20"/>
          <w:szCs w:val="20"/>
          <w:vertAlign w:val="subscript"/>
          <w:lang w:val="fr-FR"/>
        </w:rPr>
        <w:t xml:space="preserve">  </w:t>
      </w:r>
      <w:r w:rsidRPr="00F36422">
        <w:rPr>
          <w:sz w:val="20"/>
          <w:szCs w:val="20"/>
          <w:lang w:val="fr-FR"/>
        </w:rPr>
        <w:t>à tout moment au cours de la période d'évaluation de 30 ans devra être égale ou inférieure à 15%.</w:t>
      </w:r>
    </w:p>
    <w:p w14:paraId="716415F4"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both"/>
        <w:rPr>
          <w:sz w:val="20"/>
          <w:szCs w:val="20"/>
          <w:lang w:val="fr-FR"/>
        </w:rPr>
      </w:pPr>
    </w:p>
    <w:p w14:paraId="27AB36B7" w14:textId="77777777" w:rsidR="00F36422" w:rsidRPr="00E25C82" w:rsidRDefault="00F36422" w:rsidP="00F36422">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proofErr w:type="gramStart"/>
      <w:r w:rsidRPr="00E25C82">
        <w:rPr>
          <w:sz w:val="20"/>
          <w:szCs w:val="20"/>
        </w:rPr>
        <w:t>Production :</w:t>
      </w:r>
      <w:proofErr w:type="gramEnd"/>
    </w:p>
    <w:p w14:paraId="6E5ED4BB" w14:textId="77777777" w:rsidR="00F36422" w:rsidRPr="00E25C82" w:rsidRDefault="00F36422" w:rsidP="00F36422">
      <w:pPr>
        <w:pBdr>
          <w:top w:val="nil"/>
          <w:left w:val="nil"/>
          <w:bottom w:val="nil"/>
          <w:right w:val="nil"/>
          <w:between w:val="nil"/>
        </w:pBdr>
        <w:tabs>
          <w:tab w:val="left" w:pos="542"/>
          <w:tab w:val="left" w:pos="544"/>
        </w:tabs>
        <w:spacing w:line="244" w:lineRule="auto"/>
        <w:ind w:left="838" w:right="114"/>
        <w:jc w:val="both"/>
        <w:rPr>
          <w:sz w:val="20"/>
          <w:szCs w:val="20"/>
        </w:rPr>
      </w:pPr>
    </w:p>
    <w:p w14:paraId="47140A5C" w14:textId="77777777" w:rsidR="00F36422" w:rsidRPr="00F36422" w:rsidRDefault="00F36422" w:rsidP="00F36422">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lang w:val="fr-FR"/>
        </w:rPr>
      </w:pPr>
      <w:r w:rsidRPr="00F36422">
        <w:rPr>
          <w:sz w:val="20"/>
          <w:szCs w:val="20"/>
          <w:lang w:val="fr-FR"/>
        </w:rPr>
        <w:t>Les niveaux de capture globaux devront être maximisés ; et</w:t>
      </w:r>
    </w:p>
    <w:p w14:paraId="66DE5226"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both"/>
        <w:rPr>
          <w:sz w:val="20"/>
          <w:szCs w:val="20"/>
          <w:lang w:val="fr-FR"/>
        </w:rPr>
      </w:pPr>
    </w:p>
    <w:p w14:paraId="7A0256C4" w14:textId="77777777" w:rsidR="00F36422" w:rsidRPr="00E25C82" w:rsidRDefault="00F36422" w:rsidP="00F36422">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proofErr w:type="spellStart"/>
      <w:proofErr w:type="gramStart"/>
      <w:r w:rsidRPr="00E25C82">
        <w:rPr>
          <w:sz w:val="20"/>
          <w:szCs w:val="20"/>
        </w:rPr>
        <w:t>Stabilité</w:t>
      </w:r>
      <w:proofErr w:type="spellEnd"/>
      <w:r w:rsidRPr="00E25C82">
        <w:rPr>
          <w:sz w:val="20"/>
          <w:szCs w:val="20"/>
        </w:rPr>
        <w:t xml:space="preserve"> :</w:t>
      </w:r>
      <w:proofErr w:type="gramEnd"/>
    </w:p>
    <w:p w14:paraId="46C78AAC" w14:textId="77777777" w:rsidR="00F36422" w:rsidRPr="00E25C82" w:rsidRDefault="00F36422" w:rsidP="00F36422">
      <w:pPr>
        <w:pBdr>
          <w:top w:val="nil"/>
          <w:left w:val="nil"/>
          <w:bottom w:val="nil"/>
          <w:right w:val="nil"/>
          <w:between w:val="nil"/>
        </w:pBdr>
        <w:tabs>
          <w:tab w:val="left" w:pos="542"/>
          <w:tab w:val="left" w:pos="544"/>
        </w:tabs>
        <w:spacing w:line="244" w:lineRule="auto"/>
        <w:ind w:left="838" w:right="114"/>
        <w:jc w:val="both"/>
        <w:rPr>
          <w:sz w:val="20"/>
          <w:szCs w:val="20"/>
        </w:rPr>
      </w:pPr>
    </w:p>
    <w:p w14:paraId="701FD0DB" w14:textId="77777777" w:rsidR="00F36422" w:rsidRPr="00F36422" w:rsidRDefault="00F36422" w:rsidP="00F36422">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lang w:val="fr-FR"/>
        </w:rPr>
      </w:pPr>
      <w:r w:rsidRPr="00F36422">
        <w:rPr>
          <w:sz w:val="20"/>
          <w:szCs w:val="20"/>
          <w:lang w:val="fr-FR"/>
        </w:rPr>
        <w:t>Les changements de TAC devront être réduits au minimum, conformément aux spécifications de la MP décrites à l'</w:t>
      </w:r>
      <w:r w:rsidRPr="00F36422">
        <w:rPr>
          <w:b/>
          <w:bCs/>
          <w:sz w:val="20"/>
          <w:szCs w:val="20"/>
          <w:lang w:val="fr-FR"/>
        </w:rPr>
        <w:t>annexe 1</w:t>
      </w:r>
      <w:r w:rsidRPr="00F36422">
        <w:rPr>
          <w:sz w:val="20"/>
          <w:szCs w:val="20"/>
          <w:lang w:val="fr-FR"/>
        </w:rPr>
        <w:t xml:space="preserve">. </w:t>
      </w:r>
    </w:p>
    <w:p w14:paraId="0F9C62BD"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both"/>
        <w:rPr>
          <w:sz w:val="20"/>
          <w:szCs w:val="20"/>
          <w:lang w:val="fr-FR"/>
        </w:rPr>
      </w:pPr>
    </w:p>
    <w:p w14:paraId="7D84A5D4" w14:textId="77777777" w:rsidR="00F36422" w:rsidRPr="00F36422" w:rsidRDefault="00F36422" w:rsidP="00F36422">
      <w:pPr>
        <w:pBdr>
          <w:top w:val="nil"/>
          <w:left w:val="nil"/>
          <w:bottom w:val="nil"/>
          <w:right w:val="nil"/>
          <w:between w:val="nil"/>
        </w:pBdr>
        <w:tabs>
          <w:tab w:val="left" w:pos="542"/>
          <w:tab w:val="left" w:pos="544"/>
        </w:tabs>
        <w:spacing w:line="244" w:lineRule="auto"/>
        <w:ind w:right="114"/>
        <w:jc w:val="both"/>
        <w:rPr>
          <w:sz w:val="20"/>
          <w:szCs w:val="20"/>
          <w:lang w:val="fr-FR"/>
        </w:rPr>
      </w:pPr>
      <w:r w:rsidRPr="00F36422">
        <w:rPr>
          <w:sz w:val="20"/>
          <w:szCs w:val="20"/>
          <w:lang w:val="fr-FR"/>
        </w:rPr>
        <w:t>Les mesures de performance (indicateurs) utilisées pour évaluer la performance des MP pour chaque objectif de gestion se trouvent à l’</w:t>
      </w:r>
      <w:r w:rsidRPr="00F36422">
        <w:rPr>
          <w:b/>
          <w:sz w:val="20"/>
          <w:szCs w:val="20"/>
          <w:lang w:val="fr-FR"/>
        </w:rPr>
        <w:t>annexe 2</w:t>
      </w:r>
      <w:r w:rsidRPr="00F36422">
        <w:rPr>
          <w:sz w:val="20"/>
          <w:szCs w:val="20"/>
          <w:lang w:val="fr-FR"/>
        </w:rPr>
        <w:t>.</w:t>
      </w:r>
    </w:p>
    <w:p w14:paraId="64DAA68E"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both"/>
        <w:rPr>
          <w:sz w:val="20"/>
          <w:szCs w:val="20"/>
          <w:lang w:val="fr-FR"/>
        </w:rPr>
      </w:pPr>
    </w:p>
    <w:p w14:paraId="33348F32"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both"/>
        <w:rPr>
          <w:sz w:val="20"/>
          <w:szCs w:val="20"/>
          <w:lang w:val="fr-FR"/>
        </w:rPr>
      </w:pPr>
    </w:p>
    <w:p w14:paraId="02664370"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center"/>
        <w:rPr>
          <w:b/>
          <w:sz w:val="20"/>
          <w:szCs w:val="20"/>
          <w:lang w:val="fr-FR"/>
        </w:rPr>
      </w:pPr>
      <w:r w:rsidRPr="00F36422">
        <w:rPr>
          <w:b/>
          <w:sz w:val="20"/>
          <w:szCs w:val="20"/>
          <w:lang w:val="fr-FR"/>
        </w:rPr>
        <w:t>IIe PARTIE</w:t>
      </w:r>
    </w:p>
    <w:p w14:paraId="2835E419" w14:textId="77777777" w:rsidR="00F36422" w:rsidRPr="00F36422" w:rsidRDefault="00F36422" w:rsidP="00F36422">
      <w:pPr>
        <w:pBdr>
          <w:top w:val="nil"/>
          <w:left w:val="nil"/>
          <w:bottom w:val="nil"/>
          <w:right w:val="nil"/>
          <w:between w:val="nil"/>
        </w:pBdr>
        <w:tabs>
          <w:tab w:val="left" w:pos="542"/>
          <w:tab w:val="left" w:pos="544"/>
        </w:tabs>
        <w:spacing w:line="244" w:lineRule="auto"/>
        <w:ind w:left="544" w:right="114"/>
        <w:jc w:val="center"/>
        <w:rPr>
          <w:b/>
          <w:sz w:val="20"/>
          <w:szCs w:val="20"/>
          <w:lang w:val="fr-FR"/>
        </w:rPr>
      </w:pPr>
      <w:r w:rsidRPr="00F36422">
        <w:rPr>
          <w:b/>
          <w:sz w:val="20"/>
          <w:szCs w:val="20"/>
          <w:lang w:val="fr-FR"/>
        </w:rPr>
        <w:t>PROCÉDURE DE GESTION ET TOTAL ADMISSIBLE DE CAPTURES</w:t>
      </w:r>
    </w:p>
    <w:p w14:paraId="367C66B5" w14:textId="77777777" w:rsidR="00F36422" w:rsidRPr="00F36422" w:rsidRDefault="00F36422" w:rsidP="00F36422">
      <w:pPr>
        <w:pBdr>
          <w:top w:val="nil"/>
          <w:left w:val="nil"/>
          <w:bottom w:val="nil"/>
          <w:right w:val="nil"/>
          <w:between w:val="nil"/>
        </w:pBdr>
        <w:spacing w:before="9"/>
        <w:rPr>
          <w:sz w:val="20"/>
          <w:szCs w:val="20"/>
          <w:lang w:val="fr-FR"/>
        </w:rPr>
      </w:pPr>
    </w:p>
    <w:p w14:paraId="5D7CED24" w14:textId="77777777" w:rsidR="00F36422" w:rsidRPr="00E25C82" w:rsidRDefault="00F36422" w:rsidP="00F36422">
      <w:pPr>
        <w:numPr>
          <w:ilvl w:val="0"/>
          <w:numId w:val="1"/>
        </w:numPr>
        <w:pBdr>
          <w:top w:val="nil"/>
          <w:left w:val="nil"/>
          <w:bottom w:val="nil"/>
          <w:right w:val="nil"/>
          <w:between w:val="nil"/>
        </w:pBdr>
        <w:spacing w:line="244" w:lineRule="auto"/>
        <w:ind w:left="426" w:right="114" w:hanging="426"/>
        <w:jc w:val="both"/>
        <w:rPr>
          <w:sz w:val="20"/>
          <w:szCs w:val="20"/>
        </w:rPr>
      </w:pPr>
      <w:r w:rsidRPr="00F36422">
        <w:rPr>
          <w:sz w:val="20"/>
          <w:szCs w:val="20"/>
          <w:lang w:val="fr-FR"/>
        </w:rPr>
        <w:t xml:space="preserve">Conformément aux objectifs de gestion spécifiés au paragraphe 2, la MP MCC11 est adoptée. </w:t>
      </w:r>
      <w:r w:rsidRPr="00E25C82">
        <w:rPr>
          <w:sz w:val="20"/>
          <w:szCs w:val="20"/>
        </w:rPr>
        <w:t xml:space="preserve">La MP est </w:t>
      </w:r>
      <w:proofErr w:type="spellStart"/>
      <w:r w:rsidRPr="00E25C82">
        <w:rPr>
          <w:sz w:val="20"/>
          <w:szCs w:val="20"/>
        </w:rPr>
        <w:t>intégralement</w:t>
      </w:r>
      <w:proofErr w:type="spellEnd"/>
      <w:r w:rsidRPr="00E25C82">
        <w:rPr>
          <w:sz w:val="20"/>
          <w:szCs w:val="20"/>
        </w:rPr>
        <w:t xml:space="preserve"> </w:t>
      </w:r>
      <w:proofErr w:type="spellStart"/>
      <w:r w:rsidRPr="00E25C82">
        <w:rPr>
          <w:sz w:val="20"/>
          <w:szCs w:val="20"/>
        </w:rPr>
        <w:t>décrite</w:t>
      </w:r>
      <w:proofErr w:type="spellEnd"/>
      <w:r w:rsidRPr="00E25C82">
        <w:rPr>
          <w:sz w:val="20"/>
          <w:szCs w:val="20"/>
        </w:rPr>
        <w:t xml:space="preserve"> à </w:t>
      </w:r>
      <w:proofErr w:type="spellStart"/>
      <w:r w:rsidRPr="00E25C82">
        <w:rPr>
          <w:sz w:val="20"/>
          <w:szCs w:val="20"/>
        </w:rPr>
        <w:t>l’</w:t>
      </w:r>
      <w:r w:rsidRPr="00E25C82">
        <w:rPr>
          <w:b/>
          <w:bCs/>
          <w:sz w:val="20"/>
          <w:szCs w:val="20"/>
        </w:rPr>
        <w:t>annexe</w:t>
      </w:r>
      <w:proofErr w:type="spellEnd"/>
      <w:r w:rsidRPr="00E25C82">
        <w:rPr>
          <w:b/>
          <w:bCs/>
          <w:sz w:val="20"/>
          <w:szCs w:val="20"/>
        </w:rPr>
        <w:t xml:space="preserve"> 1</w:t>
      </w:r>
      <w:r w:rsidRPr="00E25C82">
        <w:rPr>
          <w:sz w:val="20"/>
          <w:szCs w:val="20"/>
        </w:rPr>
        <w:t>.</w:t>
      </w:r>
    </w:p>
    <w:p w14:paraId="1CA2718C" w14:textId="77777777" w:rsidR="00F36422" w:rsidRPr="00E25C82" w:rsidRDefault="00F36422" w:rsidP="00F36422">
      <w:pPr>
        <w:pBdr>
          <w:top w:val="nil"/>
          <w:left w:val="nil"/>
          <w:bottom w:val="nil"/>
          <w:right w:val="nil"/>
          <w:between w:val="nil"/>
        </w:pBdr>
        <w:spacing w:line="244" w:lineRule="auto"/>
        <w:ind w:left="426" w:right="114"/>
        <w:jc w:val="both"/>
        <w:rPr>
          <w:sz w:val="20"/>
          <w:szCs w:val="20"/>
        </w:rPr>
      </w:pPr>
    </w:p>
    <w:p w14:paraId="1EEAB7D1" w14:textId="77777777" w:rsidR="00F36422" w:rsidRPr="00F36422" w:rsidRDefault="00F36422" w:rsidP="00F36422">
      <w:pPr>
        <w:numPr>
          <w:ilvl w:val="0"/>
          <w:numId w:val="1"/>
        </w:numPr>
        <w:pBdr>
          <w:top w:val="nil"/>
          <w:left w:val="nil"/>
          <w:bottom w:val="nil"/>
          <w:right w:val="nil"/>
          <w:between w:val="nil"/>
        </w:pBdr>
        <w:spacing w:line="244" w:lineRule="auto"/>
        <w:ind w:left="426" w:right="114" w:hanging="426"/>
        <w:jc w:val="both"/>
        <w:rPr>
          <w:sz w:val="20"/>
          <w:szCs w:val="20"/>
          <w:lang w:val="fr-FR"/>
        </w:rPr>
      </w:pPr>
      <w:r w:rsidRPr="00F36422">
        <w:rPr>
          <w:sz w:val="20"/>
          <w:szCs w:val="20"/>
          <w:lang w:val="fr-FR"/>
        </w:rPr>
        <w:t>Le TAC dérivé de l'application de la MP est de 14.769 t et devra s'appliquer en 2025, 2026 et 2027. La durée du cycle de gestion devra être de trois ans ; par conséquent, la MP devra être appliquée tous les trois ans.</w:t>
      </w:r>
    </w:p>
    <w:p w14:paraId="2D9A89FE" w14:textId="77777777" w:rsidR="00F36422" w:rsidRPr="00F36422" w:rsidRDefault="00F36422" w:rsidP="00F36422">
      <w:pPr>
        <w:pBdr>
          <w:top w:val="nil"/>
          <w:left w:val="nil"/>
          <w:bottom w:val="nil"/>
          <w:right w:val="nil"/>
          <w:between w:val="nil"/>
        </w:pBdr>
        <w:tabs>
          <w:tab w:val="left" w:pos="544"/>
        </w:tabs>
        <w:spacing w:line="244" w:lineRule="auto"/>
        <w:ind w:right="220"/>
        <w:jc w:val="both"/>
        <w:rPr>
          <w:sz w:val="20"/>
          <w:szCs w:val="20"/>
          <w:lang w:val="fr-FR"/>
        </w:rPr>
      </w:pPr>
    </w:p>
    <w:p w14:paraId="27FD5AC0" w14:textId="05AD78EB" w:rsidR="00F36422" w:rsidRPr="00F36422" w:rsidRDefault="00F36422" w:rsidP="00F36422">
      <w:pPr>
        <w:numPr>
          <w:ilvl w:val="0"/>
          <w:numId w:val="1"/>
        </w:numPr>
        <w:pBdr>
          <w:top w:val="nil"/>
          <w:left w:val="nil"/>
          <w:bottom w:val="nil"/>
          <w:right w:val="nil"/>
          <w:between w:val="nil"/>
        </w:pBdr>
        <w:spacing w:line="244" w:lineRule="auto"/>
        <w:ind w:left="426" w:right="114" w:hanging="426"/>
        <w:jc w:val="both"/>
        <w:rPr>
          <w:sz w:val="20"/>
          <w:szCs w:val="20"/>
          <w:lang w:val="fr-FR"/>
        </w:rPr>
      </w:pPr>
      <w:r w:rsidRPr="00F36422">
        <w:rPr>
          <w:sz w:val="20"/>
          <w:szCs w:val="20"/>
          <w:lang w:val="fr-FR"/>
        </w:rPr>
        <w:lastRenderedPageBreak/>
        <w:t>Le SCRS devra appliquer la MP spécifiée à l'</w:t>
      </w:r>
      <w:r w:rsidRPr="00F36422">
        <w:rPr>
          <w:b/>
          <w:bCs/>
          <w:sz w:val="20"/>
          <w:szCs w:val="20"/>
          <w:lang w:val="fr-FR"/>
        </w:rPr>
        <w:t>annexe 1</w:t>
      </w:r>
      <w:r w:rsidRPr="00F36422">
        <w:rPr>
          <w:sz w:val="20"/>
          <w:szCs w:val="20"/>
          <w:lang w:val="fr-FR"/>
        </w:rPr>
        <w:t xml:space="preserve"> conformément au calendrier établi à l'</w:t>
      </w:r>
      <w:r w:rsidRPr="00F36422">
        <w:rPr>
          <w:b/>
          <w:bCs/>
          <w:sz w:val="20"/>
          <w:szCs w:val="20"/>
          <w:lang w:val="fr-FR"/>
        </w:rPr>
        <w:t>annexe 3</w:t>
      </w:r>
      <w:r w:rsidRPr="00F36422">
        <w:rPr>
          <w:sz w:val="20"/>
          <w:szCs w:val="20"/>
          <w:lang w:val="fr-FR"/>
        </w:rPr>
        <w:t xml:space="preserve"> et informer la Commission du TAC résultant pour l'espadon de l'Atlantique Nord pour le prochain cycle de gestion triennal. Le SCRS devra évaluer chaque année la survenance des EC et la Commission devra agir conformément au Protocole de EC </w:t>
      </w:r>
      <w:r w:rsidR="0018396E" w:rsidRPr="00DF083A">
        <w:rPr>
          <w:sz w:val="20"/>
          <w:szCs w:val="20"/>
          <w:u w:val="single"/>
          <w:lang w:val="fr-FR"/>
        </w:rPr>
        <w:t>énoncé à l’</w:t>
      </w:r>
      <w:r w:rsidR="0018396E" w:rsidRPr="00DF083A">
        <w:rPr>
          <w:b/>
          <w:bCs/>
          <w:sz w:val="20"/>
          <w:szCs w:val="20"/>
          <w:u w:val="single"/>
          <w:lang w:val="fr-FR"/>
        </w:rPr>
        <w:t>annexe 4</w:t>
      </w:r>
      <w:r w:rsidR="0018396E">
        <w:rPr>
          <w:sz w:val="20"/>
          <w:szCs w:val="20"/>
          <w:lang w:val="fr-FR"/>
        </w:rPr>
        <w:t>.</w:t>
      </w:r>
    </w:p>
    <w:p w14:paraId="485C78D5" w14:textId="77777777" w:rsidR="000444F2" w:rsidRPr="000444F2" w:rsidRDefault="000444F2" w:rsidP="000444F2">
      <w:pPr>
        <w:pBdr>
          <w:top w:val="nil"/>
          <w:left w:val="nil"/>
          <w:bottom w:val="nil"/>
          <w:right w:val="nil"/>
          <w:between w:val="nil"/>
        </w:pBdr>
        <w:spacing w:line="244" w:lineRule="auto"/>
        <w:ind w:left="426" w:right="114"/>
        <w:jc w:val="both"/>
        <w:rPr>
          <w:sz w:val="20"/>
          <w:szCs w:val="20"/>
          <w:lang w:val="fr-FR"/>
        </w:rPr>
      </w:pPr>
    </w:p>
    <w:p w14:paraId="1E9466D0" w14:textId="77777777" w:rsidR="000444F2" w:rsidRPr="000444F2" w:rsidRDefault="000444F2" w:rsidP="000444F2">
      <w:pPr>
        <w:numPr>
          <w:ilvl w:val="0"/>
          <w:numId w:val="1"/>
        </w:numPr>
        <w:pBdr>
          <w:top w:val="nil"/>
          <w:left w:val="nil"/>
          <w:bottom w:val="nil"/>
          <w:right w:val="nil"/>
          <w:between w:val="nil"/>
        </w:pBdr>
        <w:spacing w:line="244" w:lineRule="auto"/>
        <w:ind w:left="426" w:right="114" w:hanging="426"/>
        <w:jc w:val="both"/>
        <w:rPr>
          <w:sz w:val="20"/>
          <w:szCs w:val="20"/>
          <w:lang w:val="fr-FR"/>
        </w:rPr>
      </w:pPr>
      <w:r w:rsidRPr="000444F2">
        <w:rPr>
          <w:sz w:val="20"/>
          <w:szCs w:val="20"/>
          <w:lang w:val="fr-FR"/>
        </w:rPr>
        <w:t>La Commission devra adopter le TAC sur la base des résultats de la MP, à moins que le SCRS n'identifie des circonstances exceptionnelles qui obligent la Commission à prendre d'autres mesures de gestion afin de rester conforme aux principes de la Rec. 11-13.</w:t>
      </w:r>
    </w:p>
    <w:p w14:paraId="3E38EE76" w14:textId="77777777" w:rsidR="000444F2" w:rsidRPr="000444F2" w:rsidRDefault="000444F2" w:rsidP="000444F2">
      <w:pPr>
        <w:tabs>
          <w:tab w:val="left" w:pos="542"/>
          <w:tab w:val="left" w:pos="544"/>
        </w:tabs>
        <w:spacing w:line="244" w:lineRule="auto"/>
        <w:ind w:left="544" w:right="114"/>
        <w:jc w:val="center"/>
        <w:rPr>
          <w:b/>
          <w:sz w:val="20"/>
          <w:szCs w:val="20"/>
          <w:lang w:val="fr-FR"/>
        </w:rPr>
      </w:pPr>
    </w:p>
    <w:p w14:paraId="292107D9" w14:textId="77777777" w:rsidR="000444F2" w:rsidRPr="000444F2" w:rsidRDefault="000444F2" w:rsidP="000444F2">
      <w:pPr>
        <w:tabs>
          <w:tab w:val="left" w:pos="542"/>
          <w:tab w:val="left" w:pos="544"/>
        </w:tabs>
        <w:spacing w:line="244" w:lineRule="auto"/>
        <w:ind w:left="544" w:right="114"/>
        <w:jc w:val="center"/>
        <w:rPr>
          <w:b/>
          <w:sz w:val="20"/>
          <w:szCs w:val="20"/>
          <w:lang w:val="fr-FR"/>
        </w:rPr>
      </w:pPr>
    </w:p>
    <w:p w14:paraId="7336E7A5" w14:textId="77777777" w:rsidR="000444F2" w:rsidRPr="000444F2" w:rsidRDefault="000444F2" w:rsidP="000444F2">
      <w:pPr>
        <w:tabs>
          <w:tab w:val="left" w:pos="542"/>
          <w:tab w:val="left" w:pos="544"/>
        </w:tabs>
        <w:spacing w:line="244" w:lineRule="auto"/>
        <w:ind w:left="544" w:right="114"/>
        <w:jc w:val="center"/>
        <w:rPr>
          <w:b/>
          <w:sz w:val="20"/>
          <w:szCs w:val="20"/>
          <w:lang w:val="fr-FR"/>
        </w:rPr>
      </w:pPr>
      <w:r w:rsidRPr="000444F2">
        <w:rPr>
          <w:b/>
          <w:sz w:val="20"/>
          <w:szCs w:val="20"/>
          <w:lang w:val="fr-FR"/>
        </w:rPr>
        <w:t>IIIe PARTIE</w:t>
      </w:r>
    </w:p>
    <w:p w14:paraId="1C61A0A7" w14:textId="77777777" w:rsidR="000444F2" w:rsidRPr="000444F2" w:rsidRDefault="000444F2" w:rsidP="000444F2">
      <w:pPr>
        <w:tabs>
          <w:tab w:val="left" w:pos="542"/>
          <w:tab w:val="left" w:pos="544"/>
        </w:tabs>
        <w:spacing w:line="244" w:lineRule="auto"/>
        <w:ind w:left="544" w:right="114"/>
        <w:jc w:val="center"/>
        <w:rPr>
          <w:b/>
          <w:sz w:val="20"/>
          <w:szCs w:val="20"/>
          <w:lang w:val="fr-FR"/>
        </w:rPr>
      </w:pPr>
      <w:r w:rsidRPr="000444F2">
        <w:rPr>
          <w:b/>
          <w:sz w:val="20"/>
          <w:szCs w:val="20"/>
          <w:lang w:val="fr-FR"/>
        </w:rPr>
        <w:t>LIMITES DE CAPTURE ET DISPOSITIONS CONNEXES</w:t>
      </w:r>
    </w:p>
    <w:p w14:paraId="685CD5F2" w14:textId="77777777" w:rsidR="000444F2" w:rsidRPr="000444F2" w:rsidRDefault="000444F2" w:rsidP="000444F2">
      <w:pPr>
        <w:pBdr>
          <w:top w:val="nil"/>
          <w:left w:val="nil"/>
          <w:bottom w:val="nil"/>
          <w:right w:val="nil"/>
          <w:between w:val="nil"/>
        </w:pBdr>
        <w:tabs>
          <w:tab w:val="left" w:pos="544"/>
        </w:tabs>
        <w:ind w:left="544"/>
        <w:rPr>
          <w:b/>
          <w:sz w:val="20"/>
          <w:szCs w:val="20"/>
          <w:lang w:val="fr-FR"/>
        </w:rPr>
      </w:pPr>
    </w:p>
    <w:p w14:paraId="4C88965B" w14:textId="77777777" w:rsidR="000444F2" w:rsidRPr="00E25C82" w:rsidRDefault="000444F2" w:rsidP="000444F2">
      <w:pPr>
        <w:pBdr>
          <w:top w:val="nil"/>
          <w:left w:val="nil"/>
          <w:bottom w:val="nil"/>
          <w:right w:val="nil"/>
          <w:between w:val="nil"/>
        </w:pBdr>
        <w:tabs>
          <w:tab w:val="left" w:pos="544"/>
        </w:tabs>
        <w:rPr>
          <w:b/>
          <w:sz w:val="20"/>
          <w:szCs w:val="20"/>
        </w:rPr>
      </w:pPr>
      <w:proofErr w:type="spellStart"/>
      <w:r w:rsidRPr="00E25C82">
        <w:rPr>
          <w:b/>
          <w:sz w:val="20"/>
          <w:szCs w:val="20"/>
        </w:rPr>
        <w:t>Limites</w:t>
      </w:r>
      <w:proofErr w:type="spellEnd"/>
      <w:r w:rsidRPr="00E25C82">
        <w:rPr>
          <w:b/>
          <w:sz w:val="20"/>
          <w:szCs w:val="20"/>
        </w:rPr>
        <w:t xml:space="preserve"> de capture</w:t>
      </w:r>
    </w:p>
    <w:p w14:paraId="2EFCFB0D" w14:textId="77777777" w:rsidR="000444F2" w:rsidRPr="00E25C82" w:rsidRDefault="000444F2" w:rsidP="000444F2">
      <w:pPr>
        <w:pBdr>
          <w:top w:val="nil"/>
          <w:left w:val="nil"/>
          <w:bottom w:val="nil"/>
          <w:right w:val="nil"/>
          <w:between w:val="nil"/>
        </w:pBdr>
        <w:tabs>
          <w:tab w:val="left" w:pos="544"/>
        </w:tabs>
        <w:rPr>
          <w:b/>
          <w:i/>
          <w:sz w:val="20"/>
          <w:szCs w:val="20"/>
        </w:rPr>
      </w:pPr>
    </w:p>
    <w:p w14:paraId="3A37DAF8"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right="123"/>
        <w:jc w:val="both"/>
        <w:rPr>
          <w:sz w:val="20"/>
          <w:szCs w:val="20"/>
          <w:lang w:val="fr-FR"/>
        </w:rPr>
      </w:pPr>
      <w:r w:rsidRPr="000444F2">
        <w:rPr>
          <w:sz w:val="20"/>
          <w:szCs w:val="20"/>
          <w:lang w:val="fr-FR"/>
        </w:rPr>
        <w:t>Le TAC annuel de 14.769 t pour l'espadon de l'Atlantique Nord résultant de l'application de la MP décrite à l'</w:t>
      </w:r>
      <w:r w:rsidRPr="000444F2">
        <w:rPr>
          <w:b/>
          <w:bCs/>
          <w:sz w:val="20"/>
          <w:szCs w:val="20"/>
          <w:lang w:val="fr-FR"/>
        </w:rPr>
        <w:t>annexe 1</w:t>
      </w:r>
      <w:r w:rsidRPr="000444F2">
        <w:rPr>
          <w:sz w:val="20"/>
          <w:szCs w:val="20"/>
          <w:lang w:val="fr-FR"/>
        </w:rPr>
        <w:t xml:space="preserve"> devra être alloué comme suit pour la période de gestion 2025-2027 :</w:t>
      </w:r>
    </w:p>
    <w:p w14:paraId="0BD82D3F" w14:textId="77777777" w:rsidR="000444F2" w:rsidRPr="000444F2" w:rsidRDefault="000444F2" w:rsidP="000444F2">
      <w:pPr>
        <w:pBdr>
          <w:top w:val="nil"/>
          <w:left w:val="nil"/>
          <w:bottom w:val="nil"/>
          <w:right w:val="nil"/>
          <w:between w:val="nil"/>
        </w:pBdr>
        <w:tabs>
          <w:tab w:val="left" w:pos="838"/>
        </w:tabs>
        <w:spacing w:before="1"/>
        <w:ind w:left="838" w:right="114"/>
        <w:rPr>
          <w:sz w:val="20"/>
          <w:szCs w:val="20"/>
          <w:lang w:val="fr-FR"/>
        </w:rPr>
      </w:pP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2121"/>
      </w:tblGrid>
      <w:tr w:rsidR="000444F2" w:rsidRPr="00E25C82" w14:paraId="660CC8E2" w14:textId="77777777" w:rsidTr="00AB7AC7">
        <w:trPr>
          <w:trHeight w:val="51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F4C727F" w14:textId="77777777" w:rsidR="000444F2" w:rsidRPr="00E25C82" w:rsidRDefault="000444F2" w:rsidP="00AB7AC7">
            <w:pPr>
              <w:widowControl/>
              <w:jc w:val="center"/>
              <w:rPr>
                <w:rFonts w:eastAsia="Times New Roman" w:cs="Calibri"/>
                <w:i/>
                <w:iCs/>
                <w:sz w:val="20"/>
                <w:szCs w:val="20"/>
              </w:rPr>
            </w:pPr>
            <w:r w:rsidRPr="00E25C82">
              <w:rPr>
                <w:i/>
                <w:sz w:val="20"/>
                <w:szCs w:val="20"/>
              </w:rPr>
              <w:t>CPC</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2D15D36" w14:textId="77777777" w:rsidR="000444F2" w:rsidRPr="00E25C82" w:rsidRDefault="000444F2" w:rsidP="00AB7AC7">
            <w:pPr>
              <w:widowControl/>
              <w:jc w:val="center"/>
              <w:rPr>
                <w:rFonts w:eastAsiaTheme="minorHAnsi" w:cstheme="minorBidi"/>
                <w:i/>
                <w:iCs/>
                <w:sz w:val="20"/>
                <w:szCs w:val="20"/>
              </w:rPr>
            </w:pPr>
            <w:proofErr w:type="spellStart"/>
            <w:r w:rsidRPr="00E25C82">
              <w:rPr>
                <w:i/>
                <w:sz w:val="20"/>
                <w:szCs w:val="20"/>
              </w:rPr>
              <w:t>Limite</w:t>
            </w:r>
            <w:proofErr w:type="spellEnd"/>
            <w:r w:rsidRPr="00E25C82">
              <w:rPr>
                <w:i/>
                <w:sz w:val="20"/>
                <w:szCs w:val="20"/>
              </w:rPr>
              <w:t xml:space="preserve"> de capture *</w:t>
            </w:r>
          </w:p>
          <w:p w14:paraId="24F1A9D3" w14:textId="77777777" w:rsidR="000444F2" w:rsidRPr="00E25C82" w:rsidRDefault="000444F2" w:rsidP="00AB7AC7">
            <w:pPr>
              <w:widowControl/>
              <w:jc w:val="center"/>
              <w:rPr>
                <w:rFonts w:eastAsia="Times New Roman" w:cs="Calibri"/>
                <w:i/>
                <w:iCs/>
                <w:sz w:val="20"/>
                <w:szCs w:val="20"/>
              </w:rPr>
            </w:pPr>
            <w:r w:rsidRPr="00E25C82">
              <w:rPr>
                <w:i/>
                <w:sz w:val="20"/>
                <w:szCs w:val="20"/>
              </w:rPr>
              <w:t>14.769 (t)</w:t>
            </w:r>
          </w:p>
        </w:tc>
      </w:tr>
      <w:tr w:rsidR="000444F2" w:rsidRPr="00E25C82" w14:paraId="4D57D74D" w14:textId="77777777" w:rsidTr="00AB7AC7">
        <w:trPr>
          <w:trHeight w:val="35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13838003" w14:textId="77777777" w:rsidR="000444F2" w:rsidRPr="00E25C82" w:rsidRDefault="000444F2" w:rsidP="00AB7AC7">
            <w:pPr>
              <w:widowControl/>
              <w:rPr>
                <w:rFonts w:eastAsia="Times New Roman" w:cs="Calibri"/>
                <w:sz w:val="20"/>
                <w:szCs w:val="20"/>
              </w:rPr>
            </w:pPr>
            <w:r w:rsidRPr="00E25C82">
              <w:rPr>
                <w:sz w:val="20"/>
                <w:szCs w:val="20"/>
              </w:rPr>
              <w:t>Union européenne</w:t>
            </w:r>
            <w:r w:rsidRPr="00E25C82">
              <w:rPr>
                <w:sz w:val="20"/>
                <w:szCs w:val="20"/>
                <w:vertAlign w:val="superscript"/>
              </w:rPr>
              <w:t>1</w:t>
            </w:r>
            <w:r w:rsidRPr="00E25C82">
              <w:rPr>
                <w:sz w:val="20"/>
                <w:szCs w:val="20"/>
              </w:rPr>
              <w:t xml:space="preserv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6D2BADF"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7.408,33</w:t>
            </w:r>
          </w:p>
        </w:tc>
      </w:tr>
      <w:tr w:rsidR="000444F2" w:rsidRPr="00E25C82" w14:paraId="5A369F13" w14:textId="77777777" w:rsidTr="00AB7AC7">
        <w:trPr>
          <w:trHeight w:val="27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DEB7A17" w14:textId="77777777" w:rsidR="000444F2" w:rsidRPr="00E25C82" w:rsidRDefault="000444F2" w:rsidP="00AB7AC7">
            <w:pPr>
              <w:widowControl/>
              <w:rPr>
                <w:rFonts w:eastAsia="Times New Roman" w:cs="Calibri"/>
                <w:sz w:val="20"/>
                <w:szCs w:val="20"/>
              </w:rPr>
            </w:pPr>
            <w:r w:rsidRPr="00E25C82">
              <w:rPr>
                <w:sz w:val="20"/>
                <w:szCs w:val="20"/>
              </w:rPr>
              <w:t>Etats-Unis</w:t>
            </w:r>
            <w:r w:rsidRPr="00E25C82">
              <w:rPr>
                <w:sz w:val="20"/>
                <w:szCs w:val="20"/>
                <w:vertAlign w:val="superscript"/>
              </w:rPr>
              <w:t>2</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DB7AB63"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3.907</w:t>
            </w:r>
          </w:p>
        </w:tc>
      </w:tr>
      <w:tr w:rsidR="000444F2" w:rsidRPr="00E25C82" w14:paraId="51B6A476"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C8178E3" w14:textId="77777777" w:rsidR="000444F2" w:rsidRPr="00E25C82" w:rsidRDefault="000444F2" w:rsidP="00AB7AC7">
            <w:pPr>
              <w:widowControl/>
              <w:rPr>
                <w:rFonts w:eastAsia="Times New Roman" w:cs="Calibri"/>
                <w:sz w:val="20"/>
                <w:szCs w:val="20"/>
              </w:rPr>
            </w:pPr>
            <w:r w:rsidRPr="00E25C82">
              <w:rPr>
                <w:sz w:val="20"/>
                <w:szCs w:val="20"/>
              </w:rPr>
              <w:t>Canada</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E078644"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1.880</w:t>
            </w:r>
          </w:p>
        </w:tc>
      </w:tr>
      <w:tr w:rsidR="000444F2" w:rsidRPr="00E25C82" w14:paraId="599877F9"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66D020D3" w14:textId="77777777" w:rsidR="000444F2" w:rsidRPr="00E25C82" w:rsidRDefault="000444F2" w:rsidP="00AB7AC7">
            <w:pPr>
              <w:widowControl/>
              <w:rPr>
                <w:rFonts w:eastAsia="Times New Roman" w:cs="Calibri"/>
                <w:sz w:val="20"/>
                <w:szCs w:val="20"/>
              </w:rPr>
            </w:pPr>
            <w:r w:rsidRPr="00E25C82">
              <w:rPr>
                <w:sz w:val="20"/>
                <w:szCs w:val="20"/>
              </w:rPr>
              <w:t>Japon</w:t>
            </w:r>
            <w:r w:rsidRPr="00E25C82">
              <w:rPr>
                <w:sz w:val="20"/>
                <w:szCs w:val="20"/>
                <w:vertAlign w:val="superscript"/>
              </w:rPr>
              <w:t>3</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9883650"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842</w:t>
            </w:r>
          </w:p>
        </w:tc>
      </w:tr>
      <w:tr w:rsidR="000444F2" w:rsidRPr="00E25C82" w14:paraId="6719D46C"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493F6E4A" w14:textId="77777777" w:rsidR="000444F2" w:rsidRPr="00E25C82" w:rsidRDefault="000444F2" w:rsidP="00AB7AC7">
            <w:pPr>
              <w:widowControl/>
              <w:rPr>
                <w:rFonts w:eastAsia="Times New Roman" w:cs="Calibri"/>
                <w:sz w:val="20"/>
                <w:szCs w:val="20"/>
              </w:rPr>
            </w:pPr>
            <w:r w:rsidRPr="00E25C82">
              <w:rPr>
                <w:sz w:val="20"/>
                <w:szCs w:val="20"/>
              </w:rPr>
              <w:t>Maroc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176D6C4"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1.186</w:t>
            </w:r>
          </w:p>
        </w:tc>
      </w:tr>
      <w:tr w:rsidR="000444F2" w:rsidRPr="00E25C82" w14:paraId="5107E923"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64F72E6A" w14:textId="77777777" w:rsidR="000444F2" w:rsidRPr="00E25C82" w:rsidRDefault="000444F2" w:rsidP="00AB7AC7">
            <w:pPr>
              <w:widowControl/>
              <w:rPr>
                <w:rFonts w:eastAsia="Times New Roman" w:cs="Calibri"/>
                <w:sz w:val="20"/>
                <w:szCs w:val="20"/>
              </w:rPr>
            </w:pPr>
            <w:proofErr w:type="spellStart"/>
            <w:r w:rsidRPr="00E25C82">
              <w:rPr>
                <w:sz w:val="20"/>
                <w:szCs w:val="20"/>
              </w:rPr>
              <w:t>Mexique</w:t>
            </w:r>
            <w:proofErr w:type="spellEnd"/>
            <w:r w:rsidRPr="00E25C82">
              <w:rPr>
                <w:sz w:val="20"/>
                <w:szCs w:val="20"/>
              </w:rPr>
              <w:t>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9BC8A05"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200</w:t>
            </w:r>
          </w:p>
        </w:tc>
      </w:tr>
      <w:tr w:rsidR="000444F2" w:rsidRPr="00E25C82" w14:paraId="2FE624BE"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787BF5A" w14:textId="77777777" w:rsidR="000444F2" w:rsidRPr="00E25C82" w:rsidRDefault="000444F2" w:rsidP="00AB7AC7">
            <w:pPr>
              <w:widowControl/>
              <w:rPr>
                <w:rFonts w:eastAsia="Times New Roman" w:cs="Calibri"/>
                <w:sz w:val="20"/>
                <w:szCs w:val="20"/>
              </w:rPr>
            </w:pPr>
            <w:proofErr w:type="spellStart"/>
            <w:r w:rsidRPr="00E25C82">
              <w:rPr>
                <w:sz w:val="20"/>
                <w:szCs w:val="20"/>
              </w:rPr>
              <w:t>Brésil</w:t>
            </w:r>
            <w:proofErr w:type="spellEnd"/>
            <w:r w:rsidRPr="00E25C82">
              <w:rPr>
                <w:sz w:val="20"/>
                <w:szCs w:val="20"/>
              </w:rPr>
              <w:t>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DC4BF27"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50</w:t>
            </w:r>
          </w:p>
        </w:tc>
      </w:tr>
      <w:tr w:rsidR="000444F2" w:rsidRPr="00E25C82" w14:paraId="119B691D"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2B1C6451" w14:textId="77777777" w:rsidR="000444F2" w:rsidRPr="00E25C82" w:rsidRDefault="000444F2" w:rsidP="00AB7AC7">
            <w:pPr>
              <w:widowControl/>
              <w:rPr>
                <w:rFonts w:eastAsia="Times New Roman" w:cs="Calibri"/>
                <w:sz w:val="20"/>
                <w:szCs w:val="20"/>
              </w:rPr>
            </w:pPr>
            <w:proofErr w:type="spellStart"/>
            <w:r w:rsidRPr="00E25C82">
              <w:rPr>
                <w:sz w:val="20"/>
                <w:szCs w:val="20"/>
              </w:rPr>
              <w:t>Barbade</w:t>
            </w:r>
            <w:proofErr w:type="spellEnd"/>
            <w:r w:rsidRPr="00E25C82">
              <w:rPr>
                <w:sz w:val="20"/>
                <w:szCs w:val="20"/>
              </w:rPr>
              <w:t>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B41425A"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45</w:t>
            </w:r>
          </w:p>
        </w:tc>
      </w:tr>
      <w:tr w:rsidR="000444F2" w:rsidRPr="00E25C82" w14:paraId="7A1902AC" w14:textId="77777777" w:rsidTr="00AB7AC7">
        <w:trPr>
          <w:trHeight w:val="314"/>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121C3F1A" w14:textId="77777777" w:rsidR="000444F2" w:rsidRPr="00E25C82" w:rsidRDefault="000444F2" w:rsidP="00AB7AC7">
            <w:pPr>
              <w:widowControl/>
              <w:rPr>
                <w:rFonts w:eastAsia="Times New Roman" w:cs="Calibri"/>
                <w:sz w:val="20"/>
                <w:szCs w:val="20"/>
              </w:rPr>
            </w:pPr>
            <w:r w:rsidRPr="00E25C82">
              <w:rPr>
                <w:sz w:val="20"/>
                <w:szCs w:val="20"/>
              </w:rPr>
              <w:t>Venezuela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0AD7972"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85</w:t>
            </w:r>
          </w:p>
        </w:tc>
      </w:tr>
      <w:tr w:rsidR="000444F2" w:rsidRPr="00E25C82" w14:paraId="1396AB32" w14:textId="77777777" w:rsidTr="00AB7AC7">
        <w:trPr>
          <w:trHeight w:val="364"/>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2C886EC8" w14:textId="77777777" w:rsidR="000444F2" w:rsidRPr="00E25C82" w:rsidRDefault="000444F2" w:rsidP="00AB7AC7">
            <w:pPr>
              <w:widowControl/>
              <w:rPr>
                <w:rFonts w:eastAsia="Times New Roman" w:cs="Calibri"/>
                <w:sz w:val="20"/>
                <w:szCs w:val="20"/>
              </w:rPr>
            </w:pPr>
            <w:proofErr w:type="spellStart"/>
            <w:r w:rsidRPr="00E25C82">
              <w:rPr>
                <w:sz w:val="20"/>
                <w:szCs w:val="20"/>
              </w:rPr>
              <w:t>Trinité</w:t>
            </w:r>
            <w:proofErr w:type="spellEnd"/>
            <w:r w:rsidRPr="00E25C82">
              <w:rPr>
                <w:sz w:val="20"/>
                <w:szCs w:val="20"/>
              </w:rPr>
              <w:t>-et-Tobago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90EB086"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125</w:t>
            </w:r>
          </w:p>
        </w:tc>
      </w:tr>
      <w:tr w:rsidR="000444F2" w:rsidRPr="00E25C82" w14:paraId="6663E14D" w14:textId="77777777" w:rsidTr="00AB7AC7">
        <w:trPr>
          <w:trHeight w:val="28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16325E94" w14:textId="77777777" w:rsidR="000444F2" w:rsidRPr="00E25C82" w:rsidRDefault="000444F2" w:rsidP="00AB7AC7">
            <w:pPr>
              <w:widowControl/>
              <w:rPr>
                <w:rFonts w:eastAsia="Times New Roman" w:cs="Calibri"/>
                <w:sz w:val="20"/>
                <w:szCs w:val="20"/>
              </w:rPr>
            </w:pPr>
            <w:proofErr w:type="spellStart"/>
            <w:r w:rsidRPr="00E25C82">
              <w:rPr>
                <w:sz w:val="20"/>
                <w:szCs w:val="20"/>
              </w:rPr>
              <w:t>Royaume</w:t>
            </w:r>
            <w:proofErr w:type="spellEnd"/>
            <w:r w:rsidRPr="00E25C82">
              <w:rPr>
                <w:sz w:val="20"/>
                <w:szCs w:val="20"/>
              </w:rPr>
              <w:t>-Uni</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5631D33"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35,67</w:t>
            </w:r>
          </w:p>
        </w:tc>
      </w:tr>
      <w:tr w:rsidR="000444F2" w:rsidRPr="00E25C82" w14:paraId="6AEDA96E" w14:textId="77777777" w:rsidTr="00AB7AC7">
        <w:trPr>
          <w:trHeight w:val="393"/>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20C73485" w14:textId="77777777" w:rsidR="000444F2" w:rsidRPr="00E25C82" w:rsidRDefault="000444F2" w:rsidP="00AB7AC7">
            <w:pPr>
              <w:widowControl/>
              <w:rPr>
                <w:rFonts w:eastAsia="Times New Roman" w:cs="Calibri"/>
                <w:sz w:val="20"/>
                <w:szCs w:val="20"/>
              </w:rPr>
            </w:pPr>
            <w:r w:rsidRPr="00E25C82">
              <w:rPr>
                <w:sz w:val="20"/>
                <w:szCs w:val="20"/>
              </w:rPr>
              <w:t xml:space="preserve">France (SPM)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5369B39"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40</w:t>
            </w:r>
          </w:p>
        </w:tc>
      </w:tr>
      <w:tr w:rsidR="000444F2" w:rsidRPr="00E25C82" w14:paraId="703FB1D4"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A89C4FE" w14:textId="77777777" w:rsidR="000444F2" w:rsidRPr="00E25C82" w:rsidRDefault="000444F2" w:rsidP="00AB7AC7">
            <w:pPr>
              <w:widowControl/>
              <w:rPr>
                <w:rFonts w:eastAsia="Times New Roman" w:cs="Calibri"/>
                <w:sz w:val="20"/>
                <w:szCs w:val="20"/>
              </w:rPr>
            </w:pPr>
            <w:r w:rsidRPr="00E25C82">
              <w:rPr>
                <w:sz w:val="20"/>
                <w:szCs w:val="20"/>
              </w:rPr>
              <w:t>Chine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2570AA1"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111</w:t>
            </w:r>
          </w:p>
        </w:tc>
      </w:tr>
      <w:tr w:rsidR="000444F2" w:rsidRPr="00E25C82" w14:paraId="3559B34E"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56960F12" w14:textId="77777777" w:rsidR="000444F2" w:rsidRPr="00E25C82" w:rsidRDefault="000444F2" w:rsidP="00AB7AC7">
            <w:pPr>
              <w:widowControl/>
              <w:rPr>
                <w:rFonts w:eastAsia="Times New Roman" w:cs="Calibri"/>
                <w:sz w:val="20"/>
                <w:szCs w:val="20"/>
              </w:rPr>
            </w:pPr>
            <w:r w:rsidRPr="00E25C82">
              <w:rPr>
                <w:sz w:val="20"/>
                <w:szCs w:val="20"/>
              </w:rPr>
              <w:t>Sénégal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5CD0585"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250</w:t>
            </w:r>
          </w:p>
        </w:tc>
      </w:tr>
      <w:tr w:rsidR="000444F2" w:rsidRPr="00E25C82" w14:paraId="7B95D025"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4D409811" w14:textId="77777777" w:rsidR="000444F2" w:rsidRPr="00E25C82" w:rsidRDefault="000444F2" w:rsidP="00AB7AC7">
            <w:pPr>
              <w:widowControl/>
              <w:rPr>
                <w:rFonts w:eastAsia="Times New Roman" w:cs="Calibri"/>
                <w:sz w:val="20"/>
                <w:szCs w:val="20"/>
              </w:rPr>
            </w:pPr>
            <w:r w:rsidRPr="00E25C82">
              <w:rPr>
                <w:sz w:val="20"/>
                <w:szCs w:val="20"/>
              </w:rPr>
              <w:t>Corée</w:t>
            </w:r>
            <w:r w:rsidRPr="00E25C82">
              <w:rPr>
                <w:sz w:val="20"/>
                <w:szCs w:val="20"/>
                <w:vertAlign w:val="superscript"/>
              </w:rPr>
              <w:t>4</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216B11F"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50</w:t>
            </w:r>
          </w:p>
        </w:tc>
      </w:tr>
      <w:tr w:rsidR="000444F2" w:rsidRPr="00E25C82" w14:paraId="6B15730E" w14:textId="77777777" w:rsidTr="00AB7AC7">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D5F0C22" w14:textId="77777777" w:rsidR="000444F2" w:rsidRPr="00E25C82" w:rsidRDefault="000444F2" w:rsidP="00AB7AC7">
            <w:pPr>
              <w:widowControl/>
              <w:rPr>
                <w:rFonts w:eastAsia="Times New Roman" w:cs="Calibri"/>
                <w:sz w:val="20"/>
                <w:szCs w:val="20"/>
              </w:rPr>
            </w:pPr>
            <w:r w:rsidRPr="00E25C82">
              <w:rPr>
                <w:sz w:val="20"/>
                <w:szCs w:val="20"/>
              </w:rPr>
              <w:t>Belize</w:t>
            </w:r>
            <w:r w:rsidRPr="00E25C82">
              <w:rPr>
                <w:sz w:val="20"/>
                <w:szCs w:val="20"/>
                <w:vertAlign w:val="superscript"/>
              </w:rPr>
              <w:t>5</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2615563"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130</w:t>
            </w:r>
          </w:p>
        </w:tc>
      </w:tr>
      <w:tr w:rsidR="000444F2" w:rsidRPr="00E25C82" w14:paraId="2E9E176C" w14:textId="77777777" w:rsidTr="00AB7AC7">
        <w:trPr>
          <w:trHeight w:val="24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0EBD3DB" w14:textId="77777777" w:rsidR="000444F2" w:rsidRPr="00E25C82" w:rsidRDefault="000444F2" w:rsidP="00AB7AC7">
            <w:pPr>
              <w:widowControl/>
              <w:rPr>
                <w:rFonts w:eastAsia="Times New Roman" w:cs="Calibri"/>
                <w:sz w:val="20"/>
                <w:szCs w:val="20"/>
              </w:rPr>
            </w:pPr>
            <w:r w:rsidRPr="00E25C82">
              <w:rPr>
                <w:sz w:val="20"/>
                <w:szCs w:val="20"/>
              </w:rPr>
              <w:t>Côte d'Ivoire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22B3506"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50</w:t>
            </w:r>
          </w:p>
        </w:tc>
      </w:tr>
      <w:tr w:rsidR="000444F2" w:rsidRPr="00E25C82" w14:paraId="1D4FD554" w14:textId="77777777" w:rsidTr="00AB7AC7">
        <w:trPr>
          <w:trHeight w:val="301"/>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01F567D3" w14:textId="77777777" w:rsidR="000444F2" w:rsidRPr="000444F2" w:rsidRDefault="000444F2" w:rsidP="00AB7AC7">
            <w:pPr>
              <w:widowControl/>
              <w:rPr>
                <w:rFonts w:eastAsia="Times New Roman" w:cs="Calibri"/>
                <w:sz w:val="20"/>
                <w:szCs w:val="20"/>
                <w:lang w:val="fr-FR"/>
              </w:rPr>
            </w:pPr>
            <w:r w:rsidRPr="000444F2">
              <w:rPr>
                <w:sz w:val="20"/>
                <w:szCs w:val="20"/>
                <w:lang w:val="fr-FR"/>
              </w:rPr>
              <w:t xml:space="preserve">Saint-Vincent-et-les Grenadines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E9CB81C"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75</w:t>
            </w:r>
          </w:p>
        </w:tc>
      </w:tr>
      <w:tr w:rsidR="000444F2" w:rsidRPr="00E25C82" w14:paraId="1D5B9C5A" w14:textId="77777777" w:rsidTr="00AB7AC7">
        <w:trPr>
          <w:trHeight w:val="227"/>
          <w:jc w:val="center"/>
        </w:trPr>
        <w:tc>
          <w:tcPr>
            <w:tcW w:w="3550" w:type="dxa"/>
            <w:tcBorders>
              <w:top w:val="single" w:sz="4" w:space="0" w:color="auto"/>
              <w:left w:val="single" w:sz="4" w:space="0" w:color="auto"/>
              <w:bottom w:val="single" w:sz="4" w:space="0" w:color="auto"/>
              <w:right w:val="single" w:sz="4" w:space="0" w:color="auto"/>
            </w:tcBorders>
            <w:vAlign w:val="center"/>
          </w:tcPr>
          <w:p w14:paraId="1AB7C91D" w14:textId="77777777" w:rsidR="000444F2" w:rsidRPr="00E25C82" w:rsidRDefault="000444F2" w:rsidP="00AB7AC7">
            <w:pPr>
              <w:widowControl/>
              <w:rPr>
                <w:rFonts w:eastAsia="Times New Roman" w:cs="Calibri"/>
                <w:sz w:val="20"/>
                <w:szCs w:val="20"/>
              </w:rPr>
            </w:pPr>
            <w:r w:rsidRPr="00E25C82">
              <w:rPr>
                <w:sz w:val="20"/>
                <w:szCs w:val="20"/>
              </w:rPr>
              <w:t>Costa Rica</w:t>
            </w:r>
          </w:p>
        </w:tc>
        <w:tc>
          <w:tcPr>
            <w:tcW w:w="2121" w:type="dxa"/>
            <w:tcBorders>
              <w:top w:val="single" w:sz="4" w:space="0" w:color="auto"/>
              <w:left w:val="single" w:sz="4" w:space="0" w:color="auto"/>
              <w:bottom w:val="single" w:sz="4" w:space="0" w:color="auto"/>
              <w:right w:val="single" w:sz="4" w:space="0" w:color="auto"/>
            </w:tcBorders>
            <w:vAlign w:val="center"/>
          </w:tcPr>
          <w:p w14:paraId="17AB2FF6" w14:textId="77777777" w:rsidR="000444F2" w:rsidRPr="00E25C82" w:rsidDel="008174F2" w:rsidRDefault="000444F2" w:rsidP="00AB7AC7">
            <w:pPr>
              <w:widowControl/>
              <w:jc w:val="center"/>
              <w:rPr>
                <w:rFonts w:eastAsia="Times New Roman" w:cs="Calibri"/>
                <w:sz w:val="20"/>
                <w:szCs w:val="20"/>
              </w:rPr>
            </w:pPr>
            <w:r w:rsidRPr="00E25C82">
              <w:rPr>
                <w:rFonts w:eastAsia="Times New Roman" w:cs="Calibri"/>
                <w:color w:val="000000"/>
                <w:sz w:val="20"/>
                <w:szCs w:val="20"/>
              </w:rPr>
              <w:t>75</w:t>
            </w:r>
          </w:p>
        </w:tc>
      </w:tr>
      <w:tr w:rsidR="000444F2" w:rsidRPr="00E25C82" w14:paraId="6230DA8A" w14:textId="77777777" w:rsidTr="00AB7AC7">
        <w:trPr>
          <w:trHeight w:val="16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5E89F412" w14:textId="77777777" w:rsidR="000444F2" w:rsidRPr="00E25C82" w:rsidRDefault="000444F2" w:rsidP="00AB7AC7">
            <w:pPr>
              <w:widowControl/>
              <w:rPr>
                <w:rFonts w:eastAsia="Times New Roman" w:cs="Calibri"/>
                <w:sz w:val="20"/>
                <w:szCs w:val="20"/>
              </w:rPr>
            </w:pPr>
            <w:r w:rsidRPr="00E25C82">
              <w:rPr>
                <w:sz w:val="20"/>
                <w:szCs w:val="20"/>
              </w:rPr>
              <w:t>Taipei chinois</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D654C66" w14:textId="77777777" w:rsidR="000444F2" w:rsidRPr="00E25C82" w:rsidRDefault="000444F2" w:rsidP="00AB7AC7">
            <w:pPr>
              <w:widowControl/>
              <w:jc w:val="center"/>
              <w:rPr>
                <w:rFonts w:eastAsia="Times New Roman" w:cs="Calibri"/>
                <w:sz w:val="20"/>
                <w:szCs w:val="20"/>
              </w:rPr>
            </w:pPr>
            <w:r w:rsidRPr="00E25C82">
              <w:rPr>
                <w:rFonts w:eastAsia="Times New Roman" w:cs="Calibri"/>
                <w:color w:val="000000"/>
                <w:sz w:val="20"/>
                <w:szCs w:val="20"/>
              </w:rPr>
              <w:t>270</w:t>
            </w:r>
          </w:p>
        </w:tc>
      </w:tr>
    </w:tbl>
    <w:p w14:paraId="073CD925" w14:textId="77777777" w:rsidR="000444F2" w:rsidRPr="00E25C82" w:rsidRDefault="000444F2" w:rsidP="000444F2">
      <w:pPr>
        <w:ind w:left="1111" w:right="929"/>
        <w:jc w:val="both"/>
        <w:rPr>
          <w:sz w:val="16"/>
          <w:szCs w:val="16"/>
        </w:rPr>
      </w:pPr>
    </w:p>
    <w:p w14:paraId="44632154" w14:textId="77777777" w:rsidR="000444F2" w:rsidRPr="000444F2" w:rsidRDefault="000444F2" w:rsidP="000444F2">
      <w:pPr>
        <w:ind w:left="1111" w:right="929"/>
        <w:jc w:val="both"/>
        <w:rPr>
          <w:sz w:val="16"/>
          <w:szCs w:val="16"/>
          <w:lang w:val="fr-FR"/>
        </w:rPr>
      </w:pPr>
      <w:r w:rsidRPr="000444F2">
        <w:rPr>
          <w:sz w:val="16"/>
          <w:szCs w:val="16"/>
          <w:lang w:val="fr-FR"/>
        </w:rPr>
        <w:t>Si le Libéria soumet un plan de pêche décrivant clairement sa pêcherie d'espadon de l'Atlantique Nord pour que la Sous-commission 4 l'examine lors de la réunion annuelle de 2025, les besoins du Libéria en matière de limite de capture devront alors être évalués en vue de leur inclusion dans le tableau d'allocation du paragraphe 7 pour 2026 et 2027.</w:t>
      </w:r>
    </w:p>
    <w:p w14:paraId="2A0278E5" w14:textId="77777777" w:rsidR="000444F2" w:rsidRPr="000444F2" w:rsidRDefault="000444F2" w:rsidP="000444F2">
      <w:pPr>
        <w:pBdr>
          <w:top w:val="nil"/>
          <w:left w:val="nil"/>
          <w:bottom w:val="nil"/>
          <w:right w:val="nil"/>
          <w:between w:val="nil"/>
        </w:pBdr>
        <w:rPr>
          <w:sz w:val="16"/>
          <w:szCs w:val="16"/>
          <w:lang w:val="fr-FR"/>
        </w:rPr>
      </w:pPr>
    </w:p>
    <w:p w14:paraId="3BE4B9D1" w14:textId="77777777" w:rsidR="000444F2" w:rsidRPr="000444F2" w:rsidRDefault="000444F2" w:rsidP="000444F2">
      <w:pPr>
        <w:ind w:left="1820" w:right="1416" w:hanging="710"/>
        <w:rPr>
          <w:sz w:val="16"/>
          <w:szCs w:val="16"/>
          <w:lang w:val="fr-FR"/>
        </w:rPr>
      </w:pPr>
      <w:r w:rsidRPr="000444F2">
        <w:rPr>
          <w:sz w:val="16"/>
          <w:szCs w:val="16"/>
          <w:lang w:val="fr-FR"/>
        </w:rPr>
        <w:t xml:space="preserve">* Les transferts suivants des limites annuelles de capture devront être autorisés : </w:t>
      </w:r>
    </w:p>
    <w:p w14:paraId="50B94B7C" w14:textId="77777777" w:rsidR="000444F2" w:rsidRPr="000444F2" w:rsidRDefault="000444F2" w:rsidP="000444F2">
      <w:pPr>
        <w:ind w:left="1820"/>
        <w:rPr>
          <w:sz w:val="16"/>
          <w:szCs w:val="16"/>
          <w:lang w:val="fr-FR"/>
        </w:rPr>
      </w:pPr>
      <w:r w:rsidRPr="000444F2">
        <w:rPr>
          <w:sz w:val="16"/>
          <w:szCs w:val="16"/>
          <w:lang w:val="fr-FR"/>
        </w:rPr>
        <w:t>Du Japon au Maroc : 150 t</w:t>
      </w:r>
    </w:p>
    <w:p w14:paraId="6F91B59A" w14:textId="77777777" w:rsidR="000444F2" w:rsidRPr="000444F2" w:rsidRDefault="000444F2" w:rsidP="000444F2">
      <w:pPr>
        <w:ind w:left="1820"/>
        <w:rPr>
          <w:sz w:val="16"/>
          <w:szCs w:val="16"/>
          <w:lang w:val="fr-FR"/>
        </w:rPr>
      </w:pPr>
      <w:r w:rsidRPr="000444F2">
        <w:rPr>
          <w:sz w:val="16"/>
          <w:szCs w:val="16"/>
          <w:lang w:val="fr-FR"/>
        </w:rPr>
        <w:t>De l'UE à la France (St Pierre et Miquelon) : 40 t</w:t>
      </w:r>
    </w:p>
    <w:p w14:paraId="43F0C1D1" w14:textId="77777777" w:rsidR="000444F2" w:rsidRPr="000444F2" w:rsidRDefault="000444F2" w:rsidP="000444F2">
      <w:pPr>
        <w:ind w:left="1820" w:right="4254"/>
        <w:rPr>
          <w:sz w:val="16"/>
          <w:szCs w:val="16"/>
          <w:lang w:val="fr-FR"/>
        </w:rPr>
      </w:pPr>
      <w:r w:rsidRPr="000444F2">
        <w:rPr>
          <w:sz w:val="16"/>
          <w:szCs w:val="16"/>
          <w:lang w:val="fr-FR"/>
        </w:rPr>
        <w:t>De Trinité-et-Tobago au Belize : 75 t</w:t>
      </w:r>
    </w:p>
    <w:p w14:paraId="064845EC" w14:textId="77777777" w:rsidR="000444F2" w:rsidRPr="000444F2" w:rsidRDefault="000444F2" w:rsidP="000444F2">
      <w:pPr>
        <w:ind w:left="1820" w:right="849"/>
        <w:jc w:val="both"/>
        <w:rPr>
          <w:sz w:val="16"/>
          <w:szCs w:val="16"/>
          <w:lang w:val="fr-FR"/>
        </w:rPr>
      </w:pPr>
      <w:r w:rsidRPr="000444F2">
        <w:rPr>
          <w:sz w:val="16"/>
          <w:szCs w:val="16"/>
          <w:lang w:val="fr-FR"/>
        </w:rPr>
        <w:t>Du Japon et du Sénégal à la Mauritanie : 25 t chacun pour un total de 50 t, à condition que la Mauritanie soumette son plan de développement en vertu du paragraphe 10 de la présente Recommandation. Si un plan de développement n’est pas soumis, ces transferts seront considérés comme annulés. Les futures décisions concernant l’accès à la pêcherie d’espadon de l’Atlantique Nord par la Mauritanie devront dépondre de la soumission de son plan de développement.</w:t>
      </w:r>
    </w:p>
    <w:p w14:paraId="1DAF1DCB" w14:textId="77777777" w:rsidR="000444F2" w:rsidRPr="000444F2" w:rsidRDefault="000444F2" w:rsidP="000444F2">
      <w:pPr>
        <w:ind w:left="1820" w:right="1110"/>
        <w:jc w:val="both"/>
        <w:rPr>
          <w:sz w:val="16"/>
          <w:szCs w:val="16"/>
          <w:lang w:val="fr-FR"/>
        </w:rPr>
      </w:pPr>
      <w:r w:rsidRPr="000444F2">
        <w:rPr>
          <w:sz w:val="16"/>
          <w:szCs w:val="16"/>
          <w:lang w:val="fr-FR"/>
        </w:rPr>
        <w:t>De Trinité-et-Tobago au Maroc : 25 t</w:t>
      </w:r>
    </w:p>
    <w:p w14:paraId="6216AAEB" w14:textId="77777777" w:rsidR="000444F2" w:rsidRPr="000444F2" w:rsidRDefault="000444F2" w:rsidP="000444F2">
      <w:pPr>
        <w:ind w:left="1820" w:right="1110"/>
        <w:jc w:val="both"/>
        <w:rPr>
          <w:sz w:val="16"/>
          <w:szCs w:val="16"/>
          <w:lang w:val="fr-FR"/>
        </w:rPr>
      </w:pPr>
      <w:r w:rsidRPr="000444F2">
        <w:rPr>
          <w:sz w:val="16"/>
          <w:szCs w:val="16"/>
          <w:lang w:val="fr-FR"/>
        </w:rPr>
        <w:t>Des États-Unis au Costa Rica : 300 t en 2025.</w:t>
      </w:r>
    </w:p>
    <w:p w14:paraId="1AA7DFBA" w14:textId="77777777" w:rsidR="000444F2" w:rsidRPr="000444F2" w:rsidRDefault="000444F2" w:rsidP="000444F2">
      <w:pPr>
        <w:pBdr>
          <w:top w:val="nil"/>
          <w:left w:val="nil"/>
          <w:bottom w:val="nil"/>
          <w:right w:val="nil"/>
          <w:between w:val="nil"/>
        </w:pBdr>
        <w:rPr>
          <w:sz w:val="20"/>
          <w:szCs w:val="20"/>
          <w:lang w:val="fr-FR"/>
        </w:rPr>
      </w:pPr>
    </w:p>
    <w:p w14:paraId="353E9AB1" w14:textId="77777777" w:rsidR="000444F2" w:rsidRPr="000444F2" w:rsidRDefault="000444F2" w:rsidP="000444F2">
      <w:pPr>
        <w:ind w:left="1345" w:right="849"/>
        <w:jc w:val="both"/>
        <w:rPr>
          <w:sz w:val="16"/>
          <w:szCs w:val="16"/>
          <w:lang w:val="fr-FR"/>
        </w:rPr>
      </w:pPr>
      <w:r w:rsidRPr="000444F2">
        <w:rPr>
          <w:sz w:val="16"/>
          <w:szCs w:val="16"/>
          <w:lang w:val="fr-FR"/>
        </w:rPr>
        <w:t>Ces transferts ne changent pas les parts relatives des CPC, tel que cela est reflété dans les limites de capture ci-dessus.</w:t>
      </w:r>
    </w:p>
    <w:p w14:paraId="3DC15403" w14:textId="77777777" w:rsidR="000444F2" w:rsidRPr="000444F2" w:rsidRDefault="000444F2" w:rsidP="000444F2">
      <w:pPr>
        <w:ind w:left="1345" w:right="849"/>
        <w:rPr>
          <w:sz w:val="16"/>
          <w:szCs w:val="16"/>
          <w:lang w:val="fr-FR"/>
        </w:rPr>
      </w:pPr>
    </w:p>
    <w:p w14:paraId="3CC0DD84" w14:textId="77777777" w:rsidR="000444F2" w:rsidRPr="000444F2" w:rsidRDefault="000444F2" w:rsidP="000444F2">
      <w:pPr>
        <w:spacing w:before="80"/>
        <w:ind w:left="1345" w:right="849"/>
        <w:jc w:val="both"/>
        <w:rPr>
          <w:sz w:val="16"/>
          <w:szCs w:val="16"/>
          <w:lang w:val="fr-FR"/>
        </w:rPr>
      </w:pPr>
      <w:r w:rsidRPr="000444F2">
        <w:rPr>
          <w:sz w:val="16"/>
          <w:szCs w:val="16"/>
          <w:vertAlign w:val="superscript"/>
          <w:lang w:val="fr-FR"/>
        </w:rPr>
        <w:t xml:space="preserve">1 </w:t>
      </w:r>
      <w:r w:rsidRPr="000444F2">
        <w:rPr>
          <w:sz w:val="16"/>
          <w:szCs w:val="16"/>
          <w:lang w:val="fr-FR"/>
        </w:rPr>
        <w:t>L’Union européenne devra être autorisée à comptabiliser jusqu'à 200 t de sa capture d'espadon provenant de l'unité de gestion de l’Atlantique Sud, en compensation de la partie non capturée de ses limites de capture d'espadon de l’Atlantique Nord.</w:t>
      </w:r>
    </w:p>
    <w:p w14:paraId="4DFEF668" w14:textId="77777777" w:rsidR="000444F2" w:rsidRPr="000444F2" w:rsidRDefault="000444F2" w:rsidP="000444F2">
      <w:pPr>
        <w:spacing w:before="80"/>
        <w:ind w:left="1345" w:right="849"/>
        <w:jc w:val="both"/>
        <w:rPr>
          <w:sz w:val="16"/>
          <w:szCs w:val="16"/>
          <w:lang w:val="fr-FR"/>
        </w:rPr>
      </w:pPr>
    </w:p>
    <w:p w14:paraId="493FCB5F" w14:textId="77777777" w:rsidR="000444F2" w:rsidRPr="000444F2" w:rsidRDefault="000444F2" w:rsidP="000444F2">
      <w:pPr>
        <w:ind w:left="1345" w:right="849"/>
        <w:jc w:val="both"/>
        <w:rPr>
          <w:sz w:val="16"/>
          <w:szCs w:val="16"/>
          <w:lang w:val="fr-FR"/>
        </w:rPr>
      </w:pPr>
      <w:r w:rsidRPr="000444F2">
        <w:rPr>
          <w:sz w:val="16"/>
          <w:szCs w:val="16"/>
          <w:vertAlign w:val="superscript"/>
          <w:lang w:val="fr-FR"/>
        </w:rPr>
        <w:t xml:space="preserve">2 </w:t>
      </w:r>
      <w:r w:rsidRPr="000444F2">
        <w:rPr>
          <w:sz w:val="16"/>
          <w:szCs w:val="16"/>
          <w:lang w:val="fr-FR"/>
        </w:rPr>
        <w:t>Les États-Unis devront être autorisés à comptabiliser jusqu'à 200 t de leur capture d'espadon provenant de la zone située entre 5ºN et 5ºS, en compensation de la partie non capturée de leur limite de capture d'espadon de l’Atlantique Nord.</w:t>
      </w:r>
    </w:p>
    <w:p w14:paraId="2F69E251" w14:textId="77777777" w:rsidR="000444F2" w:rsidRPr="000444F2" w:rsidRDefault="000444F2" w:rsidP="000444F2">
      <w:pPr>
        <w:ind w:left="1345" w:right="849"/>
        <w:jc w:val="both"/>
        <w:rPr>
          <w:sz w:val="16"/>
          <w:szCs w:val="16"/>
          <w:lang w:val="fr-FR"/>
        </w:rPr>
      </w:pPr>
    </w:p>
    <w:p w14:paraId="0C1BF8FF" w14:textId="77777777" w:rsidR="000444F2" w:rsidRPr="000444F2" w:rsidRDefault="000444F2" w:rsidP="000444F2">
      <w:pPr>
        <w:spacing w:before="80"/>
        <w:ind w:left="1345" w:right="849"/>
        <w:jc w:val="both"/>
        <w:rPr>
          <w:sz w:val="16"/>
          <w:szCs w:val="16"/>
          <w:lang w:val="fr-FR"/>
        </w:rPr>
      </w:pPr>
      <w:r w:rsidRPr="000444F2">
        <w:rPr>
          <w:sz w:val="16"/>
          <w:szCs w:val="16"/>
          <w:vertAlign w:val="superscript"/>
          <w:lang w:val="fr-FR"/>
        </w:rPr>
        <w:t>3</w:t>
      </w:r>
      <w:r w:rsidRPr="000444F2">
        <w:rPr>
          <w:sz w:val="16"/>
          <w:szCs w:val="16"/>
          <w:lang w:val="fr-FR"/>
        </w:rPr>
        <w:t xml:space="preserve"> Le Japon devra être autorisé à comptabiliser jusqu'à 400 t de sa capture d'espadon provenant de l’unité de gestion de l'Atlantique Sud, en compensation de la partie non capturée de ses limites de capture d'espadon de l’Atlantique Nord.</w:t>
      </w:r>
    </w:p>
    <w:p w14:paraId="282C11A0" w14:textId="77777777" w:rsidR="000444F2" w:rsidRPr="000444F2" w:rsidRDefault="000444F2" w:rsidP="000444F2">
      <w:pPr>
        <w:spacing w:before="80"/>
        <w:ind w:left="1345" w:right="849"/>
        <w:jc w:val="both"/>
        <w:rPr>
          <w:sz w:val="16"/>
          <w:szCs w:val="16"/>
          <w:lang w:val="fr-FR"/>
        </w:rPr>
      </w:pPr>
    </w:p>
    <w:p w14:paraId="3DACE970" w14:textId="77777777" w:rsidR="000444F2" w:rsidRPr="000444F2" w:rsidRDefault="000444F2" w:rsidP="000444F2">
      <w:pPr>
        <w:spacing w:before="80"/>
        <w:ind w:left="1345" w:right="849"/>
        <w:jc w:val="both"/>
        <w:rPr>
          <w:sz w:val="16"/>
          <w:szCs w:val="16"/>
          <w:lang w:val="fr-FR"/>
        </w:rPr>
      </w:pPr>
      <w:r w:rsidRPr="000444F2">
        <w:rPr>
          <w:sz w:val="16"/>
          <w:szCs w:val="16"/>
          <w:vertAlign w:val="superscript"/>
          <w:lang w:val="fr-FR"/>
        </w:rPr>
        <w:t>4</w:t>
      </w:r>
      <w:r w:rsidRPr="000444F2">
        <w:rPr>
          <w:sz w:val="16"/>
          <w:szCs w:val="16"/>
          <w:lang w:val="fr-FR"/>
        </w:rPr>
        <w:t xml:space="preserve"> La Corée devra être autorisée à comptabiliser jusqu’à 25 t de sa capture d’espadon provenant de l’unité de gestion de l’Atlantique Sud en compensation de la partie non capturée de sa limite de capture de l’Atlantique Nord.</w:t>
      </w:r>
    </w:p>
    <w:p w14:paraId="2D843E03" w14:textId="77777777" w:rsidR="000444F2" w:rsidRPr="000444F2" w:rsidRDefault="000444F2" w:rsidP="000444F2">
      <w:pPr>
        <w:spacing w:before="80"/>
        <w:ind w:left="1345" w:right="849"/>
        <w:jc w:val="both"/>
        <w:rPr>
          <w:sz w:val="16"/>
          <w:szCs w:val="16"/>
          <w:lang w:val="fr-FR"/>
        </w:rPr>
      </w:pPr>
    </w:p>
    <w:p w14:paraId="454BC824" w14:textId="77777777" w:rsidR="000444F2" w:rsidRPr="000444F2" w:rsidRDefault="000444F2" w:rsidP="000444F2">
      <w:pPr>
        <w:spacing w:before="80"/>
        <w:ind w:left="1345" w:right="849"/>
        <w:jc w:val="both"/>
        <w:rPr>
          <w:sz w:val="16"/>
          <w:szCs w:val="16"/>
          <w:lang w:val="fr-FR"/>
        </w:rPr>
      </w:pPr>
      <w:r w:rsidRPr="000444F2">
        <w:rPr>
          <w:sz w:val="16"/>
          <w:szCs w:val="16"/>
          <w:vertAlign w:val="superscript"/>
          <w:lang w:val="fr-FR"/>
        </w:rPr>
        <w:t>5</w:t>
      </w:r>
      <w:r w:rsidRPr="000444F2">
        <w:rPr>
          <w:sz w:val="16"/>
          <w:szCs w:val="16"/>
          <w:lang w:val="fr-FR"/>
        </w:rPr>
        <w:t xml:space="preserve"> Le Belize devra être autorisé à comptabiliser jusqu’à 75 t de sa capture d’espadon provenant de la zone entre 5ºN et 5ºS, en compensation de la partie non capturée de sa limite de capture d’espadon de l’Atlantique Nord.</w:t>
      </w:r>
    </w:p>
    <w:p w14:paraId="0749D8C2" w14:textId="77777777" w:rsidR="000444F2" w:rsidRPr="000444F2" w:rsidRDefault="000444F2" w:rsidP="000444F2">
      <w:pPr>
        <w:spacing w:before="80"/>
        <w:ind w:left="1345" w:right="849"/>
        <w:jc w:val="both"/>
        <w:rPr>
          <w:sz w:val="16"/>
          <w:szCs w:val="16"/>
          <w:lang w:val="fr-FR"/>
        </w:rPr>
      </w:pPr>
    </w:p>
    <w:p w14:paraId="370D4F7D"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right="123"/>
        <w:jc w:val="both"/>
        <w:rPr>
          <w:sz w:val="20"/>
          <w:szCs w:val="20"/>
          <w:lang w:val="fr-FR"/>
        </w:rPr>
      </w:pPr>
      <w:r w:rsidRPr="000444F2">
        <w:rPr>
          <w:sz w:val="20"/>
          <w:szCs w:val="20"/>
          <w:lang w:val="fr-FR"/>
        </w:rPr>
        <w:t xml:space="preserve">Nonobstant la </w:t>
      </w:r>
      <w:r w:rsidRPr="000444F2">
        <w:rPr>
          <w:i/>
          <w:sz w:val="20"/>
          <w:szCs w:val="20"/>
          <w:lang w:val="fr-FR"/>
        </w:rPr>
        <w:t>Recommandation de l’ICCAT sur l’ajustement temporaire de quotas</w:t>
      </w:r>
      <w:r w:rsidRPr="000444F2">
        <w:rPr>
          <w:sz w:val="20"/>
          <w:szCs w:val="20"/>
          <w:lang w:val="fr-FR"/>
        </w:rPr>
        <w:t xml:space="preserve"> (Rec. 01-12), entre les réunions de la Commission, une CPC dotée d’une allocation de TAC d’espadon de l’Atlantique Nord, établie en vertu du paragraphe 7, pourrait transférer, à titre unique, au cours d’une année de pêche, à hauteur de 15% de son allocation de TAC, à d’autres CPC pourvues d’allocations de TAC, conformément aux obligations internes et aux considérations en matière de conservation. Ce transfert ne pourra pas être utilisé pour couvrir les surconsommations. Une CPC qui reçoit un transfert unique d'une limite de capture ne sera pas autorisée à retransférer cette limite de capture.</w:t>
      </w:r>
    </w:p>
    <w:p w14:paraId="14AF2D0E" w14:textId="77777777" w:rsidR="000444F2" w:rsidRPr="000444F2" w:rsidRDefault="000444F2" w:rsidP="000444F2">
      <w:pPr>
        <w:tabs>
          <w:tab w:val="left" w:pos="542"/>
          <w:tab w:val="left" w:pos="544"/>
        </w:tabs>
        <w:ind w:left="544" w:right="116"/>
        <w:jc w:val="both"/>
        <w:rPr>
          <w:sz w:val="20"/>
          <w:szCs w:val="20"/>
          <w:lang w:val="fr-FR"/>
        </w:rPr>
      </w:pPr>
    </w:p>
    <w:p w14:paraId="1F601FDF"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right="123"/>
        <w:jc w:val="both"/>
        <w:rPr>
          <w:sz w:val="20"/>
          <w:szCs w:val="20"/>
          <w:lang w:val="fr-FR"/>
        </w:rPr>
      </w:pPr>
      <w:r w:rsidRPr="000444F2">
        <w:rPr>
          <w:sz w:val="20"/>
          <w:szCs w:val="20"/>
          <w:lang w:val="fr-FR"/>
        </w:rPr>
        <w:t xml:space="preserve">Lorsqu'elle fixe les limites de capture dans le cadre du TAC décrit au paragraphe 8, la Commission devra tenir compte de la </w:t>
      </w:r>
      <w:r w:rsidRPr="000444F2">
        <w:rPr>
          <w:i/>
          <w:iCs/>
          <w:sz w:val="20"/>
          <w:szCs w:val="20"/>
          <w:lang w:val="fr-FR"/>
        </w:rPr>
        <w:t>Résolution de l’ICCAT portant sur les critères pour l’allocation de possibilités de pêche</w:t>
      </w:r>
      <w:r w:rsidRPr="000444F2">
        <w:rPr>
          <w:sz w:val="20"/>
          <w:szCs w:val="20"/>
          <w:lang w:val="fr-FR"/>
        </w:rPr>
        <w:t xml:space="preserve"> (Rés. 15-13). En appui à cet effort, la Commission devra examiner les plans de développement/gestion des CPC côtières en développement et les plans de pêche/gestion d'autres CPC, de façon que des ajustements puissent être réalisés, le cas échéant, aux limites de capture existantes et aux autres mesures de conservation. En cas de modification de son plan de pêche/de gestion, chaque CPC devra soumettre une version mise à jour de son plan de pêche/de gestion à la Commission avant le 15 septembre.</w:t>
      </w:r>
    </w:p>
    <w:p w14:paraId="45B360D0" w14:textId="77777777" w:rsidR="000444F2" w:rsidRPr="000444F2" w:rsidRDefault="000444F2" w:rsidP="000444F2">
      <w:pPr>
        <w:pBdr>
          <w:top w:val="nil"/>
          <w:left w:val="nil"/>
          <w:bottom w:val="nil"/>
          <w:right w:val="nil"/>
          <w:between w:val="nil"/>
        </w:pBdr>
        <w:tabs>
          <w:tab w:val="left" w:pos="388"/>
        </w:tabs>
        <w:ind w:right="121"/>
        <w:rPr>
          <w:b/>
          <w:i/>
          <w:sz w:val="20"/>
          <w:szCs w:val="20"/>
          <w:lang w:val="fr-FR"/>
        </w:rPr>
      </w:pPr>
    </w:p>
    <w:p w14:paraId="0D95EB40" w14:textId="77777777" w:rsidR="000444F2" w:rsidRPr="000444F2" w:rsidRDefault="000444F2" w:rsidP="000444F2">
      <w:pPr>
        <w:pBdr>
          <w:top w:val="nil"/>
          <w:left w:val="nil"/>
          <w:bottom w:val="nil"/>
          <w:right w:val="nil"/>
          <w:between w:val="nil"/>
        </w:pBdr>
        <w:tabs>
          <w:tab w:val="left" w:pos="388"/>
        </w:tabs>
        <w:ind w:right="121"/>
        <w:rPr>
          <w:b/>
          <w:sz w:val="20"/>
          <w:szCs w:val="20"/>
          <w:lang w:val="fr-FR"/>
        </w:rPr>
      </w:pPr>
      <w:r w:rsidRPr="000444F2">
        <w:rPr>
          <w:b/>
          <w:sz w:val="20"/>
          <w:szCs w:val="20"/>
          <w:lang w:val="fr-FR"/>
        </w:rPr>
        <w:t>Sous-consommation ou surconsommation de capture</w:t>
      </w:r>
    </w:p>
    <w:p w14:paraId="4B6EA801" w14:textId="77777777" w:rsidR="000444F2" w:rsidRPr="000444F2" w:rsidRDefault="000444F2" w:rsidP="000444F2">
      <w:pPr>
        <w:pBdr>
          <w:top w:val="nil"/>
          <w:left w:val="nil"/>
          <w:bottom w:val="nil"/>
          <w:right w:val="nil"/>
          <w:between w:val="nil"/>
        </w:pBdr>
        <w:tabs>
          <w:tab w:val="left" w:pos="388"/>
        </w:tabs>
        <w:ind w:right="121"/>
        <w:rPr>
          <w:sz w:val="20"/>
          <w:szCs w:val="20"/>
          <w:lang w:val="fr-FR"/>
        </w:rPr>
      </w:pPr>
    </w:p>
    <w:p w14:paraId="6F2FF937"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right="123"/>
        <w:jc w:val="both"/>
        <w:rPr>
          <w:sz w:val="20"/>
          <w:szCs w:val="20"/>
          <w:lang w:val="fr-FR"/>
        </w:rPr>
      </w:pPr>
      <w:r w:rsidRPr="000444F2">
        <w:rPr>
          <w:sz w:val="20"/>
          <w:szCs w:val="20"/>
          <w:lang w:val="fr-FR"/>
        </w:rPr>
        <w:t>Si la capture annuelle d’une année dépasse le TAC spécifié au paragraphe 4, les CPC qui ont dépassé leurs limites de capture individuelles devront rembourser leur surconsommation conformément au paragraphe 11. Tout montant de la surconsommation restant après cet ajustement devra être déduit des limites annuelles de capture de toutes les CPC deux années après l’année au cours de laquelle le dépassement a eu lieu, au prorata des limites de capture décrites au paragraphe 7. La Commission pourrait également examiner la nécessité de prendre d'autres mesures, notamment en tenant compte de l'avis du SCRS dans le cadre de son évaluation de l'existence d’EC.</w:t>
      </w:r>
    </w:p>
    <w:p w14:paraId="1E789E6E" w14:textId="77777777" w:rsidR="000444F2" w:rsidRPr="000444F2" w:rsidRDefault="000444F2" w:rsidP="000444F2">
      <w:pPr>
        <w:pBdr>
          <w:top w:val="nil"/>
          <w:left w:val="nil"/>
          <w:bottom w:val="nil"/>
          <w:right w:val="nil"/>
          <w:between w:val="nil"/>
        </w:pBdr>
        <w:tabs>
          <w:tab w:val="left" w:pos="388"/>
        </w:tabs>
        <w:ind w:right="121"/>
        <w:rPr>
          <w:sz w:val="20"/>
          <w:szCs w:val="20"/>
          <w:lang w:val="fr-FR"/>
        </w:rPr>
      </w:pPr>
    </w:p>
    <w:p w14:paraId="1462A7B9" w14:textId="77777777" w:rsidR="000444F2" w:rsidRPr="000444F2" w:rsidRDefault="000444F2" w:rsidP="000444F2">
      <w:pPr>
        <w:widowControl/>
        <w:spacing w:after="160" w:line="259" w:lineRule="auto"/>
        <w:rPr>
          <w:sz w:val="20"/>
          <w:szCs w:val="20"/>
          <w:lang w:val="fr-FR"/>
        </w:rPr>
      </w:pPr>
      <w:r w:rsidRPr="000444F2">
        <w:rPr>
          <w:sz w:val="20"/>
          <w:szCs w:val="20"/>
          <w:lang w:val="fr-FR"/>
        </w:rPr>
        <w:br w:type="page"/>
      </w:r>
    </w:p>
    <w:p w14:paraId="27C91BCE"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right="123"/>
        <w:jc w:val="both"/>
        <w:rPr>
          <w:sz w:val="20"/>
          <w:szCs w:val="20"/>
          <w:lang w:val="fr-FR"/>
        </w:rPr>
      </w:pPr>
      <w:r w:rsidRPr="000444F2">
        <w:rPr>
          <w:sz w:val="20"/>
          <w:szCs w:val="20"/>
          <w:lang w:val="fr-FR"/>
        </w:rPr>
        <w:t>Toute partie non utilisée ou excédentaire du quota annuel ajusté pourrait être ajoutée ou devra être déduite, selon le cas, du quota/limite de capture respectif pendant ou avant l'année d'ajustement de la façon suivante :</w:t>
      </w:r>
    </w:p>
    <w:tbl>
      <w:tblPr>
        <w:tblW w:w="4536"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96"/>
        <w:gridCol w:w="2140"/>
      </w:tblGrid>
      <w:tr w:rsidR="000444F2" w:rsidRPr="00E25C82" w14:paraId="263DA52C" w14:textId="77777777" w:rsidTr="00AB7AC7">
        <w:trPr>
          <w:trHeight w:val="240"/>
        </w:trPr>
        <w:tc>
          <w:tcPr>
            <w:tcW w:w="2396" w:type="dxa"/>
          </w:tcPr>
          <w:p w14:paraId="693C7F22" w14:textId="77777777" w:rsidR="000444F2" w:rsidRPr="00E25C82" w:rsidRDefault="000444F2" w:rsidP="00AB7AC7">
            <w:pPr>
              <w:pBdr>
                <w:top w:val="nil"/>
                <w:left w:val="nil"/>
                <w:bottom w:val="nil"/>
                <w:right w:val="nil"/>
                <w:between w:val="nil"/>
              </w:pBdr>
              <w:ind w:left="395" w:right="387"/>
              <w:jc w:val="center"/>
              <w:rPr>
                <w:i/>
                <w:sz w:val="20"/>
                <w:szCs w:val="20"/>
              </w:rPr>
            </w:pPr>
            <w:r w:rsidRPr="00E25C82">
              <w:rPr>
                <w:i/>
                <w:sz w:val="20"/>
                <w:szCs w:val="20"/>
              </w:rPr>
              <w:t>Année de capture</w:t>
            </w:r>
          </w:p>
        </w:tc>
        <w:tc>
          <w:tcPr>
            <w:tcW w:w="2140" w:type="dxa"/>
          </w:tcPr>
          <w:p w14:paraId="50E61843" w14:textId="77777777" w:rsidR="000444F2" w:rsidRPr="00E25C82" w:rsidRDefault="000444F2" w:rsidP="00AB7AC7">
            <w:pPr>
              <w:pBdr>
                <w:top w:val="nil"/>
                <w:left w:val="nil"/>
                <w:bottom w:val="nil"/>
                <w:right w:val="nil"/>
                <w:between w:val="nil"/>
              </w:pBdr>
              <w:ind w:left="155" w:right="144"/>
              <w:jc w:val="center"/>
              <w:rPr>
                <w:i/>
                <w:sz w:val="20"/>
                <w:szCs w:val="20"/>
              </w:rPr>
            </w:pPr>
            <w:r w:rsidRPr="00E25C82">
              <w:rPr>
                <w:i/>
                <w:sz w:val="20"/>
                <w:szCs w:val="20"/>
              </w:rPr>
              <w:t xml:space="preserve">Année </w:t>
            </w:r>
            <w:proofErr w:type="spellStart"/>
            <w:r w:rsidRPr="00E25C82">
              <w:rPr>
                <w:i/>
                <w:sz w:val="20"/>
                <w:szCs w:val="20"/>
              </w:rPr>
              <w:t>d’ajustement</w:t>
            </w:r>
            <w:proofErr w:type="spellEnd"/>
          </w:p>
        </w:tc>
      </w:tr>
      <w:tr w:rsidR="000444F2" w:rsidRPr="00E25C82" w14:paraId="2514D0D5" w14:textId="77777777" w:rsidTr="00AB7AC7">
        <w:trPr>
          <w:trHeight w:val="239"/>
        </w:trPr>
        <w:tc>
          <w:tcPr>
            <w:tcW w:w="2396" w:type="dxa"/>
          </w:tcPr>
          <w:p w14:paraId="25F652DE" w14:textId="77777777" w:rsidR="000444F2" w:rsidRPr="00E25C82" w:rsidRDefault="000444F2" w:rsidP="00AB7AC7">
            <w:pPr>
              <w:pBdr>
                <w:top w:val="nil"/>
                <w:left w:val="nil"/>
                <w:bottom w:val="nil"/>
                <w:right w:val="nil"/>
                <w:between w:val="nil"/>
              </w:pBdr>
              <w:ind w:left="395" w:right="387"/>
              <w:jc w:val="center"/>
              <w:rPr>
                <w:sz w:val="20"/>
                <w:szCs w:val="20"/>
              </w:rPr>
            </w:pPr>
            <w:r w:rsidRPr="00E25C82">
              <w:rPr>
                <w:sz w:val="20"/>
                <w:szCs w:val="20"/>
              </w:rPr>
              <w:t>2023</w:t>
            </w:r>
          </w:p>
        </w:tc>
        <w:tc>
          <w:tcPr>
            <w:tcW w:w="2140" w:type="dxa"/>
          </w:tcPr>
          <w:p w14:paraId="75D5C5DE" w14:textId="77777777" w:rsidR="000444F2" w:rsidRPr="00E25C82" w:rsidRDefault="000444F2" w:rsidP="00AB7AC7">
            <w:pPr>
              <w:pBdr>
                <w:top w:val="nil"/>
                <w:left w:val="nil"/>
                <w:bottom w:val="nil"/>
                <w:right w:val="nil"/>
                <w:between w:val="nil"/>
              </w:pBdr>
              <w:ind w:left="154" w:right="144"/>
              <w:jc w:val="center"/>
              <w:rPr>
                <w:sz w:val="20"/>
                <w:szCs w:val="20"/>
              </w:rPr>
            </w:pPr>
            <w:r w:rsidRPr="00E25C82">
              <w:rPr>
                <w:sz w:val="20"/>
                <w:szCs w:val="20"/>
              </w:rPr>
              <w:t>2025</w:t>
            </w:r>
          </w:p>
        </w:tc>
      </w:tr>
      <w:tr w:rsidR="000444F2" w:rsidRPr="00E25C82" w14:paraId="745CBB45" w14:textId="77777777" w:rsidTr="00AB7AC7">
        <w:trPr>
          <w:trHeight w:val="239"/>
        </w:trPr>
        <w:tc>
          <w:tcPr>
            <w:tcW w:w="2396" w:type="dxa"/>
          </w:tcPr>
          <w:p w14:paraId="2A9C4689" w14:textId="77777777" w:rsidR="000444F2" w:rsidRPr="00E25C82" w:rsidRDefault="000444F2" w:rsidP="00AB7AC7">
            <w:pPr>
              <w:pBdr>
                <w:top w:val="nil"/>
                <w:left w:val="nil"/>
                <w:bottom w:val="nil"/>
                <w:right w:val="nil"/>
                <w:between w:val="nil"/>
              </w:pBdr>
              <w:ind w:left="395" w:right="387"/>
              <w:jc w:val="center"/>
              <w:rPr>
                <w:sz w:val="20"/>
                <w:szCs w:val="20"/>
              </w:rPr>
            </w:pPr>
            <w:r w:rsidRPr="00E25C82">
              <w:rPr>
                <w:sz w:val="20"/>
                <w:szCs w:val="20"/>
              </w:rPr>
              <w:t>2024</w:t>
            </w:r>
          </w:p>
        </w:tc>
        <w:tc>
          <w:tcPr>
            <w:tcW w:w="2140" w:type="dxa"/>
          </w:tcPr>
          <w:p w14:paraId="484AB05D" w14:textId="77777777" w:rsidR="000444F2" w:rsidRPr="00E25C82" w:rsidRDefault="000444F2" w:rsidP="00AB7AC7">
            <w:pPr>
              <w:pBdr>
                <w:top w:val="nil"/>
                <w:left w:val="nil"/>
                <w:bottom w:val="nil"/>
                <w:right w:val="nil"/>
                <w:between w:val="nil"/>
              </w:pBdr>
              <w:ind w:left="154" w:right="144"/>
              <w:jc w:val="center"/>
              <w:rPr>
                <w:sz w:val="20"/>
                <w:szCs w:val="20"/>
              </w:rPr>
            </w:pPr>
            <w:r w:rsidRPr="00E25C82">
              <w:rPr>
                <w:sz w:val="20"/>
                <w:szCs w:val="20"/>
              </w:rPr>
              <w:t>2026</w:t>
            </w:r>
          </w:p>
        </w:tc>
      </w:tr>
      <w:tr w:rsidR="000444F2" w:rsidRPr="00E25C82" w14:paraId="5470C02F" w14:textId="77777777" w:rsidTr="00AB7AC7">
        <w:trPr>
          <w:trHeight w:val="239"/>
        </w:trPr>
        <w:tc>
          <w:tcPr>
            <w:tcW w:w="2396" w:type="dxa"/>
          </w:tcPr>
          <w:p w14:paraId="24893DF4" w14:textId="77777777" w:rsidR="000444F2" w:rsidRPr="00E25C82" w:rsidRDefault="000444F2" w:rsidP="00AB7AC7">
            <w:pPr>
              <w:pBdr>
                <w:top w:val="nil"/>
                <w:left w:val="nil"/>
                <w:bottom w:val="nil"/>
                <w:right w:val="nil"/>
                <w:between w:val="nil"/>
              </w:pBdr>
              <w:ind w:left="395" w:right="387"/>
              <w:jc w:val="center"/>
              <w:rPr>
                <w:sz w:val="20"/>
                <w:szCs w:val="20"/>
              </w:rPr>
            </w:pPr>
            <w:r w:rsidRPr="00E25C82">
              <w:rPr>
                <w:sz w:val="20"/>
                <w:szCs w:val="20"/>
              </w:rPr>
              <w:t>2025</w:t>
            </w:r>
          </w:p>
        </w:tc>
        <w:tc>
          <w:tcPr>
            <w:tcW w:w="2140" w:type="dxa"/>
          </w:tcPr>
          <w:p w14:paraId="401A8518" w14:textId="77777777" w:rsidR="000444F2" w:rsidRPr="00E25C82" w:rsidRDefault="000444F2" w:rsidP="00AB7AC7">
            <w:pPr>
              <w:pBdr>
                <w:top w:val="nil"/>
                <w:left w:val="nil"/>
                <w:bottom w:val="nil"/>
                <w:right w:val="nil"/>
                <w:between w:val="nil"/>
              </w:pBdr>
              <w:ind w:left="154" w:right="144"/>
              <w:jc w:val="center"/>
              <w:rPr>
                <w:sz w:val="20"/>
                <w:szCs w:val="20"/>
              </w:rPr>
            </w:pPr>
            <w:r w:rsidRPr="00E25C82">
              <w:rPr>
                <w:sz w:val="20"/>
                <w:szCs w:val="20"/>
              </w:rPr>
              <w:t>2027</w:t>
            </w:r>
          </w:p>
        </w:tc>
      </w:tr>
      <w:tr w:rsidR="000444F2" w:rsidRPr="00E25C82" w14:paraId="639BAC44" w14:textId="77777777" w:rsidTr="00AB7AC7">
        <w:trPr>
          <w:trHeight w:val="239"/>
        </w:trPr>
        <w:tc>
          <w:tcPr>
            <w:tcW w:w="2396" w:type="dxa"/>
          </w:tcPr>
          <w:p w14:paraId="0489BC72" w14:textId="77777777" w:rsidR="000444F2" w:rsidRPr="00E25C82" w:rsidRDefault="000444F2" w:rsidP="00AB7AC7">
            <w:pPr>
              <w:pBdr>
                <w:top w:val="nil"/>
                <w:left w:val="nil"/>
                <w:bottom w:val="nil"/>
                <w:right w:val="nil"/>
                <w:between w:val="nil"/>
              </w:pBdr>
              <w:ind w:left="395" w:right="387"/>
              <w:jc w:val="center"/>
              <w:rPr>
                <w:sz w:val="20"/>
                <w:szCs w:val="20"/>
              </w:rPr>
            </w:pPr>
            <w:r w:rsidRPr="00E25C82">
              <w:rPr>
                <w:sz w:val="20"/>
                <w:szCs w:val="20"/>
              </w:rPr>
              <w:t>2026</w:t>
            </w:r>
          </w:p>
        </w:tc>
        <w:tc>
          <w:tcPr>
            <w:tcW w:w="2140" w:type="dxa"/>
          </w:tcPr>
          <w:p w14:paraId="330F0E13" w14:textId="77777777" w:rsidR="000444F2" w:rsidRPr="00E25C82" w:rsidRDefault="000444F2" w:rsidP="00AB7AC7">
            <w:pPr>
              <w:pBdr>
                <w:top w:val="nil"/>
                <w:left w:val="nil"/>
                <w:bottom w:val="nil"/>
                <w:right w:val="nil"/>
                <w:between w:val="nil"/>
              </w:pBdr>
              <w:ind w:left="154" w:right="144"/>
              <w:jc w:val="center"/>
              <w:rPr>
                <w:sz w:val="20"/>
                <w:szCs w:val="20"/>
              </w:rPr>
            </w:pPr>
            <w:r w:rsidRPr="00E25C82">
              <w:rPr>
                <w:sz w:val="20"/>
                <w:szCs w:val="20"/>
              </w:rPr>
              <w:t>2028</w:t>
            </w:r>
          </w:p>
        </w:tc>
      </w:tr>
      <w:tr w:rsidR="000444F2" w:rsidRPr="00E25C82" w14:paraId="745F8A42" w14:textId="77777777" w:rsidTr="00AB7AC7">
        <w:trPr>
          <w:trHeight w:val="239"/>
        </w:trPr>
        <w:tc>
          <w:tcPr>
            <w:tcW w:w="2396" w:type="dxa"/>
          </w:tcPr>
          <w:p w14:paraId="662CA3D6" w14:textId="77777777" w:rsidR="000444F2" w:rsidRPr="00E25C82" w:rsidRDefault="000444F2" w:rsidP="00AB7AC7">
            <w:pPr>
              <w:pBdr>
                <w:top w:val="nil"/>
                <w:left w:val="nil"/>
                <w:bottom w:val="nil"/>
                <w:right w:val="nil"/>
                <w:between w:val="nil"/>
              </w:pBdr>
              <w:ind w:left="395" w:right="387"/>
              <w:jc w:val="center"/>
              <w:rPr>
                <w:sz w:val="20"/>
                <w:szCs w:val="20"/>
              </w:rPr>
            </w:pPr>
            <w:r w:rsidRPr="00E25C82">
              <w:rPr>
                <w:sz w:val="20"/>
                <w:szCs w:val="20"/>
              </w:rPr>
              <w:t>2027</w:t>
            </w:r>
          </w:p>
        </w:tc>
        <w:tc>
          <w:tcPr>
            <w:tcW w:w="2140" w:type="dxa"/>
          </w:tcPr>
          <w:p w14:paraId="5996419A" w14:textId="77777777" w:rsidR="000444F2" w:rsidRPr="00E25C82" w:rsidRDefault="000444F2" w:rsidP="00AB7AC7">
            <w:pPr>
              <w:pBdr>
                <w:top w:val="nil"/>
                <w:left w:val="nil"/>
                <w:bottom w:val="nil"/>
                <w:right w:val="nil"/>
                <w:between w:val="nil"/>
              </w:pBdr>
              <w:ind w:left="154" w:right="144"/>
              <w:jc w:val="center"/>
              <w:rPr>
                <w:sz w:val="20"/>
                <w:szCs w:val="20"/>
              </w:rPr>
            </w:pPr>
            <w:r w:rsidRPr="00E25C82">
              <w:rPr>
                <w:sz w:val="20"/>
                <w:szCs w:val="20"/>
              </w:rPr>
              <w:t>2029</w:t>
            </w:r>
          </w:p>
        </w:tc>
      </w:tr>
    </w:tbl>
    <w:p w14:paraId="1047F39A" w14:textId="77777777" w:rsidR="000444F2" w:rsidRPr="00E25C82" w:rsidRDefault="000444F2" w:rsidP="000444F2">
      <w:pPr>
        <w:pBdr>
          <w:top w:val="nil"/>
          <w:left w:val="nil"/>
          <w:bottom w:val="nil"/>
          <w:right w:val="nil"/>
          <w:between w:val="nil"/>
        </w:pBdr>
        <w:rPr>
          <w:sz w:val="20"/>
          <w:szCs w:val="20"/>
        </w:rPr>
      </w:pPr>
    </w:p>
    <w:p w14:paraId="33590488" w14:textId="77777777" w:rsidR="000444F2" w:rsidRPr="000444F2" w:rsidRDefault="000444F2" w:rsidP="000444F2">
      <w:pPr>
        <w:pBdr>
          <w:top w:val="nil"/>
          <w:left w:val="nil"/>
          <w:bottom w:val="nil"/>
          <w:right w:val="nil"/>
          <w:between w:val="nil"/>
        </w:pBdr>
        <w:ind w:left="488" w:right="120"/>
        <w:jc w:val="both"/>
        <w:rPr>
          <w:sz w:val="20"/>
          <w:szCs w:val="20"/>
          <w:lang w:val="fr-FR"/>
        </w:rPr>
      </w:pPr>
      <w:r w:rsidRPr="000444F2">
        <w:rPr>
          <w:sz w:val="20"/>
          <w:szCs w:val="20"/>
          <w:lang w:val="fr-FR"/>
        </w:rPr>
        <w:t>Toutefois, la sous-consommation maximale qu’une CPC pourrait reporter au cours d’une année donnée ne devra pas dépasser 15% de sa limite de capture initiale (comme spécifié au paragraphe 7 et exception faite des transferts de quota) pour les CPC détenant des limites de capture de plus de 500 t et 40% pour les autres CPC.</w:t>
      </w:r>
    </w:p>
    <w:p w14:paraId="790FA7F9" w14:textId="77777777" w:rsidR="000444F2" w:rsidRPr="000444F2" w:rsidRDefault="000444F2" w:rsidP="000444F2">
      <w:pPr>
        <w:pBdr>
          <w:top w:val="nil"/>
          <w:left w:val="nil"/>
          <w:bottom w:val="nil"/>
          <w:right w:val="nil"/>
          <w:between w:val="nil"/>
        </w:pBdr>
        <w:rPr>
          <w:sz w:val="20"/>
          <w:szCs w:val="20"/>
          <w:lang w:val="fr-FR"/>
        </w:rPr>
      </w:pPr>
    </w:p>
    <w:p w14:paraId="68AC021A"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sz w:val="20"/>
          <w:szCs w:val="20"/>
          <w:lang w:val="fr-FR"/>
        </w:rPr>
      </w:pPr>
      <w:r w:rsidRPr="000444F2">
        <w:rPr>
          <w:sz w:val="20"/>
          <w:szCs w:val="20"/>
          <w:lang w:val="fr-FR"/>
        </w:rPr>
        <w:t>Si les débarquements du Japon dépassent ses limites de capture au cours d’une année donnée, la surconsommation devra être déduite des années suivantes afin que les débarquements totaux du Japon ne dépassent pas ses limites de capture totales pour la période de trois ans commençant en 2025. Si les débarquements annuels du Japon sont inférieurs à ses limites de capture au cours de cette période, la sous-consommation pourra être ajoutée aux limites de capture des années suivantes, afin que les débarquements totaux du Japon ne dépassent pas son total pour la même période de trois ans. Toute surconsommation d'une période de gestion triennale, y compris pour la période 2025-2027, devra être appliquée à la période de gestion triennale suivante. Toute sous-consommation d'une période de gestion triennale, y compris pour la période 2025-2027, pourra être appliquée à la période de gestion triennale suivante si la Commission en décide ainsi.</w:t>
      </w:r>
    </w:p>
    <w:p w14:paraId="29D98905" w14:textId="77777777" w:rsidR="000444F2" w:rsidRPr="000444F2" w:rsidRDefault="000444F2" w:rsidP="000444F2">
      <w:pPr>
        <w:tabs>
          <w:tab w:val="left" w:pos="542"/>
          <w:tab w:val="left" w:pos="544"/>
        </w:tabs>
        <w:spacing w:line="244" w:lineRule="auto"/>
        <w:ind w:right="114"/>
        <w:rPr>
          <w:b/>
          <w:sz w:val="20"/>
          <w:szCs w:val="20"/>
          <w:lang w:val="fr-FR"/>
        </w:rPr>
      </w:pPr>
    </w:p>
    <w:p w14:paraId="196A5C09" w14:textId="77777777" w:rsidR="000444F2" w:rsidRPr="000444F2" w:rsidRDefault="000444F2" w:rsidP="000444F2">
      <w:pPr>
        <w:tabs>
          <w:tab w:val="left" w:pos="542"/>
          <w:tab w:val="left" w:pos="544"/>
        </w:tabs>
        <w:spacing w:line="244" w:lineRule="auto"/>
        <w:ind w:right="114"/>
        <w:rPr>
          <w:b/>
          <w:sz w:val="20"/>
          <w:szCs w:val="20"/>
          <w:lang w:val="fr-FR"/>
        </w:rPr>
      </w:pPr>
    </w:p>
    <w:p w14:paraId="2059893B" w14:textId="77777777" w:rsidR="000444F2" w:rsidRPr="000444F2" w:rsidRDefault="000444F2" w:rsidP="000444F2">
      <w:pPr>
        <w:tabs>
          <w:tab w:val="left" w:pos="542"/>
          <w:tab w:val="left" w:pos="544"/>
        </w:tabs>
        <w:spacing w:line="244" w:lineRule="auto"/>
        <w:ind w:left="544" w:right="114"/>
        <w:jc w:val="center"/>
        <w:rPr>
          <w:b/>
          <w:sz w:val="20"/>
          <w:szCs w:val="20"/>
          <w:lang w:val="fr-FR"/>
        </w:rPr>
      </w:pPr>
      <w:r w:rsidRPr="000444F2">
        <w:rPr>
          <w:b/>
          <w:sz w:val="20"/>
          <w:szCs w:val="20"/>
          <w:lang w:val="fr-FR"/>
        </w:rPr>
        <w:t>IVÈME PARTIE</w:t>
      </w:r>
    </w:p>
    <w:p w14:paraId="25F26C9C" w14:textId="77777777" w:rsidR="000444F2" w:rsidRPr="000444F2" w:rsidRDefault="000444F2" w:rsidP="000444F2">
      <w:pPr>
        <w:tabs>
          <w:tab w:val="left" w:pos="542"/>
          <w:tab w:val="left" w:pos="544"/>
        </w:tabs>
        <w:spacing w:line="244" w:lineRule="auto"/>
        <w:ind w:left="544" w:right="114"/>
        <w:jc w:val="center"/>
        <w:rPr>
          <w:b/>
          <w:sz w:val="20"/>
          <w:szCs w:val="20"/>
          <w:lang w:val="fr-FR"/>
        </w:rPr>
      </w:pPr>
      <w:r w:rsidRPr="000444F2">
        <w:rPr>
          <w:b/>
          <w:sz w:val="20"/>
          <w:szCs w:val="20"/>
          <w:lang w:val="fr-FR"/>
        </w:rPr>
        <w:t>MESURES DE CONTRÔLE</w:t>
      </w:r>
    </w:p>
    <w:p w14:paraId="603D5DC8" w14:textId="77777777" w:rsidR="000444F2" w:rsidRPr="000444F2" w:rsidRDefault="000444F2" w:rsidP="000444F2">
      <w:pPr>
        <w:tabs>
          <w:tab w:val="left" w:pos="542"/>
          <w:tab w:val="left" w:pos="544"/>
        </w:tabs>
        <w:spacing w:line="244" w:lineRule="auto"/>
        <w:ind w:left="544" w:right="114"/>
        <w:jc w:val="center"/>
        <w:rPr>
          <w:sz w:val="20"/>
          <w:szCs w:val="20"/>
          <w:lang w:val="fr-FR"/>
        </w:rPr>
      </w:pPr>
    </w:p>
    <w:p w14:paraId="2D43BBF1" w14:textId="77777777" w:rsidR="000444F2" w:rsidRPr="000444F2" w:rsidRDefault="000444F2" w:rsidP="000444F2">
      <w:pPr>
        <w:tabs>
          <w:tab w:val="left" w:pos="542"/>
          <w:tab w:val="left" w:pos="544"/>
        </w:tabs>
        <w:spacing w:line="244" w:lineRule="auto"/>
        <w:ind w:right="114"/>
        <w:rPr>
          <w:b/>
          <w:sz w:val="20"/>
          <w:szCs w:val="20"/>
          <w:lang w:val="fr-FR"/>
        </w:rPr>
      </w:pPr>
      <w:r w:rsidRPr="000444F2">
        <w:rPr>
          <w:b/>
          <w:sz w:val="20"/>
          <w:szCs w:val="20"/>
          <w:lang w:val="fr-FR"/>
        </w:rPr>
        <w:t>Autorisation spécifique de pêcher l’espadon de l'Atlantique Nord et registre ICCAT de navires</w:t>
      </w:r>
    </w:p>
    <w:p w14:paraId="1A8DD0D0" w14:textId="77777777" w:rsidR="000444F2" w:rsidRPr="000444F2" w:rsidRDefault="000444F2" w:rsidP="000444F2">
      <w:pPr>
        <w:tabs>
          <w:tab w:val="left" w:pos="542"/>
          <w:tab w:val="left" w:pos="544"/>
        </w:tabs>
        <w:spacing w:line="244" w:lineRule="auto"/>
        <w:ind w:left="544" w:right="114"/>
        <w:jc w:val="center"/>
        <w:rPr>
          <w:b/>
          <w:sz w:val="20"/>
          <w:szCs w:val="20"/>
          <w:lang w:val="fr-FR"/>
        </w:rPr>
      </w:pPr>
    </w:p>
    <w:p w14:paraId="4D90813F"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sz w:val="20"/>
          <w:szCs w:val="20"/>
          <w:lang w:val="fr-FR"/>
        </w:rPr>
      </w:pPr>
      <w:r w:rsidRPr="000444F2">
        <w:rPr>
          <w:sz w:val="20"/>
          <w:szCs w:val="20"/>
          <w:lang w:val="fr-FR"/>
        </w:rPr>
        <w:t xml:space="preserve">Les CPC devront émettre des autorisations spécifiques aux navires mesurant 20 mètres ou plus de longueur hors-tout battant </w:t>
      </w:r>
      <w:proofErr w:type="gramStart"/>
      <w:r w:rsidRPr="000444F2">
        <w:rPr>
          <w:sz w:val="20"/>
          <w:szCs w:val="20"/>
          <w:lang w:val="fr-FR"/>
        </w:rPr>
        <w:t>leur pavillon autorisés</w:t>
      </w:r>
      <w:proofErr w:type="gramEnd"/>
      <w:r w:rsidRPr="000444F2">
        <w:rPr>
          <w:sz w:val="20"/>
          <w:szCs w:val="20"/>
          <w:lang w:val="fr-FR"/>
        </w:rPr>
        <w:t xml:space="preserve"> à pêcher l'espadon de l’Atlantique Nord dans la zone de la Convention. Chaque CPC devra indiquer lesquels des navires figurant sur sa liste de navires soumise conformément à la </w:t>
      </w:r>
      <w:r w:rsidRPr="000444F2">
        <w:rPr>
          <w:i/>
          <w:sz w:val="20"/>
          <w:szCs w:val="20"/>
          <w:lang w:val="fr-FR"/>
        </w:rPr>
        <w:t>Recommandation de l’ICCAT amendant la Recommandation 13-13 concernant l’établissement d’un registre ICCAT de navires de 20 mètres ou plus de longueur hors-tout autorisés à opérer dans la zone de la Convention</w:t>
      </w:r>
      <w:r w:rsidRPr="000444F2">
        <w:rPr>
          <w:sz w:val="20"/>
          <w:szCs w:val="20"/>
          <w:lang w:val="fr-FR"/>
        </w:rPr>
        <w:t xml:space="preserve"> (Rec. 21-14) elle a </w:t>
      </w:r>
      <w:proofErr w:type="gramStart"/>
      <w:r w:rsidRPr="000444F2">
        <w:rPr>
          <w:sz w:val="20"/>
          <w:szCs w:val="20"/>
          <w:lang w:val="fr-FR"/>
        </w:rPr>
        <w:t>autorisés</w:t>
      </w:r>
      <w:proofErr w:type="gramEnd"/>
      <w:r w:rsidRPr="000444F2">
        <w:rPr>
          <w:sz w:val="20"/>
          <w:szCs w:val="20"/>
          <w:lang w:val="fr-FR"/>
        </w:rPr>
        <w:t xml:space="preserve"> à cet effet. Les navires ne figurant pas dans ledit registre, ou y figurant sans qu'il soit dûment précisé qu'ils sont autorisés à se livrer à la pêche de l'espadon de l’Atlantique Nord, sont considérés comme n'étant pas autorisés à pêcher, à retenir à bord, à transborder, à transporter, à transférer, à traiter ou à débarquer l'espadon de l’Atlantique Nord.</w:t>
      </w:r>
    </w:p>
    <w:p w14:paraId="3BBB24E1" w14:textId="77777777" w:rsidR="000444F2" w:rsidRPr="000444F2" w:rsidRDefault="000444F2" w:rsidP="000444F2">
      <w:pPr>
        <w:pBdr>
          <w:top w:val="nil"/>
          <w:left w:val="nil"/>
          <w:bottom w:val="nil"/>
          <w:right w:val="nil"/>
          <w:between w:val="nil"/>
        </w:pBdr>
        <w:tabs>
          <w:tab w:val="left" w:pos="542"/>
          <w:tab w:val="left" w:pos="544"/>
        </w:tabs>
        <w:spacing w:line="244" w:lineRule="auto"/>
        <w:ind w:left="544" w:right="115"/>
        <w:jc w:val="both"/>
        <w:rPr>
          <w:sz w:val="20"/>
          <w:szCs w:val="20"/>
          <w:lang w:val="fr-FR"/>
        </w:rPr>
      </w:pPr>
    </w:p>
    <w:p w14:paraId="1582A129"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b/>
          <w:sz w:val="20"/>
          <w:szCs w:val="20"/>
          <w:lang w:val="fr-FR"/>
        </w:rPr>
      </w:pPr>
      <w:r w:rsidRPr="000444F2">
        <w:rPr>
          <w:sz w:val="20"/>
          <w:szCs w:val="20"/>
          <w:lang w:val="fr-FR"/>
        </w:rPr>
        <w:t>Les CPC pourront autoriser des prises accessoires d’espadon de l’Atlantique Nord par les navires non autorisés à pêcher de l’espadon de l’Atlantique Nord en vertu du paragraphe 13, si la CPC établit une limite de prise accessoire maximum à bord par sortie pour ces navires et que la prise accessoire en question est déduite du quota ou de la limite de capture de la CPC. Chaque CPC devra inclure dans son rapport annuel la limite de prise accessoire maximale autorisée par sortie pour ces navires et la quantité totale d'espadons de l'Atlantique Nord capturés en tant que prise accessoire. Cette information devra être compilée par le Secrétariat de l’ICCAT et mise à la disposition des CPC.</w:t>
      </w:r>
      <w:r w:rsidRPr="000444F2">
        <w:rPr>
          <w:b/>
          <w:sz w:val="20"/>
          <w:szCs w:val="20"/>
          <w:lang w:val="fr-FR"/>
        </w:rPr>
        <w:t xml:space="preserve">  </w:t>
      </w:r>
    </w:p>
    <w:p w14:paraId="4F6D5811" w14:textId="77777777" w:rsidR="000444F2" w:rsidRPr="000444F2" w:rsidRDefault="000444F2" w:rsidP="000444F2">
      <w:pPr>
        <w:tabs>
          <w:tab w:val="left" w:pos="542"/>
          <w:tab w:val="left" w:pos="544"/>
        </w:tabs>
        <w:spacing w:line="244" w:lineRule="auto"/>
        <w:ind w:right="114"/>
        <w:rPr>
          <w:b/>
          <w:sz w:val="20"/>
          <w:szCs w:val="20"/>
          <w:lang w:val="fr-FR"/>
        </w:rPr>
      </w:pPr>
    </w:p>
    <w:p w14:paraId="30D86A87" w14:textId="77777777" w:rsidR="000444F2" w:rsidRPr="00E25C82" w:rsidRDefault="000444F2" w:rsidP="000444F2">
      <w:pPr>
        <w:tabs>
          <w:tab w:val="left" w:pos="542"/>
          <w:tab w:val="left" w:pos="544"/>
        </w:tabs>
        <w:spacing w:line="244" w:lineRule="auto"/>
        <w:ind w:right="114"/>
        <w:rPr>
          <w:b/>
          <w:sz w:val="20"/>
          <w:szCs w:val="20"/>
        </w:rPr>
      </w:pPr>
      <w:proofErr w:type="spellStart"/>
      <w:r w:rsidRPr="00E25C82">
        <w:rPr>
          <w:b/>
          <w:sz w:val="20"/>
          <w:szCs w:val="20"/>
        </w:rPr>
        <w:t>Tailles</w:t>
      </w:r>
      <w:proofErr w:type="spellEnd"/>
      <w:r w:rsidRPr="00E25C82">
        <w:rPr>
          <w:b/>
          <w:sz w:val="20"/>
          <w:szCs w:val="20"/>
        </w:rPr>
        <w:t xml:space="preserve"> </w:t>
      </w:r>
      <w:proofErr w:type="spellStart"/>
      <w:r w:rsidRPr="00E25C82">
        <w:rPr>
          <w:b/>
          <w:sz w:val="20"/>
          <w:szCs w:val="20"/>
        </w:rPr>
        <w:t>minimales</w:t>
      </w:r>
      <w:proofErr w:type="spellEnd"/>
    </w:p>
    <w:p w14:paraId="797B9B86" w14:textId="77777777" w:rsidR="000444F2" w:rsidRPr="00E25C82" w:rsidRDefault="000444F2" w:rsidP="000444F2">
      <w:pPr>
        <w:pBdr>
          <w:top w:val="nil"/>
          <w:left w:val="nil"/>
          <w:bottom w:val="nil"/>
          <w:right w:val="nil"/>
          <w:between w:val="nil"/>
        </w:pBdr>
        <w:spacing w:before="10"/>
        <w:rPr>
          <w:sz w:val="20"/>
          <w:szCs w:val="20"/>
        </w:rPr>
      </w:pPr>
    </w:p>
    <w:p w14:paraId="160A65C2"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sz w:val="20"/>
          <w:szCs w:val="20"/>
          <w:lang w:val="fr-FR"/>
        </w:rPr>
      </w:pPr>
      <w:r w:rsidRPr="000444F2">
        <w:rPr>
          <w:sz w:val="20"/>
          <w:szCs w:val="20"/>
          <w:lang w:val="fr-FR"/>
        </w:rPr>
        <w:t>Afin de protéger les petits espadons, les CPC devront prendre les mesures nécessaires pour interdire la prise et le débarquement d'espadons d'un poids vif inférieur à 25 kg ou, comme alternative, 125 cm ou moins de longueur maxillaire inférieur-fourche (LJFL) ; toutefois, les CPC pourront accorder des tolérances aux bateaux qui ont accidentellement capturé de petits poissons, à condition que ces prises accidentelles ne dépassent pas 15% du nombre d’espadons par débarquement de la prise totale d'espadon de ces bateaux.</w:t>
      </w:r>
    </w:p>
    <w:p w14:paraId="27EE838B"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sz w:val="20"/>
          <w:szCs w:val="20"/>
          <w:lang w:val="fr-FR"/>
        </w:rPr>
      </w:pPr>
      <w:r w:rsidRPr="000444F2">
        <w:rPr>
          <w:sz w:val="20"/>
          <w:szCs w:val="20"/>
          <w:lang w:val="fr-FR"/>
        </w:rPr>
        <w:t xml:space="preserve">Nonobstant les dispositions du paragraphe 15, toute CPC pourra choisir, en tant qu'alternative à la taille minimale de 25 kg/125 cm LJFL, de prendre les mesures nécessaires visant à interdire la capture par ses navires dans l'océan Atlantique, ainsi que le débarquement et la vente dans sa juridiction, d'espadons (et de parties d’espadon) de moins de 15 kg/119 cm LJFL, sous réserve, si cette alternative est choisie, de ne pas accorder de tolérance d'espadons en dessous de 119 cm LJFL ou, comme alternative, de 15 kg. En ce qui concerne les espadons ayant été manipulés, une longueur </w:t>
      </w:r>
      <w:proofErr w:type="spellStart"/>
      <w:r w:rsidRPr="000444F2">
        <w:rPr>
          <w:sz w:val="20"/>
          <w:szCs w:val="20"/>
          <w:lang w:val="fr-FR"/>
        </w:rPr>
        <w:t>cleithrum</w:t>
      </w:r>
      <w:proofErr w:type="spellEnd"/>
      <w:r w:rsidRPr="000444F2">
        <w:rPr>
          <w:sz w:val="20"/>
          <w:szCs w:val="20"/>
          <w:lang w:val="fr-FR"/>
        </w:rPr>
        <w:t>-quille (CK) de 63 cm peut également être appliquée. Une CPC choisissant cette taille minimale alternative devra exiger un registre approprié des rejets. Le SCRS devrait continuer à suivre et analyser les effets de cette mesure sur la mortalité de l’espadon immature.</w:t>
      </w:r>
    </w:p>
    <w:p w14:paraId="04392A97" w14:textId="77777777" w:rsidR="000444F2" w:rsidRPr="000444F2" w:rsidRDefault="000444F2" w:rsidP="000444F2">
      <w:pPr>
        <w:widowControl/>
        <w:spacing w:after="160" w:line="259" w:lineRule="auto"/>
        <w:rPr>
          <w:b/>
          <w:sz w:val="20"/>
          <w:szCs w:val="20"/>
          <w:lang w:val="fr-FR"/>
        </w:rPr>
      </w:pPr>
    </w:p>
    <w:p w14:paraId="20239416" w14:textId="77777777" w:rsidR="000444F2" w:rsidRPr="000444F2" w:rsidRDefault="000444F2" w:rsidP="000444F2">
      <w:pPr>
        <w:tabs>
          <w:tab w:val="left" w:pos="544"/>
        </w:tabs>
        <w:spacing w:line="244" w:lineRule="auto"/>
        <w:ind w:left="544" w:right="117"/>
        <w:jc w:val="center"/>
        <w:rPr>
          <w:b/>
          <w:sz w:val="20"/>
          <w:szCs w:val="20"/>
          <w:lang w:val="fr-FR"/>
        </w:rPr>
      </w:pPr>
      <w:r w:rsidRPr="000444F2">
        <w:rPr>
          <w:b/>
          <w:sz w:val="20"/>
          <w:szCs w:val="20"/>
          <w:lang w:val="fr-FR"/>
        </w:rPr>
        <w:t>Ve PARTIE</w:t>
      </w:r>
    </w:p>
    <w:p w14:paraId="0FF4D06F" w14:textId="77777777" w:rsidR="000444F2" w:rsidRPr="000444F2" w:rsidRDefault="000444F2" w:rsidP="000444F2">
      <w:pPr>
        <w:spacing w:line="244" w:lineRule="auto"/>
        <w:ind w:left="544" w:right="117"/>
        <w:jc w:val="center"/>
        <w:rPr>
          <w:b/>
          <w:sz w:val="20"/>
          <w:szCs w:val="20"/>
          <w:lang w:val="fr-FR"/>
        </w:rPr>
      </w:pPr>
      <w:r w:rsidRPr="000444F2">
        <w:rPr>
          <w:b/>
          <w:sz w:val="20"/>
          <w:szCs w:val="20"/>
          <w:lang w:val="fr-FR"/>
        </w:rPr>
        <w:t>RECHERCHE SCIENTIFIQUE ET EXIGENCES EN MATIÈRE DE DÉCLARATION DES DONNÉES</w:t>
      </w:r>
    </w:p>
    <w:p w14:paraId="3DECEDE5" w14:textId="77777777" w:rsidR="000444F2" w:rsidRPr="000444F2" w:rsidRDefault="000444F2" w:rsidP="000444F2">
      <w:pPr>
        <w:spacing w:line="244" w:lineRule="auto"/>
        <w:ind w:left="544" w:right="117"/>
        <w:jc w:val="center"/>
        <w:rPr>
          <w:b/>
          <w:sz w:val="20"/>
          <w:szCs w:val="20"/>
          <w:lang w:val="fr-FR"/>
        </w:rPr>
      </w:pPr>
    </w:p>
    <w:p w14:paraId="456F2D2D" w14:textId="77777777" w:rsidR="000444F2" w:rsidRPr="00E25C8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0444F2">
        <w:rPr>
          <w:sz w:val="20"/>
          <w:szCs w:val="20"/>
          <w:lang w:val="fr-FR"/>
        </w:rPr>
        <w:t xml:space="preserve">Toutes les CPC qui pêchent l'espadon dans l'Atlantique Nord devront fournir, tous les ans au SCRS, les meilleures données disponibles, dont la capture, la prise par taille, le lieu et le mois de la capture selon l’échelle la plus fine possible, comme l'aura déterminé le SCRS. Les données transmises devront couvrir la plus grande gamme possible de classes d'âge, conformément aux restrictions de taille minimale, et devront être ventilées par sexe dans la mesure du possible. Les données devront également inclure les statistiques sur les rejets (morts et vivants) et sur l'effort, même lorsqu'aucune évaluation analytique du stock n'est prévue. </w:t>
      </w:r>
      <w:r w:rsidRPr="00E25C82">
        <w:rPr>
          <w:sz w:val="20"/>
          <w:szCs w:val="20"/>
        </w:rPr>
        <w:t xml:space="preserve">Le SCRS </w:t>
      </w:r>
      <w:proofErr w:type="spellStart"/>
      <w:r w:rsidRPr="00E25C82">
        <w:rPr>
          <w:sz w:val="20"/>
          <w:szCs w:val="20"/>
        </w:rPr>
        <w:t>devra</w:t>
      </w:r>
      <w:proofErr w:type="spellEnd"/>
      <w:r w:rsidRPr="00E25C82">
        <w:rPr>
          <w:sz w:val="20"/>
          <w:szCs w:val="20"/>
        </w:rPr>
        <w:t xml:space="preserve"> </w:t>
      </w:r>
      <w:proofErr w:type="spellStart"/>
      <w:r w:rsidRPr="00E25C82">
        <w:rPr>
          <w:sz w:val="20"/>
          <w:szCs w:val="20"/>
        </w:rPr>
        <w:t>réviser</w:t>
      </w:r>
      <w:proofErr w:type="spellEnd"/>
      <w:r w:rsidRPr="00E25C82">
        <w:rPr>
          <w:sz w:val="20"/>
          <w:szCs w:val="20"/>
        </w:rPr>
        <w:t xml:space="preserve"> </w:t>
      </w:r>
      <w:proofErr w:type="spellStart"/>
      <w:r w:rsidRPr="00E25C82">
        <w:rPr>
          <w:sz w:val="20"/>
          <w:szCs w:val="20"/>
        </w:rPr>
        <w:t>ces</w:t>
      </w:r>
      <w:proofErr w:type="spellEnd"/>
      <w:r w:rsidRPr="00E25C82">
        <w:rPr>
          <w:sz w:val="20"/>
          <w:szCs w:val="20"/>
        </w:rPr>
        <w:t xml:space="preserve"> données </w:t>
      </w:r>
      <w:proofErr w:type="spellStart"/>
      <w:r w:rsidRPr="00E25C82">
        <w:rPr>
          <w:sz w:val="20"/>
          <w:szCs w:val="20"/>
        </w:rPr>
        <w:t>tous</w:t>
      </w:r>
      <w:proofErr w:type="spellEnd"/>
      <w:r w:rsidRPr="00E25C82">
        <w:rPr>
          <w:sz w:val="20"/>
          <w:szCs w:val="20"/>
        </w:rPr>
        <w:t xml:space="preserve"> les ans.</w:t>
      </w:r>
    </w:p>
    <w:p w14:paraId="55250006" w14:textId="77777777" w:rsidR="000444F2" w:rsidRPr="00E25C82" w:rsidRDefault="000444F2" w:rsidP="000444F2">
      <w:pPr>
        <w:pBdr>
          <w:top w:val="nil"/>
          <w:left w:val="nil"/>
          <w:bottom w:val="nil"/>
          <w:right w:val="nil"/>
          <w:between w:val="nil"/>
        </w:pBdr>
        <w:tabs>
          <w:tab w:val="left" w:pos="836"/>
          <w:tab w:val="left" w:pos="838"/>
        </w:tabs>
        <w:ind w:left="426" w:right="123"/>
        <w:jc w:val="both"/>
        <w:rPr>
          <w:sz w:val="20"/>
          <w:szCs w:val="20"/>
        </w:rPr>
      </w:pPr>
    </w:p>
    <w:p w14:paraId="077EB682"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lang w:val="fr-FR"/>
        </w:rPr>
      </w:pPr>
      <w:r w:rsidRPr="000444F2">
        <w:rPr>
          <w:color w:val="212121"/>
          <w:sz w:val="20"/>
          <w:lang w:val="fr-FR"/>
        </w:rPr>
        <w:t>Le SCRS devra poursuivre ses travaux sur les tests de robustesse, en se concentrant en particulier sur les scénarios de changement climatique et les limites de taille minimale. Les résultats devront être présentés à la Commission au plus tard en 2027 et, si nécessaire, pris en compte pour les révisions futures des mesures actuelles de conservation et de gestion de l'espadon de l'Atlantique Nord.</w:t>
      </w:r>
    </w:p>
    <w:p w14:paraId="232C41EA" w14:textId="77777777" w:rsidR="000444F2" w:rsidRPr="000444F2" w:rsidRDefault="000444F2" w:rsidP="000444F2">
      <w:pPr>
        <w:pBdr>
          <w:top w:val="nil"/>
          <w:left w:val="nil"/>
          <w:bottom w:val="nil"/>
          <w:right w:val="nil"/>
          <w:between w:val="nil"/>
        </w:pBdr>
        <w:tabs>
          <w:tab w:val="left" w:pos="836"/>
          <w:tab w:val="left" w:pos="838"/>
        </w:tabs>
        <w:ind w:left="426" w:right="123"/>
        <w:jc w:val="both"/>
        <w:rPr>
          <w:sz w:val="20"/>
          <w:szCs w:val="20"/>
          <w:lang w:val="fr-FR"/>
        </w:rPr>
      </w:pPr>
    </w:p>
    <w:p w14:paraId="73E979AF" w14:textId="77777777" w:rsidR="000444F2" w:rsidRP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sz w:val="20"/>
          <w:szCs w:val="20"/>
          <w:lang w:val="fr-FR"/>
        </w:rPr>
      </w:pPr>
      <w:r w:rsidRPr="000444F2">
        <w:rPr>
          <w:sz w:val="20"/>
          <w:szCs w:val="20"/>
          <w:lang w:val="fr-FR"/>
        </w:rPr>
        <w:t>Le 15 juillet 2025, au plus tard, les CPC devront présenter au SCRS la méthodologie statistique utilisée pour estimer les rejets morts et les remises à l’eau de spécimens vivants. Les CPC ayant des pêcheries artisanales et de petits métiers devront également fournir des informations sur leurs programmes de collecte de données. Le SCRS devra réviser ces méthodologies et, s’il détermine qu’une méthodologie n’est pas scientifiquement fondée, il devra fournir des observations pertinentes aux CPC concernées afin d’améliorer les méthodologies. Une fois que ces méthodes auront été approuvées, les CPC devraient actualiser leur déclaration de capture afin d'incorporer ces rejets estimés de poissons morts et vivants.</w:t>
      </w:r>
    </w:p>
    <w:p w14:paraId="5EEE19F2" w14:textId="77777777" w:rsidR="000444F2" w:rsidRPr="000444F2" w:rsidRDefault="000444F2" w:rsidP="000444F2">
      <w:pPr>
        <w:rPr>
          <w:sz w:val="20"/>
          <w:szCs w:val="20"/>
          <w:lang w:val="fr-FR"/>
        </w:rPr>
      </w:pPr>
    </w:p>
    <w:p w14:paraId="6F663DFD" w14:textId="77777777" w:rsidR="000444F2" w:rsidRPr="000444F2" w:rsidRDefault="000444F2" w:rsidP="000444F2">
      <w:pPr>
        <w:rPr>
          <w:sz w:val="20"/>
          <w:szCs w:val="20"/>
          <w:lang w:val="fr-FR"/>
        </w:rPr>
      </w:pPr>
    </w:p>
    <w:p w14:paraId="40651463" w14:textId="77777777" w:rsidR="000444F2" w:rsidRPr="00E25C82" w:rsidRDefault="000444F2" w:rsidP="000444F2">
      <w:pPr>
        <w:tabs>
          <w:tab w:val="left" w:pos="544"/>
        </w:tabs>
        <w:spacing w:line="244" w:lineRule="auto"/>
        <w:ind w:left="544" w:right="117"/>
        <w:jc w:val="center"/>
        <w:rPr>
          <w:b/>
          <w:sz w:val="20"/>
          <w:szCs w:val="20"/>
        </w:rPr>
      </w:pPr>
      <w:proofErr w:type="spellStart"/>
      <w:r w:rsidRPr="00E25C82">
        <w:rPr>
          <w:b/>
          <w:sz w:val="20"/>
          <w:szCs w:val="20"/>
        </w:rPr>
        <w:t>VIe</w:t>
      </w:r>
      <w:proofErr w:type="spellEnd"/>
      <w:r w:rsidRPr="00E25C82">
        <w:rPr>
          <w:b/>
          <w:sz w:val="20"/>
          <w:szCs w:val="20"/>
        </w:rPr>
        <w:t xml:space="preserve"> PARTIE</w:t>
      </w:r>
    </w:p>
    <w:p w14:paraId="00CBEF03" w14:textId="77777777" w:rsidR="000444F2" w:rsidRPr="00E25C82" w:rsidRDefault="000444F2" w:rsidP="000444F2">
      <w:pPr>
        <w:tabs>
          <w:tab w:val="left" w:pos="542"/>
          <w:tab w:val="left" w:pos="544"/>
        </w:tabs>
        <w:spacing w:line="244" w:lineRule="auto"/>
        <w:ind w:left="540" w:right="220"/>
        <w:jc w:val="center"/>
        <w:rPr>
          <w:b/>
          <w:sz w:val="20"/>
          <w:szCs w:val="20"/>
        </w:rPr>
      </w:pPr>
      <w:r w:rsidRPr="00E25C82">
        <w:rPr>
          <w:b/>
          <w:sz w:val="20"/>
          <w:szCs w:val="20"/>
        </w:rPr>
        <w:t>DISPOSITIONS FINALES</w:t>
      </w:r>
    </w:p>
    <w:p w14:paraId="2A9CFFC9" w14:textId="77777777" w:rsidR="000444F2" w:rsidRPr="00E25C82" w:rsidRDefault="000444F2" w:rsidP="000444F2">
      <w:pPr>
        <w:rPr>
          <w:sz w:val="20"/>
          <w:szCs w:val="20"/>
        </w:rPr>
      </w:pPr>
    </w:p>
    <w:p w14:paraId="640D969D" w14:textId="77777777" w:rsidR="000444F2" w:rsidRDefault="000444F2" w:rsidP="000444F2">
      <w:pPr>
        <w:numPr>
          <w:ilvl w:val="0"/>
          <w:numId w:val="1"/>
        </w:numPr>
        <w:pBdr>
          <w:top w:val="nil"/>
          <w:left w:val="nil"/>
          <w:bottom w:val="nil"/>
          <w:right w:val="nil"/>
          <w:between w:val="nil"/>
        </w:pBdr>
        <w:tabs>
          <w:tab w:val="left" w:pos="836"/>
          <w:tab w:val="left" w:pos="838"/>
        </w:tabs>
        <w:ind w:left="426" w:right="123" w:hanging="426"/>
        <w:jc w:val="both"/>
        <w:rPr>
          <w:sz w:val="20"/>
          <w:szCs w:val="20"/>
          <w:lang w:val="fr-FR"/>
        </w:rPr>
      </w:pPr>
      <w:r w:rsidRPr="000444F2">
        <w:rPr>
          <w:sz w:val="20"/>
          <w:szCs w:val="20"/>
          <w:lang w:val="fr-FR"/>
        </w:rPr>
        <w:t>Une révision de la performance de la MP par la Commission et le SCRS devra être réalisée d’ici 2030, comme indiqué à l</w:t>
      </w:r>
      <w:r w:rsidRPr="000444F2">
        <w:rPr>
          <w:b/>
          <w:bCs/>
          <w:sz w:val="20"/>
          <w:szCs w:val="20"/>
          <w:lang w:val="fr-FR"/>
        </w:rPr>
        <w:t>’annexe 3</w:t>
      </w:r>
      <w:r w:rsidRPr="000444F2">
        <w:rPr>
          <w:sz w:val="20"/>
          <w:szCs w:val="20"/>
          <w:lang w:val="fr-FR"/>
        </w:rPr>
        <w:t xml:space="preserve"> et tous les six ans par la suite. L'examen devrait avoir pour but de s'assurer que la MP fonctionne conformément aux objectifs et pourrait comprendre : la mise à jour de la grille de référence des modèles opérationnels (OM) ; le reconditionnement des OM de la MSE ; le recalibrage de la MP existante ; et l'examen de la performance d'autres procédures de gestion potentielles (CMP) dans un cadre actualisé de la MSE. Sur la base de cet examen et de l’avis consécutif du SCRS, la Commission devra décider des futures mesures, approches et stratégies de gestion, y compris, entre autres, en ce qui concerne les niveaux de TAC pour l'espadon de l'Atlantique Nord.</w:t>
      </w:r>
    </w:p>
    <w:p w14:paraId="7D9090E5" w14:textId="77777777" w:rsidR="007262A7" w:rsidRDefault="007262A7" w:rsidP="007262A7">
      <w:pPr>
        <w:pBdr>
          <w:top w:val="nil"/>
          <w:left w:val="nil"/>
          <w:bottom w:val="nil"/>
          <w:right w:val="nil"/>
          <w:between w:val="nil"/>
        </w:pBdr>
        <w:tabs>
          <w:tab w:val="left" w:pos="836"/>
          <w:tab w:val="left" w:pos="838"/>
        </w:tabs>
        <w:ind w:left="426" w:right="123"/>
        <w:jc w:val="both"/>
        <w:rPr>
          <w:sz w:val="20"/>
          <w:szCs w:val="20"/>
          <w:lang w:val="fr-FR"/>
        </w:rPr>
      </w:pPr>
    </w:p>
    <w:p w14:paraId="1D038261" w14:textId="4836DD9C" w:rsidR="002949E9" w:rsidRDefault="000D1A9B" w:rsidP="00B07CD4">
      <w:pPr>
        <w:pBdr>
          <w:top w:val="nil"/>
          <w:left w:val="nil"/>
          <w:bottom w:val="nil"/>
          <w:right w:val="nil"/>
          <w:between w:val="nil"/>
        </w:pBdr>
        <w:tabs>
          <w:tab w:val="left" w:pos="836"/>
          <w:tab w:val="left" w:pos="838"/>
        </w:tabs>
        <w:ind w:left="426" w:right="123"/>
        <w:jc w:val="both"/>
        <w:rPr>
          <w:color w:val="212121"/>
          <w:sz w:val="20"/>
          <w:szCs w:val="20"/>
        </w:rPr>
      </w:pPr>
      <w:r w:rsidRPr="00B07CD4">
        <w:rPr>
          <w:color w:val="212121"/>
          <w:sz w:val="20"/>
          <w:szCs w:val="20"/>
          <w:highlight w:val="yellow"/>
        </w:rPr>
        <w:t>[…]</w:t>
      </w:r>
    </w:p>
    <w:p w14:paraId="3C0722A9" w14:textId="77777777" w:rsidR="00211011" w:rsidRPr="00B7036B" w:rsidRDefault="00211011" w:rsidP="00B07CD4">
      <w:pPr>
        <w:pBdr>
          <w:top w:val="nil"/>
          <w:left w:val="nil"/>
          <w:bottom w:val="nil"/>
          <w:right w:val="nil"/>
          <w:between w:val="nil"/>
        </w:pBdr>
        <w:tabs>
          <w:tab w:val="left" w:pos="836"/>
          <w:tab w:val="left" w:pos="838"/>
        </w:tabs>
        <w:ind w:left="426" w:right="123"/>
        <w:jc w:val="both"/>
        <w:rPr>
          <w:color w:val="000000"/>
          <w:sz w:val="20"/>
          <w:szCs w:val="20"/>
        </w:rPr>
      </w:pPr>
    </w:p>
    <w:p w14:paraId="2AAD74EB" w14:textId="493D2F31" w:rsidR="002949E9" w:rsidRPr="00371CD0" w:rsidRDefault="00AA1791"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lang w:val="fr-FR"/>
        </w:rPr>
      </w:pPr>
      <w:r w:rsidRPr="00AA1791">
        <w:rPr>
          <w:color w:val="000000"/>
          <w:sz w:val="20"/>
          <w:szCs w:val="20"/>
          <w:lang w:val="fr-FR"/>
        </w:rPr>
        <w:t xml:space="preserve">La présente Recommandation abroge et remplace </w:t>
      </w:r>
      <w:r w:rsidRPr="00AA1791">
        <w:rPr>
          <w:color w:val="000000"/>
          <w:sz w:val="20"/>
          <w:szCs w:val="20"/>
          <w:u w:val="single"/>
          <w:lang w:val="fr-FR"/>
        </w:rPr>
        <w:t xml:space="preserve">la </w:t>
      </w:r>
      <w:r w:rsidRPr="00AA1791">
        <w:rPr>
          <w:i/>
          <w:iCs/>
          <w:color w:val="000000"/>
          <w:sz w:val="20"/>
          <w:szCs w:val="20"/>
          <w:u w:val="single"/>
          <w:lang w:val="fr-FR"/>
        </w:rPr>
        <w:t>Recommandation de l’ICCAT sur des mesures de conservation et de gestion, incluant une procédure de gestion, pour l’espadon de l’Atlantique Nord</w:t>
      </w:r>
      <w:r w:rsidR="00AB4A47" w:rsidRPr="00AA1791">
        <w:rPr>
          <w:i/>
          <w:iCs/>
          <w:color w:val="000000"/>
          <w:sz w:val="20"/>
          <w:szCs w:val="20"/>
          <w:highlight w:val="yellow"/>
          <w:u w:val="single"/>
          <w:lang w:val="fr-FR"/>
        </w:rPr>
        <w:t xml:space="preserve"> </w:t>
      </w:r>
      <w:r w:rsidR="00AB4A47" w:rsidRPr="00371CD0">
        <w:rPr>
          <w:color w:val="000000"/>
          <w:sz w:val="20"/>
          <w:szCs w:val="20"/>
          <w:highlight w:val="yellow"/>
          <w:u w:val="single"/>
          <w:lang w:val="fr-FR"/>
        </w:rPr>
        <w:t>(Rec.</w:t>
      </w:r>
      <w:r w:rsidR="00371CD0">
        <w:rPr>
          <w:color w:val="000000"/>
          <w:sz w:val="20"/>
          <w:szCs w:val="20"/>
          <w:highlight w:val="yellow"/>
          <w:u w:val="single"/>
          <w:lang w:val="fr-FR"/>
        </w:rPr>
        <w:t> </w:t>
      </w:r>
      <w:r w:rsidR="00AB4A47" w:rsidRPr="00371CD0">
        <w:rPr>
          <w:color w:val="000000"/>
          <w:sz w:val="20"/>
          <w:szCs w:val="20"/>
          <w:highlight w:val="yellow"/>
          <w:u w:val="single"/>
          <w:lang w:val="fr-FR"/>
        </w:rPr>
        <w:t>24-</w:t>
      </w:r>
      <w:r w:rsidR="003B1767" w:rsidRPr="00371CD0">
        <w:rPr>
          <w:color w:val="000000"/>
          <w:sz w:val="20"/>
          <w:szCs w:val="20"/>
          <w:highlight w:val="yellow"/>
          <w:u w:val="single"/>
          <w:lang w:val="fr-FR"/>
        </w:rPr>
        <w:t>10</w:t>
      </w:r>
      <w:r w:rsidR="00AB4A47" w:rsidRPr="00371CD0">
        <w:rPr>
          <w:color w:val="000000"/>
          <w:sz w:val="20"/>
          <w:szCs w:val="20"/>
          <w:highlight w:val="yellow"/>
          <w:u w:val="single"/>
          <w:lang w:val="fr-FR"/>
        </w:rPr>
        <w:t>)</w:t>
      </w:r>
      <w:r w:rsidR="002949E9" w:rsidRPr="00371CD0">
        <w:rPr>
          <w:color w:val="000000"/>
          <w:sz w:val="20"/>
          <w:szCs w:val="20"/>
          <w:highlight w:val="yellow"/>
          <w:u w:val="single"/>
          <w:lang w:val="fr-FR"/>
        </w:rPr>
        <w:t>.</w:t>
      </w:r>
    </w:p>
    <w:p w14:paraId="5B6B1F41" w14:textId="77777777" w:rsidR="002949E9" w:rsidRPr="00AA1791" w:rsidRDefault="002949E9" w:rsidP="002949E9">
      <w:pPr>
        <w:pBdr>
          <w:top w:val="nil"/>
          <w:left w:val="nil"/>
          <w:bottom w:val="nil"/>
          <w:right w:val="nil"/>
          <w:between w:val="nil"/>
        </w:pBdr>
        <w:rPr>
          <w:color w:val="000000"/>
          <w:sz w:val="20"/>
          <w:szCs w:val="20"/>
          <w:lang w:val="fr-FR"/>
        </w:rPr>
      </w:pPr>
    </w:p>
    <w:p w14:paraId="379AF02F" w14:textId="77777777" w:rsidR="002949E9" w:rsidRPr="00675C6E" w:rsidRDefault="002949E9" w:rsidP="002949E9">
      <w:pPr>
        <w:ind w:left="118"/>
        <w:rPr>
          <w:sz w:val="20"/>
          <w:szCs w:val="20"/>
          <w:lang w:val="fr-FR"/>
        </w:rPr>
      </w:pPr>
      <w:r w:rsidRPr="00675C6E">
        <w:rPr>
          <w:lang w:val="fr-FR"/>
        </w:rPr>
        <w:br w:type="page"/>
      </w:r>
    </w:p>
    <w:p w14:paraId="3EEBF8E5" w14:textId="77777777" w:rsidR="0095502F" w:rsidRPr="0095502F" w:rsidRDefault="0095502F" w:rsidP="0095502F">
      <w:pPr>
        <w:widowControl/>
        <w:tabs>
          <w:tab w:val="left" w:pos="426"/>
          <w:tab w:val="left" w:pos="709"/>
          <w:tab w:val="left" w:pos="993"/>
        </w:tabs>
        <w:autoSpaceDE w:val="0"/>
        <w:autoSpaceDN w:val="0"/>
        <w:adjustRightInd w:val="0"/>
        <w:spacing w:line="240" w:lineRule="exact"/>
        <w:ind w:left="420" w:hanging="420"/>
        <w:jc w:val="right"/>
        <w:rPr>
          <w:rFonts w:eastAsia="Times New Roman" w:cs="Times New Roman"/>
          <w:b/>
          <w:bCs/>
          <w:sz w:val="20"/>
          <w:szCs w:val="24"/>
          <w:lang w:val="fr-FR"/>
        </w:rPr>
      </w:pPr>
      <w:r w:rsidRPr="0095502F">
        <w:rPr>
          <w:b/>
          <w:sz w:val="20"/>
          <w:lang w:val="fr-FR"/>
        </w:rPr>
        <w:t>Annexe 1</w:t>
      </w:r>
    </w:p>
    <w:p w14:paraId="7DB83CF5" w14:textId="77777777" w:rsidR="0095502F" w:rsidRPr="0095502F" w:rsidRDefault="0095502F" w:rsidP="0095502F">
      <w:pPr>
        <w:widowControl/>
        <w:jc w:val="center"/>
        <w:rPr>
          <w:b/>
          <w:sz w:val="20"/>
          <w:lang w:val="fr-FR"/>
        </w:rPr>
      </w:pPr>
    </w:p>
    <w:p w14:paraId="2007860E" w14:textId="77777777" w:rsidR="0095502F" w:rsidRPr="0095502F" w:rsidRDefault="0095502F" w:rsidP="0095502F">
      <w:pPr>
        <w:widowControl/>
        <w:jc w:val="center"/>
        <w:rPr>
          <w:b/>
          <w:sz w:val="20"/>
          <w:szCs w:val="20"/>
          <w:lang w:val="fr-FR"/>
        </w:rPr>
      </w:pPr>
      <w:r w:rsidRPr="0095502F">
        <w:rPr>
          <w:b/>
          <w:sz w:val="20"/>
          <w:lang w:val="fr-FR"/>
        </w:rPr>
        <w:t>Description et formules de calcul des totaux admissibles de captures (TAC) pour l'espadon de l'Atlantique Nord en utilisant les spécifications de la procédure de gestion (MP) MCC11</w:t>
      </w:r>
    </w:p>
    <w:p w14:paraId="5BAE9516" w14:textId="77777777" w:rsidR="0095502F" w:rsidRPr="0095502F" w:rsidRDefault="0095502F" w:rsidP="0095502F">
      <w:pPr>
        <w:ind w:right="2"/>
        <w:rPr>
          <w:bCs/>
          <w:sz w:val="20"/>
          <w:szCs w:val="20"/>
          <w:lang w:val="fr-FR"/>
        </w:rPr>
      </w:pPr>
    </w:p>
    <w:p w14:paraId="539A4A34" w14:textId="77777777" w:rsidR="0095502F" w:rsidRPr="0095502F" w:rsidRDefault="0095502F" w:rsidP="0095502F">
      <w:pPr>
        <w:rPr>
          <w:b/>
          <w:bCs/>
          <w:iCs/>
          <w:sz w:val="20"/>
          <w:szCs w:val="20"/>
          <w:lang w:val="fr-FR"/>
        </w:rPr>
      </w:pPr>
      <w:r w:rsidRPr="0095502F">
        <w:rPr>
          <w:b/>
          <w:iCs/>
          <w:sz w:val="20"/>
          <w:lang w:val="fr-FR"/>
        </w:rPr>
        <w:t>MCC11</w:t>
      </w:r>
    </w:p>
    <w:p w14:paraId="611D853B" w14:textId="77777777" w:rsidR="0095502F" w:rsidRPr="0095502F" w:rsidRDefault="0095502F" w:rsidP="0095502F">
      <w:pPr>
        <w:jc w:val="both"/>
        <w:rPr>
          <w:sz w:val="20"/>
          <w:szCs w:val="20"/>
          <w:lang w:val="fr-FR"/>
        </w:rPr>
      </w:pPr>
    </w:p>
    <w:p w14:paraId="448D0831" w14:textId="77777777" w:rsidR="0095502F" w:rsidRPr="0095502F" w:rsidRDefault="0095502F" w:rsidP="0095502F">
      <w:pPr>
        <w:jc w:val="both"/>
        <w:rPr>
          <w:sz w:val="20"/>
          <w:szCs w:val="20"/>
          <w:lang w:val="fr-FR"/>
        </w:rPr>
      </w:pPr>
      <w:r w:rsidRPr="0095502F">
        <w:rPr>
          <w:sz w:val="20"/>
          <w:lang w:val="fr-FR"/>
        </w:rPr>
        <w:t>La procédure de gestion MCC11 (prise presque toujours constante avec 11 niveaux) est empirique et utilise une seule entrée de données : l’indice d’abondance combiné de l’espadon de l’Atlantique Nord (« l’indice combiné »). L’objectif de la MP MCC11 est de maintenir la capture aussi constante que possible et de n’augmenter le TAC que si l’indice combiné augmente considérablement et de ne réduire le TAC que si l’indice combiné diminue considérablement. Cette MP est calibrée pour atteindre une probabilité de 60% de situer le stock dans le quadrant vert du diagramme de Kobe (c.-à-d. SB≥SB</w:t>
      </w:r>
      <w:r w:rsidRPr="0095502F">
        <w:rPr>
          <w:sz w:val="20"/>
          <w:vertAlign w:val="subscript"/>
          <w:lang w:val="fr-FR"/>
        </w:rPr>
        <w:t>PME</w:t>
      </w:r>
      <w:r w:rsidRPr="0095502F">
        <w:rPr>
          <w:sz w:val="20"/>
          <w:lang w:val="fr-FR"/>
        </w:rPr>
        <w:t xml:space="preserve"> et F≤F</w:t>
      </w:r>
      <w:r w:rsidRPr="0095502F">
        <w:rPr>
          <w:sz w:val="20"/>
          <w:vertAlign w:val="subscript"/>
          <w:lang w:val="fr-FR"/>
        </w:rPr>
        <w:t>PME</w:t>
      </w:r>
      <w:r w:rsidRPr="0095502F">
        <w:rPr>
          <w:sz w:val="20"/>
          <w:lang w:val="fr-FR"/>
        </w:rPr>
        <w:t>) dans chacune des trois périodes de la projection de 10 ans (court terme = années 1-10 ; moyen terme = années 11-20 ; long terme = années 21-30).</w:t>
      </w:r>
    </w:p>
    <w:p w14:paraId="71801EE2" w14:textId="77777777" w:rsidR="0095502F" w:rsidRPr="0095502F" w:rsidRDefault="0095502F" w:rsidP="0095502F">
      <w:pPr>
        <w:jc w:val="both"/>
        <w:rPr>
          <w:i/>
          <w:iCs/>
          <w:sz w:val="20"/>
          <w:szCs w:val="20"/>
          <w:lang w:val="fr-FR"/>
        </w:rPr>
      </w:pPr>
    </w:p>
    <w:p w14:paraId="5B2DB132" w14:textId="77777777" w:rsidR="0095502F" w:rsidRPr="0095502F" w:rsidRDefault="0095502F" w:rsidP="0095502F">
      <w:pPr>
        <w:jc w:val="both"/>
        <w:rPr>
          <w:b/>
          <w:bCs/>
          <w:iCs/>
          <w:sz w:val="20"/>
          <w:szCs w:val="20"/>
          <w:lang w:val="fr-FR"/>
        </w:rPr>
      </w:pPr>
      <w:r w:rsidRPr="0095502F">
        <w:rPr>
          <w:b/>
          <w:iCs/>
          <w:sz w:val="20"/>
          <w:lang w:val="fr-FR"/>
        </w:rPr>
        <w:t>Indice d’abondance</w:t>
      </w:r>
    </w:p>
    <w:p w14:paraId="02F3B6FD" w14:textId="77777777" w:rsidR="0095502F" w:rsidRPr="0095502F" w:rsidRDefault="0095502F" w:rsidP="0095502F">
      <w:pPr>
        <w:jc w:val="both"/>
        <w:rPr>
          <w:sz w:val="20"/>
          <w:szCs w:val="20"/>
          <w:lang w:val="fr-FR"/>
        </w:rPr>
      </w:pPr>
    </w:p>
    <w:p w14:paraId="5ABFC9FF" w14:textId="77777777" w:rsidR="0095502F" w:rsidRPr="0095502F" w:rsidRDefault="0095502F" w:rsidP="0095502F">
      <w:pPr>
        <w:jc w:val="both"/>
        <w:rPr>
          <w:sz w:val="20"/>
          <w:szCs w:val="20"/>
          <w:lang w:val="fr-FR"/>
        </w:rPr>
      </w:pPr>
      <w:r w:rsidRPr="0095502F">
        <w:rPr>
          <w:sz w:val="20"/>
          <w:lang w:val="fr-FR"/>
        </w:rPr>
        <w:t xml:space="preserve">L’indice combiné utilise les données de prise et d’effort de 7 CPC de l’ICCAT et se base sur les données de prise et d’effort de la tâche 2 et sur les registres détaillés de prise et d’effort obtenus directement de certaines CPC, totalisant plus de 95% de la capture annuelle dans l’Atlantique Nord. L’année initiale de l’indice est 1963. Les valeurs de l’indice sont en kilogrammes de capture d’espadon par 1.000 hameçons. Cet indice basé sur un modèle utilise une distribution d’erreur </w:t>
      </w:r>
      <w:proofErr w:type="spellStart"/>
      <w:r w:rsidRPr="0095502F">
        <w:rPr>
          <w:sz w:val="20"/>
          <w:lang w:val="fr-FR"/>
        </w:rPr>
        <w:t>Tweedie</w:t>
      </w:r>
      <w:proofErr w:type="spellEnd"/>
      <w:r w:rsidRPr="0095502F">
        <w:rPr>
          <w:sz w:val="20"/>
          <w:lang w:val="fr-FR"/>
        </w:rPr>
        <w:t xml:space="preserve"> et des variables catégoriques explicatives : année, trimestre, zone spatiale, une variable de ciblage et une variable de classe de tailles.</w:t>
      </w:r>
    </w:p>
    <w:p w14:paraId="0AB51D6D" w14:textId="77777777" w:rsidR="0095502F" w:rsidRPr="0095502F" w:rsidRDefault="0095502F" w:rsidP="0095502F">
      <w:pPr>
        <w:jc w:val="both"/>
        <w:rPr>
          <w:sz w:val="20"/>
          <w:szCs w:val="20"/>
          <w:lang w:val="fr-FR"/>
        </w:rPr>
      </w:pPr>
    </w:p>
    <w:p w14:paraId="61368449" w14:textId="77777777" w:rsidR="0095502F" w:rsidRPr="0095502F" w:rsidRDefault="0095502F" w:rsidP="0095502F">
      <w:pPr>
        <w:jc w:val="both"/>
        <w:rPr>
          <w:sz w:val="20"/>
          <w:szCs w:val="20"/>
          <w:lang w:val="fr-FR"/>
        </w:rPr>
      </w:pPr>
      <w:r w:rsidRPr="0095502F">
        <w:rPr>
          <w:sz w:val="20"/>
          <w:lang w:val="fr-FR"/>
        </w:rPr>
        <w:t xml:space="preserve">Les valeurs annuelles prédites sont ensuite standardisées à une moyenne de 1 au cours de toute la série temporelle. Ces valeurs sont définies comme </w:t>
      </w:r>
      <w:r w:rsidRPr="0095502F">
        <w:rPr>
          <w:i/>
          <w:sz w:val="20"/>
          <w:lang w:val="fr-FR"/>
        </w:rPr>
        <w:t>I</w:t>
      </w:r>
      <w:r w:rsidRPr="0095502F">
        <w:rPr>
          <w:sz w:val="20"/>
          <w:lang w:val="fr-FR"/>
        </w:rPr>
        <w:t>.</w:t>
      </w:r>
    </w:p>
    <w:p w14:paraId="037DCC60" w14:textId="77777777" w:rsidR="0095502F" w:rsidRPr="0095502F" w:rsidRDefault="0095502F" w:rsidP="0095502F">
      <w:pPr>
        <w:jc w:val="both"/>
        <w:rPr>
          <w:sz w:val="20"/>
          <w:szCs w:val="20"/>
          <w:lang w:val="fr-FR"/>
        </w:rPr>
      </w:pPr>
    </w:p>
    <w:p w14:paraId="0C1628EA" w14:textId="77777777" w:rsidR="0095502F" w:rsidRPr="0095502F" w:rsidRDefault="0095502F" w:rsidP="0095502F">
      <w:pPr>
        <w:jc w:val="both"/>
        <w:rPr>
          <w:b/>
          <w:bCs/>
          <w:iCs/>
          <w:sz w:val="20"/>
          <w:szCs w:val="20"/>
          <w:lang w:val="fr-FR"/>
        </w:rPr>
      </w:pPr>
      <w:r w:rsidRPr="0095502F">
        <w:rPr>
          <w:b/>
          <w:iCs/>
          <w:sz w:val="20"/>
          <w:lang w:val="fr-FR"/>
        </w:rPr>
        <w:t>Spécifications de la MP</w:t>
      </w:r>
    </w:p>
    <w:p w14:paraId="492C48A9" w14:textId="77777777" w:rsidR="0095502F" w:rsidRPr="0095502F" w:rsidRDefault="0095502F" w:rsidP="0095502F">
      <w:pPr>
        <w:jc w:val="both"/>
        <w:rPr>
          <w:sz w:val="20"/>
          <w:szCs w:val="20"/>
          <w:lang w:val="fr-FR"/>
        </w:rPr>
      </w:pPr>
    </w:p>
    <w:p w14:paraId="42EC6951" w14:textId="77777777" w:rsidR="0095502F" w:rsidRPr="0095502F" w:rsidRDefault="0095502F" w:rsidP="0095502F">
      <w:pPr>
        <w:jc w:val="both"/>
        <w:rPr>
          <w:sz w:val="20"/>
          <w:szCs w:val="20"/>
          <w:lang w:val="fr-FR"/>
        </w:rPr>
      </w:pPr>
      <w:r w:rsidRPr="0095502F">
        <w:rPr>
          <w:sz w:val="20"/>
          <w:lang w:val="fr-FR"/>
        </w:rPr>
        <w:t>Cette MP utilise un cycle de gestion d’une durée de 3 ans. Le TAC de base (prise constante) est de 12.600 t ; cela constitue une approximation de la prise constante qui entraînerait au moins 60% de PGK.</w:t>
      </w:r>
    </w:p>
    <w:p w14:paraId="02910DD0" w14:textId="77777777" w:rsidR="0095502F" w:rsidRPr="0095502F" w:rsidRDefault="0095502F" w:rsidP="0095502F">
      <w:pPr>
        <w:jc w:val="both"/>
        <w:rPr>
          <w:sz w:val="20"/>
          <w:szCs w:val="20"/>
          <w:lang w:val="fr-FR"/>
        </w:rPr>
      </w:pPr>
    </w:p>
    <w:p w14:paraId="11CB9FAF" w14:textId="77777777" w:rsidR="0095502F" w:rsidRPr="0095502F" w:rsidRDefault="0095502F" w:rsidP="0095502F">
      <w:pPr>
        <w:jc w:val="both"/>
        <w:rPr>
          <w:sz w:val="20"/>
          <w:szCs w:val="20"/>
          <w:lang w:val="fr-FR"/>
        </w:rPr>
      </w:pPr>
      <w:r w:rsidRPr="0095502F">
        <w:rPr>
          <w:sz w:val="20"/>
          <w:lang w:val="fr-FR"/>
        </w:rPr>
        <w:t>Un TAC de base (</w:t>
      </w:r>
      <w:proofErr w:type="spellStart"/>
      <w:r w:rsidRPr="0095502F">
        <w:rPr>
          <w:sz w:val="20"/>
          <w:lang w:val="fr-FR"/>
        </w:rPr>
        <w:t>TAC</w:t>
      </w:r>
      <w:r w:rsidRPr="0095502F">
        <w:rPr>
          <w:sz w:val="20"/>
          <w:vertAlign w:val="subscript"/>
          <w:lang w:val="fr-FR"/>
        </w:rPr>
        <w:t>base</w:t>
      </w:r>
      <w:proofErr w:type="spellEnd"/>
      <w:r w:rsidRPr="0095502F">
        <w:rPr>
          <w:sz w:val="20"/>
          <w:lang w:val="fr-FR"/>
        </w:rPr>
        <w:t>) est calculé comme suit :</w:t>
      </w:r>
    </w:p>
    <w:p w14:paraId="4BB9BC1E" w14:textId="77777777" w:rsidR="0095502F" w:rsidRPr="0095502F" w:rsidRDefault="0095502F" w:rsidP="0095502F">
      <w:pPr>
        <w:rPr>
          <w:sz w:val="20"/>
          <w:szCs w:val="20"/>
          <w:lang w:val="fr-FR"/>
        </w:rPr>
      </w:pPr>
      <m:oMathPara>
        <m:oMath>
          <m:sSub>
            <m:sSubPr>
              <m:ctrlPr>
                <w:rPr>
                  <w:rFonts w:ascii="Cambria Math" w:hAnsi="Cambria Math"/>
                  <w:i/>
                  <w:sz w:val="20"/>
                  <w:szCs w:val="20"/>
                </w:rPr>
              </m:ctrlPr>
            </m:sSubPr>
            <m:e>
              <m:r>
                <m:rPr>
                  <m:nor/>
                </m:rPr>
                <w:rPr>
                  <w:sz w:val="20"/>
                  <w:szCs w:val="20"/>
                  <w:lang w:val="fr-FR"/>
                </w:rPr>
                <m:t>TAC</m:t>
              </m:r>
            </m:e>
            <m:sub>
              <m:r>
                <m:rPr>
                  <m:nor/>
                </m:rPr>
                <w:rPr>
                  <w:sz w:val="20"/>
                  <w:szCs w:val="20"/>
                  <w:lang w:val="fr-FR"/>
                </w:rPr>
                <m:t>base</m:t>
              </m:r>
            </m:sub>
          </m:sSub>
          <m:r>
            <w:rPr>
              <w:rFonts w:ascii="Cambria Math" w:hAnsi="Cambria Math"/>
              <w:sz w:val="20"/>
              <w:szCs w:val="20"/>
              <w:lang w:val="fr-FR"/>
            </w:rPr>
            <m:t>=</m:t>
          </m:r>
          <m:r>
            <w:rPr>
              <w:rFonts w:ascii="Cambria Math" w:hAnsi="Cambria Math"/>
              <w:sz w:val="20"/>
              <w:szCs w:val="20"/>
              <w:lang w:val="en-CA"/>
            </w:rPr>
            <m:t>θ</m:t>
          </m:r>
          <m:r>
            <w:rPr>
              <w:rFonts w:ascii="Cambria Math" w:hAnsi="Cambria Math"/>
              <w:sz w:val="20"/>
              <w:szCs w:val="20"/>
              <w:lang w:val="fr-FR"/>
            </w:rPr>
            <m:t>12.600</m:t>
          </m:r>
        </m:oMath>
      </m:oMathPara>
    </w:p>
    <w:p w14:paraId="2F729694" w14:textId="77777777" w:rsidR="0095502F" w:rsidRPr="0095502F" w:rsidRDefault="0095502F" w:rsidP="0095502F">
      <w:pPr>
        <w:jc w:val="both"/>
        <w:rPr>
          <w:sz w:val="20"/>
          <w:szCs w:val="20"/>
          <w:lang w:val="fr-FR"/>
        </w:rPr>
      </w:pPr>
    </w:p>
    <w:p w14:paraId="5A0770C6" w14:textId="77777777" w:rsidR="0095502F" w:rsidRPr="0095502F" w:rsidRDefault="0095502F" w:rsidP="0095502F">
      <w:pPr>
        <w:jc w:val="both"/>
        <w:rPr>
          <w:sz w:val="20"/>
          <w:szCs w:val="20"/>
          <w:lang w:val="fr-FR"/>
        </w:rPr>
      </w:pPr>
      <w:proofErr w:type="gramStart"/>
      <w:r w:rsidRPr="0095502F">
        <w:rPr>
          <w:sz w:val="20"/>
          <w:lang w:val="fr-FR"/>
        </w:rPr>
        <w:t>où</w:t>
      </w:r>
      <w:proofErr w:type="gramEnd"/>
      <w:r w:rsidRPr="0095502F">
        <w:rPr>
          <w:sz w:val="20"/>
          <w:lang w:val="fr-FR"/>
        </w:rPr>
        <w:t xml:space="preserve"> </w:t>
      </w:r>
      <m:oMath>
        <m:r>
          <w:rPr>
            <w:rFonts w:ascii="Cambria Math" w:hAnsi="Cambria Math"/>
            <w:sz w:val="20"/>
            <w:szCs w:val="20"/>
            <w:lang w:val="en-CA"/>
          </w:rPr>
          <m:t>θ</m:t>
        </m:r>
      </m:oMath>
      <w:r w:rsidRPr="0095502F">
        <w:rPr>
          <w:sz w:val="20"/>
          <w:lang w:val="fr-FR"/>
        </w:rPr>
        <w:t xml:space="preserve"> est le paramètre de calibrage qui permet d’atteindre 60% de PGK à court terme. Le paramètre de calibrage de MCC11 s’élève à 0,7562.</w:t>
      </w:r>
    </w:p>
    <w:p w14:paraId="6A7E40EE" w14:textId="77777777" w:rsidR="0095502F" w:rsidRPr="0095502F" w:rsidRDefault="0095502F" w:rsidP="0095502F">
      <w:pPr>
        <w:jc w:val="both"/>
        <w:rPr>
          <w:sz w:val="20"/>
          <w:szCs w:val="20"/>
          <w:lang w:val="fr-FR"/>
        </w:rPr>
      </w:pPr>
    </w:p>
    <w:p w14:paraId="088DE4F9" w14:textId="77777777" w:rsidR="0095502F" w:rsidRPr="0095502F" w:rsidRDefault="0095502F" w:rsidP="0095502F">
      <w:pPr>
        <w:jc w:val="both"/>
        <w:rPr>
          <w:sz w:val="20"/>
          <w:szCs w:val="20"/>
          <w:lang w:val="fr-FR"/>
        </w:rPr>
      </w:pPr>
      <w:r w:rsidRPr="0095502F">
        <w:rPr>
          <w:sz w:val="20"/>
          <w:lang w:val="fr-FR"/>
        </w:rPr>
        <w:t xml:space="preserve">Le </w:t>
      </w:r>
      <w:proofErr w:type="spellStart"/>
      <w:r w:rsidRPr="0095502F">
        <w:rPr>
          <w:sz w:val="20"/>
          <w:lang w:val="fr-FR"/>
        </w:rPr>
        <w:t>TAC</w:t>
      </w:r>
      <w:r w:rsidRPr="0095502F">
        <w:rPr>
          <w:sz w:val="20"/>
          <w:vertAlign w:val="subscript"/>
          <w:lang w:val="fr-FR"/>
        </w:rPr>
        <w:t>base</w:t>
      </w:r>
      <w:proofErr w:type="spellEnd"/>
      <w:r w:rsidRPr="0095502F">
        <w:rPr>
          <w:sz w:val="20"/>
          <w:lang w:val="fr-FR"/>
        </w:rPr>
        <w:t xml:space="preserve"> est modifié en comparant le ratio de la moyenne actuelle de 3 années de l’indice combiné (</w:t>
      </w:r>
      <w:proofErr w:type="spellStart"/>
      <w:r w:rsidRPr="0095502F">
        <w:rPr>
          <w:i/>
          <w:iCs/>
          <w:sz w:val="20"/>
          <w:lang w:val="fr-FR"/>
        </w:rPr>
        <w:t>I</w:t>
      </w:r>
      <w:r w:rsidRPr="0095502F">
        <w:rPr>
          <w:i/>
          <w:iCs/>
          <w:sz w:val="20"/>
          <w:vertAlign w:val="subscript"/>
          <w:lang w:val="fr-FR"/>
        </w:rPr>
        <w:t>curr</w:t>
      </w:r>
      <w:proofErr w:type="spellEnd"/>
      <w:r w:rsidRPr="0095502F">
        <w:rPr>
          <w:sz w:val="20"/>
          <w:lang w:val="fr-FR"/>
        </w:rPr>
        <w:t>) et une moyenne historique de 3 années de l’indice combiné (</w:t>
      </w:r>
      <w:proofErr w:type="spellStart"/>
      <w:r w:rsidRPr="0095502F">
        <w:rPr>
          <w:i/>
          <w:iCs/>
          <w:sz w:val="20"/>
          <w:lang w:val="fr-FR"/>
        </w:rPr>
        <w:t>I</w:t>
      </w:r>
      <w:r w:rsidRPr="0095502F">
        <w:rPr>
          <w:i/>
          <w:iCs/>
          <w:sz w:val="20"/>
          <w:vertAlign w:val="subscript"/>
          <w:lang w:val="fr-FR"/>
        </w:rPr>
        <w:t>base</w:t>
      </w:r>
      <w:proofErr w:type="spellEnd"/>
      <w:r w:rsidRPr="0095502F">
        <w:rPr>
          <w:sz w:val="20"/>
          <w:lang w:val="fr-FR"/>
        </w:rPr>
        <w:t>) :</w:t>
      </w:r>
    </w:p>
    <w:p w14:paraId="4695D742" w14:textId="77777777" w:rsidR="0095502F" w:rsidRPr="0095502F" w:rsidRDefault="0095502F" w:rsidP="0095502F">
      <w:pPr>
        <w:jc w:val="both"/>
        <w:rPr>
          <w:sz w:val="20"/>
          <w:szCs w:val="20"/>
          <w:lang w:val="fr-FR"/>
        </w:rPr>
      </w:pPr>
    </w:p>
    <w:p w14:paraId="7D6FDEA8" w14:textId="77777777" w:rsidR="0095502F" w:rsidRPr="0095502F" w:rsidRDefault="0095502F" w:rsidP="0095502F">
      <w:pPr>
        <w:rPr>
          <w:sz w:val="20"/>
          <w:szCs w:val="20"/>
          <w:lang w:val="fr-FR"/>
        </w:rPr>
      </w:pPr>
      <m:oMathPara>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curr</m:t>
                  </m:r>
                </m:sub>
              </m:sSub>
            </m:num>
            <m:den>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base</m:t>
                  </m:r>
                </m:sub>
              </m:sSub>
            </m:den>
          </m:f>
        </m:oMath>
      </m:oMathPara>
    </w:p>
    <w:p w14:paraId="47BDD183" w14:textId="77777777" w:rsidR="0095502F" w:rsidRPr="0095502F" w:rsidRDefault="0095502F" w:rsidP="0095502F">
      <w:pPr>
        <w:jc w:val="both"/>
        <w:rPr>
          <w:i/>
          <w:iCs/>
          <w:sz w:val="20"/>
          <w:szCs w:val="20"/>
          <w:lang w:val="fr-FR"/>
        </w:rPr>
      </w:pPr>
    </w:p>
    <w:p w14:paraId="581B5971" w14:textId="77777777" w:rsidR="0095502F" w:rsidRPr="0095502F" w:rsidRDefault="0095502F" w:rsidP="0095502F">
      <w:pPr>
        <w:jc w:val="both"/>
        <w:rPr>
          <w:sz w:val="20"/>
          <w:szCs w:val="20"/>
          <w:lang w:val="fr-FR"/>
        </w:rPr>
      </w:pPr>
      <w:proofErr w:type="spellStart"/>
      <w:r w:rsidRPr="0095502F">
        <w:rPr>
          <w:i/>
          <w:sz w:val="20"/>
          <w:lang w:val="fr-FR"/>
        </w:rPr>
        <w:t>I</w:t>
      </w:r>
      <w:r w:rsidRPr="0095502F">
        <w:rPr>
          <w:i/>
          <w:sz w:val="20"/>
          <w:vertAlign w:val="subscript"/>
          <w:lang w:val="fr-FR"/>
        </w:rPr>
        <w:t>base</w:t>
      </w:r>
      <w:proofErr w:type="spellEnd"/>
      <w:r w:rsidRPr="0095502F">
        <w:rPr>
          <w:sz w:val="20"/>
          <w:lang w:val="fr-FR"/>
        </w:rPr>
        <w:t xml:space="preserve"> est calculé comme la moyenne de l’indice combiné de 2017-2019. La valeur de</w:t>
      </w:r>
      <m:oMath>
        <m:r>
          <w:rPr>
            <w:rFonts w:ascii="Cambria Math" w:hAnsi="Cambria Math"/>
            <w:sz w:val="20"/>
            <w:lang w:val="fr-FR"/>
          </w:rPr>
          <m:t xml:space="preserve"> </m:t>
        </m:r>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 xml:space="preserve"> </m:t>
        </m:r>
      </m:oMath>
      <w:r w:rsidRPr="0095502F">
        <w:rPr>
          <w:sz w:val="20"/>
          <w:lang w:val="fr-FR"/>
        </w:rPr>
        <w:t>est utilisée pour déterminer le degré d’augmentation ou de réduction du TAC</w:t>
      </w:r>
      <w:r w:rsidRPr="0095502F">
        <w:rPr>
          <w:sz w:val="20"/>
          <w:vertAlign w:val="subscript"/>
          <w:lang w:val="fr-FR"/>
        </w:rPr>
        <w:t>base</w:t>
      </w:r>
      <w:r w:rsidRPr="0095502F">
        <w:rPr>
          <w:sz w:val="20"/>
          <w:lang w:val="fr-FR"/>
        </w:rPr>
        <w:t xml:space="preserve"> le cas échéant.</w:t>
      </w:r>
    </w:p>
    <w:p w14:paraId="2C432F80" w14:textId="77777777" w:rsidR="0095502F" w:rsidRPr="0095502F" w:rsidRDefault="0095502F" w:rsidP="0095502F">
      <w:pPr>
        <w:jc w:val="both"/>
        <w:rPr>
          <w:sz w:val="20"/>
          <w:szCs w:val="20"/>
          <w:lang w:val="fr-FR"/>
        </w:rPr>
      </w:pPr>
    </w:p>
    <w:p w14:paraId="2882071C" w14:textId="77777777" w:rsidR="0095502F" w:rsidRPr="0095502F" w:rsidRDefault="0095502F" w:rsidP="0095502F">
      <w:pPr>
        <w:jc w:val="both"/>
        <w:rPr>
          <w:sz w:val="20"/>
          <w:szCs w:val="20"/>
          <w:lang w:val="fr-FR"/>
        </w:rPr>
      </w:pPr>
      <w:r w:rsidRPr="0095502F">
        <w:rPr>
          <w:sz w:val="20"/>
          <w:lang w:val="fr-FR"/>
        </w:rPr>
        <w:t>Le TAC pour le cycle de gestion suivant est calculé comme :</w:t>
      </w:r>
    </w:p>
    <w:p w14:paraId="1F578D33" w14:textId="77777777" w:rsidR="0095502F" w:rsidRPr="0095502F" w:rsidRDefault="0095502F" w:rsidP="0095502F">
      <w:pPr>
        <w:jc w:val="both"/>
        <w:rPr>
          <w:sz w:val="20"/>
          <w:szCs w:val="20"/>
          <w:lang w:val="fr-FR"/>
        </w:rPr>
      </w:pPr>
    </w:p>
    <w:p w14:paraId="7CD090B3" w14:textId="77777777" w:rsidR="0095502F" w:rsidRPr="0095502F" w:rsidRDefault="0095502F" w:rsidP="0095502F">
      <w:pPr>
        <w:rPr>
          <w:sz w:val="20"/>
          <w:szCs w:val="20"/>
          <w:lang w:val="fr-FR"/>
        </w:rPr>
      </w:pPr>
      <m:oMathPara>
        <m:oMath>
          <m:sSub>
            <m:sSubPr>
              <m:ctrlPr>
                <w:rPr>
                  <w:rFonts w:ascii="Cambria Math" w:hAnsi="Cambria Math"/>
                  <w:i/>
                  <w:sz w:val="20"/>
                  <w:szCs w:val="20"/>
                </w:rPr>
              </m:ctrlPr>
            </m:sSubPr>
            <m:e>
              <m:r>
                <w:rPr>
                  <w:rFonts w:ascii="Cambria Math" w:hAnsi="Cambria Math"/>
                  <w:sz w:val="20"/>
                  <w:szCs w:val="20"/>
                </w:rPr>
                <m:t>TAC</m:t>
              </m:r>
            </m:e>
            <m:sub>
              <m:r>
                <w:rPr>
                  <w:rFonts w:ascii="Cambria Math" w:hAnsi="Cambria Math"/>
                  <w:sz w:val="20"/>
                  <w:szCs w:val="20"/>
                </w:rPr>
                <m:t>y</m:t>
              </m:r>
              <m:r>
                <w:rPr>
                  <w:rFonts w:ascii="Cambria Math" w:hAnsi="Cambria Math"/>
                  <w:sz w:val="20"/>
                  <w:szCs w:val="20"/>
                  <w:lang w:val="fr-FR"/>
                </w:rPr>
                <m:t>+1</m:t>
              </m:r>
            </m:sub>
          </m:sSub>
          <m:r>
            <w:rPr>
              <w:rFonts w:ascii="Cambria Math" w:hAnsi="Cambria Math"/>
              <w:sz w:val="20"/>
              <w:szCs w:val="20"/>
              <w:lang w:val="fr-FR"/>
            </w:rPr>
            <m:t>=</m:t>
          </m:r>
          <m:sSub>
            <m:sSubPr>
              <m:ctrlPr>
                <w:rPr>
                  <w:rFonts w:ascii="Cambria Math" w:hAnsi="Cambria Math"/>
                  <w:i/>
                  <w:sz w:val="20"/>
                  <w:szCs w:val="20"/>
                </w:rPr>
              </m:ctrlPr>
            </m:sSubPr>
            <m:e>
              <m:r>
                <m:rPr>
                  <m:nor/>
                </m:rPr>
                <w:rPr>
                  <w:sz w:val="20"/>
                  <w:szCs w:val="20"/>
                  <w:lang w:val="fr-FR"/>
                </w:rPr>
                <m:t>TAC</m:t>
              </m:r>
            </m:e>
            <m:sub>
              <m:r>
                <m:rPr>
                  <m:nor/>
                </m:rPr>
                <w:rPr>
                  <w:sz w:val="20"/>
                  <w:szCs w:val="20"/>
                  <w:lang w:val="fr-FR"/>
                </w:rPr>
                <m:t>base</m:t>
              </m:r>
            </m:sub>
          </m:sSub>
          <m:sSub>
            <m:sSubPr>
              <m:ctrlPr>
                <w:rPr>
                  <w:rFonts w:ascii="Cambria Math" w:hAnsi="Cambria Math"/>
                  <w:i/>
                  <w:sz w:val="20"/>
                  <w:szCs w:val="20"/>
                </w:rPr>
              </m:ctrlPr>
            </m:sSubPr>
            <m:e>
              <m:r>
                <w:rPr>
                  <w:rFonts w:ascii="Cambria Math" w:hAnsi="Cambria Math"/>
                  <w:sz w:val="20"/>
                  <w:szCs w:val="20"/>
                  <w:lang w:val="fr-FR"/>
                </w:rPr>
                <m:t>∆</m:t>
              </m:r>
            </m:e>
            <m:sub>
              <m:r>
                <m:rPr>
                  <m:nor/>
                </m:rPr>
                <w:rPr>
                  <w:sz w:val="20"/>
                  <w:szCs w:val="20"/>
                  <w:lang w:val="fr-FR"/>
                </w:rPr>
                <m:t>TAC</m:t>
              </m:r>
            </m:sub>
          </m:sSub>
        </m:oMath>
      </m:oMathPara>
    </w:p>
    <w:p w14:paraId="684C258D" w14:textId="77777777" w:rsidR="0095502F" w:rsidRPr="0095502F" w:rsidRDefault="0095502F" w:rsidP="0095502F">
      <w:pPr>
        <w:widowControl/>
        <w:spacing w:after="160" w:line="259" w:lineRule="auto"/>
        <w:rPr>
          <w:sz w:val="20"/>
          <w:lang w:val="fr-FR"/>
        </w:rPr>
      </w:pPr>
      <w:r w:rsidRPr="0095502F">
        <w:rPr>
          <w:sz w:val="20"/>
          <w:lang w:val="fr-FR"/>
        </w:rPr>
        <w:br w:type="page"/>
      </w:r>
    </w:p>
    <w:p w14:paraId="4C497C3F" w14:textId="77777777" w:rsidR="0095502F" w:rsidRPr="0095502F" w:rsidRDefault="0095502F" w:rsidP="0095502F">
      <w:pPr>
        <w:rPr>
          <w:sz w:val="20"/>
          <w:szCs w:val="20"/>
          <w:lang w:val="fr-FR"/>
        </w:rPr>
      </w:pPr>
      <w:proofErr w:type="gramStart"/>
      <w:r w:rsidRPr="0095502F">
        <w:rPr>
          <w:sz w:val="20"/>
          <w:lang w:val="fr-FR"/>
        </w:rPr>
        <w:t>où</w:t>
      </w:r>
      <w:proofErr w:type="gramEnd"/>
      <w:r w:rsidRPr="0095502F">
        <w:rPr>
          <w:sz w:val="20"/>
          <w:lang w:val="fr-FR"/>
        </w:rPr>
        <w:t xml:space="preserve"> </w:t>
      </w:r>
      <m:oMath>
        <m:sSub>
          <m:sSubPr>
            <m:ctrlPr>
              <w:rPr>
                <w:rFonts w:ascii="Cambria Math" w:hAnsi="Cambria Math"/>
                <w:i/>
                <w:sz w:val="20"/>
                <w:szCs w:val="20"/>
              </w:rPr>
            </m:ctrlPr>
          </m:sSubPr>
          <m:e>
            <m:r>
              <w:rPr>
                <w:rFonts w:ascii="Cambria Math" w:hAnsi="Cambria Math"/>
                <w:sz w:val="20"/>
                <w:szCs w:val="20"/>
                <w:lang w:val="fr-FR"/>
              </w:rPr>
              <m:t>∆</m:t>
            </m:r>
          </m:e>
          <m:sub>
            <m:r>
              <m:rPr>
                <m:nor/>
              </m:rPr>
              <w:rPr>
                <w:sz w:val="20"/>
                <w:szCs w:val="20"/>
                <w:lang w:val="fr-FR"/>
              </w:rPr>
              <m:t>TAC</m:t>
            </m:r>
          </m:sub>
        </m:sSub>
      </m:oMath>
      <w:r w:rsidRPr="0095502F">
        <w:rPr>
          <w:sz w:val="20"/>
          <w:lang w:val="fr-FR"/>
        </w:rPr>
        <w:t xml:space="preserve"> est calculé comme suit :</w:t>
      </w:r>
    </w:p>
    <w:p w14:paraId="3A30578D" w14:textId="77777777" w:rsidR="0095502F" w:rsidRPr="0095502F" w:rsidRDefault="0095502F" w:rsidP="0095502F">
      <w:pPr>
        <w:rPr>
          <w:sz w:val="20"/>
          <w:szCs w:val="20"/>
          <w:lang w:val="fr-FR"/>
        </w:rPr>
      </w:pPr>
      <m:oMathPara>
        <m:oMath>
          <m:sSub>
            <m:sSubPr>
              <m:ctrlPr>
                <w:rPr>
                  <w:rFonts w:ascii="Cambria Math" w:hAnsi="Cambria Math"/>
                  <w:sz w:val="20"/>
                  <w:szCs w:val="20"/>
                </w:rPr>
              </m:ctrlPr>
            </m:sSubPr>
            <m:e>
              <m:r>
                <m:rPr>
                  <m:sty m:val="p"/>
                </m:rPr>
                <w:rPr>
                  <w:rFonts w:ascii="Cambria Math" w:hAnsi="Cambria Math"/>
                  <w:sz w:val="20"/>
                  <w:szCs w:val="20"/>
                  <w:lang w:val="fr-FR"/>
                </w:rPr>
                <m:t>∆</m:t>
              </m:r>
            </m:e>
            <m:sub>
              <m:r>
                <m:rPr>
                  <m:nor/>
                </m:rPr>
                <w:rPr>
                  <w:sz w:val="20"/>
                  <w:szCs w:val="20"/>
                  <w:lang w:val="fr-FR"/>
                </w:rPr>
                <m:t>TAC</m:t>
              </m:r>
            </m:sub>
          </m:sSub>
          <m:r>
            <m:rPr>
              <m:sty m:val="p"/>
            </m:rPr>
            <w:rPr>
              <w:rFonts w:ascii="Cambria Math" w:hAnsi="Cambria Math"/>
              <w:sz w:val="20"/>
              <w:szCs w:val="20"/>
              <w:lang w:val="fr-FR"/>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w:rPr>
                        <w:rFonts w:ascii="Cambria Math" w:hAnsi="Cambria Math"/>
                        <w:sz w:val="20"/>
                        <w:szCs w:val="20"/>
                        <w:lang w:val="fr-FR"/>
                      </w:rPr>
                      <m:t>1,85</m:t>
                    </m:r>
                    <m:ctrlPr>
                      <w:rPr>
                        <w:rFonts w:ascii="Cambria Math" w:hAnsi="Cambria Math"/>
                        <w:sz w:val="20"/>
                        <w:szCs w:val="20"/>
                        <w:lang w:val="en-CA"/>
                      </w:rPr>
                    </m:ctrlPr>
                  </m:e>
                  <m:e>
                    <m:r>
                      <m:rPr>
                        <m:nor/>
                      </m:rPr>
                      <w:rPr>
                        <w:sz w:val="20"/>
                        <w:szCs w:val="20"/>
                        <w:lang w:val="fr-FR"/>
                      </w:rPr>
                      <m:t xml:space="preserve">if </m:t>
                    </m:r>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≥1,85</m:t>
                    </m:r>
                    <m:ctrlPr>
                      <w:rPr>
                        <w:rFonts w:ascii="Cambria Math" w:hAnsi="Cambria Math"/>
                        <w:sz w:val="20"/>
                        <w:szCs w:val="20"/>
                        <w:lang w:val="en-CA"/>
                      </w:rPr>
                    </m:ctrlPr>
                  </m:e>
                </m:mr>
                <m:mr>
                  <m:e>
                    <m:r>
                      <w:rPr>
                        <w:rFonts w:ascii="Cambria Math" w:hAnsi="Cambria Math"/>
                        <w:sz w:val="20"/>
                        <w:szCs w:val="20"/>
                        <w:lang w:val="fr-FR"/>
                      </w:rPr>
                      <m:t>1,75</m:t>
                    </m:r>
                    <m:ctrlPr>
                      <w:rPr>
                        <w:rFonts w:ascii="Cambria Math" w:hAnsi="Cambria Math"/>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lang w:val="fr-FR"/>
                          </w:rPr>
                          <m:t>1,75≤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&lt;1,85</m:t>
                    </m:r>
                    <m:ctrlPr>
                      <w:rPr>
                        <w:rFonts w:ascii="Cambria Math" w:hAnsi="Cambria Math"/>
                        <w:sz w:val="20"/>
                        <w:szCs w:val="20"/>
                        <w:lang w:val="en-CA"/>
                      </w:rPr>
                    </m:ctrlPr>
                  </m:e>
                </m:mr>
                <m:mr>
                  <m:e>
                    <m:r>
                      <m:rPr>
                        <m:sty m:val="p"/>
                      </m:rPr>
                      <w:rPr>
                        <w:rFonts w:ascii="Cambria Math" w:hAnsi="Cambria Math"/>
                        <w:sz w:val="20"/>
                        <w:szCs w:val="20"/>
                        <w:lang w:val="fr-FR"/>
                      </w:rPr>
                      <m:t>1,65</m:t>
                    </m: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1,65≤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&lt;1,75</m:t>
                    </m:r>
                  </m:e>
                </m:mr>
                <m:mr>
                  <m:e>
                    <m:r>
                      <w:rPr>
                        <w:rFonts w:ascii="Cambria Math" w:hAnsi="Cambria Math"/>
                        <w:sz w:val="20"/>
                        <w:szCs w:val="20"/>
                        <w:lang w:val="fr-FR"/>
                      </w:rPr>
                      <m:t>1,55</m:t>
                    </m: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1,55≤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&lt;1,65</m:t>
                    </m:r>
                    <m:ctrlPr>
                      <w:rPr>
                        <w:rFonts w:ascii="Cambria Math" w:hAnsi="Cambria Math"/>
                        <w:i/>
                        <w:sz w:val="20"/>
                        <w:szCs w:val="20"/>
                        <w:lang w:val="en-CA"/>
                      </w:rPr>
                    </m:ctrlPr>
                  </m:e>
                </m:mr>
                <m:mr>
                  <m:e>
                    <m:r>
                      <w:rPr>
                        <w:rFonts w:ascii="Cambria Math" w:hAnsi="Cambria Math"/>
                        <w:sz w:val="20"/>
                        <w:szCs w:val="20"/>
                        <w:lang w:val="fr-FR"/>
                      </w:rPr>
                      <m:t>1,45</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1,45≤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&lt;1,55</m:t>
                    </m:r>
                    <m:ctrlPr>
                      <w:rPr>
                        <w:rFonts w:ascii="Cambria Math" w:hAnsi="Cambria Math"/>
                        <w:i/>
                        <w:sz w:val="20"/>
                        <w:szCs w:val="20"/>
                        <w:lang w:val="en-CA"/>
                      </w:rPr>
                    </m:ctrlPr>
                  </m:e>
                </m:mr>
                <m:mr>
                  <m:e>
                    <m:r>
                      <w:rPr>
                        <w:rFonts w:ascii="Cambria Math" w:hAnsi="Cambria Math"/>
                        <w:sz w:val="20"/>
                        <w:szCs w:val="20"/>
                        <w:lang w:val="fr-FR"/>
                      </w:rPr>
                      <m:t>1,35</m:t>
                    </m:r>
                    <m:ctrlPr>
                      <w:rPr>
                        <w:rFonts w:ascii="Cambria Math" w:hAnsi="Cambria Math"/>
                        <w:i/>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lang w:val="fr-FR"/>
                          </w:rPr>
                          <m:t>1,35≤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&lt;1,45</m:t>
                    </m:r>
                    <m:ctrlPr>
                      <w:rPr>
                        <w:rFonts w:ascii="Cambria Math" w:hAnsi="Cambria Math"/>
                        <w:i/>
                        <w:sz w:val="20"/>
                        <w:szCs w:val="20"/>
                        <w:lang w:val="en-CA"/>
                      </w:rPr>
                    </m:ctrlPr>
                  </m:e>
                </m:mr>
                <m:mr>
                  <m:e>
                    <m:r>
                      <w:rPr>
                        <w:rFonts w:ascii="Cambria Math" w:hAnsi="Cambria Math"/>
                        <w:sz w:val="20"/>
                        <w:szCs w:val="20"/>
                        <w:lang w:val="fr-FR"/>
                      </w:rPr>
                      <m:t>1,25</m:t>
                    </m:r>
                    <m:ctrlPr>
                      <w:rPr>
                        <w:rFonts w:ascii="Cambria Math" w:hAnsi="Cambria Math"/>
                        <w:i/>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lang w:val="fr-FR"/>
                          </w:rPr>
                          <m:t>1,25≤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&lt;1,35</m:t>
                    </m:r>
                    <m:ctrlPr>
                      <w:rPr>
                        <w:rFonts w:ascii="Cambria Math" w:hAnsi="Cambria Math"/>
                        <w:i/>
                        <w:sz w:val="20"/>
                        <w:szCs w:val="20"/>
                        <w:lang w:val="en-CA"/>
                      </w:rPr>
                    </m:ctrlPr>
                  </m:e>
                </m:mr>
                <m:mr>
                  <m:e>
                    <m:r>
                      <w:rPr>
                        <w:rFonts w:ascii="Cambria Math" w:hAnsi="Cambria Math"/>
                        <w:sz w:val="20"/>
                        <w:szCs w:val="20"/>
                        <w:lang w:val="fr-FR"/>
                      </w:rPr>
                      <m:t>1,15</m:t>
                    </m:r>
                    <m:ctrlPr>
                      <w:rPr>
                        <w:rFonts w:ascii="Cambria Math" w:hAnsi="Cambria Math"/>
                        <w:i/>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lang w:val="fr-FR"/>
                          </w:rPr>
                          <m:t>1,15≤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&lt;1,25</m:t>
                    </m:r>
                    <m:ctrlPr>
                      <w:rPr>
                        <w:rFonts w:ascii="Cambria Math" w:hAnsi="Cambria Math"/>
                        <w:i/>
                        <w:sz w:val="20"/>
                        <w:szCs w:val="20"/>
                        <w:lang w:val="en-CA"/>
                      </w:rPr>
                    </m:ctrlPr>
                  </m:e>
                </m:mr>
                <m:mr>
                  <m:e>
                    <m:r>
                      <w:rPr>
                        <w:rFonts w:ascii="Cambria Math" w:hAnsi="Cambria Math"/>
                        <w:sz w:val="20"/>
                        <w:szCs w:val="20"/>
                        <w:lang w:val="fr-FR"/>
                      </w:rPr>
                      <m:t>1,00</m:t>
                    </m:r>
                    <m:ctrlPr>
                      <w:rPr>
                        <w:rFonts w:ascii="Cambria Math" w:hAnsi="Cambria Math"/>
                        <w:i/>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lang w:val="fr-FR"/>
                          </w:rPr>
                          <m:t>0,75≤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&lt;1,15</m:t>
                    </m:r>
                    <m:ctrlPr>
                      <w:rPr>
                        <w:rFonts w:ascii="Cambria Math" w:hAnsi="Cambria Math"/>
                        <w:i/>
                        <w:sz w:val="20"/>
                        <w:szCs w:val="20"/>
                        <w:lang w:val="en-CA"/>
                      </w:rPr>
                    </m:ctrlPr>
                  </m:e>
                </m:mr>
                <m:mr>
                  <m:e>
                    <m:r>
                      <w:rPr>
                        <w:rFonts w:ascii="Cambria Math" w:hAnsi="Cambria Math"/>
                        <w:sz w:val="20"/>
                        <w:szCs w:val="20"/>
                        <w:lang w:val="fr-FR"/>
                      </w:rPr>
                      <m:t>0,75</m:t>
                    </m:r>
                    <m:ctrlPr>
                      <w:rPr>
                        <w:rFonts w:ascii="Cambria Math" w:hAnsi="Cambria Math"/>
                        <w:i/>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lang w:val="fr-FR"/>
                          </w:rPr>
                          <m:t>0,5≤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&lt;0,75</m:t>
                    </m:r>
                    <m:ctrlPr>
                      <w:rPr>
                        <w:rFonts w:ascii="Cambria Math" w:hAnsi="Cambria Math"/>
                        <w:i/>
                        <w:sz w:val="20"/>
                        <w:szCs w:val="20"/>
                        <w:lang w:val="en-CA"/>
                      </w:rPr>
                    </m:ctrlPr>
                  </m:e>
                </m:mr>
                <m:mr>
                  <m:e>
                    <m:r>
                      <w:rPr>
                        <w:rFonts w:ascii="Cambria Math" w:hAnsi="Cambria Math"/>
                        <w:sz w:val="20"/>
                        <w:szCs w:val="20"/>
                        <w:lang w:val="fr-FR"/>
                      </w:rPr>
                      <m:t>0,5</m:t>
                    </m:r>
                    <m:ctrlPr>
                      <w:rPr>
                        <w:rFonts w:ascii="Cambria Math" w:hAnsi="Cambria Math"/>
                        <w:i/>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&lt;0,5</m:t>
                    </m:r>
                  </m:e>
                </m:mr>
              </m:m>
            </m:e>
          </m:d>
        </m:oMath>
      </m:oMathPara>
    </w:p>
    <w:p w14:paraId="6B9B8DD1" w14:textId="77777777" w:rsidR="0095502F" w:rsidRPr="0095502F" w:rsidRDefault="0095502F" w:rsidP="0095502F">
      <w:pPr>
        <w:rPr>
          <w:sz w:val="20"/>
          <w:szCs w:val="20"/>
          <w:lang w:val="fr-FR"/>
        </w:rPr>
      </w:pPr>
    </w:p>
    <w:p w14:paraId="499C83B6" w14:textId="77777777" w:rsidR="0095502F" w:rsidRPr="0095502F" w:rsidRDefault="0095502F" w:rsidP="0095502F">
      <w:pPr>
        <w:widowControl/>
        <w:tabs>
          <w:tab w:val="left" w:pos="426"/>
          <w:tab w:val="left" w:pos="709"/>
          <w:tab w:val="left" w:pos="993"/>
        </w:tabs>
        <w:autoSpaceDE w:val="0"/>
        <w:autoSpaceDN w:val="0"/>
        <w:adjustRightInd w:val="0"/>
        <w:spacing w:line="240" w:lineRule="exact"/>
        <w:jc w:val="both"/>
        <w:rPr>
          <w:rFonts w:eastAsia="Times New Roman" w:cs="Times New Roman"/>
          <w:sz w:val="20"/>
          <w:szCs w:val="24"/>
          <w:lang w:val="fr-FR"/>
        </w:rPr>
      </w:pPr>
    </w:p>
    <w:p w14:paraId="1475AF77" w14:textId="77777777" w:rsidR="0095502F" w:rsidRPr="0095502F" w:rsidRDefault="0095502F" w:rsidP="0095502F">
      <w:pPr>
        <w:rPr>
          <w:b/>
          <w:sz w:val="20"/>
          <w:lang w:val="fr-FR"/>
        </w:rPr>
      </w:pPr>
      <w:r w:rsidRPr="0095502F">
        <w:rPr>
          <w:b/>
          <w:sz w:val="20"/>
          <w:lang w:val="fr-FR"/>
        </w:rPr>
        <w:br w:type="page"/>
      </w:r>
    </w:p>
    <w:p w14:paraId="01D9339D" w14:textId="77777777" w:rsidR="0095502F" w:rsidRPr="0095502F" w:rsidRDefault="0095502F" w:rsidP="0095502F">
      <w:pPr>
        <w:keepNext/>
        <w:keepLines/>
        <w:widowControl/>
        <w:ind w:left="432" w:hanging="432"/>
        <w:jc w:val="right"/>
        <w:outlineLvl w:val="0"/>
        <w:rPr>
          <w:b/>
          <w:sz w:val="20"/>
          <w:lang w:val="fr-FR"/>
        </w:rPr>
      </w:pPr>
      <w:r w:rsidRPr="0095502F">
        <w:rPr>
          <w:b/>
          <w:sz w:val="20"/>
          <w:lang w:val="fr-FR"/>
        </w:rPr>
        <w:t>Annexe 2</w:t>
      </w:r>
    </w:p>
    <w:p w14:paraId="049DB72D" w14:textId="77777777" w:rsidR="0095502F" w:rsidRPr="0095502F" w:rsidRDefault="0095502F" w:rsidP="0095502F">
      <w:pPr>
        <w:keepNext/>
        <w:keepLines/>
        <w:widowControl/>
        <w:ind w:left="432" w:hanging="432"/>
        <w:jc w:val="center"/>
        <w:outlineLvl w:val="0"/>
        <w:rPr>
          <w:b/>
          <w:sz w:val="20"/>
          <w:lang w:val="fr-FR"/>
        </w:rPr>
      </w:pPr>
    </w:p>
    <w:p w14:paraId="3188E21D" w14:textId="77777777" w:rsidR="0095502F" w:rsidRPr="0095502F" w:rsidRDefault="0095502F" w:rsidP="0095502F">
      <w:pPr>
        <w:keepNext/>
        <w:keepLines/>
        <w:widowControl/>
        <w:ind w:left="432" w:hanging="432"/>
        <w:jc w:val="center"/>
        <w:outlineLvl w:val="0"/>
        <w:rPr>
          <w:rFonts w:eastAsia="Times New Roman" w:cs="Times New Roman"/>
          <w:b/>
          <w:bCs/>
          <w:sz w:val="20"/>
          <w:szCs w:val="28"/>
          <w:lang w:val="fr-FR"/>
        </w:rPr>
      </w:pPr>
      <w:r w:rsidRPr="0095502F">
        <w:rPr>
          <w:b/>
          <w:sz w:val="20"/>
          <w:lang w:val="fr-FR"/>
        </w:rPr>
        <w:t>Indicateurs de performance (PI) pour les objectifs de gestion</w:t>
      </w:r>
    </w:p>
    <w:p w14:paraId="6B5735CF" w14:textId="77777777" w:rsidR="0095502F" w:rsidRPr="0095502F" w:rsidRDefault="0095502F" w:rsidP="0095502F">
      <w:pPr>
        <w:keepNext/>
        <w:keepLines/>
        <w:widowControl/>
        <w:ind w:left="432" w:hanging="432"/>
        <w:outlineLvl w:val="0"/>
        <w:rPr>
          <w:rFonts w:eastAsia="Times New Roman" w:cs="Times New Roman"/>
          <w:b/>
          <w:bCs/>
          <w:sz w:val="20"/>
          <w:szCs w:val="28"/>
          <w:lang w:val="fr-FR"/>
        </w:rPr>
      </w:pPr>
    </w:p>
    <w:p w14:paraId="0BB83B81" w14:textId="77777777" w:rsidR="0095502F" w:rsidRPr="0095502F" w:rsidRDefault="0095502F" w:rsidP="0095502F">
      <w:pPr>
        <w:widowControl/>
        <w:jc w:val="both"/>
        <w:rPr>
          <w:rFonts w:eastAsia="Calibri" w:cs="Times New Roman"/>
          <w:sz w:val="20"/>
          <w:lang w:val="fr-FR"/>
        </w:rPr>
      </w:pPr>
      <w:r w:rsidRPr="0095502F">
        <w:rPr>
          <w:sz w:val="20"/>
          <w:lang w:val="fr-FR"/>
        </w:rPr>
        <w:t>Les indicateurs de performance (PI) sont calculés en se basant sur 80 simulations de chacun des 9 modèles opérationnels (OM) d’une projection sur 30 ans dans le cadre d’une procédure de gestion potentielle (CMP).</w:t>
      </w:r>
    </w:p>
    <w:p w14:paraId="35CF71F2" w14:textId="77777777" w:rsidR="0095502F" w:rsidRPr="0095502F" w:rsidRDefault="0095502F" w:rsidP="0095502F">
      <w:pPr>
        <w:widowControl/>
        <w:rPr>
          <w:rFonts w:ascii="Times New Roman" w:eastAsia="Calibri" w:hAnsi="Times New Roman" w:cs="Times New Roman"/>
          <w:sz w:val="20"/>
          <w:lang w:val="fr-FR"/>
        </w:rPr>
      </w:pPr>
    </w:p>
    <w:tbl>
      <w:tblPr>
        <w:tblW w:w="8725" w:type="dxa"/>
        <w:tblCellMar>
          <w:left w:w="0" w:type="dxa"/>
          <w:right w:w="0" w:type="dxa"/>
        </w:tblCellMar>
        <w:tblLook w:val="0600" w:firstRow="0" w:lastRow="0" w:firstColumn="0" w:lastColumn="0" w:noHBand="1" w:noVBand="1"/>
      </w:tblPr>
      <w:tblGrid>
        <w:gridCol w:w="3960"/>
        <w:gridCol w:w="4765"/>
      </w:tblGrid>
      <w:tr w:rsidR="0095502F" w:rsidRPr="00E25C82" w14:paraId="7BB4F9C6" w14:textId="77777777" w:rsidTr="00AB7AC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2531F96" w14:textId="77777777" w:rsidR="0095502F" w:rsidRPr="00E25C82" w:rsidRDefault="0095502F" w:rsidP="00AB7AC7">
            <w:pPr>
              <w:widowControl/>
              <w:jc w:val="center"/>
              <w:textAlignment w:val="top"/>
              <w:rPr>
                <w:rFonts w:ascii="Arial" w:eastAsia="Times New Roman" w:hAnsi="Arial" w:cs="Arial"/>
                <w:sz w:val="36"/>
                <w:szCs w:val="36"/>
              </w:rPr>
            </w:pPr>
            <w:proofErr w:type="spellStart"/>
            <w:r w:rsidRPr="00E25C82">
              <w:rPr>
                <w:b/>
                <w:i/>
                <w:sz w:val="18"/>
              </w:rPr>
              <w:t>Objectifs</w:t>
            </w:r>
            <w:proofErr w:type="spellEnd"/>
            <w:r w:rsidRPr="00E25C82">
              <w:rPr>
                <w:b/>
                <w:i/>
                <w:sz w:val="18"/>
              </w:rPr>
              <w:t xml:space="preserve"> de gestion</w:t>
            </w:r>
          </w:p>
        </w:tc>
        <w:tc>
          <w:tcPr>
            <w:tcW w:w="476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9EFB30D" w14:textId="77777777" w:rsidR="0095502F" w:rsidRPr="00E25C82" w:rsidRDefault="0095502F" w:rsidP="00AB7AC7">
            <w:pPr>
              <w:widowControl/>
              <w:jc w:val="center"/>
              <w:textAlignment w:val="top"/>
              <w:rPr>
                <w:rFonts w:ascii="Arial" w:eastAsia="Times New Roman" w:hAnsi="Arial" w:cs="Arial"/>
                <w:sz w:val="36"/>
                <w:szCs w:val="36"/>
              </w:rPr>
            </w:pPr>
            <w:r w:rsidRPr="00E25C82">
              <w:rPr>
                <w:b/>
                <w:i/>
                <w:sz w:val="18"/>
              </w:rPr>
              <w:t xml:space="preserve">PI </w:t>
            </w:r>
            <w:proofErr w:type="spellStart"/>
            <w:r w:rsidRPr="00E25C82">
              <w:rPr>
                <w:b/>
                <w:i/>
                <w:sz w:val="18"/>
              </w:rPr>
              <w:t>clés</w:t>
            </w:r>
            <w:proofErr w:type="spellEnd"/>
            <w:r w:rsidRPr="00E25C82">
              <w:rPr>
                <w:b/>
                <w:i/>
                <w:sz w:val="18"/>
              </w:rPr>
              <w:t xml:space="preserve"> </w:t>
            </w:r>
            <w:proofErr w:type="spellStart"/>
            <w:r w:rsidRPr="00E25C82">
              <w:rPr>
                <w:b/>
                <w:i/>
                <w:sz w:val="18"/>
              </w:rPr>
              <w:t>correspondants</w:t>
            </w:r>
            <w:proofErr w:type="spellEnd"/>
          </w:p>
        </w:tc>
      </w:tr>
      <w:tr w:rsidR="0095502F" w:rsidRPr="0095502F" w14:paraId="71C47A0F" w14:textId="77777777" w:rsidTr="00AB7AC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68DF0B1A"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b/>
                <w:sz w:val="20"/>
                <w:szCs w:val="20"/>
                <w:lang w:val="fr-FR"/>
              </w:rPr>
              <w:t>État</w:t>
            </w:r>
          </w:p>
          <w:p w14:paraId="4FB9CD1F"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sz w:val="20"/>
                <w:szCs w:val="20"/>
                <w:lang w:val="fr-FR"/>
              </w:rPr>
              <w:t>Le stock devrait avoir une probabilité égale ou supérieure à 60% de se situer dans le quadrant vert de la matrice de Kobe.</w:t>
            </w:r>
          </w:p>
        </w:tc>
        <w:tc>
          <w:tcPr>
            <w:tcW w:w="476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5FEEE96" w14:textId="77777777" w:rsidR="0095502F" w:rsidRPr="0095502F" w:rsidRDefault="0095502F" w:rsidP="00AB7AC7">
            <w:pPr>
              <w:widowControl/>
              <w:jc w:val="both"/>
              <w:textAlignment w:val="top"/>
              <w:rPr>
                <w:rFonts w:ascii="Arial" w:eastAsia="Times New Roman" w:hAnsi="Arial" w:cs="Arial"/>
                <w:sz w:val="20"/>
                <w:szCs w:val="20"/>
                <w:lang w:val="fr-FR"/>
              </w:rPr>
            </w:pPr>
            <w:proofErr w:type="gramStart"/>
            <w:r w:rsidRPr="0095502F">
              <w:rPr>
                <w:b/>
                <w:sz w:val="20"/>
                <w:szCs w:val="20"/>
                <w:lang w:val="fr-FR"/>
              </w:rPr>
              <w:t>PGK</w:t>
            </w:r>
            <w:r w:rsidRPr="0095502F">
              <w:rPr>
                <w:b/>
                <w:sz w:val="20"/>
                <w:szCs w:val="20"/>
                <w:vertAlign w:val="subscript"/>
                <w:lang w:val="fr-FR"/>
              </w:rPr>
              <w:t>SHORT</w:t>
            </w:r>
            <w:r w:rsidRPr="0095502F">
              <w:rPr>
                <w:sz w:val="20"/>
                <w:szCs w:val="20"/>
                <w:lang w:val="fr-FR"/>
              </w:rPr>
              <w:t>:</w:t>
            </w:r>
            <w:proofErr w:type="gramEnd"/>
            <w:r w:rsidRPr="0095502F">
              <w:rPr>
                <w:sz w:val="20"/>
                <w:szCs w:val="20"/>
                <w:lang w:val="fr-FR"/>
              </w:rPr>
              <w:t xml:space="preserve"> Probabilité de se situer dans le quadrant vert de Kobe (c'est-à-dire SB≥SB</w:t>
            </w:r>
            <w:r w:rsidRPr="0095502F">
              <w:rPr>
                <w:sz w:val="20"/>
                <w:szCs w:val="20"/>
                <w:vertAlign w:val="subscript"/>
                <w:lang w:val="fr-FR"/>
              </w:rPr>
              <w:t>PME</w:t>
            </w:r>
            <w:r w:rsidRPr="0095502F">
              <w:rPr>
                <w:sz w:val="20"/>
                <w:szCs w:val="20"/>
                <w:lang w:val="fr-FR"/>
              </w:rPr>
              <w:t xml:space="preserve"> et F&lt;F</w:t>
            </w:r>
            <w:r w:rsidRPr="0095502F">
              <w:rPr>
                <w:sz w:val="20"/>
                <w:szCs w:val="20"/>
                <w:vertAlign w:val="subscript"/>
                <w:lang w:val="fr-FR"/>
              </w:rPr>
              <w:t>PME</w:t>
            </w:r>
            <w:r w:rsidRPr="0095502F">
              <w:rPr>
                <w:sz w:val="20"/>
                <w:szCs w:val="20"/>
                <w:lang w:val="fr-FR"/>
              </w:rPr>
              <w:t>) au cours des années 1-10.</w:t>
            </w:r>
          </w:p>
          <w:p w14:paraId="4013BF8B" w14:textId="77777777" w:rsidR="0095502F" w:rsidRPr="0095502F" w:rsidRDefault="0095502F" w:rsidP="00AB7AC7">
            <w:pPr>
              <w:widowControl/>
              <w:jc w:val="both"/>
              <w:textAlignment w:val="top"/>
              <w:rPr>
                <w:rFonts w:ascii="Arial" w:eastAsia="Times New Roman" w:hAnsi="Arial" w:cs="Arial"/>
                <w:sz w:val="20"/>
                <w:szCs w:val="20"/>
                <w:lang w:val="fr-FR"/>
              </w:rPr>
            </w:pPr>
            <w:proofErr w:type="gramStart"/>
            <w:r w:rsidRPr="0095502F">
              <w:rPr>
                <w:b/>
                <w:sz w:val="20"/>
                <w:szCs w:val="20"/>
                <w:lang w:val="fr-FR"/>
              </w:rPr>
              <w:t>PGK</w:t>
            </w:r>
            <w:r w:rsidRPr="0095502F">
              <w:rPr>
                <w:b/>
                <w:sz w:val="20"/>
                <w:szCs w:val="20"/>
                <w:vertAlign w:val="subscript"/>
                <w:lang w:val="fr-FR"/>
              </w:rPr>
              <w:t>MED</w:t>
            </w:r>
            <w:r w:rsidRPr="0095502F">
              <w:rPr>
                <w:sz w:val="20"/>
                <w:szCs w:val="20"/>
                <w:lang w:val="fr-FR"/>
              </w:rPr>
              <w:t>:</w:t>
            </w:r>
            <w:proofErr w:type="gramEnd"/>
            <w:r w:rsidRPr="0095502F">
              <w:rPr>
                <w:sz w:val="20"/>
                <w:szCs w:val="20"/>
                <w:lang w:val="fr-FR"/>
              </w:rPr>
              <w:t xml:space="preserve"> Probabilité de se situer dans le quadrant vert de Kobe (c'est-à-dire SB≥SB</w:t>
            </w:r>
            <w:r w:rsidRPr="0095502F">
              <w:rPr>
                <w:sz w:val="20"/>
                <w:szCs w:val="20"/>
                <w:vertAlign w:val="subscript"/>
                <w:lang w:val="fr-FR"/>
              </w:rPr>
              <w:t>PME</w:t>
            </w:r>
            <w:r w:rsidRPr="0095502F">
              <w:rPr>
                <w:sz w:val="20"/>
                <w:szCs w:val="20"/>
                <w:lang w:val="fr-FR"/>
              </w:rPr>
              <w:t xml:space="preserve"> et F&lt;F</w:t>
            </w:r>
            <w:r w:rsidRPr="0095502F">
              <w:rPr>
                <w:sz w:val="20"/>
                <w:szCs w:val="20"/>
                <w:vertAlign w:val="subscript"/>
                <w:lang w:val="fr-FR"/>
              </w:rPr>
              <w:t>PME</w:t>
            </w:r>
            <w:r w:rsidRPr="0095502F">
              <w:rPr>
                <w:sz w:val="20"/>
                <w:szCs w:val="20"/>
                <w:lang w:val="fr-FR"/>
              </w:rPr>
              <w:t>) au cours des années 11-20.</w:t>
            </w:r>
          </w:p>
          <w:p w14:paraId="50A8032C" w14:textId="77777777" w:rsidR="0095502F" w:rsidRPr="0095502F" w:rsidRDefault="0095502F" w:rsidP="00AB7AC7">
            <w:pPr>
              <w:widowControl/>
              <w:jc w:val="both"/>
              <w:textAlignment w:val="top"/>
              <w:rPr>
                <w:rFonts w:ascii="Arial" w:eastAsia="Times New Roman" w:hAnsi="Arial" w:cs="Arial"/>
                <w:sz w:val="20"/>
                <w:szCs w:val="20"/>
                <w:lang w:val="fr-FR"/>
              </w:rPr>
            </w:pPr>
            <w:proofErr w:type="gramStart"/>
            <w:r w:rsidRPr="0095502F">
              <w:rPr>
                <w:b/>
                <w:sz w:val="20"/>
                <w:szCs w:val="20"/>
                <w:lang w:val="fr-FR"/>
              </w:rPr>
              <w:t>PGK</w:t>
            </w:r>
            <w:r w:rsidRPr="0095502F">
              <w:rPr>
                <w:b/>
                <w:sz w:val="20"/>
                <w:szCs w:val="20"/>
                <w:vertAlign w:val="subscript"/>
                <w:lang w:val="fr-FR"/>
              </w:rPr>
              <w:t>ALL</w:t>
            </w:r>
            <w:r w:rsidRPr="0095502F">
              <w:rPr>
                <w:sz w:val="20"/>
                <w:szCs w:val="20"/>
                <w:lang w:val="fr-FR"/>
              </w:rPr>
              <w:t>:</w:t>
            </w:r>
            <w:proofErr w:type="gramEnd"/>
            <w:r w:rsidRPr="0095502F">
              <w:rPr>
                <w:sz w:val="20"/>
                <w:szCs w:val="20"/>
                <w:lang w:val="fr-FR"/>
              </w:rPr>
              <w:t xml:space="preserve"> Probabilité de se situer dans le quadrant vert de Kobe (c'est-à-dire SB≥SB</w:t>
            </w:r>
            <w:r w:rsidRPr="0095502F">
              <w:rPr>
                <w:sz w:val="20"/>
                <w:szCs w:val="20"/>
                <w:vertAlign w:val="subscript"/>
                <w:lang w:val="fr-FR"/>
              </w:rPr>
              <w:t>PME</w:t>
            </w:r>
            <w:r w:rsidRPr="0095502F">
              <w:rPr>
                <w:sz w:val="20"/>
                <w:szCs w:val="20"/>
                <w:lang w:val="fr-FR"/>
              </w:rPr>
              <w:t xml:space="preserve"> et F&lt;F</w:t>
            </w:r>
            <w:r w:rsidRPr="0095502F">
              <w:rPr>
                <w:sz w:val="20"/>
                <w:szCs w:val="20"/>
                <w:vertAlign w:val="subscript"/>
                <w:lang w:val="fr-FR"/>
              </w:rPr>
              <w:t>PME</w:t>
            </w:r>
            <w:r w:rsidRPr="0095502F">
              <w:rPr>
                <w:sz w:val="20"/>
                <w:szCs w:val="20"/>
                <w:lang w:val="fr-FR"/>
              </w:rPr>
              <w:t>) au cours des années 1-30.</w:t>
            </w:r>
          </w:p>
          <w:p w14:paraId="588E9A5B" w14:textId="77777777" w:rsidR="0095502F" w:rsidRPr="0095502F" w:rsidRDefault="0095502F" w:rsidP="00AB7AC7">
            <w:pPr>
              <w:widowControl/>
              <w:jc w:val="both"/>
              <w:textAlignment w:val="top"/>
              <w:rPr>
                <w:rFonts w:ascii="Arial" w:eastAsia="Times New Roman" w:hAnsi="Arial" w:cs="Arial"/>
                <w:sz w:val="20"/>
                <w:szCs w:val="20"/>
                <w:lang w:val="fr-FR"/>
              </w:rPr>
            </w:pPr>
            <w:proofErr w:type="gramStart"/>
            <w:r w:rsidRPr="0095502F">
              <w:rPr>
                <w:b/>
                <w:sz w:val="20"/>
                <w:szCs w:val="20"/>
                <w:lang w:val="fr-FR"/>
              </w:rPr>
              <w:t>PNOF:</w:t>
            </w:r>
            <w:proofErr w:type="gramEnd"/>
            <w:r w:rsidRPr="0095502F">
              <w:rPr>
                <w:sz w:val="20"/>
                <w:szCs w:val="20"/>
                <w:lang w:val="fr-FR"/>
              </w:rPr>
              <w:t xml:space="preserve"> Probabilité d’absence de surpêche (F&lt;F</w:t>
            </w:r>
            <w:r w:rsidRPr="0095502F">
              <w:rPr>
                <w:sz w:val="20"/>
                <w:szCs w:val="20"/>
                <w:vertAlign w:val="subscript"/>
                <w:lang w:val="fr-FR"/>
              </w:rPr>
              <w:t>PME</w:t>
            </w:r>
            <w:r w:rsidRPr="0095502F">
              <w:rPr>
                <w:sz w:val="20"/>
                <w:szCs w:val="20"/>
                <w:lang w:val="fr-FR"/>
              </w:rPr>
              <w:t>) au cours des années 1-30.</w:t>
            </w:r>
          </w:p>
        </w:tc>
      </w:tr>
      <w:tr w:rsidR="0095502F" w:rsidRPr="0095502F" w14:paraId="5ECCC932" w14:textId="77777777" w:rsidTr="00AB7AC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198B8BF6"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b/>
                <w:sz w:val="20"/>
                <w:szCs w:val="20"/>
                <w:lang w:val="fr-FR"/>
              </w:rPr>
              <w:t>Sécurité</w:t>
            </w:r>
          </w:p>
          <w:p w14:paraId="19850F3F"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sz w:val="20"/>
                <w:szCs w:val="20"/>
                <w:lang w:val="fr-FR"/>
              </w:rPr>
              <w:t>Il conviendrait que la probabilité soit égale ou inférieure à 15% que le stock chute en dessous de B</w:t>
            </w:r>
            <w:r w:rsidRPr="0095502F">
              <w:rPr>
                <w:sz w:val="20"/>
                <w:szCs w:val="20"/>
                <w:vertAlign w:val="subscript"/>
                <w:lang w:val="fr-FR"/>
              </w:rPr>
              <w:t xml:space="preserve">LIM </w:t>
            </w:r>
            <w:r w:rsidRPr="0095502F">
              <w:rPr>
                <w:sz w:val="20"/>
                <w:szCs w:val="20"/>
                <w:lang w:val="fr-FR"/>
              </w:rPr>
              <w:t>(0,4*B</w:t>
            </w:r>
            <w:r w:rsidRPr="0095502F">
              <w:rPr>
                <w:sz w:val="20"/>
                <w:szCs w:val="20"/>
                <w:vertAlign w:val="subscript"/>
                <w:lang w:val="fr-FR"/>
              </w:rPr>
              <w:t>PME</w:t>
            </w:r>
            <w:r w:rsidRPr="0095502F">
              <w:rPr>
                <w:sz w:val="20"/>
                <w:szCs w:val="20"/>
                <w:lang w:val="fr-FR"/>
              </w:rPr>
              <w:t>) à tout moment au cours de la période d'évaluation de 30 ans.</w:t>
            </w:r>
          </w:p>
        </w:tc>
        <w:tc>
          <w:tcPr>
            <w:tcW w:w="476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0A6A42D" w14:textId="77777777" w:rsidR="0095502F" w:rsidRPr="0095502F" w:rsidRDefault="0095502F" w:rsidP="00AB7AC7">
            <w:pPr>
              <w:widowControl/>
              <w:jc w:val="both"/>
              <w:textAlignment w:val="top"/>
              <w:rPr>
                <w:rFonts w:ascii="Arial" w:eastAsia="Times New Roman" w:hAnsi="Arial" w:cs="Arial"/>
                <w:sz w:val="20"/>
                <w:szCs w:val="20"/>
                <w:lang w:val="fr-FR"/>
              </w:rPr>
            </w:pPr>
            <w:proofErr w:type="gramStart"/>
            <w:r w:rsidRPr="0095502F">
              <w:rPr>
                <w:b/>
                <w:sz w:val="20"/>
                <w:szCs w:val="20"/>
                <w:lang w:val="fr-FR"/>
              </w:rPr>
              <w:t>LRP</w:t>
            </w:r>
            <w:r w:rsidRPr="0095502F">
              <w:rPr>
                <w:b/>
                <w:sz w:val="20"/>
                <w:szCs w:val="20"/>
                <w:vertAlign w:val="subscript"/>
                <w:lang w:val="fr-FR"/>
              </w:rPr>
              <w:t>ALL</w:t>
            </w:r>
            <w:r w:rsidRPr="0095502F">
              <w:rPr>
                <w:sz w:val="20"/>
                <w:szCs w:val="20"/>
                <w:lang w:val="fr-FR"/>
              </w:rPr>
              <w:t>:</w:t>
            </w:r>
            <w:proofErr w:type="gramEnd"/>
            <w:r w:rsidRPr="0095502F">
              <w:rPr>
                <w:sz w:val="20"/>
                <w:szCs w:val="20"/>
                <w:lang w:val="fr-FR"/>
              </w:rPr>
              <w:t xml:space="preserve"> Probabilité de dépasser le point de référence limite (c'est-à-dire SB&lt;0,4*SB</w:t>
            </w:r>
            <w:r w:rsidRPr="0095502F">
              <w:rPr>
                <w:sz w:val="20"/>
                <w:szCs w:val="20"/>
                <w:vertAlign w:val="subscript"/>
                <w:lang w:val="fr-FR"/>
              </w:rPr>
              <w:t>PME</w:t>
            </w:r>
            <w:r w:rsidRPr="0095502F">
              <w:rPr>
                <w:sz w:val="20"/>
                <w:szCs w:val="20"/>
                <w:lang w:val="fr-FR"/>
              </w:rPr>
              <w:t>) au cours de l’une des années 1-30.</w:t>
            </w:r>
          </w:p>
          <w:p w14:paraId="33F52658" w14:textId="77777777" w:rsidR="0095502F" w:rsidRPr="0095502F" w:rsidRDefault="0095502F" w:rsidP="00AB7AC7">
            <w:pPr>
              <w:widowControl/>
              <w:jc w:val="both"/>
              <w:textAlignment w:val="top"/>
              <w:rPr>
                <w:rFonts w:ascii="Arial" w:eastAsia="Times New Roman" w:hAnsi="Arial" w:cs="Arial"/>
                <w:sz w:val="20"/>
                <w:szCs w:val="20"/>
                <w:lang w:val="fr-FR"/>
              </w:rPr>
            </w:pPr>
          </w:p>
        </w:tc>
      </w:tr>
      <w:tr w:rsidR="0095502F" w:rsidRPr="0095502F" w14:paraId="4627B91E" w14:textId="77777777" w:rsidTr="00AB7AC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14F6B16"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b/>
                <w:sz w:val="20"/>
                <w:szCs w:val="20"/>
                <w:lang w:val="fr-FR"/>
              </w:rPr>
              <w:t>Production</w:t>
            </w:r>
          </w:p>
          <w:p w14:paraId="0ECC28BA"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sz w:val="20"/>
                <w:szCs w:val="20"/>
                <w:lang w:val="fr-FR"/>
              </w:rPr>
              <w:t>Maximiser les niveaux de captures globaux.</w:t>
            </w:r>
          </w:p>
        </w:tc>
        <w:tc>
          <w:tcPr>
            <w:tcW w:w="476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49431341"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b/>
                <w:sz w:val="20"/>
                <w:szCs w:val="20"/>
                <w:lang w:val="fr-FR"/>
              </w:rPr>
              <w:t>TAC</w:t>
            </w:r>
            <w:proofErr w:type="gramStart"/>
            <w:r w:rsidRPr="0095502F">
              <w:rPr>
                <w:b/>
                <w:sz w:val="20"/>
                <w:szCs w:val="20"/>
                <w:lang w:val="fr-FR"/>
              </w:rPr>
              <w:t>1</w:t>
            </w:r>
            <w:r w:rsidRPr="0095502F">
              <w:rPr>
                <w:sz w:val="20"/>
                <w:szCs w:val="20"/>
                <w:lang w:val="fr-FR"/>
              </w:rPr>
              <w:t>:</w:t>
            </w:r>
            <w:proofErr w:type="gramEnd"/>
            <w:r w:rsidRPr="0095502F">
              <w:rPr>
                <w:sz w:val="20"/>
                <w:szCs w:val="20"/>
                <w:lang w:val="fr-FR"/>
              </w:rPr>
              <w:t xml:space="preserve"> TAC au cours du premier cycle de gestion (2025-2027)</w:t>
            </w:r>
          </w:p>
          <w:p w14:paraId="2D467A7C" w14:textId="77777777" w:rsidR="0095502F" w:rsidRPr="0095502F" w:rsidRDefault="0095502F" w:rsidP="00AB7AC7">
            <w:pPr>
              <w:widowControl/>
              <w:jc w:val="both"/>
              <w:textAlignment w:val="top"/>
              <w:rPr>
                <w:rFonts w:ascii="Arial" w:eastAsia="Times New Roman" w:hAnsi="Arial" w:cs="Arial"/>
                <w:sz w:val="20"/>
                <w:szCs w:val="20"/>
                <w:lang w:val="fr-FR"/>
              </w:rPr>
            </w:pPr>
            <w:proofErr w:type="spellStart"/>
            <w:proofErr w:type="gramStart"/>
            <w:r w:rsidRPr="0095502F">
              <w:rPr>
                <w:b/>
                <w:sz w:val="20"/>
                <w:szCs w:val="20"/>
                <w:lang w:val="fr-FR"/>
              </w:rPr>
              <w:t>AvTAC</w:t>
            </w:r>
            <w:r w:rsidRPr="0095502F">
              <w:rPr>
                <w:b/>
                <w:sz w:val="20"/>
                <w:szCs w:val="20"/>
                <w:vertAlign w:val="subscript"/>
                <w:lang w:val="fr-FR"/>
              </w:rPr>
              <w:t>SHORT</w:t>
            </w:r>
            <w:proofErr w:type="spellEnd"/>
            <w:r w:rsidRPr="0095502F">
              <w:rPr>
                <w:sz w:val="20"/>
                <w:szCs w:val="20"/>
                <w:lang w:val="fr-FR"/>
              </w:rPr>
              <w:t>:</w:t>
            </w:r>
            <w:proofErr w:type="gramEnd"/>
            <w:r w:rsidRPr="0095502F">
              <w:rPr>
                <w:sz w:val="20"/>
                <w:szCs w:val="20"/>
                <w:lang w:val="fr-FR"/>
              </w:rPr>
              <w:t xml:space="preserve"> Médiane du TAC (t) au cours des années 1-10</w:t>
            </w:r>
          </w:p>
          <w:p w14:paraId="03D5A0AC" w14:textId="77777777" w:rsidR="0095502F" w:rsidRPr="0095502F" w:rsidRDefault="0095502F" w:rsidP="00AB7AC7">
            <w:pPr>
              <w:widowControl/>
              <w:jc w:val="both"/>
              <w:textAlignment w:val="top"/>
              <w:rPr>
                <w:rFonts w:ascii="Arial" w:eastAsia="Times New Roman" w:hAnsi="Arial" w:cs="Arial"/>
                <w:sz w:val="20"/>
                <w:szCs w:val="20"/>
                <w:lang w:val="fr-FR"/>
              </w:rPr>
            </w:pPr>
            <w:proofErr w:type="spellStart"/>
            <w:proofErr w:type="gramStart"/>
            <w:r w:rsidRPr="0095502F">
              <w:rPr>
                <w:b/>
                <w:sz w:val="20"/>
                <w:szCs w:val="20"/>
                <w:lang w:val="fr-FR"/>
              </w:rPr>
              <w:t>AvTAC</w:t>
            </w:r>
            <w:r w:rsidRPr="0095502F">
              <w:rPr>
                <w:b/>
                <w:sz w:val="20"/>
                <w:szCs w:val="20"/>
                <w:vertAlign w:val="subscript"/>
                <w:lang w:val="fr-FR"/>
              </w:rPr>
              <w:t>MED</w:t>
            </w:r>
            <w:proofErr w:type="spellEnd"/>
            <w:r w:rsidRPr="0095502F">
              <w:rPr>
                <w:sz w:val="20"/>
                <w:szCs w:val="20"/>
                <w:lang w:val="fr-FR"/>
              </w:rPr>
              <w:t>:</w:t>
            </w:r>
            <w:proofErr w:type="gramEnd"/>
            <w:r w:rsidRPr="0095502F">
              <w:rPr>
                <w:sz w:val="20"/>
                <w:szCs w:val="20"/>
                <w:lang w:val="fr-FR"/>
              </w:rPr>
              <w:t xml:space="preserve"> Médiane du TAC (t) au cours des années 11-20</w:t>
            </w:r>
          </w:p>
          <w:p w14:paraId="35818DBF" w14:textId="77777777" w:rsidR="0095502F" w:rsidRPr="0095502F" w:rsidRDefault="0095502F" w:rsidP="00AB7AC7">
            <w:pPr>
              <w:widowControl/>
              <w:jc w:val="both"/>
              <w:textAlignment w:val="top"/>
              <w:rPr>
                <w:rFonts w:ascii="Arial" w:eastAsia="Times New Roman" w:hAnsi="Arial" w:cs="Arial"/>
                <w:sz w:val="20"/>
                <w:szCs w:val="20"/>
                <w:lang w:val="fr-FR"/>
              </w:rPr>
            </w:pPr>
            <w:proofErr w:type="spellStart"/>
            <w:proofErr w:type="gramStart"/>
            <w:r w:rsidRPr="0095502F">
              <w:rPr>
                <w:b/>
                <w:sz w:val="20"/>
                <w:szCs w:val="20"/>
                <w:lang w:val="fr-FR"/>
              </w:rPr>
              <w:t>AvTAC</w:t>
            </w:r>
            <w:r w:rsidRPr="0095502F">
              <w:rPr>
                <w:b/>
                <w:sz w:val="20"/>
                <w:szCs w:val="20"/>
                <w:vertAlign w:val="subscript"/>
                <w:lang w:val="fr-FR"/>
              </w:rPr>
              <w:t>LONG</w:t>
            </w:r>
            <w:proofErr w:type="spellEnd"/>
            <w:r w:rsidRPr="0095502F">
              <w:rPr>
                <w:sz w:val="20"/>
                <w:szCs w:val="20"/>
                <w:lang w:val="fr-FR"/>
              </w:rPr>
              <w:t>:</w:t>
            </w:r>
            <w:proofErr w:type="gramEnd"/>
            <w:r w:rsidRPr="0095502F">
              <w:rPr>
                <w:sz w:val="20"/>
                <w:szCs w:val="20"/>
                <w:lang w:val="fr-FR"/>
              </w:rPr>
              <w:t xml:space="preserve"> Médiane du TAC (t) au cours des années 21-30</w:t>
            </w:r>
          </w:p>
        </w:tc>
      </w:tr>
      <w:tr w:rsidR="0095502F" w:rsidRPr="0095502F" w14:paraId="4773E1DB" w14:textId="77777777" w:rsidTr="00AB7AC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CF5A0D7"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b/>
                <w:sz w:val="20"/>
                <w:szCs w:val="20"/>
                <w:lang w:val="fr-FR"/>
              </w:rPr>
              <w:t>Stabilité</w:t>
            </w:r>
          </w:p>
          <w:p w14:paraId="76285C5A" w14:textId="77777777" w:rsidR="0095502F" w:rsidRPr="0095502F" w:rsidRDefault="0095502F" w:rsidP="00AB7AC7">
            <w:pPr>
              <w:widowControl/>
              <w:jc w:val="both"/>
              <w:textAlignment w:val="top"/>
              <w:rPr>
                <w:rFonts w:ascii="Arial" w:eastAsia="Times New Roman" w:hAnsi="Arial" w:cs="Arial"/>
                <w:sz w:val="20"/>
                <w:szCs w:val="20"/>
                <w:lang w:val="fr-FR"/>
              </w:rPr>
            </w:pPr>
            <w:r w:rsidRPr="0095502F">
              <w:rPr>
                <w:sz w:val="20"/>
                <w:szCs w:val="20"/>
                <w:lang w:val="fr-FR"/>
              </w:rPr>
              <w:t>Les modifications du TAC devront être réduites au minimum, conformément aux spécifications de la MP décrites à l'</w:t>
            </w:r>
            <w:r w:rsidRPr="0095502F">
              <w:rPr>
                <w:b/>
                <w:bCs/>
                <w:sz w:val="20"/>
                <w:szCs w:val="20"/>
                <w:lang w:val="fr-FR"/>
              </w:rPr>
              <w:t>annexe 1</w:t>
            </w:r>
            <w:r w:rsidRPr="0095502F">
              <w:rPr>
                <w:sz w:val="20"/>
                <w:szCs w:val="20"/>
                <w:lang w:val="fr-FR"/>
              </w:rPr>
              <w:t>.</w:t>
            </w:r>
          </w:p>
        </w:tc>
        <w:tc>
          <w:tcPr>
            <w:tcW w:w="476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56BD977" w14:textId="77777777" w:rsidR="0095502F" w:rsidRPr="0095502F" w:rsidRDefault="0095502F" w:rsidP="00AB7AC7">
            <w:pPr>
              <w:widowControl/>
              <w:jc w:val="both"/>
              <w:textAlignment w:val="top"/>
              <w:rPr>
                <w:rFonts w:ascii="Arial" w:eastAsia="Times New Roman" w:hAnsi="Arial" w:cs="Arial"/>
                <w:sz w:val="20"/>
                <w:szCs w:val="20"/>
                <w:lang w:val="fr-FR"/>
              </w:rPr>
            </w:pPr>
            <w:proofErr w:type="spellStart"/>
            <w:proofErr w:type="gramStart"/>
            <w:r w:rsidRPr="0095502F">
              <w:rPr>
                <w:b/>
                <w:sz w:val="20"/>
                <w:szCs w:val="20"/>
                <w:lang w:val="fr-FR"/>
              </w:rPr>
              <w:t>VarC</w:t>
            </w:r>
            <w:proofErr w:type="spellEnd"/>
            <w:r w:rsidRPr="0095502F">
              <w:rPr>
                <w:sz w:val="20"/>
                <w:szCs w:val="20"/>
                <w:lang w:val="fr-FR"/>
              </w:rPr>
              <w:t>:</w:t>
            </w:r>
            <w:proofErr w:type="gramEnd"/>
            <w:r w:rsidRPr="0095502F">
              <w:rPr>
                <w:sz w:val="20"/>
                <w:szCs w:val="20"/>
                <w:lang w:val="fr-FR"/>
              </w:rPr>
              <w:t xml:space="preserve"> Variation moyenne du TAC (%) entre les cycles de gestion au cours des années 1-30.</w:t>
            </w:r>
          </w:p>
          <w:p w14:paraId="15826BF2" w14:textId="77777777" w:rsidR="0095502F" w:rsidRPr="0095502F" w:rsidRDefault="0095502F" w:rsidP="00AB7AC7">
            <w:pPr>
              <w:widowControl/>
              <w:textAlignment w:val="top"/>
              <w:rPr>
                <w:rFonts w:ascii="Arial" w:eastAsia="Times New Roman" w:hAnsi="Arial" w:cs="Arial"/>
                <w:sz w:val="20"/>
                <w:szCs w:val="20"/>
                <w:lang w:val="fr-FR"/>
              </w:rPr>
            </w:pPr>
          </w:p>
        </w:tc>
      </w:tr>
    </w:tbl>
    <w:p w14:paraId="43AC5837" w14:textId="77777777" w:rsidR="0095502F" w:rsidRPr="0095502F" w:rsidRDefault="0095502F" w:rsidP="0095502F">
      <w:pPr>
        <w:widowControl/>
        <w:rPr>
          <w:rFonts w:eastAsia="Times New Roman" w:cs="Times New Roman"/>
          <w:sz w:val="20"/>
          <w:szCs w:val="24"/>
          <w:lang w:val="fr-FR"/>
        </w:rPr>
      </w:pPr>
      <w:r w:rsidRPr="0095502F">
        <w:rPr>
          <w:lang w:val="fr-FR"/>
        </w:rPr>
        <w:br w:type="page"/>
      </w:r>
    </w:p>
    <w:p w14:paraId="45C0FEA9" w14:textId="77777777" w:rsidR="0095502F" w:rsidRPr="0095502F" w:rsidRDefault="0095502F" w:rsidP="0095502F">
      <w:pPr>
        <w:widowControl/>
        <w:tabs>
          <w:tab w:val="left" w:pos="426"/>
          <w:tab w:val="left" w:pos="709"/>
          <w:tab w:val="left" w:pos="993"/>
        </w:tabs>
        <w:autoSpaceDE w:val="0"/>
        <w:autoSpaceDN w:val="0"/>
        <w:adjustRightInd w:val="0"/>
        <w:spacing w:line="240" w:lineRule="exact"/>
        <w:ind w:left="420" w:hanging="420"/>
        <w:jc w:val="right"/>
        <w:rPr>
          <w:rFonts w:eastAsia="Times New Roman" w:cs="Times New Roman"/>
          <w:b/>
          <w:bCs/>
          <w:sz w:val="20"/>
          <w:szCs w:val="24"/>
          <w:lang w:val="fr-FR"/>
        </w:rPr>
      </w:pPr>
      <w:r w:rsidRPr="0095502F">
        <w:rPr>
          <w:b/>
          <w:sz w:val="20"/>
          <w:lang w:val="fr-FR"/>
        </w:rPr>
        <w:t>Annexe 3</w:t>
      </w:r>
    </w:p>
    <w:p w14:paraId="17F67A94" w14:textId="77777777" w:rsidR="0095502F" w:rsidRPr="0095502F" w:rsidRDefault="0095502F" w:rsidP="0095502F">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lang w:val="fr-FR"/>
        </w:rPr>
      </w:pPr>
    </w:p>
    <w:p w14:paraId="65C949CB" w14:textId="77777777" w:rsidR="0095502F" w:rsidRPr="0095502F" w:rsidRDefault="0095502F" w:rsidP="0095502F">
      <w:pPr>
        <w:widowControl/>
        <w:tabs>
          <w:tab w:val="left" w:pos="426"/>
          <w:tab w:val="left" w:pos="709"/>
          <w:tab w:val="left" w:pos="993"/>
        </w:tabs>
        <w:autoSpaceDE w:val="0"/>
        <w:autoSpaceDN w:val="0"/>
        <w:adjustRightInd w:val="0"/>
        <w:spacing w:line="240" w:lineRule="exact"/>
        <w:ind w:left="420" w:hanging="420"/>
        <w:jc w:val="center"/>
        <w:rPr>
          <w:rFonts w:eastAsia="Times New Roman" w:cs="Times New Roman"/>
          <w:b/>
          <w:bCs/>
          <w:sz w:val="20"/>
          <w:szCs w:val="20"/>
          <w:lang w:val="fr-FR"/>
        </w:rPr>
      </w:pPr>
      <w:r w:rsidRPr="0095502F">
        <w:rPr>
          <w:b/>
          <w:sz w:val="20"/>
          <w:lang w:val="fr-FR"/>
        </w:rPr>
        <w:t>Calendrier de mise en œuvre de la procédure de gestion (MP)</w:t>
      </w:r>
    </w:p>
    <w:p w14:paraId="7620DC44" w14:textId="77777777" w:rsidR="0095502F" w:rsidRPr="0095502F" w:rsidRDefault="0095502F" w:rsidP="0095502F">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lang w:val="fr-FR"/>
        </w:rPr>
      </w:pPr>
    </w:p>
    <w:p w14:paraId="65AF0FA4" w14:textId="77777777" w:rsidR="0095502F" w:rsidRPr="00E25C82" w:rsidRDefault="0095502F" w:rsidP="0095502F">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rPr>
      </w:pPr>
      <w:r w:rsidRPr="00E25C82">
        <w:rPr>
          <w:sz w:val="20"/>
        </w:rPr>
        <w:t xml:space="preserve">Cycle de gestion de 3 </w:t>
      </w:r>
      <w:proofErr w:type="spellStart"/>
      <w:r w:rsidRPr="00E25C82">
        <w:rPr>
          <w:sz w:val="20"/>
        </w:rPr>
        <w:t>ans</w:t>
      </w:r>
      <w:proofErr w:type="spellEnd"/>
    </w:p>
    <w:p w14:paraId="07F7F8FF" w14:textId="77777777" w:rsidR="0095502F" w:rsidRPr="00E25C82" w:rsidRDefault="0095502F" w:rsidP="0095502F">
      <w:pPr>
        <w:widowControl/>
        <w:tabs>
          <w:tab w:val="left" w:pos="426"/>
          <w:tab w:val="left" w:pos="709"/>
          <w:tab w:val="left" w:pos="993"/>
        </w:tabs>
        <w:autoSpaceDE w:val="0"/>
        <w:autoSpaceDN w:val="0"/>
        <w:adjustRightInd w:val="0"/>
        <w:spacing w:line="240" w:lineRule="exact"/>
        <w:jc w:val="both"/>
        <w:rPr>
          <w:rFonts w:eastAsia="Times New Roman" w:cs="Times New Roman"/>
          <w:sz w:val="20"/>
          <w:szCs w:val="24"/>
        </w:rPr>
      </w:pPr>
    </w:p>
    <w:tbl>
      <w:tblPr>
        <w:tblW w:w="8810" w:type="dxa"/>
        <w:tblLayout w:type="fixed"/>
        <w:tblCellMar>
          <w:left w:w="0" w:type="dxa"/>
          <w:right w:w="0" w:type="dxa"/>
        </w:tblCellMar>
        <w:tblLook w:val="0600" w:firstRow="0" w:lastRow="0" w:firstColumn="0" w:lastColumn="0" w:noHBand="1" w:noVBand="1"/>
      </w:tblPr>
      <w:tblGrid>
        <w:gridCol w:w="620"/>
        <w:gridCol w:w="1170"/>
        <w:gridCol w:w="894"/>
        <w:gridCol w:w="726"/>
        <w:gridCol w:w="990"/>
        <w:gridCol w:w="720"/>
        <w:gridCol w:w="1350"/>
        <w:gridCol w:w="990"/>
        <w:gridCol w:w="1350"/>
      </w:tblGrid>
      <w:tr w:rsidR="0095502F" w:rsidRPr="00E25C82" w14:paraId="3D650560" w14:textId="77777777" w:rsidTr="00AB7AC7">
        <w:trPr>
          <w:trHeight w:val="428"/>
        </w:trPr>
        <w:tc>
          <w:tcPr>
            <w:tcW w:w="179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F181020" w14:textId="77777777" w:rsidR="0095502F" w:rsidRPr="00E25C82" w:rsidRDefault="0095502F" w:rsidP="00AB7AC7">
            <w:pPr>
              <w:widowControl/>
              <w:rPr>
                <w:rFonts w:eastAsia="Times New Roman" w:cs="Times New Roman"/>
                <w:sz w:val="18"/>
                <w:szCs w:val="18"/>
              </w:rPr>
            </w:pPr>
          </w:p>
          <w:p w14:paraId="692F6C05" w14:textId="77777777" w:rsidR="0095502F" w:rsidRPr="00E25C82" w:rsidRDefault="0095502F" w:rsidP="00AB7AC7">
            <w:pPr>
              <w:widowControl/>
              <w:rPr>
                <w:rFonts w:eastAsia="Times New Roman" w:cs="Times New Roman"/>
                <w:sz w:val="18"/>
                <w:szCs w:val="18"/>
              </w:rPr>
            </w:pPr>
            <w:r w:rsidRPr="00E25C82">
              <w:rPr>
                <w:sz w:val="18"/>
              </w:rPr>
              <w:t> </w:t>
            </w:r>
          </w:p>
        </w:tc>
        <w:tc>
          <w:tcPr>
            <w:tcW w:w="4680" w:type="dxa"/>
            <w:gridSpan w:val="5"/>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B4FF832" w14:textId="77777777" w:rsidR="0095502F" w:rsidRPr="00E25C82" w:rsidRDefault="0095502F" w:rsidP="00AB7AC7">
            <w:pPr>
              <w:widowControl/>
              <w:jc w:val="center"/>
              <w:rPr>
                <w:rFonts w:eastAsia="Times New Roman" w:cs="Times New Roman"/>
                <w:sz w:val="18"/>
                <w:szCs w:val="18"/>
              </w:rPr>
            </w:pPr>
            <w:proofErr w:type="spellStart"/>
            <w:r w:rsidRPr="00E25C82">
              <w:rPr>
                <w:b/>
                <w:i/>
                <w:sz w:val="18"/>
              </w:rPr>
              <w:t>Activité</w:t>
            </w:r>
            <w:proofErr w:type="spellEnd"/>
          </w:p>
        </w:tc>
        <w:tc>
          <w:tcPr>
            <w:tcW w:w="234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5F18416" w14:textId="77777777" w:rsidR="0095502F" w:rsidRPr="00E25C82" w:rsidRDefault="0095502F" w:rsidP="00AB7AC7">
            <w:pPr>
              <w:widowControl/>
              <w:jc w:val="center"/>
              <w:rPr>
                <w:rFonts w:eastAsia="Times New Roman" w:cs="Times New Roman"/>
                <w:sz w:val="18"/>
                <w:szCs w:val="18"/>
              </w:rPr>
            </w:pPr>
            <w:r w:rsidRPr="00E25C82">
              <w:rPr>
                <w:b/>
                <w:i/>
                <w:sz w:val="18"/>
              </w:rPr>
              <w:t>Entrée de données</w:t>
            </w:r>
          </w:p>
        </w:tc>
      </w:tr>
      <w:tr w:rsidR="0095502F" w:rsidRPr="00E25C82" w14:paraId="54F6FEE4" w14:textId="77777777" w:rsidTr="00AB7AC7">
        <w:trPr>
          <w:trHeight w:val="581"/>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78C155B" w14:textId="77777777" w:rsidR="0095502F" w:rsidRPr="00E25C82" w:rsidRDefault="0095502F" w:rsidP="00AB7AC7">
            <w:pPr>
              <w:widowControl/>
              <w:jc w:val="center"/>
              <w:rPr>
                <w:rFonts w:eastAsia="Times New Roman" w:cs="Times New Roman"/>
                <w:i/>
                <w:iCs/>
                <w:sz w:val="18"/>
                <w:szCs w:val="18"/>
              </w:rPr>
            </w:pPr>
            <w:r w:rsidRPr="00E25C82">
              <w:rPr>
                <w:i/>
                <w:sz w:val="18"/>
              </w:rPr>
              <w:t>Année</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41C29F7" w14:textId="77777777" w:rsidR="0095502F" w:rsidRPr="00E25C82" w:rsidRDefault="0095502F" w:rsidP="00AB7AC7">
            <w:pPr>
              <w:widowControl/>
              <w:jc w:val="center"/>
              <w:rPr>
                <w:rFonts w:eastAsia="Times New Roman" w:cs="Times New Roman"/>
                <w:i/>
                <w:iCs/>
                <w:sz w:val="18"/>
                <w:szCs w:val="18"/>
              </w:rPr>
            </w:pPr>
            <w:r w:rsidRPr="00E25C82">
              <w:rPr>
                <w:i/>
                <w:sz w:val="18"/>
              </w:rPr>
              <w:t>Cycle de gestion</w:t>
            </w: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7829D68" w14:textId="77777777" w:rsidR="0095502F" w:rsidRPr="00E25C82" w:rsidRDefault="0095502F" w:rsidP="00AB7AC7">
            <w:pPr>
              <w:widowControl/>
              <w:jc w:val="center"/>
              <w:rPr>
                <w:rFonts w:eastAsia="Times New Roman" w:cs="Times New Roman"/>
                <w:i/>
                <w:iCs/>
                <w:sz w:val="18"/>
                <w:szCs w:val="18"/>
              </w:rPr>
            </w:pPr>
            <w:proofErr w:type="spellStart"/>
            <w:r w:rsidRPr="00E25C82">
              <w:rPr>
                <w:i/>
                <w:sz w:val="18"/>
              </w:rPr>
              <w:t>Exécution</w:t>
            </w:r>
            <w:proofErr w:type="spellEnd"/>
            <w:r w:rsidRPr="00E25C82">
              <w:rPr>
                <w:i/>
                <w:sz w:val="18"/>
              </w:rPr>
              <w:t xml:space="preserve"> de la MP</w:t>
            </w: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DD6CDA" w14:textId="77777777" w:rsidR="0095502F" w:rsidRPr="0095502F" w:rsidRDefault="0095502F" w:rsidP="00AB7AC7">
            <w:pPr>
              <w:widowControl/>
              <w:jc w:val="center"/>
              <w:rPr>
                <w:rFonts w:eastAsia="Times New Roman" w:cs="Times New Roman"/>
                <w:i/>
                <w:iCs/>
                <w:sz w:val="18"/>
                <w:szCs w:val="18"/>
                <w:lang w:val="fr-FR"/>
              </w:rPr>
            </w:pPr>
            <w:r w:rsidRPr="0095502F">
              <w:rPr>
                <w:i/>
                <w:sz w:val="18"/>
                <w:lang w:val="fr-FR"/>
              </w:rPr>
              <w:t xml:space="preserve">Avis sur la MP mise en œuvre </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1A5F1BC" w14:textId="77777777" w:rsidR="0095502F" w:rsidRPr="00E25C82" w:rsidRDefault="0095502F" w:rsidP="00AB7AC7">
            <w:pPr>
              <w:widowControl/>
              <w:jc w:val="center"/>
              <w:rPr>
                <w:rFonts w:eastAsia="Times New Roman" w:cs="Times New Roman"/>
                <w:i/>
                <w:iCs/>
                <w:sz w:val="18"/>
                <w:szCs w:val="18"/>
              </w:rPr>
            </w:pPr>
            <w:proofErr w:type="spellStart"/>
            <w:r w:rsidRPr="00E25C82">
              <w:rPr>
                <w:i/>
                <w:sz w:val="18"/>
              </w:rPr>
              <w:t>Évaluation</w:t>
            </w:r>
            <w:proofErr w:type="spellEnd"/>
            <w:r w:rsidRPr="00E25C82">
              <w:rPr>
                <w:i/>
                <w:sz w:val="18"/>
              </w:rPr>
              <w:t xml:space="preserve"> du stock</w:t>
            </w: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637B3F5" w14:textId="77777777" w:rsidR="0095502F" w:rsidRPr="00E25C82" w:rsidRDefault="0095502F" w:rsidP="00AB7AC7">
            <w:pPr>
              <w:widowControl/>
              <w:jc w:val="center"/>
              <w:rPr>
                <w:rFonts w:eastAsia="Times New Roman" w:cs="Times New Roman"/>
                <w:i/>
                <w:iCs/>
                <w:sz w:val="18"/>
                <w:szCs w:val="18"/>
              </w:rPr>
            </w:pPr>
            <w:proofErr w:type="spellStart"/>
            <w:r w:rsidRPr="00E25C82">
              <w:rPr>
                <w:i/>
                <w:sz w:val="18"/>
              </w:rPr>
              <w:t>Révision</w:t>
            </w:r>
            <w:proofErr w:type="spellEnd"/>
            <w:r w:rsidRPr="00E25C82">
              <w:rPr>
                <w:i/>
                <w:sz w:val="18"/>
              </w:rPr>
              <w:t xml:space="preserve"> de la MSE</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1FF7EBF" w14:textId="77777777" w:rsidR="0095502F" w:rsidRPr="00E25C82" w:rsidRDefault="0095502F" w:rsidP="00AB7AC7">
            <w:pPr>
              <w:widowControl/>
              <w:jc w:val="center"/>
              <w:rPr>
                <w:rFonts w:eastAsia="Times New Roman" w:cs="Times New Roman"/>
                <w:i/>
                <w:iCs/>
                <w:sz w:val="18"/>
                <w:szCs w:val="18"/>
              </w:rPr>
            </w:pPr>
            <w:r w:rsidRPr="00E25C82">
              <w:rPr>
                <w:i/>
                <w:sz w:val="18"/>
              </w:rPr>
              <w:t xml:space="preserve">Evaluation des EC </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1AE1678" w14:textId="77777777" w:rsidR="0095502F" w:rsidRPr="00E25C82" w:rsidRDefault="0095502F" w:rsidP="00AB7AC7">
            <w:pPr>
              <w:widowControl/>
              <w:jc w:val="center"/>
              <w:rPr>
                <w:rFonts w:eastAsia="Times New Roman" w:cs="Times New Roman"/>
                <w:i/>
                <w:iCs/>
                <w:sz w:val="18"/>
                <w:szCs w:val="18"/>
              </w:rPr>
            </w:pPr>
            <w:proofErr w:type="spellStart"/>
            <w:r w:rsidRPr="00E25C82">
              <w:rPr>
                <w:i/>
                <w:sz w:val="18"/>
              </w:rPr>
              <w:t>Indice</w:t>
            </w:r>
            <w:proofErr w:type="spellEnd"/>
            <w:r w:rsidRPr="00E25C82">
              <w:rPr>
                <w:i/>
                <w:sz w:val="18"/>
              </w:rPr>
              <w:t xml:space="preserve"> </w:t>
            </w:r>
            <w:proofErr w:type="spellStart"/>
            <w:r w:rsidRPr="00E25C82">
              <w:rPr>
                <w:i/>
                <w:sz w:val="18"/>
              </w:rPr>
              <w:t>combiné</w:t>
            </w:r>
            <w:proofErr w:type="spellEnd"/>
            <w:r w:rsidRPr="00E25C82">
              <w:rPr>
                <w:i/>
                <w:sz w:val="18"/>
              </w:rPr>
              <w:t>*</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EA0AC18" w14:textId="77777777" w:rsidR="0095502F" w:rsidRPr="00E25C82" w:rsidRDefault="0095502F" w:rsidP="00AB7AC7">
            <w:pPr>
              <w:widowControl/>
              <w:jc w:val="center"/>
              <w:rPr>
                <w:rFonts w:eastAsia="Times New Roman" w:cs="Times New Roman"/>
                <w:i/>
                <w:iCs/>
                <w:sz w:val="18"/>
                <w:szCs w:val="18"/>
              </w:rPr>
            </w:pPr>
            <w:proofErr w:type="spellStart"/>
            <w:r w:rsidRPr="00E25C82">
              <w:rPr>
                <w:i/>
                <w:sz w:val="18"/>
              </w:rPr>
              <w:t>Indicateurs</w:t>
            </w:r>
            <w:proofErr w:type="spellEnd"/>
            <w:r w:rsidRPr="00E25C82">
              <w:rPr>
                <w:i/>
                <w:sz w:val="18"/>
              </w:rPr>
              <w:t xml:space="preserve"> </w:t>
            </w:r>
            <w:proofErr w:type="spellStart"/>
            <w:r w:rsidRPr="00E25C82">
              <w:rPr>
                <w:i/>
                <w:sz w:val="18"/>
              </w:rPr>
              <w:t>d’EC</w:t>
            </w:r>
            <w:proofErr w:type="spellEnd"/>
          </w:p>
        </w:tc>
      </w:tr>
      <w:tr w:rsidR="0095502F" w:rsidRPr="00E25C82" w14:paraId="5D4AFC07"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29D596E" w14:textId="77777777" w:rsidR="0095502F" w:rsidRPr="00E25C82" w:rsidRDefault="0095502F" w:rsidP="00AB7AC7">
            <w:pPr>
              <w:widowControl/>
              <w:jc w:val="center"/>
              <w:rPr>
                <w:rFonts w:eastAsia="Times New Roman" w:cs="Times New Roman"/>
                <w:sz w:val="18"/>
                <w:szCs w:val="18"/>
              </w:rPr>
            </w:pPr>
            <w:r w:rsidRPr="00E25C82">
              <w:rPr>
                <w:sz w:val="18"/>
              </w:rPr>
              <w:t>2024</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7C9A52" w14:textId="77777777" w:rsidR="0095502F" w:rsidRPr="00E25C82" w:rsidRDefault="0095502F" w:rsidP="00AB7AC7">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38E89A"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E4000E2"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6ECCFE"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DBB25E2"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FA92173"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6750428"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22D4208" w14:textId="77777777" w:rsidR="0095502F" w:rsidRPr="00E25C82" w:rsidRDefault="0095502F" w:rsidP="00AB7AC7">
            <w:pPr>
              <w:widowControl/>
              <w:jc w:val="center"/>
              <w:rPr>
                <w:rFonts w:eastAsia="Times New Roman" w:cs="Times New Roman"/>
                <w:sz w:val="18"/>
                <w:szCs w:val="18"/>
              </w:rPr>
            </w:pPr>
          </w:p>
        </w:tc>
      </w:tr>
      <w:tr w:rsidR="0095502F" w:rsidRPr="00E25C82" w14:paraId="032244B5"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0B3918E" w14:textId="77777777" w:rsidR="0095502F" w:rsidRPr="00E25C82" w:rsidRDefault="0095502F" w:rsidP="00AB7AC7">
            <w:pPr>
              <w:widowControl/>
              <w:jc w:val="center"/>
              <w:rPr>
                <w:rFonts w:eastAsia="Times New Roman" w:cs="Times New Roman"/>
                <w:sz w:val="18"/>
                <w:szCs w:val="18"/>
              </w:rPr>
            </w:pPr>
            <w:r w:rsidRPr="00E25C82">
              <w:rPr>
                <w:sz w:val="18"/>
              </w:rPr>
              <w:t>2025</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3E3B57A" w14:textId="77777777" w:rsidR="0095502F" w:rsidRPr="00E25C82" w:rsidRDefault="0095502F" w:rsidP="00AB7AC7">
            <w:pPr>
              <w:widowControl/>
              <w:jc w:val="center"/>
              <w:rPr>
                <w:rFonts w:eastAsia="Times New Roman" w:cs="Times New Roman"/>
                <w:sz w:val="18"/>
                <w:szCs w:val="18"/>
              </w:rPr>
            </w:pPr>
            <w:r w:rsidRPr="00E25C82">
              <w:rPr>
                <w:sz w:val="18"/>
              </w:rPr>
              <w:t>1</w:t>
            </w: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1B5C855" w14:textId="77777777" w:rsidR="0095502F" w:rsidRPr="00E25C82" w:rsidRDefault="0095502F" w:rsidP="00AB7AC7">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D35BDD"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781834"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2458AD0"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0EB1439"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5738D32"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CFCA3BB"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2939C101"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4B28C53" w14:textId="77777777" w:rsidR="0095502F" w:rsidRPr="00E25C82" w:rsidRDefault="0095502F" w:rsidP="00AB7AC7">
            <w:pPr>
              <w:widowControl/>
              <w:jc w:val="center"/>
              <w:rPr>
                <w:rFonts w:eastAsia="Times New Roman" w:cs="Times New Roman"/>
                <w:sz w:val="18"/>
                <w:szCs w:val="18"/>
              </w:rPr>
            </w:pPr>
            <w:r w:rsidRPr="00E25C82">
              <w:rPr>
                <w:sz w:val="18"/>
              </w:rPr>
              <w:t>2026</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60BE2B50" w14:textId="77777777" w:rsidR="0095502F" w:rsidRPr="00E25C82" w:rsidRDefault="0095502F" w:rsidP="00AB7AC7">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A9080C3" w14:textId="77777777" w:rsidR="0095502F" w:rsidRPr="00E25C82" w:rsidRDefault="0095502F" w:rsidP="00AB7AC7">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4A8BDD7"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887A478"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BD4E61"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774E7AE"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AE8F593"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621C971"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510E9F47"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7AE0BBF" w14:textId="77777777" w:rsidR="0095502F" w:rsidRPr="00E25C82" w:rsidRDefault="0095502F" w:rsidP="00AB7AC7">
            <w:pPr>
              <w:widowControl/>
              <w:jc w:val="center"/>
              <w:rPr>
                <w:rFonts w:eastAsia="Times New Roman" w:cs="Times New Roman"/>
                <w:sz w:val="18"/>
                <w:szCs w:val="18"/>
              </w:rPr>
            </w:pPr>
            <w:r w:rsidRPr="00E25C82">
              <w:rPr>
                <w:sz w:val="18"/>
              </w:rPr>
              <w:t>2027</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5B0563B2" w14:textId="77777777" w:rsidR="0095502F" w:rsidRPr="00E25C82" w:rsidRDefault="0095502F" w:rsidP="00AB7AC7">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CE7E2D"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4CB6E60"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560D40"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F4728D1"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F5A83B"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438BCA"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56B29B"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215BCAA2"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9013EC2" w14:textId="77777777" w:rsidR="0095502F" w:rsidRPr="00E25C82" w:rsidRDefault="0095502F" w:rsidP="00AB7AC7">
            <w:pPr>
              <w:widowControl/>
              <w:jc w:val="center"/>
              <w:rPr>
                <w:rFonts w:eastAsia="Times New Roman" w:cs="Times New Roman"/>
                <w:sz w:val="18"/>
                <w:szCs w:val="18"/>
              </w:rPr>
            </w:pPr>
            <w:r w:rsidRPr="00E25C82">
              <w:rPr>
                <w:sz w:val="18"/>
              </w:rPr>
              <w:t>2028</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FD17BC1" w14:textId="77777777" w:rsidR="0095502F" w:rsidRPr="00E25C82" w:rsidRDefault="0095502F" w:rsidP="00AB7AC7">
            <w:pPr>
              <w:widowControl/>
              <w:jc w:val="center"/>
              <w:rPr>
                <w:rFonts w:eastAsia="Times New Roman" w:cs="Times New Roman"/>
                <w:sz w:val="18"/>
                <w:szCs w:val="18"/>
              </w:rPr>
            </w:pPr>
            <w:r w:rsidRPr="00E25C82">
              <w:rPr>
                <w:sz w:val="18"/>
              </w:rPr>
              <w:t>2</w:t>
            </w: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2858ECE" w14:textId="77777777" w:rsidR="0095502F" w:rsidRPr="00E25C82" w:rsidRDefault="0095502F" w:rsidP="00AB7AC7">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C439B1"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E638BC"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D1B3A79"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89EF3F2"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5016966"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23549C5"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5CEA31A7" w14:textId="77777777" w:rsidTr="00AB7AC7">
        <w:trPr>
          <w:trHeight w:val="457"/>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7967F1" w14:textId="77777777" w:rsidR="0095502F" w:rsidRPr="00E25C82" w:rsidRDefault="0095502F" w:rsidP="00AB7AC7">
            <w:pPr>
              <w:widowControl/>
              <w:jc w:val="center"/>
              <w:rPr>
                <w:rFonts w:eastAsia="Times New Roman" w:cs="Times New Roman"/>
                <w:sz w:val="18"/>
                <w:szCs w:val="18"/>
              </w:rPr>
            </w:pPr>
            <w:r w:rsidRPr="00E25C82">
              <w:rPr>
                <w:sz w:val="18"/>
              </w:rPr>
              <w:t>2029</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21956025" w14:textId="77777777" w:rsidR="0095502F" w:rsidRPr="00E25C82" w:rsidRDefault="0095502F" w:rsidP="00AB7AC7">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A962BE0" w14:textId="77777777" w:rsidR="0095502F" w:rsidRPr="00E25C82" w:rsidRDefault="0095502F" w:rsidP="00AB7AC7">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E1E38AB"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70E18C"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D898137"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F2EEE26"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731979"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8A4FF7D"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6A053EA3"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F7FCC4E" w14:textId="77777777" w:rsidR="0095502F" w:rsidRPr="00E25C82" w:rsidRDefault="0095502F" w:rsidP="00AB7AC7">
            <w:pPr>
              <w:widowControl/>
              <w:jc w:val="center"/>
              <w:rPr>
                <w:rFonts w:eastAsia="Times New Roman" w:cs="Times New Roman"/>
                <w:sz w:val="18"/>
                <w:szCs w:val="18"/>
              </w:rPr>
            </w:pPr>
            <w:r w:rsidRPr="00E25C82">
              <w:rPr>
                <w:sz w:val="18"/>
              </w:rPr>
              <w:t>2030</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04CD90C0" w14:textId="77777777" w:rsidR="0095502F" w:rsidRPr="00E25C82" w:rsidRDefault="0095502F" w:rsidP="00AB7AC7">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D36C301"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E3F27B"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BDA087C"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8478E6"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31F197F"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B220669"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35CCBDB"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2647B53D" w14:textId="77777777" w:rsidTr="00AB7AC7">
        <w:trPr>
          <w:trHeight w:val="417"/>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640E840" w14:textId="77777777" w:rsidR="0095502F" w:rsidRPr="00E25C82" w:rsidRDefault="0095502F" w:rsidP="00AB7AC7">
            <w:pPr>
              <w:widowControl/>
              <w:jc w:val="center"/>
              <w:rPr>
                <w:rFonts w:eastAsia="Times New Roman" w:cs="Times New Roman"/>
                <w:sz w:val="18"/>
                <w:szCs w:val="18"/>
              </w:rPr>
            </w:pPr>
            <w:r w:rsidRPr="00E25C82">
              <w:rPr>
                <w:sz w:val="18"/>
              </w:rPr>
              <w:t>2031</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31AD4D0" w14:textId="77777777" w:rsidR="0095502F" w:rsidRPr="00E25C82" w:rsidRDefault="0095502F" w:rsidP="00AB7AC7">
            <w:pPr>
              <w:widowControl/>
              <w:jc w:val="center"/>
              <w:rPr>
                <w:rFonts w:eastAsia="Times New Roman" w:cs="Times New Roman"/>
                <w:sz w:val="18"/>
                <w:szCs w:val="18"/>
              </w:rPr>
            </w:pPr>
            <w:r w:rsidRPr="00E25C82">
              <w:rPr>
                <w:sz w:val="18"/>
              </w:rPr>
              <w:t>3</w:t>
            </w: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63092E" w14:textId="77777777" w:rsidR="0095502F" w:rsidRPr="00E25C82" w:rsidRDefault="0095502F" w:rsidP="00AB7AC7">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D63E67A"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8DBC14"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74F201"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574E6AF"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C284A3"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16762D7"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4EAA7055"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800A4A0" w14:textId="77777777" w:rsidR="0095502F" w:rsidRPr="00E25C82" w:rsidRDefault="0095502F" w:rsidP="00AB7AC7">
            <w:pPr>
              <w:widowControl/>
              <w:jc w:val="center"/>
              <w:rPr>
                <w:rFonts w:eastAsia="Times New Roman" w:cs="Times New Roman"/>
                <w:sz w:val="18"/>
                <w:szCs w:val="18"/>
              </w:rPr>
            </w:pPr>
            <w:r w:rsidRPr="00E25C82">
              <w:rPr>
                <w:sz w:val="18"/>
              </w:rPr>
              <w:t>2032</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BB86232" w14:textId="77777777" w:rsidR="0095502F" w:rsidRPr="00E25C82" w:rsidRDefault="0095502F" w:rsidP="00AB7AC7">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9BEA5D" w14:textId="77777777" w:rsidR="0095502F" w:rsidRPr="00E25C82" w:rsidRDefault="0095502F" w:rsidP="00AB7AC7">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7AAF3B"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A11BCF"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7B4C8F0"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D8D78E1"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763137A"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EEEEA97" w14:textId="77777777" w:rsidR="0095502F" w:rsidRPr="00E25C82" w:rsidRDefault="0095502F" w:rsidP="00AB7AC7">
            <w:pPr>
              <w:widowControl/>
              <w:jc w:val="center"/>
              <w:rPr>
                <w:rFonts w:eastAsia="Times New Roman" w:cs="Times New Roman"/>
                <w:sz w:val="18"/>
                <w:szCs w:val="18"/>
              </w:rPr>
            </w:pPr>
            <w:r w:rsidRPr="00E25C82">
              <w:rPr>
                <w:sz w:val="18"/>
              </w:rPr>
              <w:t>x</w:t>
            </w:r>
          </w:p>
        </w:tc>
      </w:tr>
      <w:tr w:rsidR="0095502F" w:rsidRPr="00E25C82" w14:paraId="788507E7" w14:textId="77777777" w:rsidTr="00AB7AC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BA43FAC" w14:textId="77777777" w:rsidR="0095502F" w:rsidRPr="00E25C82" w:rsidRDefault="0095502F" w:rsidP="00AB7AC7">
            <w:pPr>
              <w:widowControl/>
              <w:jc w:val="center"/>
              <w:rPr>
                <w:rFonts w:eastAsia="Times New Roman" w:cs="Times New Roman"/>
                <w:sz w:val="18"/>
                <w:szCs w:val="18"/>
              </w:rPr>
            </w:pPr>
            <w:r w:rsidRPr="00E25C82">
              <w:rPr>
                <w:sz w:val="18"/>
              </w:rPr>
              <w:t>2033</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672B9EAC" w14:textId="77777777" w:rsidR="0095502F" w:rsidRPr="00E25C82" w:rsidRDefault="0095502F" w:rsidP="00AB7AC7">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7309A0"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B44EA22" w14:textId="77777777" w:rsidR="0095502F" w:rsidRPr="00E25C82" w:rsidRDefault="0095502F" w:rsidP="00AB7AC7">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DD6FE3B" w14:textId="77777777" w:rsidR="0095502F" w:rsidRPr="00E25C82" w:rsidRDefault="0095502F" w:rsidP="00AB7AC7">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E3FC25" w14:textId="77777777" w:rsidR="0095502F" w:rsidRPr="00E25C82" w:rsidRDefault="0095502F" w:rsidP="00AB7AC7">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44CE1B2"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47B43BA" w14:textId="77777777" w:rsidR="0095502F" w:rsidRPr="00E25C82" w:rsidRDefault="0095502F" w:rsidP="00AB7AC7">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7E21D26" w14:textId="77777777" w:rsidR="0095502F" w:rsidRPr="00E25C82" w:rsidRDefault="0095502F" w:rsidP="00AB7AC7">
            <w:pPr>
              <w:widowControl/>
              <w:jc w:val="center"/>
              <w:rPr>
                <w:rFonts w:eastAsia="Times New Roman" w:cs="Times New Roman"/>
                <w:sz w:val="18"/>
                <w:szCs w:val="18"/>
              </w:rPr>
            </w:pPr>
            <w:r w:rsidRPr="00E25C82">
              <w:rPr>
                <w:sz w:val="18"/>
              </w:rPr>
              <w:t>x</w:t>
            </w:r>
          </w:p>
        </w:tc>
      </w:tr>
    </w:tbl>
    <w:p w14:paraId="228D259A" w14:textId="77777777" w:rsidR="0095502F" w:rsidRPr="0095502F" w:rsidRDefault="0095502F" w:rsidP="0095502F">
      <w:pPr>
        <w:widowControl/>
        <w:jc w:val="both"/>
        <w:rPr>
          <w:rFonts w:eastAsia="Times New Roman" w:cs="Times New Roman"/>
          <w:sz w:val="16"/>
          <w:szCs w:val="16"/>
          <w:lang w:val="fr-FR"/>
        </w:rPr>
      </w:pPr>
      <w:r w:rsidRPr="0095502F">
        <w:rPr>
          <w:sz w:val="16"/>
          <w:lang w:val="fr-FR"/>
        </w:rPr>
        <w:t>* L’indice combiné pourra être mis à jour tous les ans en fonction des exigences établies dans le protocole de circonstances exceptionnelles (ECP).</w:t>
      </w:r>
    </w:p>
    <w:p w14:paraId="1BE84204" w14:textId="77777777" w:rsidR="0095502F" w:rsidRPr="0095502F" w:rsidRDefault="0095502F" w:rsidP="0095502F">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lang w:val="fr-FR"/>
        </w:rPr>
      </w:pPr>
    </w:p>
    <w:p w14:paraId="3839485A" w14:textId="77777777" w:rsidR="0095502F" w:rsidRPr="0095502F" w:rsidRDefault="0095502F" w:rsidP="0095502F">
      <w:pPr>
        <w:rPr>
          <w:sz w:val="20"/>
          <w:szCs w:val="20"/>
          <w:lang w:val="fr-FR"/>
        </w:rPr>
      </w:pPr>
    </w:p>
    <w:p w14:paraId="44965D8A" w14:textId="77777777" w:rsidR="00845952" w:rsidRPr="0095502F" w:rsidRDefault="00845952">
      <w:pPr>
        <w:rPr>
          <w:lang w:val="fr-FR"/>
        </w:rPr>
      </w:pPr>
    </w:p>
    <w:p w14:paraId="5DDF4946" w14:textId="77777777" w:rsidR="00845952" w:rsidRPr="0095502F" w:rsidRDefault="00845952">
      <w:pPr>
        <w:rPr>
          <w:lang w:val="fr-FR"/>
        </w:rPr>
      </w:pPr>
    </w:p>
    <w:p w14:paraId="002BB908" w14:textId="77777777" w:rsidR="00845952" w:rsidRPr="0095502F" w:rsidRDefault="00845952">
      <w:pPr>
        <w:rPr>
          <w:lang w:val="fr-FR"/>
        </w:rPr>
      </w:pPr>
    </w:p>
    <w:p w14:paraId="6DBFCC98" w14:textId="77777777" w:rsidR="00845952" w:rsidRPr="0095502F" w:rsidRDefault="00845952">
      <w:pPr>
        <w:rPr>
          <w:lang w:val="fr-FR"/>
        </w:rPr>
      </w:pPr>
    </w:p>
    <w:p w14:paraId="18559AA0" w14:textId="77777777" w:rsidR="00845952" w:rsidRPr="0095502F" w:rsidRDefault="00845952">
      <w:pPr>
        <w:rPr>
          <w:lang w:val="fr-FR"/>
        </w:rPr>
      </w:pPr>
    </w:p>
    <w:p w14:paraId="6840F46C" w14:textId="77777777" w:rsidR="00845952" w:rsidRPr="0095502F" w:rsidRDefault="00845952">
      <w:pPr>
        <w:rPr>
          <w:lang w:val="fr-FR"/>
        </w:rPr>
      </w:pPr>
    </w:p>
    <w:p w14:paraId="103FE727" w14:textId="77777777" w:rsidR="00845952" w:rsidRPr="0095502F" w:rsidRDefault="00845952">
      <w:pPr>
        <w:rPr>
          <w:lang w:val="fr-FR"/>
        </w:rPr>
      </w:pPr>
    </w:p>
    <w:p w14:paraId="36CD4A80" w14:textId="77777777" w:rsidR="00845952" w:rsidRPr="0095502F" w:rsidRDefault="00845952">
      <w:pPr>
        <w:rPr>
          <w:lang w:val="fr-FR"/>
        </w:rPr>
      </w:pPr>
    </w:p>
    <w:p w14:paraId="3D777582" w14:textId="77777777" w:rsidR="00845952" w:rsidRPr="0095502F" w:rsidRDefault="00845952">
      <w:pPr>
        <w:rPr>
          <w:lang w:val="fr-FR"/>
        </w:rPr>
      </w:pPr>
    </w:p>
    <w:p w14:paraId="0102D328" w14:textId="7EB68DEC" w:rsidR="00FF4B35" w:rsidRDefault="00FF4B35">
      <w:pPr>
        <w:widowControl/>
        <w:spacing w:after="160" w:line="259" w:lineRule="auto"/>
        <w:rPr>
          <w:lang w:val="fr-FR"/>
        </w:rPr>
      </w:pPr>
      <w:r>
        <w:rPr>
          <w:lang w:val="fr-FR"/>
        </w:rPr>
        <w:br w:type="page"/>
      </w:r>
    </w:p>
    <w:p w14:paraId="34F46B56" w14:textId="189FC274" w:rsidR="00845952" w:rsidRPr="0017684A" w:rsidRDefault="00845952" w:rsidP="00845952">
      <w:pPr>
        <w:ind w:right="2"/>
        <w:jc w:val="right"/>
        <w:rPr>
          <w:b/>
          <w:sz w:val="20"/>
          <w:szCs w:val="20"/>
          <w:u w:val="single"/>
        </w:rPr>
      </w:pPr>
      <w:proofErr w:type="spellStart"/>
      <w:r w:rsidRPr="0017684A">
        <w:rPr>
          <w:b/>
          <w:sz w:val="20"/>
          <w:szCs w:val="20"/>
          <w:u w:val="single"/>
        </w:rPr>
        <w:t>Annex</w:t>
      </w:r>
      <w:r w:rsidR="00311FE7" w:rsidRPr="0017684A">
        <w:rPr>
          <w:b/>
          <w:sz w:val="20"/>
          <w:szCs w:val="20"/>
          <w:u w:val="single"/>
        </w:rPr>
        <w:t>e</w:t>
      </w:r>
      <w:proofErr w:type="spellEnd"/>
      <w:r w:rsidRPr="0017684A">
        <w:rPr>
          <w:b/>
          <w:sz w:val="20"/>
          <w:szCs w:val="20"/>
          <w:u w:val="single"/>
        </w:rPr>
        <w:t xml:space="preserve"> </w:t>
      </w:r>
      <w:r w:rsidR="00CC0AD1" w:rsidRPr="0017684A">
        <w:rPr>
          <w:b/>
          <w:sz w:val="20"/>
          <w:szCs w:val="20"/>
          <w:u w:val="single"/>
        </w:rPr>
        <w:t>4</w:t>
      </w:r>
    </w:p>
    <w:p w14:paraId="1FC687DA" w14:textId="77777777" w:rsidR="00845952" w:rsidRPr="004B785C" w:rsidRDefault="00845952" w:rsidP="00845952">
      <w:pPr>
        <w:ind w:right="180"/>
        <w:jc w:val="center"/>
        <w:rPr>
          <w:b/>
          <w:sz w:val="20"/>
          <w:szCs w:val="20"/>
          <w:highlight w:val="yellow"/>
          <w:u w:val="single"/>
        </w:rPr>
      </w:pPr>
      <w:r w:rsidRPr="004B785C">
        <w:rPr>
          <w:b/>
          <w:sz w:val="20"/>
          <w:szCs w:val="20"/>
          <w:highlight w:val="yellow"/>
          <w:u w:val="single"/>
        </w:rPr>
        <w:t xml:space="preserve"> </w:t>
      </w:r>
    </w:p>
    <w:p w14:paraId="25D041D9" w14:textId="745A753A" w:rsidR="004B785C" w:rsidRPr="004B785C" w:rsidRDefault="00311FE7" w:rsidP="004B785C">
      <w:pPr>
        <w:widowControl/>
        <w:spacing w:after="5" w:line="249" w:lineRule="auto"/>
        <w:ind w:left="436" w:right="47" w:hanging="434"/>
        <w:jc w:val="center"/>
        <w:rPr>
          <w:b/>
          <w:color w:val="000000"/>
          <w:sz w:val="20"/>
          <w:szCs w:val="20"/>
          <w:u w:val="single"/>
          <w:lang w:val="fr-FR" w:eastAsia="en-GB"/>
        </w:rPr>
      </w:pPr>
      <w:r w:rsidRPr="004B785C">
        <w:rPr>
          <w:b/>
          <w:color w:val="000000"/>
          <w:sz w:val="20"/>
          <w:u w:val="single"/>
          <w:lang w:val="fr-FR" w:eastAsia="en-GB"/>
        </w:rPr>
        <w:t>Protocole</w:t>
      </w:r>
      <w:r w:rsidR="004B785C" w:rsidRPr="004B785C">
        <w:rPr>
          <w:b/>
          <w:color w:val="000000"/>
          <w:sz w:val="20"/>
          <w:u w:val="single"/>
          <w:lang w:val="fr-FR" w:eastAsia="en-GB"/>
        </w:rPr>
        <w:t xml:space="preserve"> de circonstances exceptionnelles (ECP) pour l'espadon de l'Atlantique Nord</w:t>
      </w:r>
    </w:p>
    <w:p w14:paraId="417ADD2D" w14:textId="77777777" w:rsidR="004B785C" w:rsidRPr="004B785C" w:rsidRDefault="004B785C" w:rsidP="004B785C">
      <w:pPr>
        <w:widowControl/>
        <w:spacing w:after="5" w:line="249" w:lineRule="auto"/>
        <w:ind w:left="436" w:right="47" w:hanging="434"/>
        <w:jc w:val="center"/>
        <w:rPr>
          <w:b/>
          <w:color w:val="000000"/>
          <w:sz w:val="20"/>
          <w:szCs w:val="20"/>
          <w:u w:val="single"/>
          <w:lang w:val="fr-FR" w:eastAsia="en-GB"/>
        </w:rPr>
      </w:pPr>
    </w:p>
    <w:p w14:paraId="72C792F0" w14:textId="77777777" w:rsidR="004B785C" w:rsidRPr="004B785C" w:rsidRDefault="004B785C" w:rsidP="004B785C">
      <w:pPr>
        <w:widowControl/>
        <w:numPr>
          <w:ilvl w:val="0"/>
          <w:numId w:val="3"/>
        </w:numPr>
        <w:spacing w:after="160" w:line="278" w:lineRule="auto"/>
        <w:ind w:left="426" w:right="47" w:hanging="426"/>
        <w:contextualSpacing/>
        <w:jc w:val="both"/>
        <w:rPr>
          <w:rFonts w:eastAsia="Aptos" w:cs="Arial"/>
          <w:b/>
          <w:kern w:val="2"/>
          <w:sz w:val="20"/>
          <w:szCs w:val="20"/>
          <w:u w:val="single"/>
          <w:lang w:val="fr-FR" w:eastAsia="en-GB"/>
          <w14:ligatures w14:val="standardContextual"/>
        </w:rPr>
      </w:pPr>
      <w:r w:rsidRPr="004B785C">
        <w:rPr>
          <w:b/>
          <w:sz w:val="20"/>
          <w:u w:val="single"/>
          <w:lang w:val="fr-FR" w:eastAsia="en-GB"/>
        </w:rPr>
        <w:t>Principes de circonstances exceptionnelles (EC)</w:t>
      </w:r>
      <w:r w:rsidRPr="004B785C">
        <w:rPr>
          <w:sz w:val="20"/>
          <w:u w:val="single"/>
          <w:lang w:val="fr-FR" w:eastAsia="en-GB"/>
        </w:rPr>
        <w:t xml:space="preserve"> </w:t>
      </w:r>
    </w:p>
    <w:p w14:paraId="6D5CE451"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p>
    <w:p w14:paraId="1FAFDD41"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Les trois principes généraux suivants devraient être considérés comme un signal indiquant qu’il est possible que des EC existent :</w:t>
      </w:r>
    </w:p>
    <w:p w14:paraId="38C7DAC2"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p>
    <w:p w14:paraId="66201DA4" w14:textId="77777777" w:rsidR="004B785C" w:rsidRPr="004B785C" w:rsidRDefault="004B785C" w:rsidP="007B2FF0">
      <w:pPr>
        <w:widowControl/>
        <w:numPr>
          <w:ilvl w:val="0"/>
          <w:numId w:val="4"/>
        </w:numPr>
        <w:spacing w:after="5" w:line="249" w:lineRule="auto"/>
        <w:ind w:left="1134" w:right="47" w:hanging="425"/>
        <w:jc w:val="both"/>
        <w:rPr>
          <w:rFonts w:eastAsia="Aptos" w:cs="Arial"/>
          <w:kern w:val="2"/>
          <w:sz w:val="20"/>
          <w:szCs w:val="20"/>
          <w:u w:val="single"/>
          <w:lang w:val="fr-FR" w:eastAsia="en-GB"/>
          <w14:ligatures w14:val="standardContextual"/>
        </w:rPr>
      </w:pPr>
      <w:r w:rsidRPr="004B785C">
        <w:rPr>
          <w:sz w:val="20"/>
          <w:u w:val="single"/>
          <w:lang w:val="fr-FR" w:eastAsia="en-GB"/>
        </w:rPr>
        <w:t>Lorsqu'il existe des preuves que le stock et/ou la dynamique de la pêcherie se trouvent dans des états (tels que définis au</w:t>
      </w:r>
      <w:r w:rsidRPr="004B785C">
        <w:rPr>
          <w:b/>
          <w:bCs/>
          <w:sz w:val="20"/>
          <w:u w:val="single"/>
          <w:lang w:val="fr-FR" w:eastAsia="en-GB"/>
        </w:rPr>
        <w:t xml:space="preserve"> tableau 1</w:t>
      </w:r>
      <w:r w:rsidRPr="004B785C">
        <w:rPr>
          <w:sz w:val="20"/>
          <w:u w:val="single"/>
          <w:lang w:val="fr-FR" w:eastAsia="en-GB"/>
        </w:rPr>
        <w:t xml:space="preserve"> a) en dehors de la gamme des modèles opérationnels (OM) de l’évaluation de la stratégie de gestion (MSE) et/ou ne sont plus considérés comme plausibles dans le contexte de la MSE ou lorsqu'il existe des preuves que les états du stock ou de la dynamique de la pêcherie inclus dans les OM pour tester la MSE ne sont plus considérés comme plausibles. </w:t>
      </w:r>
    </w:p>
    <w:p w14:paraId="791DFC42" w14:textId="77777777" w:rsidR="004B785C" w:rsidRPr="004B785C" w:rsidRDefault="004B785C" w:rsidP="004B785C">
      <w:pPr>
        <w:widowControl/>
        <w:ind w:left="851" w:hanging="425"/>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 </w:t>
      </w:r>
    </w:p>
    <w:p w14:paraId="0E636E75" w14:textId="77777777" w:rsidR="004B785C" w:rsidRPr="004B785C" w:rsidRDefault="004B785C" w:rsidP="007B2FF0">
      <w:pPr>
        <w:widowControl/>
        <w:numPr>
          <w:ilvl w:val="0"/>
          <w:numId w:val="4"/>
        </w:numPr>
        <w:spacing w:after="5" w:line="249" w:lineRule="auto"/>
        <w:ind w:left="1134" w:right="47" w:hanging="425"/>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Lorsqu'il existe des preuves que les données requises pour appliquer la procédure de gestion (MP) ne sont pas disponibles ou suffisantes ou ne sont plus appropriées (comme défini dans le </w:t>
      </w:r>
      <w:r w:rsidRPr="004B785C">
        <w:rPr>
          <w:b/>
          <w:bCs/>
          <w:sz w:val="20"/>
          <w:u w:val="single"/>
          <w:lang w:val="fr-FR" w:eastAsia="en-GB"/>
        </w:rPr>
        <w:t>tableau 1</w:t>
      </w:r>
      <w:r w:rsidRPr="004B785C">
        <w:rPr>
          <w:sz w:val="20"/>
          <w:u w:val="single"/>
          <w:lang w:val="fr-FR" w:eastAsia="en-GB"/>
        </w:rPr>
        <w:t xml:space="preserve"> b) ; et/ou </w:t>
      </w:r>
    </w:p>
    <w:p w14:paraId="1791495C" w14:textId="77777777" w:rsidR="004B785C" w:rsidRPr="004B785C" w:rsidRDefault="004B785C" w:rsidP="004B785C">
      <w:pPr>
        <w:widowControl/>
        <w:ind w:left="851" w:hanging="425"/>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 </w:t>
      </w:r>
    </w:p>
    <w:p w14:paraId="3BB81382" w14:textId="6FC83A69" w:rsidR="004B785C" w:rsidRPr="004B785C" w:rsidRDefault="004B785C" w:rsidP="007B2FF0">
      <w:pPr>
        <w:widowControl/>
        <w:numPr>
          <w:ilvl w:val="0"/>
          <w:numId w:val="4"/>
        </w:numPr>
        <w:spacing w:after="5" w:line="249" w:lineRule="auto"/>
        <w:ind w:left="1134" w:right="47" w:hanging="425"/>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Lorsqu'il existe des preuves que le total des </w:t>
      </w:r>
      <w:r w:rsidR="00311FE7" w:rsidRPr="004B785C">
        <w:rPr>
          <w:sz w:val="20"/>
          <w:u w:val="single"/>
          <w:lang w:val="fr-FR" w:eastAsia="en-GB"/>
        </w:rPr>
        <w:t>captures est</w:t>
      </w:r>
      <w:r w:rsidRPr="004B785C">
        <w:rPr>
          <w:sz w:val="20"/>
          <w:u w:val="single"/>
          <w:lang w:val="fr-FR" w:eastAsia="en-GB"/>
        </w:rPr>
        <w:t xml:space="preserve"> nettement supérieur (tel que défini au</w:t>
      </w:r>
      <w:r w:rsidRPr="004B785C">
        <w:rPr>
          <w:b/>
          <w:bCs/>
          <w:sz w:val="20"/>
          <w:u w:val="single"/>
          <w:lang w:val="fr-FR" w:eastAsia="en-GB"/>
        </w:rPr>
        <w:t xml:space="preserve"> tableau 1</w:t>
      </w:r>
      <w:r w:rsidRPr="004B785C">
        <w:rPr>
          <w:sz w:val="20"/>
          <w:u w:val="single"/>
          <w:lang w:val="fr-FR" w:eastAsia="en-GB"/>
        </w:rPr>
        <w:t xml:space="preserve"> c) au total admissible de captures (TAC) fixé au moyen de la MP. </w:t>
      </w:r>
    </w:p>
    <w:p w14:paraId="1FD127D6"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 </w:t>
      </w:r>
    </w:p>
    <w:p w14:paraId="35F20CC4" w14:textId="77777777" w:rsidR="004B785C" w:rsidRPr="004B785C" w:rsidRDefault="004B785C" w:rsidP="004B785C">
      <w:pPr>
        <w:widowControl/>
        <w:jc w:val="both"/>
        <w:rPr>
          <w:rFonts w:eastAsia="Aptos" w:cs="Arial"/>
          <w:bCs/>
          <w:kern w:val="2"/>
          <w:sz w:val="20"/>
          <w:szCs w:val="20"/>
          <w:u w:val="single"/>
          <w:lang w:val="fr-FR" w:eastAsia="en-GB"/>
          <w14:ligatures w14:val="standardContextual"/>
        </w:rPr>
      </w:pPr>
      <w:r w:rsidRPr="004B785C">
        <w:rPr>
          <w:sz w:val="20"/>
          <w:u w:val="single"/>
          <w:lang w:val="fr-FR" w:eastAsia="en-GB"/>
        </w:rPr>
        <w:t xml:space="preserve">Il n'est pas possible de définir dans le présent protocole tous les scénarios dans lesquels les EC peuvent se produire. Un protocole contenant des orientations générales pour déterminer s'il existe des EC et si les implications qui en découlent sont suffisamment graves pour justifier la révision de l'avis de la MP est décrit ci-dessous. Le protocole ne doit pas être considéré comme un ensemble définitif de critères/réponses. Il ne doit pas non plus être considéré comme un mécanisme permettant de procéder à de petits ajustements. La détection de EC doit s’accompagner de preuves scientifiques irréfutables, et les actions à prendre découlant des EC ne devraient être prises que lorsque le maintien de la MP actuelle est considéré comme très risqué ou très inapproprié.  </w:t>
      </w:r>
    </w:p>
    <w:p w14:paraId="21E094BF" w14:textId="77777777" w:rsidR="004B785C" w:rsidRPr="004B785C" w:rsidRDefault="004B785C" w:rsidP="004B785C">
      <w:pPr>
        <w:widowControl/>
        <w:rPr>
          <w:rFonts w:eastAsia="Aptos" w:cs="Arial"/>
          <w:kern w:val="2"/>
          <w:sz w:val="20"/>
          <w:szCs w:val="20"/>
          <w:u w:val="single"/>
          <w:lang w:val="fr-FR"/>
          <w14:ligatures w14:val="standardContextual"/>
        </w:rPr>
      </w:pPr>
    </w:p>
    <w:p w14:paraId="3FB71930" w14:textId="77777777" w:rsidR="004B785C" w:rsidRPr="004B785C" w:rsidRDefault="004B785C" w:rsidP="004B785C">
      <w:pPr>
        <w:widowControl/>
        <w:rPr>
          <w:rFonts w:eastAsia="Aptos" w:cs="Arial"/>
          <w:kern w:val="2"/>
          <w:sz w:val="20"/>
          <w:szCs w:val="20"/>
          <w:u w:val="single"/>
          <w:lang w:val="fr-FR"/>
          <w14:ligatures w14:val="standardContextual"/>
        </w:rPr>
      </w:pPr>
    </w:p>
    <w:p w14:paraId="6E4E09F2" w14:textId="77777777" w:rsidR="004B785C" w:rsidRPr="004B785C" w:rsidRDefault="004B785C" w:rsidP="004B785C">
      <w:pPr>
        <w:widowControl/>
        <w:numPr>
          <w:ilvl w:val="0"/>
          <w:numId w:val="3"/>
        </w:numPr>
        <w:spacing w:after="5" w:line="249" w:lineRule="auto"/>
        <w:ind w:left="426" w:right="47" w:hanging="426"/>
        <w:contextualSpacing/>
        <w:jc w:val="both"/>
        <w:rPr>
          <w:rFonts w:eastAsia="Aptos" w:cs="Arial"/>
          <w:b/>
          <w:bCs/>
          <w:kern w:val="2"/>
          <w:sz w:val="20"/>
          <w:szCs w:val="20"/>
          <w:u w:val="single"/>
          <w:lang w:val="fr-FR" w:eastAsia="en-GB"/>
          <w14:ligatures w14:val="standardContextual"/>
        </w:rPr>
      </w:pPr>
      <w:r w:rsidRPr="004B785C">
        <w:rPr>
          <w:b/>
          <w:sz w:val="20"/>
          <w:u w:val="single"/>
          <w:lang w:val="fr-FR" w:eastAsia="en-GB"/>
        </w:rPr>
        <w:t xml:space="preserve">Indicateurs pour les EC et processus visant à déterminer si des EC se produisent </w:t>
      </w:r>
    </w:p>
    <w:p w14:paraId="42E07C01"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b/>
          <w:sz w:val="20"/>
          <w:u w:val="single"/>
          <w:lang w:val="fr-FR" w:eastAsia="en-GB"/>
        </w:rPr>
        <w:t xml:space="preserve"> </w:t>
      </w:r>
    </w:p>
    <w:p w14:paraId="39020C34"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À la lumière des principes énoncés à la section 1, le SCRS devrait utiliser les orientations générales fournies dans le </w:t>
      </w:r>
      <w:r w:rsidRPr="004B785C">
        <w:rPr>
          <w:b/>
          <w:bCs/>
          <w:sz w:val="20"/>
          <w:u w:val="single"/>
          <w:lang w:val="fr-FR" w:eastAsia="en-GB"/>
        </w:rPr>
        <w:t xml:space="preserve">tableau 1 </w:t>
      </w:r>
      <w:r w:rsidRPr="004B785C">
        <w:rPr>
          <w:sz w:val="20"/>
          <w:u w:val="single"/>
          <w:lang w:val="fr-FR" w:eastAsia="en-GB"/>
        </w:rPr>
        <w:t>et toute autre information pertinente pour déterminer annuellement l'existence d’EC. Si le SCRS détermine qu'il existe des preuves de l'existence de EC, il examinera la direction et la gravité des EC (par exemple, la mesure dans laquelle les valeurs de la prise par unité d’effort (CPUE) se situent en dehors de la fourchette prévue et si elles sont plus élevées ou plus basses que prévu) et, si possible, examinera ses impacts potentiels sur la performance de la MP.</w:t>
      </w:r>
    </w:p>
    <w:p w14:paraId="1E9AF891" w14:textId="77777777" w:rsidR="004B785C" w:rsidRPr="004B785C" w:rsidRDefault="004B785C" w:rsidP="004B785C">
      <w:pPr>
        <w:widowControl/>
        <w:jc w:val="both"/>
        <w:rPr>
          <w:rFonts w:eastAsia="Aptos" w:cs="Arial"/>
          <w:kern w:val="2"/>
          <w:sz w:val="20"/>
          <w:szCs w:val="20"/>
          <w:u w:val="single"/>
          <w:lang w:val="fr-FR"/>
          <w14:ligatures w14:val="standardContextual"/>
        </w:rPr>
      </w:pPr>
    </w:p>
    <w:p w14:paraId="3A3E85B4" w14:textId="6288DD8B"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Le SCRS informera ensuite la Commission si ce cas se produit et lui indiquera la réponse la plus appropriée. Le déclenchement de EC n'entraîne pas immédiatement l'annulation de l'avis du TAC de la </w:t>
      </w:r>
      <w:r w:rsidR="00311FE7" w:rsidRPr="004B785C">
        <w:rPr>
          <w:sz w:val="20"/>
          <w:u w:val="single"/>
          <w:lang w:val="fr-FR" w:eastAsia="en-GB"/>
        </w:rPr>
        <w:t>MP ;</w:t>
      </w:r>
      <w:r w:rsidRPr="004B785C">
        <w:rPr>
          <w:sz w:val="20"/>
          <w:u w:val="single"/>
          <w:lang w:val="fr-FR" w:eastAsia="en-GB"/>
        </w:rPr>
        <w:t xml:space="preserve"> cela signifie plutôt que le SCRS doit examiner les preuves fournies par les indicateurs du </w:t>
      </w:r>
      <w:r w:rsidRPr="004B785C">
        <w:rPr>
          <w:b/>
          <w:bCs/>
          <w:sz w:val="20"/>
          <w:u w:val="single"/>
          <w:lang w:val="fr-FR" w:eastAsia="en-GB"/>
        </w:rPr>
        <w:t>tableau 1</w:t>
      </w:r>
      <w:r w:rsidRPr="004B785C">
        <w:rPr>
          <w:sz w:val="20"/>
          <w:u w:val="single"/>
          <w:lang w:val="fr-FR" w:eastAsia="en-GB"/>
        </w:rPr>
        <w:t>, ainsi que toute autre information pertinente, et déterminer si une modification de l'avis est justifiée et si des travaux de recherche supplémentaires ou des ajustements du calendrier de la MSE sont nécessaires.</w:t>
      </w:r>
    </w:p>
    <w:p w14:paraId="0B9C189F" w14:textId="77777777" w:rsidR="004B785C" w:rsidRPr="004B785C" w:rsidRDefault="004B785C" w:rsidP="004B785C">
      <w:pPr>
        <w:widowControl/>
        <w:jc w:val="both"/>
        <w:rPr>
          <w:rFonts w:eastAsia="Aptos" w:cs="Arial"/>
          <w:kern w:val="2"/>
          <w:sz w:val="20"/>
          <w:szCs w:val="20"/>
          <w:u w:val="single"/>
          <w:lang w:val="fr-FR"/>
          <w14:ligatures w14:val="standardContextual"/>
        </w:rPr>
      </w:pPr>
    </w:p>
    <w:p w14:paraId="7E693126"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En ce qui concerne les EC identifiées, ces preuves devraient être suffisamment importantes pour affecter de manière significative l'avis du TAC provenant de la MP.</w:t>
      </w:r>
      <w:r w:rsidRPr="004B785C">
        <w:rPr>
          <w:i/>
          <w:sz w:val="20"/>
          <w:u w:val="single"/>
          <w:lang w:val="fr-FR" w:eastAsia="en-GB"/>
        </w:rPr>
        <w:t xml:space="preserve"> </w:t>
      </w:r>
      <w:r w:rsidRPr="004B785C">
        <w:rPr>
          <w:sz w:val="20"/>
          <w:u w:val="single"/>
          <w:lang w:val="fr-FR" w:eastAsia="en-GB"/>
        </w:rPr>
        <w:t xml:space="preserve"> </w:t>
      </w:r>
    </w:p>
    <w:p w14:paraId="248F7126" w14:textId="77777777" w:rsidR="004B785C" w:rsidRPr="004B785C" w:rsidRDefault="004B785C" w:rsidP="004B785C">
      <w:pPr>
        <w:widowControl/>
        <w:jc w:val="both"/>
        <w:rPr>
          <w:rFonts w:eastAsia="Aptos" w:cs="Arial"/>
          <w:b/>
          <w:kern w:val="2"/>
          <w:sz w:val="20"/>
          <w:szCs w:val="20"/>
          <w:u w:val="single"/>
          <w:lang w:val="fr-FR"/>
          <w14:ligatures w14:val="standardContextual"/>
        </w:rPr>
      </w:pPr>
    </w:p>
    <w:p w14:paraId="2DF4797A" w14:textId="77777777" w:rsidR="004B785C" w:rsidRPr="004B785C" w:rsidRDefault="004B785C" w:rsidP="004B785C">
      <w:pPr>
        <w:widowControl/>
        <w:spacing w:after="160" w:line="259" w:lineRule="auto"/>
        <w:rPr>
          <w:rFonts w:eastAsia="Aptos" w:cs="Arial"/>
          <w:b/>
          <w:kern w:val="2"/>
          <w:sz w:val="20"/>
          <w:szCs w:val="20"/>
          <w:u w:val="single"/>
          <w:lang w:val="fr-FR" w:eastAsia="en-GB"/>
          <w14:ligatures w14:val="standardContextual"/>
        </w:rPr>
      </w:pPr>
      <w:r w:rsidRPr="004B785C">
        <w:rPr>
          <w:color w:val="000000"/>
          <w:sz w:val="20"/>
          <w:u w:val="single"/>
          <w:lang w:val="fr-FR" w:eastAsia="en-GB"/>
        </w:rPr>
        <w:br w:type="page"/>
      </w:r>
    </w:p>
    <w:p w14:paraId="16E4F96A"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b/>
          <w:sz w:val="20"/>
          <w:u w:val="single"/>
          <w:lang w:val="fr-FR" w:eastAsia="en-GB"/>
        </w:rPr>
        <w:t>Tableau 1</w:t>
      </w:r>
      <w:r w:rsidRPr="004B785C">
        <w:rPr>
          <w:sz w:val="20"/>
          <w:u w:val="single"/>
          <w:lang w:val="fr-FR" w:eastAsia="en-GB"/>
        </w:rPr>
        <w:t>. Orientation générale sur les indicateurs pour les EC de l'espadon de l'Atlantique Nord et calendrier pour la réalisation de l'évaluation.</w:t>
      </w:r>
    </w:p>
    <w:tbl>
      <w:tblPr>
        <w:tblW w:w="0" w:type="auto"/>
        <w:jc w:val="center"/>
        <w:tblCellMar>
          <w:top w:w="39" w:type="dxa"/>
          <w:right w:w="64" w:type="dxa"/>
        </w:tblCellMar>
        <w:tblLook w:val="04A0" w:firstRow="1" w:lastRow="0" w:firstColumn="1" w:lastColumn="0" w:noHBand="0" w:noVBand="1"/>
      </w:tblPr>
      <w:tblGrid>
        <w:gridCol w:w="1838"/>
        <w:gridCol w:w="1275"/>
        <w:gridCol w:w="3673"/>
        <w:gridCol w:w="2276"/>
      </w:tblGrid>
      <w:tr w:rsidR="004B785C" w:rsidRPr="004B785C" w14:paraId="2CBCD71C" w14:textId="77777777" w:rsidTr="00AB7AC7">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694124E8"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 </w:t>
            </w:r>
            <w:r w:rsidRPr="004B785C">
              <w:rPr>
                <w:b/>
                <w:i/>
                <w:sz w:val="20"/>
                <w:u w:val="single"/>
                <w:lang w:val="fr-FR" w:eastAsia="en-GB"/>
              </w:rPr>
              <w:t xml:space="preserve">Principe </w:t>
            </w:r>
          </w:p>
        </w:tc>
        <w:tc>
          <w:tcPr>
            <w:tcW w:w="1275" w:type="dxa"/>
            <w:tcBorders>
              <w:top w:val="single" w:sz="4" w:space="0" w:color="000000"/>
              <w:left w:val="single" w:sz="4" w:space="0" w:color="000000"/>
              <w:bottom w:val="single" w:sz="4" w:space="0" w:color="000000"/>
              <w:right w:val="single" w:sz="4" w:space="0" w:color="000000"/>
            </w:tcBorders>
          </w:tcPr>
          <w:p w14:paraId="0331CA7A"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b/>
                <w:i/>
                <w:sz w:val="20"/>
                <w:u w:val="single"/>
                <w:lang w:val="fr-FR" w:eastAsia="en-GB"/>
              </w:rPr>
              <w:t xml:space="preserve">Indicateur </w:t>
            </w:r>
          </w:p>
        </w:tc>
        <w:tc>
          <w:tcPr>
            <w:tcW w:w="0" w:type="auto"/>
            <w:tcBorders>
              <w:top w:val="single" w:sz="4" w:space="0" w:color="000000"/>
              <w:left w:val="single" w:sz="4" w:space="0" w:color="000000"/>
              <w:bottom w:val="single" w:sz="4" w:space="0" w:color="000000"/>
              <w:right w:val="single" w:sz="4" w:space="0" w:color="000000"/>
            </w:tcBorders>
          </w:tcPr>
          <w:p w14:paraId="283156E8"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b/>
                <w:i/>
                <w:sz w:val="20"/>
                <w:u w:val="single"/>
                <w:lang w:val="fr-FR" w:eastAsia="en-GB"/>
              </w:rPr>
              <w:t xml:space="preserve">Critère </w:t>
            </w:r>
          </w:p>
        </w:tc>
        <w:tc>
          <w:tcPr>
            <w:tcW w:w="0" w:type="auto"/>
            <w:tcBorders>
              <w:top w:val="single" w:sz="4" w:space="0" w:color="000000"/>
              <w:left w:val="single" w:sz="4" w:space="0" w:color="000000"/>
              <w:bottom w:val="single" w:sz="4" w:space="0" w:color="000000"/>
              <w:right w:val="single" w:sz="4" w:space="0" w:color="000000"/>
            </w:tcBorders>
          </w:tcPr>
          <w:p w14:paraId="07DFB8AF"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b/>
                <w:i/>
                <w:sz w:val="20"/>
                <w:u w:val="single"/>
                <w:lang w:val="fr-FR" w:eastAsia="en-GB"/>
              </w:rPr>
              <w:t xml:space="preserve">Fréquence </w:t>
            </w:r>
          </w:p>
        </w:tc>
      </w:tr>
      <w:tr w:rsidR="004B785C" w:rsidRPr="004B785C" w14:paraId="4CEEEA7E" w14:textId="77777777" w:rsidTr="00AB7AC7">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6395163A"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a) Stock et dynamique de la pêcherie </w:t>
            </w:r>
          </w:p>
        </w:tc>
        <w:tc>
          <w:tcPr>
            <w:tcW w:w="1275" w:type="dxa"/>
            <w:tcBorders>
              <w:top w:val="single" w:sz="4" w:space="0" w:color="000000"/>
              <w:left w:val="single" w:sz="4" w:space="0" w:color="000000"/>
              <w:bottom w:val="single" w:sz="4" w:space="0" w:color="000000"/>
              <w:right w:val="single" w:sz="4" w:space="0" w:color="000000"/>
            </w:tcBorders>
            <w:vAlign w:val="center"/>
          </w:tcPr>
          <w:p w14:paraId="69828CBA"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Indices</w:t>
            </w:r>
          </w:p>
        </w:tc>
        <w:tc>
          <w:tcPr>
            <w:tcW w:w="0" w:type="auto"/>
            <w:tcBorders>
              <w:top w:val="single" w:sz="4" w:space="0" w:color="000000"/>
              <w:left w:val="single" w:sz="4" w:space="0" w:color="000000"/>
              <w:bottom w:val="single" w:sz="4" w:space="0" w:color="000000"/>
              <w:right w:val="single" w:sz="4" w:space="0" w:color="000000"/>
            </w:tcBorders>
          </w:tcPr>
          <w:p w14:paraId="505DBDB8"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Si, pour une année donnée, les valeurs observées de l'indice combiné se situent en dehors de la fourchette allant du percentile 2,5 au percentile 97,5 de l'indice combiné simulé utilisé dans les projections pour tester la MP adoptée.</w:t>
            </w:r>
          </w:p>
        </w:tc>
        <w:tc>
          <w:tcPr>
            <w:tcW w:w="0" w:type="auto"/>
            <w:tcBorders>
              <w:top w:val="single" w:sz="4" w:space="0" w:color="000000"/>
              <w:left w:val="single" w:sz="4" w:space="0" w:color="000000"/>
              <w:bottom w:val="single" w:sz="4" w:space="0" w:color="000000"/>
              <w:right w:val="single" w:sz="4" w:space="0" w:color="000000"/>
            </w:tcBorders>
            <w:vAlign w:val="center"/>
          </w:tcPr>
          <w:p w14:paraId="3744293D"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Annuellement</w:t>
            </w:r>
          </w:p>
        </w:tc>
      </w:tr>
      <w:tr w:rsidR="004B785C" w:rsidRPr="004B785C" w14:paraId="172A3EA7" w14:textId="77777777" w:rsidTr="00AB7AC7">
        <w:trPr>
          <w:trHeight w:val="1658"/>
          <w:jc w:val="center"/>
        </w:trPr>
        <w:tc>
          <w:tcPr>
            <w:tcW w:w="1838" w:type="dxa"/>
            <w:vMerge/>
            <w:tcBorders>
              <w:top w:val="nil"/>
              <w:left w:val="single" w:sz="4" w:space="0" w:color="000000"/>
              <w:bottom w:val="single" w:sz="4" w:space="0" w:color="auto"/>
              <w:right w:val="single" w:sz="4" w:space="0" w:color="000000"/>
            </w:tcBorders>
          </w:tcPr>
          <w:p w14:paraId="04A6BBBE" w14:textId="77777777" w:rsidR="004B785C" w:rsidRPr="004B785C" w:rsidRDefault="004B785C" w:rsidP="004B785C">
            <w:pPr>
              <w:widowControl/>
              <w:jc w:val="both"/>
              <w:rPr>
                <w:rFonts w:eastAsia="Aptos" w:cs="Arial"/>
                <w:kern w:val="2"/>
                <w:sz w:val="20"/>
                <w:szCs w:val="20"/>
                <w:u w:val="single"/>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0B7D24F2"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Abondance, cycle vital et dynamique de la pêcherie </w:t>
            </w:r>
          </w:p>
        </w:tc>
        <w:tc>
          <w:tcPr>
            <w:tcW w:w="0" w:type="auto"/>
            <w:tcBorders>
              <w:top w:val="single" w:sz="4" w:space="0" w:color="000000"/>
              <w:left w:val="single" w:sz="4" w:space="0" w:color="000000"/>
              <w:bottom w:val="single" w:sz="4" w:space="0" w:color="auto"/>
              <w:right w:val="single" w:sz="4" w:space="0" w:color="000000"/>
            </w:tcBorders>
          </w:tcPr>
          <w:p w14:paraId="5AFEFEE0"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Lorsqu'il existe des preuves que le stocks et/ou la dynamique de la pêcherie se trouvent dans des états qui n'étaient pas auparavant et/ou ne sont plus considérés comme plausibles dans le contexte de la MSE ou lorsqu'il existe des preuves que les états du stock ou la dynamique de la pêcherie inclus dans les OM pour tester la MSE ne sont plus considérés comme plausibles.   </w:t>
            </w:r>
          </w:p>
        </w:tc>
        <w:tc>
          <w:tcPr>
            <w:tcW w:w="0" w:type="auto"/>
            <w:tcBorders>
              <w:top w:val="single" w:sz="4" w:space="0" w:color="000000"/>
              <w:left w:val="single" w:sz="4" w:space="0" w:color="000000"/>
              <w:bottom w:val="single" w:sz="4" w:space="0" w:color="auto"/>
              <w:right w:val="single" w:sz="4" w:space="0" w:color="000000"/>
            </w:tcBorders>
            <w:vAlign w:val="center"/>
          </w:tcPr>
          <w:p w14:paraId="0384C29A"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Dès que les informations sont disponibles et après achèvement, présentation et acceptation par le SCRS d'une étude comme nouvelle référence.</w:t>
            </w:r>
          </w:p>
        </w:tc>
      </w:tr>
      <w:tr w:rsidR="004B785C" w:rsidRPr="004B785C" w14:paraId="44262A73" w14:textId="77777777" w:rsidTr="00AB7AC7">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AB242B1"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b) Disponibilité des données pour la MP </w:t>
            </w:r>
          </w:p>
        </w:tc>
        <w:tc>
          <w:tcPr>
            <w:tcW w:w="1275" w:type="dxa"/>
            <w:tcBorders>
              <w:top w:val="single" w:sz="4" w:space="0" w:color="auto"/>
              <w:left w:val="single" w:sz="4" w:space="0" w:color="auto"/>
              <w:bottom w:val="single" w:sz="4" w:space="0" w:color="auto"/>
              <w:right w:val="single" w:sz="4" w:space="0" w:color="auto"/>
            </w:tcBorders>
            <w:vAlign w:val="center"/>
          </w:tcPr>
          <w:p w14:paraId="33B558B8"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Indices</w:t>
            </w:r>
          </w:p>
        </w:tc>
        <w:tc>
          <w:tcPr>
            <w:tcW w:w="0" w:type="auto"/>
            <w:tcBorders>
              <w:top w:val="single" w:sz="4" w:space="0" w:color="auto"/>
              <w:left w:val="single" w:sz="4" w:space="0" w:color="auto"/>
              <w:bottom w:val="single" w:sz="4" w:space="0" w:color="auto"/>
              <w:right w:val="single" w:sz="4" w:space="0" w:color="auto"/>
            </w:tcBorders>
          </w:tcPr>
          <w:p w14:paraId="4F194B35"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Si des données de deux flottilles influentes ou plus contribuant à l'indice combiné manquent</w:t>
            </w:r>
            <w:r w:rsidRPr="004B785C">
              <w:rPr>
                <w:rFonts w:eastAsia="Aptos" w:cs="Arial"/>
                <w:kern w:val="2"/>
                <w:sz w:val="20"/>
                <w:szCs w:val="20"/>
                <w:u w:val="single"/>
                <w:vertAlign w:val="superscript"/>
              </w:rPr>
              <w:footnoteReference w:id="3"/>
            </w:r>
            <w:r w:rsidRPr="004B785C">
              <w:rPr>
                <w:sz w:val="20"/>
                <w:u w:val="single"/>
                <w:lang w:val="fr-FR"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8670B38"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Annuellement </w:t>
            </w:r>
          </w:p>
        </w:tc>
      </w:tr>
      <w:tr w:rsidR="004B785C" w:rsidRPr="004B785C" w14:paraId="4CFC3EDF" w14:textId="77777777" w:rsidTr="00AB7AC7">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07376615"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c) Mise en œuvre du TAC </w:t>
            </w:r>
          </w:p>
          <w:p w14:paraId="7353E11C"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73EFD2D3"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Capture</w:t>
            </w:r>
          </w:p>
        </w:tc>
        <w:tc>
          <w:tcPr>
            <w:tcW w:w="0" w:type="auto"/>
            <w:tcBorders>
              <w:top w:val="single" w:sz="4" w:space="0" w:color="auto"/>
              <w:left w:val="single" w:sz="4" w:space="0" w:color="auto"/>
              <w:bottom w:val="single" w:sz="4" w:space="0" w:color="auto"/>
              <w:right w:val="single" w:sz="4" w:space="0" w:color="auto"/>
            </w:tcBorders>
          </w:tcPr>
          <w:p w14:paraId="5277D8F8"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color w:val="000000"/>
                <w:sz w:val="20"/>
                <w:u w:val="single"/>
                <w:lang w:val="fr-FR" w:eastAsia="en-GB"/>
              </w:rPr>
              <w:t>Si la prise totale dépasse de 20% ou plus le TAC établi au moyen de la MP</w:t>
            </w:r>
            <w:sdt>
              <w:sdtPr>
                <w:rPr>
                  <w:rFonts w:eastAsia="Aptos" w:cs="Arial"/>
                  <w:kern w:val="2"/>
                  <w:sz w:val="20"/>
                  <w:szCs w:val="20"/>
                  <w:u w:val="single"/>
                  <w:lang w:val="fr-FR" w:eastAsia="en-GB"/>
                  <w14:ligatures w14:val="standardContextual"/>
                </w:rPr>
                <w:tag w:val="goog_rdk_2"/>
                <w:id w:val="-502279903"/>
              </w:sdtPr>
              <w:sdtContent/>
            </w:sdt>
            <w:sdt>
              <w:sdtPr>
                <w:rPr>
                  <w:rFonts w:eastAsia="Aptos" w:cs="Arial"/>
                  <w:kern w:val="2"/>
                  <w:sz w:val="20"/>
                  <w:szCs w:val="20"/>
                  <w:u w:val="single"/>
                  <w:lang w:val="fr-FR" w:eastAsia="en-GB"/>
                  <w14:ligatures w14:val="standardContextual"/>
                </w:rPr>
                <w:tag w:val="goog_rdk_5"/>
                <w:id w:val="1390453310"/>
              </w:sdtPr>
              <w:sdtContent/>
            </w:sdt>
            <w:r w:rsidRPr="004B785C">
              <w:rPr>
                <w:sz w:val="20"/>
                <w:u w:val="single"/>
                <w:lang w:val="fr-FR"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ACB86B9"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Annuellement </w:t>
            </w:r>
          </w:p>
        </w:tc>
      </w:tr>
    </w:tbl>
    <w:p w14:paraId="0404DEC9" w14:textId="77777777" w:rsidR="004B785C" w:rsidRPr="004B785C" w:rsidRDefault="004B785C" w:rsidP="004B785C">
      <w:pPr>
        <w:widowControl/>
        <w:jc w:val="both"/>
        <w:rPr>
          <w:rFonts w:eastAsia="Aptos" w:cs="Arial"/>
          <w:kern w:val="2"/>
          <w:sz w:val="20"/>
          <w:szCs w:val="20"/>
          <w:u w:val="single"/>
          <w14:ligatures w14:val="standardContextual"/>
        </w:rPr>
      </w:pPr>
    </w:p>
    <w:p w14:paraId="49E37C77" w14:textId="77777777" w:rsidR="004B785C" w:rsidRPr="004B785C" w:rsidRDefault="004B785C" w:rsidP="004B785C">
      <w:pPr>
        <w:widowControl/>
        <w:jc w:val="both"/>
        <w:rPr>
          <w:rFonts w:eastAsia="Aptos" w:cs="Arial"/>
          <w:kern w:val="2"/>
          <w:sz w:val="20"/>
          <w:szCs w:val="20"/>
          <w:u w:val="single"/>
          <w14:ligatures w14:val="standardContextual"/>
        </w:rPr>
      </w:pPr>
    </w:p>
    <w:p w14:paraId="372ACAF5" w14:textId="77777777" w:rsidR="004B785C" w:rsidRPr="004B785C" w:rsidRDefault="004B785C" w:rsidP="004B785C">
      <w:pPr>
        <w:widowControl/>
        <w:numPr>
          <w:ilvl w:val="0"/>
          <w:numId w:val="3"/>
        </w:numPr>
        <w:spacing w:after="5" w:line="249" w:lineRule="auto"/>
        <w:ind w:left="426" w:right="47" w:hanging="426"/>
        <w:contextualSpacing/>
        <w:jc w:val="both"/>
        <w:rPr>
          <w:rFonts w:eastAsia="Aptos" w:cs="Arial"/>
          <w:b/>
          <w:kern w:val="2"/>
          <w:sz w:val="20"/>
          <w:szCs w:val="20"/>
          <w:u w:val="single"/>
          <w:lang w:val="fr-FR" w:eastAsia="en-GB"/>
          <w14:ligatures w14:val="standardContextual"/>
        </w:rPr>
      </w:pPr>
      <w:r w:rsidRPr="004B785C">
        <w:rPr>
          <w:b/>
          <w:sz w:val="20"/>
          <w:u w:val="single"/>
          <w:lang w:val="fr-FR" w:eastAsia="en-GB"/>
        </w:rPr>
        <w:t xml:space="preserve">Mesures à prendre en cas de EC </w:t>
      </w:r>
    </w:p>
    <w:p w14:paraId="7FB8D7CA"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 </w:t>
      </w:r>
    </w:p>
    <w:p w14:paraId="713B68D3"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Si le SCRS détermine que des EC empêchent l'application de la MP ou rendent l'application de la MP ou la mise en œuvre de ses résultats déconseillée sur la base des principes décrits dans la section 1, le SCRS devra évaluer la nature des EC et conseiller la Commission en ce qui concerne : </w:t>
      </w:r>
    </w:p>
    <w:p w14:paraId="0F315E04"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 </w:t>
      </w:r>
    </w:p>
    <w:p w14:paraId="73F08090" w14:textId="77777777" w:rsidR="004B785C" w:rsidRPr="004B785C" w:rsidRDefault="004B785C" w:rsidP="007B2FF0">
      <w:pPr>
        <w:widowControl/>
        <w:numPr>
          <w:ilvl w:val="0"/>
          <w:numId w:val="5"/>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Des recherches supplémentaires qui pourraient apporter plus de clarté sur la nécessité de s'écarter du calendrier actuel de révision de la MP et du TAC.</w:t>
      </w:r>
    </w:p>
    <w:p w14:paraId="6C810E98" w14:textId="77777777" w:rsidR="004B785C" w:rsidRPr="004B785C" w:rsidRDefault="004B785C" w:rsidP="004B785C">
      <w:pPr>
        <w:widowControl/>
        <w:ind w:left="567"/>
        <w:jc w:val="both"/>
        <w:rPr>
          <w:rFonts w:eastAsia="Aptos" w:cs="Arial"/>
          <w:kern w:val="2"/>
          <w:sz w:val="20"/>
          <w:szCs w:val="20"/>
          <w:u w:val="single"/>
          <w:lang w:val="fr-FR"/>
          <w14:ligatures w14:val="standardContextual"/>
        </w:rPr>
      </w:pPr>
    </w:p>
    <w:p w14:paraId="2E19C7D8" w14:textId="77777777" w:rsidR="004B785C" w:rsidRPr="004B785C" w:rsidRDefault="004B785C" w:rsidP="007B2FF0">
      <w:pPr>
        <w:widowControl/>
        <w:numPr>
          <w:ilvl w:val="0"/>
          <w:numId w:val="5"/>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Options de gestion alternatives pour la prochaine année de pêche visant à assurer, au minimum, la stabilité de l'état du stock, y compris les implications : (i) le maintien de l’avis sur le TAC établi dans le cadre de la MP, (ii) la réduction de l’avis sur le TAC à la lumière des indications de déclin du stock, (iii) l'augmentation de l’avis sur le TAC à la lumière des indications d'augmentation du stock qui n'ont pas été jugées plausibles au cours des tests de la MSE, et (iv) toute autre mesure de conservation et de gestion appropriée ;</w:t>
      </w:r>
    </w:p>
    <w:p w14:paraId="2E146F3A" w14:textId="77777777" w:rsidR="004B785C" w:rsidRPr="004B785C" w:rsidRDefault="004B785C" w:rsidP="004B785C">
      <w:pPr>
        <w:widowControl/>
        <w:spacing w:after="5" w:line="249" w:lineRule="auto"/>
        <w:ind w:left="720" w:right="47" w:hanging="434"/>
        <w:contextualSpacing/>
        <w:jc w:val="both"/>
        <w:rPr>
          <w:rFonts w:eastAsia="Aptos" w:cs="Arial"/>
          <w:kern w:val="2"/>
          <w:sz w:val="20"/>
          <w:szCs w:val="20"/>
          <w:u w:val="single"/>
          <w:lang w:val="fr-FR"/>
          <w14:ligatures w14:val="standardContextual"/>
        </w:rPr>
      </w:pPr>
    </w:p>
    <w:p w14:paraId="60FBE207" w14:textId="77777777" w:rsidR="004B785C" w:rsidRPr="004B785C" w:rsidRDefault="004B785C" w:rsidP="007B2FF0">
      <w:pPr>
        <w:widowControl/>
        <w:numPr>
          <w:ilvl w:val="0"/>
          <w:numId w:val="5"/>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La question de savoir si la MP existante devrait être ajustée ou si une nouvelle MP doit être développée ; et </w:t>
      </w:r>
    </w:p>
    <w:p w14:paraId="3A1B1E34" w14:textId="77777777" w:rsidR="004B785C" w:rsidRPr="004B785C" w:rsidRDefault="004B785C" w:rsidP="004B785C">
      <w:pPr>
        <w:widowControl/>
        <w:spacing w:after="5" w:line="249" w:lineRule="auto"/>
        <w:ind w:left="720" w:right="47" w:hanging="434"/>
        <w:contextualSpacing/>
        <w:jc w:val="both"/>
        <w:rPr>
          <w:rFonts w:eastAsia="Aptos" w:cs="Arial"/>
          <w:kern w:val="2"/>
          <w:sz w:val="20"/>
          <w:szCs w:val="20"/>
          <w:u w:val="single"/>
          <w:lang w:val="fr-FR"/>
          <w14:ligatures w14:val="standardContextual"/>
        </w:rPr>
      </w:pPr>
    </w:p>
    <w:p w14:paraId="3D628DCD" w14:textId="77777777" w:rsidR="004B785C" w:rsidRPr="004B785C" w:rsidRDefault="004B785C" w:rsidP="007B2FF0">
      <w:pPr>
        <w:widowControl/>
        <w:numPr>
          <w:ilvl w:val="0"/>
          <w:numId w:val="5"/>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Si une évaluation du stock ou une autre méthode approuvée par le SCRS pour déterminer les TAC est nécessaire pour fournir un avis de gestion dans l'intervalle, pendant qu'une MP révisée est élaborée. </w:t>
      </w:r>
    </w:p>
    <w:p w14:paraId="08E6D44F" w14:textId="77777777" w:rsidR="004B785C" w:rsidRPr="004B785C" w:rsidRDefault="004B785C" w:rsidP="004B785C">
      <w:pPr>
        <w:widowControl/>
        <w:jc w:val="both"/>
        <w:rPr>
          <w:rFonts w:eastAsia="Aptos" w:cs="Arial"/>
          <w:kern w:val="2"/>
          <w:sz w:val="20"/>
          <w:szCs w:val="20"/>
          <w:u w:val="single"/>
          <w:lang w:val="fr-FR"/>
          <w14:ligatures w14:val="standardContextual"/>
        </w:rPr>
      </w:pPr>
    </w:p>
    <w:p w14:paraId="1A6B7E38"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Sur la base de l'avis du SCRS sur ce qui précède, la Commission devra décider de la ou des mesures de gestion alternatives à prendre. Si nécessaire et approprié, le SCRS devra réaliser une nouvelle évaluation du stock et/ou formuler un avis sur les nouvelles MP potentielles, dès que possible. </w:t>
      </w:r>
    </w:p>
    <w:p w14:paraId="28D5E191"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 </w:t>
      </w:r>
    </w:p>
    <w:p w14:paraId="303B4C7F"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Voir le diagramme ci-dessous pour une représentation schématique du processus ci-dessus : </w:t>
      </w:r>
    </w:p>
    <w:p w14:paraId="6DF26F4A" w14:textId="77777777" w:rsidR="004B785C" w:rsidRPr="004B785C" w:rsidRDefault="004B785C" w:rsidP="004B785C">
      <w:pPr>
        <w:widowControl/>
        <w:jc w:val="both"/>
        <w:rPr>
          <w:rFonts w:eastAsia="Aptos" w:cs="Arial"/>
          <w:kern w:val="2"/>
          <w:sz w:val="20"/>
          <w:szCs w:val="20"/>
          <w:u w:val="single"/>
          <w:lang w:val="fr-FR"/>
          <w14:ligatures w14:val="standardContextual"/>
        </w:rPr>
      </w:pPr>
    </w:p>
    <w:p w14:paraId="08A44AD8"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Le SCRS devra vérifier l'existence des EC à l'aide des indicateurs et des critères spécifiés au </w:t>
      </w:r>
      <w:r w:rsidRPr="004B785C">
        <w:rPr>
          <w:b/>
          <w:bCs/>
          <w:sz w:val="20"/>
          <w:u w:val="single"/>
          <w:lang w:val="fr-FR" w:eastAsia="en-GB"/>
        </w:rPr>
        <w:t>tableau 1</w:t>
      </w:r>
      <w:r w:rsidRPr="004B785C">
        <w:rPr>
          <w:sz w:val="20"/>
          <w:u w:val="single"/>
          <w:lang w:val="fr-FR" w:eastAsia="en-GB"/>
        </w:rPr>
        <w:t xml:space="preserve"> et selon la fréquence indiquée. </w:t>
      </w:r>
    </w:p>
    <w:p w14:paraId="21D7F5BF" w14:textId="77777777" w:rsidR="004B785C" w:rsidRPr="004B785C" w:rsidRDefault="004B785C" w:rsidP="004B785C">
      <w:pPr>
        <w:widowControl/>
        <w:rPr>
          <w:rFonts w:eastAsia="Aptos" w:cs="Arial"/>
          <w:kern w:val="2"/>
          <w:sz w:val="20"/>
          <w:szCs w:val="20"/>
          <w:u w:val="single"/>
          <w:lang w:val="fr-FR"/>
          <w14:ligatures w14:val="standardContextual"/>
        </w:rPr>
      </w:pPr>
    </w:p>
    <w:p w14:paraId="74FB597B"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Années 1 et 2 :  </w:t>
      </w:r>
    </w:p>
    <w:p w14:paraId="69A4AD41" w14:textId="77777777" w:rsidR="004B785C" w:rsidRPr="004B785C" w:rsidRDefault="004B785C" w:rsidP="004B785C">
      <w:pPr>
        <w:widowControl/>
        <w:ind w:left="567" w:hanging="283"/>
        <w:rPr>
          <w:rFonts w:eastAsia="Aptos" w:cs="Arial"/>
          <w:kern w:val="2"/>
          <w:sz w:val="20"/>
          <w:szCs w:val="20"/>
          <w:u w:val="single"/>
          <w:lang w:val="fr-FR" w:eastAsia="en-GB"/>
          <w14:ligatures w14:val="standardContextual"/>
        </w:rPr>
      </w:pPr>
      <w:r w:rsidRPr="004B785C">
        <w:rPr>
          <w:sz w:val="20"/>
          <w:u w:val="single"/>
          <w:lang w:val="fr-FR" w:eastAsia="en-GB"/>
        </w:rPr>
        <w:t>1.</w:t>
      </w:r>
      <w:r w:rsidRPr="004B785C">
        <w:rPr>
          <w:sz w:val="20"/>
          <w:u w:val="single"/>
          <w:lang w:val="fr-FR" w:eastAsia="en-GB"/>
        </w:rPr>
        <w:tab/>
        <w:t xml:space="preserve">Mettre à jour de l'indice d'abondance combiné  </w:t>
      </w:r>
    </w:p>
    <w:p w14:paraId="6D979444" w14:textId="77777777" w:rsidR="004B785C" w:rsidRPr="004B785C" w:rsidRDefault="004B785C" w:rsidP="004B785C">
      <w:pPr>
        <w:widowControl/>
        <w:ind w:left="567" w:hanging="283"/>
        <w:rPr>
          <w:rFonts w:eastAsia="Aptos" w:cs="Arial"/>
          <w:kern w:val="2"/>
          <w:sz w:val="20"/>
          <w:szCs w:val="20"/>
          <w:u w:val="single"/>
          <w:lang w:val="fr-FR" w:eastAsia="en-GB"/>
          <w14:ligatures w14:val="standardContextual"/>
        </w:rPr>
      </w:pPr>
      <w:r w:rsidRPr="004B785C">
        <w:rPr>
          <w:sz w:val="20"/>
          <w:u w:val="single"/>
          <w:lang w:val="fr-FR" w:eastAsia="en-GB"/>
        </w:rPr>
        <w:t>2.</w:t>
      </w:r>
      <w:r w:rsidRPr="004B785C">
        <w:rPr>
          <w:sz w:val="20"/>
          <w:u w:val="single"/>
          <w:lang w:val="fr-FR" w:eastAsia="en-GB"/>
        </w:rPr>
        <w:tab/>
        <w:t xml:space="preserve">Mettre à jour la capture.  </w:t>
      </w:r>
    </w:p>
    <w:p w14:paraId="6B1FE5FE" w14:textId="77777777" w:rsidR="004B785C" w:rsidRPr="004B785C" w:rsidRDefault="004B785C" w:rsidP="004B785C">
      <w:pPr>
        <w:widowControl/>
        <w:ind w:left="567" w:hanging="283"/>
        <w:jc w:val="both"/>
        <w:rPr>
          <w:rFonts w:eastAsia="Aptos" w:cs="Arial"/>
          <w:kern w:val="2"/>
          <w:sz w:val="20"/>
          <w:szCs w:val="20"/>
          <w:u w:val="single"/>
          <w:lang w:val="fr-FR" w:eastAsia="en-GB"/>
          <w14:ligatures w14:val="standardContextual"/>
        </w:rPr>
      </w:pPr>
      <w:r w:rsidRPr="004B785C">
        <w:rPr>
          <w:sz w:val="20"/>
          <w:u w:val="single"/>
          <w:lang w:val="fr-FR" w:eastAsia="en-GB"/>
        </w:rPr>
        <w:t>3.</w:t>
      </w:r>
      <w:r w:rsidRPr="004B785C">
        <w:rPr>
          <w:sz w:val="20"/>
          <w:u w:val="single"/>
          <w:lang w:val="fr-FR" w:eastAsia="en-GB"/>
        </w:rPr>
        <w:tab/>
        <w:t>Examiner les preuves que le stock et/ou la dynamique de la pêcherie se trouvent dans des états qui n'étaient pas auparavant et/ou ne sont plus considérés comme plausibles dans le contexte de la MSE ou lorsqu'il existe des preuves que les états du stock ou de la dynamique de la pêcherie inclus dans les OM pour tester la MSE ne sont plus considérés comme plausibles, et toute autre information pertinente.</w:t>
      </w:r>
    </w:p>
    <w:p w14:paraId="41C733B0" w14:textId="77777777" w:rsidR="004B785C" w:rsidRPr="004B785C" w:rsidRDefault="004B785C" w:rsidP="004B785C">
      <w:pPr>
        <w:widowControl/>
        <w:ind w:left="567" w:hanging="283"/>
        <w:rPr>
          <w:rFonts w:eastAsia="Aptos" w:cs="Arial"/>
          <w:kern w:val="2"/>
          <w:sz w:val="20"/>
          <w:szCs w:val="20"/>
          <w:u w:val="single"/>
          <w:lang w:val="fr-FR" w:eastAsia="en-GB"/>
          <w14:ligatures w14:val="standardContextual"/>
        </w:rPr>
      </w:pPr>
      <w:r w:rsidRPr="004B785C">
        <w:rPr>
          <w:sz w:val="20"/>
          <w:u w:val="single"/>
          <w:lang w:val="fr-FR" w:eastAsia="en-GB"/>
        </w:rPr>
        <w:t>4.</w:t>
      </w:r>
      <w:r w:rsidRPr="004B785C">
        <w:rPr>
          <w:sz w:val="20"/>
          <w:u w:val="single"/>
          <w:lang w:val="fr-FR" w:eastAsia="en-GB"/>
        </w:rPr>
        <w:tab/>
        <w:t>Tenir compte de la disponibilité des données pour étayer l'indice combiné</w:t>
      </w:r>
    </w:p>
    <w:p w14:paraId="1216CEDE" w14:textId="77777777" w:rsidR="004B785C" w:rsidRPr="004B785C" w:rsidRDefault="004B785C" w:rsidP="004B785C">
      <w:pPr>
        <w:widowControl/>
        <w:rPr>
          <w:rFonts w:eastAsia="Aptos" w:cs="Arial"/>
          <w:kern w:val="2"/>
          <w:sz w:val="20"/>
          <w:szCs w:val="20"/>
          <w:u w:val="single"/>
          <w:lang w:val="fr-FR"/>
          <w14:ligatures w14:val="standardContextual"/>
        </w:rPr>
      </w:pPr>
    </w:p>
    <w:p w14:paraId="100ACBA8"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Année 3 :  </w:t>
      </w:r>
    </w:p>
    <w:p w14:paraId="09339791" w14:textId="77777777" w:rsidR="004B785C" w:rsidRPr="004B785C" w:rsidRDefault="004B785C" w:rsidP="004B785C">
      <w:pPr>
        <w:widowControl/>
        <w:ind w:left="567" w:hanging="283"/>
        <w:rPr>
          <w:rFonts w:eastAsia="Aptos" w:cs="Arial"/>
          <w:kern w:val="2"/>
          <w:sz w:val="20"/>
          <w:szCs w:val="20"/>
          <w:u w:val="single"/>
          <w:lang w:val="fr-FR" w:eastAsia="en-GB"/>
          <w14:ligatures w14:val="standardContextual"/>
        </w:rPr>
      </w:pPr>
      <w:r w:rsidRPr="004B785C">
        <w:rPr>
          <w:sz w:val="20"/>
          <w:u w:val="single"/>
          <w:lang w:val="fr-FR" w:eastAsia="en-GB"/>
        </w:rPr>
        <w:t>1.</w:t>
      </w:r>
      <w:r w:rsidRPr="004B785C">
        <w:rPr>
          <w:sz w:val="20"/>
          <w:u w:val="single"/>
          <w:lang w:val="fr-FR" w:eastAsia="en-GB"/>
        </w:rPr>
        <w:tab/>
        <w:t xml:space="preserve">Vérifier que tous les jeux de données nécessaires à l’exécution de la MP sont disponibles  </w:t>
      </w:r>
    </w:p>
    <w:p w14:paraId="1B4A5D9C" w14:textId="77777777" w:rsidR="004B785C" w:rsidRPr="004B785C" w:rsidRDefault="004B785C" w:rsidP="004B785C">
      <w:pPr>
        <w:widowControl/>
        <w:ind w:left="567" w:hanging="283"/>
        <w:rPr>
          <w:rFonts w:eastAsia="Aptos" w:cs="Arial"/>
          <w:kern w:val="2"/>
          <w:sz w:val="20"/>
          <w:szCs w:val="20"/>
          <w:u w:val="single"/>
          <w:lang w:val="fr-FR" w:eastAsia="en-GB"/>
          <w14:ligatures w14:val="standardContextual"/>
        </w:rPr>
      </w:pPr>
      <w:r w:rsidRPr="004B785C">
        <w:rPr>
          <w:sz w:val="20"/>
          <w:u w:val="single"/>
          <w:lang w:val="fr-FR" w:eastAsia="en-GB"/>
        </w:rPr>
        <w:t>2.</w:t>
      </w:r>
      <w:r w:rsidRPr="004B785C">
        <w:rPr>
          <w:sz w:val="20"/>
          <w:u w:val="single"/>
          <w:lang w:val="fr-FR" w:eastAsia="en-GB"/>
        </w:rPr>
        <w:tab/>
      </w:r>
      <w:proofErr w:type="spellStart"/>
      <w:r w:rsidRPr="004B785C">
        <w:rPr>
          <w:sz w:val="20"/>
          <w:u w:val="single"/>
          <w:lang w:val="fr-FR" w:eastAsia="en-GB"/>
        </w:rPr>
        <w:t>Ré-exécuter</w:t>
      </w:r>
      <w:proofErr w:type="spellEnd"/>
      <w:r w:rsidRPr="004B785C">
        <w:rPr>
          <w:sz w:val="20"/>
          <w:u w:val="single"/>
          <w:lang w:val="fr-FR" w:eastAsia="en-GB"/>
        </w:rPr>
        <w:t xml:space="preserve"> la MP  </w:t>
      </w:r>
    </w:p>
    <w:p w14:paraId="0EF5EB8A" w14:textId="77777777" w:rsidR="004B785C" w:rsidRPr="004B785C" w:rsidRDefault="004B785C" w:rsidP="004B785C">
      <w:pPr>
        <w:widowControl/>
        <w:ind w:firstLine="284"/>
        <w:rPr>
          <w:rFonts w:eastAsia="Aptos" w:cs="Arial"/>
          <w:kern w:val="2"/>
          <w:sz w:val="20"/>
          <w:szCs w:val="20"/>
          <w:u w:val="single"/>
          <w:lang w:val="fr-FR" w:eastAsia="en-GB"/>
          <w14:ligatures w14:val="standardContextual"/>
        </w:rPr>
      </w:pPr>
      <w:r w:rsidRPr="004B785C">
        <w:rPr>
          <w:sz w:val="20"/>
          <w:u w:val="single"/>
          <w:lang w:val="fr-FR" w:eastAsia="en-GB"/>
        </w:rPr>
        <w:t xml:space="preserve">3.   Mêmes contrôles que ceux effectués au cours des années 1 et 2 </w:t>
      </w:r>
    </w:p>
    <w:p w14:paraId="0B59B3A6" w14:textId="77777777" w:rsidR="004B785C" w:rsidRPr="004B785C" w:rsidRDefault="004B785C" w:rsidP="004B785C">
      <w:pPr>
        <w:widowControl/>
        <w:rPr>
          <w:rFonts w:eastAsia="Aptos" w:cs="Arial"/>
          <w:kern w:val="2"/>
          <w:sz w:val="20"/>
          <w:szCs w:val="20"/>
          <w:u w:val="single"/>
          <w:lang w:val="fr-FR"/>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4B785C" w:rsidRPr="004B785C" w14:paraId="3D4E6446" w14:textId="77777777" w:rsidTr="00AB7AC7">
        <w:trPr>
          <w:trHeight w:val="365"/>
        </w:trPr>
        <w:tc>
          <w:tcPr>
            <w:tcW w:w="1805" w:type="dxa"/>
            <w:tcBorders>
              <w:top w:val="single" w:sz="4" w:space="0" w:color="000000"/>
              <w:left w:val="single" w:sz="4" w:space="0" w:color="000000"/>
              <w:bottom w:val="single" w:sz="4" w:space="0" w:color="000000"/>
              <w:right w:val="single" w:sz="4" w:space="0" w:color="000000"/>
            </w:tcBorders>
          </w:tcPr>
          <w:p w14:paraId="0B4DA8B8"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S'il n'existe pas d’EC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4B785C" w:rsidRPr="004B785C" w14:paraId="07E7C73A" w14:textId="77777777" w:rsidTr="00AB7AC7">
        <w:trPr>
          <w:trHeight w:val="398"/>
        </w:trPr>
        <w:tc>
          <w:tcPr>
            <w:tcW w:w="1362" w:type="dxa"/>
            <w:tcBorders>
              <w:top w:val="single" w:sz="4" w:space="0" w:color="000000"/>
              <w:left w:val="single" w:sz="4" w:space="0" w:color="000000"/>
              <w:bottom w:val="single" w:sz="4" w:space="0" w:color="000000"/>
              <w:right w:val="single" w:sz="4" w:space="0" w:color="000000"/>
            </w:tcBorders>
          </w:tcPr>
          <w:p w14:paraId="0369AB93"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Si des EC existent </w:t>
            </w:r>
          </w:p>
        </w:tc>
      </w:tr>
    </w:tbl>
    <w:p w14:paraId="61D29E9C" w14:textId="77777777" w:rsidR="004B785C" w:rsidRPr="004B785C" w:rsidDel="00FC226A" w:rsidRDefault="004B785C" w:rsidP="004B785C">
      <w:pPr>
        <w:widowControl/>
        <w:rPr>
          <w:rFonts w:eastAsia="Aptos" w:cs="Arial"/>
          <w:kern w:val="2"/>
          <w:sz w:val="20"/>
          <w:szCs w:val="20"/>
          <w:u w:val="single"/>
          <w:lang w:val="fr-FR" w:eastAsia="en-GB"/>
          <w14:ligatures w14:val="standardContextual"/>
        </w:rPr>
      </w:pPr>
      <w:r w:rsidRPr="004B785C">
        <w:rPr>
          <w:noProof/>
          <w:sz w:val="20"/>
          <w:u w:val="single"/>
          <w:lang w:val="fr-FR" w:eastAsia="en-GB"/>
        </w:rPr>
        <mc:AlternateContent>
          <mc:Choice Requires="wpg">
            <w:drawing>
              <wp:anchor distT="0" distB="0" distL="114300" distR="114300" simplePos="0" relativeHeight="251661312" behindDoc="0" locked="0" layoutInCell="1" allowOverlap="1" wp14:anchorId="24ED4707" wp14:editId="3DCAA2C5">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0E51E71"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681BBCC2" w14:textId="77777777" w:rsidR="004B785C" w:rsidRPr="004B785C" w:rsidDel="00FC226A" w:rsidRDefault="004B785C" w:rsidP="004B785C">
      <w:pPr>
        <w:widowControl/>
        <w:rPr>
          <w:rFonts w:eastAsia="Aptos" w:cs="Arial"/>
          <w:kern w:val="2"/>
          <w:sz w:val="20"/>
          <w:szCs w:val="20"/>
          <w:u w:val="single"/>
          <w14:ligatures w14:val="standardContextual"/>
        </w:rPr>
      </w:pPr>
    </w:p>
    <w:p w14:paraId="0B254282"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noProof/>
          <w:sz w:val="20"/>
          <w:u w:val="single"/>
          <w:lang w:val="fr-FR" w:eastAsia="en-GB"/>
        </w:rPr>
        <mc:AlternateContent>
          <mc:Choice Requires="wpg">
            <w:drawing>
              <wp:anchor distT="0" distB="0" distL="114300" distR="114300" simplePos="0" relativeHeight="251660288" behindDoc="0" locked="0" layoutInCell="1" allowOverlap="1" wp14:anchorId="21D3477E" wp14:editId="416A8424">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1822E67F"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4B785C">
        <w:rPr>
          <w:noProof/>
          <w:sz w:val="20"/>
          <w:u w:val="single"/>
          <w:lang w:val="fr-FR" w:eastAsia="en-GB"/>
        </w:rPr>
        <mc:AlternateContent>
          <mc:Choice Requires="wpg">
            <w:drawing>
              <wp:anchor distT="0" distB="0" distL="114300" distR="114300" simplePos="0" relativeHeight="251659264" behindDoc="0" locked="0" layoutInCell="1" allowOverlap="1" wp14:anchorId="2E5C2AFA" wp14:editId="20E980C1">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77701496"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F753B83"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noProof/>
          <w:sz w:val="20"/>
          <w:u w:val="single"/>
          <w:lang w:val="fr-FR" w:eastAsia="en-GB"/>
        </w:rPr>
        <mc:AlternateContent>
          <mc:Choice Requires="wpg">
            <w:drawing>
              <wp:anchor distT="0" distB="0" distL="114300" distR="114300" simplePos="0" relativeHeight="251663360" behindDoc="1" locked="0" layoutInCell="1" allowOverlap="1" wp14:anchorId="38FD2DFA" wp14:editId="63D99CB2">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514EAFD2"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4B785C">
        <w:rPr>
          <w:sz w:val="20"/>
          <w:u w:val="single"/>
          <w:lang w:val="fr-FR" w:eastAsia="en-GB"/>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4B785C" w:rsidRPr="004B785C" w14:paraId="193438C3" w14:textId="77777777" w:rsidTr="00AB7AC7">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3F78D29A"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Le SCRS détermine que les EC empêchent l'application de la MP ou rendent l'application de la MP ou la mise en œuvre de ses résultats (c'est-à-dire le TAC) déconseillée.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4B785C" w:rsidRPr="004B785C" w14:paraId="528E1F45" w14:textId="77777777" w:rsidTr="00AB7AC7">
        <w:trPr>
          <w:trHeight w:val="1331"/>
        </w:trPr>
        <w:tc>
          <w:tcPr>
            <w:tcW w:w="2790" w:type="dxa"/>
            <w:tcBorders>
              <w:top w:val="single" w:sz="4" w:space="0" w:color="000000"/>
              <w:left w:val="single" w:sz="4" w:space="0" w:color="000000"/>
              <w:bottom w:val="single" w:sz="4" w:space="0" w:color="000000"/>
              <w:right w:val="single" w:sz="4" w:space="0" w:color="000000"/>
            </w:tcBorders>
          </w:tcPr>
          <w:p w14:paraId="03724A04"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Le SCRS détermine que les EC n'empêchent pas l'application de la MP et la mise en œuvre de ses résultats (c'est-à-dire le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4B785C" w:rsidRPr="004B785C" w14:paraId="4232A898" w14:textId="77777777" w:rsidTr="00AB7AC7">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31526D2A"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Les TAC calculés par la MP restent valides (dans les années 1 -3) et la MP continue d'être appliquée dans l’année 3 pour calculer les TAC pour la prochaine période de gestion de trois ans. </w:t>
            </w:r>
          </w:p>
        </w:tc>
      </w:tr>
    </w:tbl>
    <w:p w14:paraId="2C7A9BDF" w14:textId="77777777" w:rsidR="004B785C" w:rsidRPr="004B785C" w:rsidRDefault="004B785C" w:rsidP="004B785C">
      <w:pPr>
        <w:widowControl/>
        <w:rPr>
          <w:rFonts w:eastAsia="Aptos" w:cs="Arial"/>
          <w:kern w:val="2"/>
          <w:sz w:val="20"/>
          <w:szCs w:val="20"/>
          <w:u w:val="single"/>
          <w:lang w:val="fr-FR"/>
          <w14:ligatures w14:val="standardContextual"/>
        </w:rPr>
      </w:pPr>
    </w:p>
    <w:p w14:paraId="76BA8CE1"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noProof/>
          <w:sz w:val="20"/>
          <w:u w:val="single"/>
          <w:lang w:val="fr-FR" w:eastAsia="en-GB"/>
        </w:rPr>
        <mc:AlternateContent>
          <mc:Choice Requires="wpg">
            <w:drawing>
              <wp:anchor distT="0" distB="0" distL="114300" distR="114300" simplePos="0" relativeHeight="251662336" behindDoc="0" locked="0" layoutInCell="1" allowOverlap="1" wp14:anchorId="2E5D4071" wp14:editId="4A7DF87B">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55A3A567"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6DBB8FE4" w14:textId="77777777" w:rsidR="004B785C" w:rsidRPr="004B785C" w:rsidRDefault="004B785C" w:rsidP="004B785C">
      <w:pPr>
        <w:widowControl/>
        <w:rPr>
          <w:rFonts w:eastAsia="Aptos" w:cs="Arial"/>
          <w:kern w:val="2"/>
          <w:sz w:val="20"/>
          <w:szCs w:val="20"/>
          <w:u w:val="single"/>
          <w:lang w:val="fr-FR" w:eastAsia="en-GB"/>
          <w14:ligatures w14:val="standardContextual"/>
        </w:rPr>
      </w:pPr>
      <w:r w:rsidRPr="004B785C">
        <w:rPr>
          <w:sz w:val="20"/>
          <w:u w:val="single"/>
          <w:lang w:val="fr-FR" w:eastAsia="en-GB"/>
        </w:rPr>
        <w:t xml:space="preserve"> </w:t>
      </w:r>
    </w:p>
    <w:p w14:paraId="4F8C1D48" w14:textId="77777777" w:rsidR="004B785C" w:rsidRPr="004B785C" w:rsidRDefault="004B785C" w:rsidP="004B785C">
      <w:pPr>
        <w:widowControl/>
        <w:jc w:val="both"/>
        <w:rPr>
          <w:rFonts w:eastAsia="Aptos" w:cs="Arial"/>
          <w:kern w:val="2"/>
          <w:sz w:val="20"/>
          <w:szCs w:val="20"/>
          <w:u w:val="single"/>
          <w:lang w:val="fr-FR"/>
          <w14:ligatures w14:val="standardContextual"/>
        </w:rPr>
      </w:pPr>
    </w:p>
    <w:p w14:paraId="4D4C2BF2" w14:textId="77777777" w:rsidR="004B785C" w:rsidRPr="004B785C" w:rsidRDefault="004B785C" w:rsidP="004B785C">
      <w:pPr>
        <w:widowControl/>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Le SCRS devra conseiller la Commission sur : </w:t>
      </w:r>
    </w:p>
    <w:p w14:paraId="7E3EC61E" w14:textId="77777777" w:rsidR="004B785C" w:rsidRPr="004B785C" w:rsidRDefault="004B785C" w:rsidP="004B785C">
      <w:pPr>
        <w:widowControl/>
        <w:jc w:val="both"/>
        <w:rPr>
          <w:rFonts w:eastAsia="Aptos" w:cs="Arial"/>
          <w:kern w:val="2"/>
          <w:sz w:val="20"/>
          <w:szCs w:val="20"/>
          <w:u w:val="single"/>
          <w:lang w:val="fr-FR"/>
          <w14:ligatures w14:val="standardContextual"/>
        </w:rPr>
      </w:pPr>
    </w:p>
    <w:p w14:paraId="4943599F" w14:textId="77777777" w:rsidR="004B785C" w:rsidRPr="004B785C" w:rsidRDefault="004B785C" w:rsidP="007B2FF0">
      <w:pPr>
        <w:widowControl/>
        <w:numPr>
          <w:ilvl w:val="0"/>
          <w:numId w:val="6"/>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Des recherches supplémentaires qui pourraient apporter plus de clarté sur la nécessité de s'écarter du calendrier actuel de révision de la MP et du TAC.</w:t>
      </w:r>
    </w:p>
    <w:p w14:paraId="37D1F1D1" w14:textId="77777777" w:rsidR="004B785C" w:rsidRPr="004B785C" w:rsidRDefault="004B785C" w:rsidP="004B785C">
      <w:pPr>
        <w:widowControl/>
        <w:ind w:left="567"/>
        <w:jc w:val="both"/>
        <w:rPr>
          <w:rFonts w:eastAsia="Aptos" w:cs="Arial"/>
          <w:kern w:val="2"/>
          <w:sz w:val="20"/>
          <w:szCs w:val="20"/>
          <w:u w:val="single"/>
          <w:lang w:val="fr-FR"/>
          <w14:ligatures w14:val="standardContextual"/>
        </w:rPr>
      </w:pPr>
    </w:p>
    <w:p w14:paraId="0C36BC97" w14:textId="77777777" w:rsidR="004B785C" w:rsidRPr="004B785C" w:rsidRDefault="004B785C" w:rsidP="007B2FF0">
      <w:pPr>
        <w:widowControl/>
        <w:numPr>
          <w:ilvl w:val="0"/>
          <w:numId w:val="6"/>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Options de gestion alternatives pour la prochaine année de pêche visant à assurer, au minimum, la stabilité de l'état des stocks, y compris les implications : (i) le maintien du TAC établi dans le cadre de la MP, (ii) la réduction du TAC à la lumière des indications de déclin du stock, (iii) l'augmentation du TAC à la lumière des indications d'augmentation du stock qui n'ont pas été jugées plausibles au cours des tests de la MSE, et (iv) toute autre mesure de conservation et de gestion appropriée ;</w:t>
      </w:r>
    </w:p>
    <w:p w14:paraId="2AEDA248" w14:textId="77777777" w:rsidR="004B785C" w:rsidRPr="004B785C" w:rsidRDefault="004B785C" w:rsidP="004B785C">
      <w:pPr>
        <w:widowControl/>
        <w:ind w:left="567"/>
        <w:jc w:val="both"/>
        <w:rPr>
          <w:rFonts w:eastAsia="Aptos" w:cs="Arial"/>
          <w:kern w:val="2"/>
          <w:sz w:val="20"/>
          <w:szCs w:val="20"/>
          <w:u w:val="single"/>
          <w:lang w:val="fr-FR"/>
          <w14:ligatures w14:val="standardContextual"/>
        </w:rPr>
      </w:pPr>
    </w:p>
    <w:p w14:paraId="79776B2F" w14:textId="77777777" w:rsidR="004B785C" w:rsidRPr="004B785C" w:rsidRDefault="004B785C" w:rsidP="007B2FF0">
      <w:pPr>
        <w:widowControl/>
        <w:numPr>
          <w:ilvl w:val="0"/>
          <w:numId w:val="6"/>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La question de savoir si la MP existante devrait être légèrement ajustée ou si une nouvelle MP doit être développée ; et </w:t>
      </w:r>
    </w:p>
    <w:p w14:paraId="7557F1C4" w14:textId="77777777" w:rsidR="004B785C" w:rsidRPr="004B785C" w:rsidRDefault="004B785C" w:rsidP="004B785C">
      <w:pPr>
        <w:widowControl/>
        <w:ind w:left="567"/>
        <w:jc w:val="both"/>
        <w:rPr>
          <w:rFonts w:eastAsia="Aptos" w:cs="Arial"/>
          <w:kern w:val="2"/>
          <w:sz w:val="20"/>
          <w:szCs w:val="20"/>
          <w:u w:val="single"/>
          <w:lang w:val="fr-FR"/>
          <w14:ligatures w14:val="standardContextual"/>
        </w:rPr>
      </w:pPr>
    </w:p>
    <w:p w14:paraId="49E2EA9B" w14:textId="77777777" w:rsidR="004B785C" w:rsidRPr="004B785C" w:rsidRDefault="004B785C" w:rsidP="007B2FF0">
      <w:pPr>
        <w:widowControl/>
        <w:numPr>
          <w:ilvl w:val="0"/>
          <w:numId w:val="6"/>
        </w:numPr>
        <w:spacing w:after="5" w:line="249" w:lineRule="auto"/>
        <w:ind w:left="993" w:right="47" w:hanging="426"/>
        <w:jc w:val="both"/>
        <w:rPr>
          <w:rFonts w:eastAsia="Aptos" w:cs="Arial"/>
          <w:kern w:val="2"/>
          <w:sz w:val="20"/>
          <w:szCs w:val="20"/>
          <w:u w:val="single"/>
          <w:lang w:val="fr-FR" w:eastAsia="en-GB"/>
          <w14:ligatures w14:val="standardContextual"/>
        </w:rPr>
      </w:pPr>
      <w:r w:rsidRPr="004B785C">
        <w:rPr>
          <w:sz w:val="20"/>
          <w:u w:val="single"/>
          <w:lang w:val="fr-FR" w:eastAsia="en-GB"/>
        </w:rPr>
        <w:t xml:space="preserve">Si une évaluation du stock ou une autre méthode approuvée par le SCRS pour déterminer les TAC est nécessaire pour fournir un avis de gestion dans l'intervalle, pendant qu'une MP révisée est élaborée. </w:t>
      </w:r>
    </w:p>
    <w:p w14:paraId="214F26A2" w14:textId="77777777" w:rsidR="004B785C" w:rsidRPr="004B785C" w:rsidRDefault="004B785C" w:rsidP="004B785C">
      <w:pPr>
        <w:widowControl/>
        <w:jc w:val="both"/>
        <w:rPr>
          <w:rFonts w:eastAsia="Aptos" w:cs="Arial"/>
          <w:kern w:val="2"/>
          <w:sz w:val="20"/>
          <w:szCs w:val="20"/>
          <w:u w:val="single"/>
          <w:lang w:val="fr-FR"/>
          <w14:ligatures w14:val="standardContextual"/>
        </w:rPr>
      </w:pPr>
    </w:p>
    <w:p w14:paraId="7489E506" w14:textId="77777777" w:rsidR="004B785C" w:rsidRPr="004B785C" w:rsidRDefault="004B785C" w:rsidP="004B785C">
      <w:pPr>
        <w:widowControl/>
        <w:jc w:val="both"/>
        <w:rPr>
          <w:sz w:val="20"/>
          <w:u w:val="single"/>
          <w:lang w:val="fr-FR" w:eastAsia="en-GB"/>
        </w:rPr>
      </w:pPr>
      <w:r w:rsidRPr="004B785C">
        <w:rPr>
          <w:sz w:val="20"/>
          <w:u w:val="single"/>
          <w:lang w:val="fr-FR" w:eastAsia="en-GB"/>
        </w:rPr>
        <w:t>Sur la base de l'avis du SCRS sur ce qui précède, la Commission devra décider de la ou des mesures de gestion alternatives à prendre. Si nécessaire et approprié, le SCRS devra réaliser une nouvelle évaluation du stock et/ou formuler un avis sur les nouvelles MP potentielles, dès que possible.</w:t>
      </w:r>
    </w:p>
    <w:p w14:paraId="6923FEA7" w14:textId="77777777" w:rsidR="004B785C" w:rsidRPr="004B785C" w:rsidRDefault="004B785C" w:rsidP="004B785C">
      <w:pPr>
        <w:widowControl/>
        <w:jc w:val="both"/>
        <w:rPr>
          <w:rFonts w:eastAsia="Aptos" w:cs="Arial"/>
          <w:kern w:val="2"/>
          <w:sz w:val="20"/>
          <w:szCs w:val="20"/>
          <w:lang w:val="fr-FR" w:eastAsia="en-GB"/>
          <w14:ligatures w14:val="standardContextual"/>
        </w:rPr>
      </w:pPr>
    </w:p>
    <w:p w14:paraId="1F5DFE51" w14:textId="77777777" w:rsidR="008653EC" w:rsidRPr="004B785C" w:rsidRDefault="008653EC" w:rsidP="004B785C">
      <w:pPr>
        <w:ind w:right="-20"/>
        <w:jc w:val="center"/>
        <w:rPr>
          <w:bCs/>
          <w:u w:val="single"/>
          <w:lang w:val="fr-FR"/>
        </w:rPr>
      </w:pPr>
    </w:p>
    <w:sectPr w:rsidR="008653EC" w:rsidRPr="004B785C" w:rsidSect="003F4991">
      <w:headerReference w:type="even" r:id="rId7"/>
      <w:headerReference w:type="default" r:id="rId8"/>
      <w:footerReference w:type="default" r:id="rId9"/>
      <w:headerReference w:type="first" r:id="rId10"/>
      <w:pgSz w:w="11907" w:h="16840" w:code="9"/>
      <w:pgMar w:top="1418" w:right="1417"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F6F3" w14:textId="77777777" w:rsidR="0069293B" w:rsidRDefault="0069293B" w:rsidP="002949E9">
      <w:r>
        <w:separator/>
      </w:r>
    </w:p>
  </w:endnote>
  <w:endnote w:type="continuationSeparator" w:id="0">
    <w:p w14:paraId="61F412B7" w14:textId="77777777" w:rsidR="0069293B" w:rsidRDefault="0069293B" w:rsidP="002949E9">
      <w:r>
        <w:continuationSeparator/>
      </w:r>
    </w:p>
  </w:endnote>
  <w:endnote w:type="continuationNotice" w:id="1">
    <w:p w14:paraId="7F631969" w14:textId="77777777" w:rsidR="0069293B" w:rsidRDefault="00692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28D9" w14:textId="13F70882" w:rsidR="004B4F7E" w:rsidRPr="00B07CD4" w:rsidRDefault="009128D0" w:rsidP="00B07CD4">
    <w:pPr>
      <w:tabs>
        <w:tab w:val="center" w:pos="4535"/>
        <w:tab w:val="center" w:pos="4680"/>
        <w:tab w:val="left" w:pos="6150"/>
        <w:tab w:val="right" w:pos="9360"/>
      </w:tabs>
      <w:jc w:val="center"/>
      <w:rPr>
        <w:rFonts w:eastAsia="Calibri" w:cs="Calibri"/>
      </w:rPr>
    </w:pPr>
    <w:r w:rsidRPr="008703A3">
      <w:rPr>
        <w:rFonts w:eastAsia="Calibri" w:cs="Calibri"/>
        <w:szCs w:val="20"/>
      </w:rPr>
      <w:fldChar w:fldCharType="begin"/>
    </w:r>
    <w:r w:rsidRPr="008703A3">
      <w:rPr>
        <w:rFonts w:eastAsia="Calibri" w:cs="Calibri"/>
        <w:szCs w:val="20"/>
      </w:rPr>
      <w:instrText xml:space="preserve"> PAGE </w:instrText>
    </w:r>
    <w:r w:rsidRPr="008703A3">
      <w:rPr>
        <w:rFonts w:eastAsia="Calibri" w:cs="Calibri"/>
        <w:szCs w:val="20"/>
      </w:rPr>
      <w:fldChar w:fldCharType="separate"/>
    </w:r>
    <w:r>
      <w:rPr>
        <w:rFonts w:eastAsia="Calibri" w:cs="Calibri"/>
        <w:szCs w:val="20"/>
      </w:rPr>
      <w:t>1</w:t>
    </w:r>
    <w:r w:rsidRPr="008703A3">
      <w:rPr>
        <w:rFonts w:eastAsia="Calibri" w:cs="Calibri"/>
        <w:szCs w:val="20"/>
      </w:rPr>
      <w:fldChar w:fldCharType="end"/>
    </w:r>
    <w:r w:rsidRPr="008703A3">
      <w:rPr>
        <w:rFonts w:eastAsia="Calibri" w:cs="Calibri"/>
        <w:szCs w:val="20"/>
      </w:rPr>
      <w:t xml:space="preserve"> / </w:t>
    </w:r>
    <w:r w:rsidRPr="008703A3">
      <w:rPr>
        <w:rFonts w:eastAsia="Calibri" w:cs="Calibri"/>
        <w:szCs w:val="20"/>
      </w:rPr>
      <w:fldChar w:fldCharType="begin"/>
    </w:r>
    <w:r w:rsidRPr="008703A3">
      <w:rPr>
        <w:rFonts w:eastAsia="Calibri" w:cs="Calibri"/>
        <w:szCs w:val="20"/>
      </w:rPr>
      <w:instrText xml:space="preserve"> NUMPAGES  </w:instrText>
    </w:r>
    <w:r w:rsidRPr="008703A3">
      <w:rPr>
        <w:rFonts w:eastAsia="Calibri" w:cs="Calibri"/>
        <w:szCs w:val="20"/>
      </w:rPr>
      <w:fldChar w:fldCharType="separate"/>
    </w:r>
    <w:r>
      <w:rPr>
        <w:rFonts w:eastAsia="Calibri" w:cs="Calibri"/>
        <w:szCs w:val="20"/>
      </w:rPr>
      <w:t>6</w:t>
    </w:r>
    <w:r w:rsidRPr="008703A3">
      <w:rPr>
        <w:rFonts w:eastAsia="Calibri"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3D04" w14:textId="77777777" w:rsidR="0069293B" w:rsidRDefault="0069293B" w:rsidP="002949E9">
      <w:r>
        <w:separator/>
      </w:r>
    </w:p>
  </w:footnote>
  <w:footnote w:type="continuationSeparator" w:id="0">
    <w:p w14:paraId="72B93E98" w14:textId="77777777" w:rsidR="0069293B" w:rsidRDefault="0069293B" w:rsidP="002949E9">
      <w:r>
        <w:continuationSeparator/>
      </w:r>
    </w:p>
  </w:footnote>
  <w:footnote w:type="continuationNotice" w:id="1">
    <w:p w14:paraId="5BC77D78" w14:textId="77777777" w:rsidR="0069293B" w:rsidRDefault="0069293B"/>
  </w:footnote>
  <w:footnote w:id="2">
    <w:p w14:paraId="3D8F4F91" w14:textId="77777777" w:rsidR="00F36422" w:rsidRPr="00F36422" w:rsidRDefault="00F36422" w:rsidP="00F36422">
      <w:pPr>
        <w:rPr>
          <w:sz w:val="16"/>
          <w:szCs w:val="16"/>
          <w:lang w:val="fr-FR"/>
        </w:rPr>
      </w:pPr>
      <w:r w:rsidRPr="00FC7F87">
        <w:rPr>
          <w:sz w:val="16"/>
          <w:szCs w:val="16"/>
          <w:vertAlign w:val="superscript"/>
        </w:rPr>
        <w:footnoteRef/>
      </w:r>
      <w:r w:rsidRPr="00F36422">
        <w:rPr>
          <w:sz w:val="16"/>
          <w:lang w:val="fr-FR"/>
        </w:rPr>
        <w:t xml:space="preserve"> Le point de référence limite provisoire (LRP) utilisé dans la MSE était B</w:t>
      </w:r>
      <w:r w:rsidRPr="00F36422">
        <w:rPr>
          <w:sz w:val="16"/>
          <w:vertAlign w:val="subscript"/>
          <w:lang w:val="fr-FR"/>
        </w:rPr>
        <w:t>LIM</w:t>
      </w:r>
      <w:r w:rsidRPr="00F36422">
        <w:rPr>
          <w:sz w:val="16"/>
          <w:lang w:val="fr-FR"/>
        </w:rPr>
        <w:t xml:space="preserve"> = 0,4*</w:t>
      </w:r>
      <w:proofErr w:type="gramStart"/>
      <w:r w:rsidRPr="00F36422">
        <w:rPr>
          <w:sz w:val="16"/>
          <w:lang w:val="fr-FR"/>
        </w:rPr>
        <w:t>B</w:t>
      </w:r>
      <w:r w:rsidRPr="00F36422">
        <w:rPr>
          <w:sz w:val="16"/>
          <w:vertAlign w:val="subscript"/>
          <w:lang w:val="fr-FR"/>
        </w:rPr>
        <w:t>PME.</w:t>
      </w:r>
      <w:r w:rsidRPr="00F36422">
        <w:rPr>
          <w:lang w:val="fr-FR"/>
        </w:rPr>
        <w:t>.</w:t>
      </w:r>
      <w:proofErr w:type="gramEnd"/>
    </w:p>
  </w:footnote>
  <w:footnote w:id="3">
    <w:p w14:paraId="5DB260D2" w14:textId="77777777" w:rsidR="004B785C" w:rsidRPr="007B2FF0" w:rsidRDefault="004B785C" w:rsidP="004B785C">
      <w:pPr>
        <w:pStyle w:val="FootnoteText"/>
        <w:jc w:val="both"/>
        <w:rPr>
          <w:sz w:val="16"/>
          <w:szCs w:val="16"/>
          <w:u w:val="single"/>
          <w:lang w:val="fr-FR"/>
        </w:rPr>
      </w:pPr>
      <w:r w:rsidRPr="001D47F9">
        <w:rPr>
          <w:rStyle w:val="FootnoteReference"/>
          <w:sz w:val="16"/>
          <w:szCs w:val="16"/>
        </w:rPr>
        <w:footnoteRef/>
      </w:r>
      <w:r w:rsidRPr="004B785C">
        <w:rPr>
          <w:sz w:val="16"/>
          <w:szCs w:val="16"/>
          <w:lang w:val="fr-FR"/>
        </w:rPr>
        <w:t xml:space="preserve"> </w:t>
      </w:r>
      <w:r w:rsidRPr="007B2FF0">
        <w:rPr>
          <w:sz w:val="16"/>
          <w:szCs w:val="16"/>
          <w:u w:val="single"/>
          <w:lang w:val="fr-FR"/>
        </w:rPr>
        <w:t>L'influence des omissions de données varie selon les CPC et l'impact de la combinaison particulière de données manquantes sur les CPC sera évalué par le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6BAD" w14:textId="0FB824D0" w:rsidR="00C26E2D" w:rsidRDefault="00C26E2D">
    <w:pPr>
      <w:pStyle w:val="Header"/>
    </w:pPr>
    <w:r>
      <w:rPr>
        <w:noProof/>
        <w14:ligatures w14:val="standardContextual"/>
      </w:rPr>
      <mc:AlternateContent>
        <mc:Choice Requires="wps">
          <w:drawing>
            <wp:anchor distT="0" distB="0" distL="0" distR="0" simplePos="0" relativeHeight="251659264" behindDoc="0" locked="0" layoutInCell="1" allowOverlap="1" wp14:anchorId="2668E674" wp14:editId="769F0EE7">
              <wp:simplePos x="635" y="635"/>
              <wp:positionH relativeFrom="page">
                <wp:align>right</wp:align>
              </wp:positionH>
              <wp:positionV relativeFrom="page">
                <wp:align>top</wp:align>
              </wp:positionV>
              <wp:extent cx="1917700" cy="376555"/>
              <wp:effectExtent l="0" t="0" r="0" b="4445"/>
              <wp:wrapNone/>
              <wp:docPr id="471533062"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34328BB" w14:textId="327E69DF"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68E674" id="_x0000_t202" coordsize="21600,21600" o:spt="202" path="m,l,21600r21600,l21600,xe">
              <v:stroke joinstyle="miter"/>
              <v:path gradientshapeok="t" o:connecttype="rect"/>
            </v:shapetype>
            <v:shape id="Text Box 2" o:spid="_x0000_s1026" type="#_x0000_t202" alt="Unclassified - Non-Classifié" style="position:absolute;margin-left:99.8pt;margin-top:0;width:151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334328BB" w14:textId="327E69DF"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FF0A" w14:textId="10797771" w:rsidR="002432BD" w:rsidRPr="00BC22D4" w:rsidRDefault="002432BD" w:rsidP="002432BD">
    <w:pPr>
      <w:tabs>
        <w:tab w:val="center" w:pos="4680"/>
        <w:tab w:val="left" w:pos="6520"/>
        <w:tab w:val="right" w:pos="9360"/>
        <w:tab w:val="right" w:pos="14240"/>
      </w:tabs>
      <w:jc w:val="right"/>
      <w:rPr>
        <w:rFonts w:eastAsia="Calibri"/>
        <w:b/>
        <w:bCs/>
        <w:szCs w:val="20"/>
      </w:rPr>
    </w:pPr>
    <w:r w:rsidRPr="00BC22D4">
      <w:rPr>
        <w:rFonts w:eastAsia="Calibri"/>
        <w:b/>
        <w:bCs/>
        <w:szCs w:val="20"/>
      </w:rPr>
      <w:t>PA</w:t>
    </w:r>
    <w:r>
      <w:rPr>
        <w:rFonts w:eastAsia="Calibri"/>
        <w:b/>
        <w:bCs/>
        <w:szCs w:val="20"/>
      </w:rPr>
      <w:t>4</w:t>
    </w:r>
    <w:r w:rsidRPr="00BC22D4">
      <w:rPr>
        <w:rFonts w:eastAsia="Calibri"/>
        <w:b/>
        <w:bCs/>
        <w:szCs w:val="20"/>
      </w:rPr>
      <w:t>_</w:t>
    </w:r>
    <w:r>
      <w:rPr>
        <w:rFonts w:eastAsia="Calibri"/>
        <w:b/>
        <w:bCs/>
        <w:szCs w:val="20"/>
      </w:rPr>
      <w:t>826</w:t>
    </w:r>
    <w:r w:rsidRPr="00BC22D4">
      <w:rPr>
        <w:rFonts w:eastAsia="Calibri"/>
        <w:b/>
        <w:bCs/>
        <w:szCs w:val="20"/>
      </w:rPr>
      <w:t>/2025</w:t>
    </w:r>
  </w:p>
  <w:p w14:paraId="5F6FF4F2" w14:textId="432BE2DF" w:rsidR="00DB56BB" w:rsidRPr="00DB56BB" w:rsidRDefault="002432BD" w:rsidP="00B07CD4">
    <w:pPr>
      <w:tabs>
        <w:tab w:val="center" w:pos="4513"/>
        <w:tab w:val="right" w:pos="9026"/>
      </w:tabs>
      <w:jc w:val="right"/>
      <w:rPr>
        <w:rFonts w:eastAsia="Calibri" w:cs="Times New Roman"/>
        <w:b/>
        <w:bCs/>
        <w:sz w:val="16"/>
        <w:szCs w:val="16"/>
        <w:lang w:val="es-ES_tradnl"/>
      </w:rPr>
    </w:pPr>
    <w:r w:rsidRPr="00BC22D4">
      <w:rPr>
        <w:rFonts w:eastAsia="Calibri"/>
        <w:b/>
        <w:bCs/>
        <w:sz w:val="16"/>
        <w:szCs w:val="16"/>
        <w:lang w:val="es-ES_tradnl"/>
      </w:rPr>
      <w:fldChar w:fldCharType="begin"/>
    </w:r>
    <w:r w:rsidRPr="00BC22D4">
      <w:rPr>
        <w:rFonts w:eastAsia="Calibri"/>
        <w:b/>
        <w:bCs/>
        <w:sz w:val="16"/>
        <w:szCs w:val="16"/>
        <w:lang w:val="es-ES_tradnl"/>
      </w:rPr>
      <w:instrText xml:space="preserve"> TIME \@ "dd/MM/yyyy H:mm" </w:instrText>
    </w:r>
    <w:r w:rsidRPr="00BC22D4">
      <w:rPr>
        <w:rFonts w:eastAsia="Calibri"/>
        <w:b/>
        <w:bCs/>
        <w:sz w:val="16"/>
        <w:szCs w:val="16"/>
        <w:lang w:val="es-ES_tradnl"/>
      </w:rPr>
      <w:fldChar w:fldCharType="separate"/>
    </w:r>
    <w:r w:rsidR="00675C6E">
      <w:rPr>
        <w:rFonts w:eastAsia="Calibri"/>
        <w:b/>
        <w:bCs/>
        <w:noProof/>
        <w:sz w:val="16"/>
        <w:szCs w:val="16"/>
        <w:lang w:val="es-ES_tradnl"/>
      </w:rPr>
      <w:t>23/11/2025 12:18</w:t>
    </w:r>
    <w:r w:rsidRPr="00BC22D4">
      <w:rPr>
        <w:rFonts w:eastAsia="Calibri"/>
        <w:b/>
        <w:bCs/>
        <w:sz w:val="16"/>
        <w:szCs w:val="16"/>
        <w:lang w:val="es-ES_tradnl"/>
      </w:rPr>
      <w:fldChar w:fldCharType="end"/>
    </w:r>
    <w:r>
      <w:rPr>
        <w:noProof/>
      </w:rPr>
      <mc:AlternateContent>
        <mc:Choice Requires="wps">
          <w:drawing>
            <wp:anchor distT="0" distB="0" distL="0" distR="0" simplePos="0" relativeHeight="251662336" behindDoc="0" locked="0" layoutInCell="1" allowOverlap="1" wp14:anchorId="2B077367" wp14:editId="57E3083D">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55D8CD79" w14:textId="77777777" w:rsidR="002432BD" w:rsidRPr="000243E9" w:rsidRDefault="002432BD" w:rsidP="002432BD">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077367" id="_x0000_t202" coordsize="21600,21600" o:spt="202" path="m,l,21600r21600,l21600,xe">
              <v:stroke joinstyle="miter"/>
              <v:path gradientshapeok="t" o:connecttype="rect"/>
            </v:shapetype>
            <v:shape id="Zone de texte 6" o:spid="_x0000_s1027" type="#_x0000_t202" alt="Unclassified - Non-Classifié" style="position:absolute;left:0;text-align:left;margin-left:99.8pt;margin-top:0;width:151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55D8CD79" w14:textId="77777777" w:rsidR="002432BD" w:rsidRPr="000243E9" w:rsidRDefault="002432BD" w:rsidP="002432BD">
                    <w:pPr>
                      <w:rPr>
                        <w:rFonts w:ascii="Calibri" w:eastAsia="Calibri" w:hAnsi="Calibri" w:cs="Calibri"/>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3B9" w14:textId="6B2EFCE3" w:rsidR="00C26E2D" w:rsidRDefault="00C26E2D">
    <w:pPr>
      <w:pStyle w:val="Header"/>
    </w:pPr>
    <w:r>
      <w:rPr>
        <w:noProof/>
        <w14:ligatures w14:val="standardContextual"/>
      </w:rPr>
      <mc:AlternateContent>
        <mc:Choice Requires="wps">
          <w:drawing>
            <wp:anchor distT="0" distB="0" distL="0" distR="0" simplePos="0" relativeHeight="251658240" behindDoc="0" locked="0" layoutInCell="1" allowOverlap="1" wp14:anchorId="04A884E8" wp14:editId="26DAF4F6">
              <wp:simplePos x="635" y="635"/>
              <wp:positionH relativeFrom="page">
                <wp:align>right</wp:align>
              </wp:positionH>
              <wp:positionV relativeFrom="page">
                <wp:align>top</wp:align>
              </wp:positionV>
              <wp:extent cx="1917700" cy="376555"/>
              <wp:effectExtent l="0" t="0" r="0" b="4445"/>
              <wp:wrapNone/>
              <wp:docPr id="1661721177"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62E4AE3" w14:textId="28FBC2C7"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A884E8" id="_x0000_t202" coordsize="21600,21600" o:spt="202" path="m,l,21600r21600,l21600,xe">
              <v:stroke joinstyle="miter"/>
              <v:path gradientshapeok="t" o:connecttype="rect"/>
            </v:shapetype>
            <v:shape id="Text Box 1" o:spid="_x0000_s1028" type="#_x0000_t202" alt="Unclassified - Non-Classifié" style="position:absolute;margin-left:99.8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362E4AE3" w14:textId="28FBC2C7"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1"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2"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02381">
    <w:abstractNumId w:val="0"/>
  </w:num>
  <w:num w:numId="2" w16cid:durableId="2031569548">
    <w:abstractNumId w:val="1"/>
  </w:num>
  <w:num w:numId="3" w16cid:durableId="1343243559">
    <w:abstractNumId w:val="5"/>
  </w:num>
  <w:num w:numId="4" w16cid:durableId="127482467">
    <w:abstractNumId w:val="4"/>
  </w:num>
  <w:num w:numId="5" w16cid:durableId="699205538">
    <w:abstractNumId w:val="2"/>
  </w:num>
  <w:num w:numId="6" w16cid:durableId="118886681">
    <w:abstractNumId w:val="3"/>
  </w:num>
  <w:num w:numId="7" w16cid:durableId="1362705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9"/>
    <w:rsid w:val="000061BE"/>
    <w:rsid w:val="00010169"/>
    <w:rsid w:val="000168C0"/>
    <w:rsid w:val="00017B33"/>
    <w:rsid w:val="00030E0F"/>
    <w:rsid w:val="00031C48"/>
    <w:rsid w:val="00033C0B"/>
    <w:rsid w:val="00036147"/>
    <w:rsid w:val="000444F2"/>
    <w:rsid w:val="0004537E"/>
    <w:rsid w:val="0005198D"/>
    <w:rsid w:val="00052F57"/>
    <w:rsid w:val="000544B8"/>
    <w:rsid w:val="00055F29"/>
    <w:rsid w:val="00063C53"/>
    <w:rsid w:val="00065C5A"/>
    <w:rsid w:val="00084D8F"/>
    <w:rsid w:val="00092C59"/>
    <w:rsid w:val="000A3196"/>
    <w:rsid w:val="000A4A23"/>
    <w:rsid w:val="000A7471"/>
    <w:rsid w:val="000B54AA"/>
    <w:rsid w:val="000C600E"/>
    <w:rsid w:val="000C6E9F"/>
    <w:rsid w:val="000D1A9B"/>
    <w:rsid w:val="000E1DE2"/>
    <w:rsid w:val="000E3D05"/>
    <w:rsid w:val="000F2B14"/>
    <w:rsid w:val="000F2BD3"/>
    <w:rsid w:val="000F3A5A"/>
    <w:rsid w:val="000F4804"/>
    <w:rsid w:val="000F7490"/>
    <w:rsid w:val="00100497"/>
    <w:rsid w:val="00102AD9"/>
    <w:rsid w:val="0010333E"/>
    <w:rsid w:val="0010366B"/>
    <w:rsid w:val="001038EB"/>
    <w:rsid w:val="00110C96"/>
    <w:rsid w:val="0011259B"/>
    <w:rsid w:val="00115634"/>
    <w:rsid w:val="00120971"/>
    <w:rsid w:val="001255BB"/>
    <w:rsid w:val="001326F8"/>
    <w:rsid w:val="00134B08"/>
    <w:rsid w:val="00136ACA"/>
    <w:rsid w:val="00136C0D"/>
    <w:rsid w:val="00143933"/>
    <w:rsid w:val="00147D00"/>
    <w:rsid w:val="0015069F"/>
    <w:rsid w:val="00162EF3"/>
    <w:rsid w:val="00165F37"/>
    <w:rsid w:val="00167C83"/>
    <w:rsid w:val="00170D8B"/>
    <w:rsid w:val="0017156E"/>
    <w:rsid w:val="001730BC"/>
    <w:rsid w:val="0017684A"/>
    <w:rsid w:val="00177D86"/>
    <w:rsid w:val="00182E86"/>
    <w:rsid w:val="0018396E"/>
    <w:rsid w:val="0019053E"/>
    <w:rsid w:val="00191630"/>
    <w:rsid w:val="001942BC"/>
    <w:rsid w:val="00196C0C"/>
    <w:rsid w:val="001A07EA"/>
    <w:rsid w:val="001A28B1"/>
    <w:rsid w:val="001A29BC"/>
    <w:rsid w:val="001A7B97"/>
    <w:rsid w:val="001B23B6"/>
    <w:rsid w:val="001B2D03"/>
    <w:rsid w:val="001B46AE"/>
    <w:rsid w:val="001B5C7F"/>
    <w:rsid w:val="001C197F"/>
    <w:rsid w:val="001C3366"/>
    <w:rsid w:val="001C3381"/>
    <w:rsid w:val="001C60BA"/>
    <w:rsid w:val="001D144E"/>
    <w:rsid w:val="001D5DE2"/>
    <w:rsid w:val="001E042C"/>
    <w:rsid w:val="001E710C"/>
    <w:rsid w:val="001F3E7E"/>
    <w:rsid w:val="001F49F8"/>
    <w:rsid w:val="00206053"/>
    <w:rsid w:val="002071C0"/>
    <w:rsid w:val="00211011"/>
    <w:rsid w:val="002215CD"/>
    <w:rsid w:val="00230C0A"/>
    <w:rsid w:val="002372EF"/>
    <w:rsid w:val="002432BD"/>
    <w:rsid w:val="002523A0"/>
    <w:rsid w:val="00256A90"/>
    <w:rsid w:val="002574FC"/>
    <w:rsid w:val="00262734"/>
    <w:rsid w:val="00262FCC"/>
    <w:rsid w:val="00263763"/>
    <w:rsid w:val="00267FFA"/>
    <w:rsid w:val="00272399"/>
    <w:rsid w:val="00273261"/>
    <w:rsid w:val="00281C4D"/>
    <w:rsid w:val="00291098"/>
    <w:rsid w:val="002949E9"/>
    <w:rsid w:val="002A264B"/>
    <w:rsid w:val="002A5FE9"/>
    <w:rsid w:val="002A69B8"/>
    <w:rsid w:val="002B3426"/>
    <w:rsid w:val="002C0B0D"/>
    <w:rsid w:val="002D2EC8"/>
    <w:rsid w:val="002E18AA"/>
    <w:rsid w:val="002E2ED6"/>
    <w:rsid w:val="002F5F8D"/>
    <w:rsid w:val="003062F6"/>
    <w:rsid w:val="0031062E"/>
    <w:rsid w:val="00311FE7"/>
    <w:rsid w:val="0031241D"/>
    <w:rsid w:val="00326250"/>
    <w:rsid w:val="00344294"/>
    <w:rsid w:val="003451C7"/>
    <w:rsid w:val="00345902"/>
    <w:rsid w:val="003505AD"/>
    <w:rsid w:val="00365BCB"/>
    <w:rsid w:val="00365FA7"/>
    <w:rsid w:val="00370D90"/>
    <w:rsid w:val="00371CD0"/>
    <w:rsid w:val="003740C8"/>
    <w:rsid w:val="00377590"/>
    <w:rsid w:val="00381476"/>
    <w:rsid w:val="00385100"/>
    <w:rsid w:val="003861EA"/>
    <w:rsid w:val="003862A4"/>
    <w:rsid w:val="00392021"/>
    <w:rsid w:val="003A0263"/>
    <w:rsid w:val="003B1767"/>
    <w:rsid w:val="003B2D94"/>
    <w:rsid w:val="003B4E84"/>
    <w:rsid w:val="003B5252"/>
    <w:rsid w:val="003B6391"/>
    <w:rsid w:val="003B7E0F"/>
    <w:rsid w:val="003C2158"/>
    <w:rsid w:val="003C569D"/>
    <w:rsid w:val="003C72F9"/>
    <w:rsid w:val="003D48B5"/>
    <w:rsid w:val="003D6284"/>
    <w:rsid w:val="003E3A97"/>
    <w:rsid w:val="003E6B15"/>
    <w:rsid w:val="003E7AF9"/>
    <w:rsid w:val="003F4991"/>
    <w:rsid w:val="004038C0"/>
    <w:rsid w:val="00406013"/>
    <w:rsid w:val="00410B57"/>
    <w:rsid w:val="0041785C"/>
    <w:rsid w:val="004223DA"/>
    <w:rsid w:val="00436ED2"/>
    <w:rsid w:val="00437B2B"/>
    <w:rsid w:val="00440273"/>
    <w:rsid w:val="0044163A"/>
    <w:rsid w:val="00446E08"/>
    <w:rsid w:val="00446F2A"/>
    <w:rsid w:val="00450190"/>
    <w:rsid w:val="004560C8"/>
    <w:rsid w:val="004561E6"/>
    <w:rsid w:val="00470149"/>
    <w:rsid w:val="00492139"/>
    <w:rsid w:val="004938C6"/>
    <w:rsid w:val="004A4807"/>
    <w:rsid w:val="004A4FE0"/>
    <w:rsid w:val="004A53E6"/>
    <w:rsid w:val="004A7D36"/>
    <w:rsid w:val="004B415C"/>
    <w:rsid w:val="004B4F7E"/>
    <w:rsid w:val="004B785C"/>
    <w:rsid w:val="004C361E"/>
    <w:rsid w:val="004D4E5F"/>
    <w:rsid w:val="004D666E"/>
    <w:rsid w:val="004E1A74"/>
    <w:rsid w:val="005057B0"/>
    <w:rsid w:val="005115E8"/>
    <w:rsid w:val="005147F3"/>
    <w:rsid w:val="0052433D"/>
    <w:rsid w:val="00530721"/>
    <w:rsid w:val="005310C0"/>
    <w:rsid w:val="005326CC"/>
    <w:rsid w:val="00533935"/>
    <w:rsid w:val="005412D0"/>
    <w:rsid w:val="00551342"/>
    <w:rsid w:val="00552318"/>
    <w:rsid w:val="005748E2"/>
    <w:rsid w:val="0058274E"/>
    <w:rsid w:val="00583940"/>
    <w:rsid w:val="00596837"/>
    <w:rsid w:val="005A1647"/>
    <w:rsid w:val="005A4E2C"/>
    <w:rsid w:val="005D1EE7"/>
    <w:rsid w:val="005D780A"/>
    <w:rsid w:val="005E3B39"/>
    <w:rsid w:val="005F1578"/>
    <w:rsid w:val="005F6D3E"/>
    <w:rsid w:val="0060635D"/>
    <w:rsid w:val="006107C0"/>
    <w:rsid w:val="00616A12"/>
    <w:rsid w:val="006173FF"/>
    <w:rsid w:val="00625F56"/>
    <w:rsid w:val="006316AD"/>
    <w:rsid w:val="00641369"/>
    <w:rsid w:val="00645E53"/>
    <w:rsid w:val="00646A7B"/>
    <w:rsid w:val="006472DC"/>
    <w:rsid w:val="00647C7C"/>
    <w:rsid w:val="00650213"/>
    <w:rsid w:val="006534EC"/>
    <w:rsid w:val="006568AA"/>
    <w:rsid w:val="006621F3"/>
    <w:rsid w:val="00663B45"/>
    <w:rsid w:val="00666D8E"/>
    <w:rsid w:val="006743EF"/>
    <w:rsid w:val="00675C6E"/>
    <w:rsid w:val="006808F1"/>
    <w:rsid w:val="00682AF4"/>
    <w:rsid w:val="006861C3"/>
    <w:rsid w:val="00690EB4"/>
    <w:rsid w:val="0069293B"/>
    <w:rsid w:val="0069324F"/>
    <w:rsid w:val="006A173A"/>
    <w:rsid w:val="006A4BE9"/>
    <w:rsid w:val="006B2C8D"/>
    <w:rsid w:val="006C755C"/>
    <w:rsid w:val="006C7B0F"/>
    <w:rsid w:val="006D0BEB"/>
    <w:rsid w:val="006D1567"/>
    <w:rsid w:val="006D4092"/>
    <w:rsid w:val="006D59A2"/>
    <w:rsid w:val="006D6DD0"/>
    <w:rsid w:val="006E3DFA"/>
    <w:rsid w:val="006F0FE1"/>
    <w:rsid w:val="006F102C"/>
    <w:rsid w:val="00702624"/>
    <w:rsid w:val="007030E5"/>
    <w:rsid w:val="007033AE"/>
    <w:rsid w:val="00711B46"/>
    <w:rsid w:val="00715F25"/>
    <w:rsid w:val="00722F64"/>
    <w:rsid w:val="0072579F"/>
    <w:rsid w:val="007261BA"/>
    <w:rsid w:val="007262A7"/>
    <w:rsid w:val="00744CE7"/>
    <w:rsid w:val="00744E71"/>
    <w:rsid w:val="00756D22"/>
    <w:rsid w:val="00762205"/>
    <w:rsid w:val="0076225E"/>
    <w:rsid w:val="00763EA8"/>
    <w:rsid w:val="0076679D"/>
    <w:rsid w:val="00773A78"/>
    <w:rsid w:val="00775909"/>
    <w:rsid w:val="00776A6E"/>
    <w:rsid w:val="00783A9E"/>
    <w:rsid w:val="00794DA5"/>
    <w:rsid w:val="00795123"/>
    <w:rsid w:val="007A2445"/>
    <w:rsid w:val="007A25AB"/>
    <w:rsid w:val="007A57AE"/>
    <w:rsid w:val="007B2FF0"/>
    <w:rsid w:val="007B3AE0"/>
    <w:rsid w:val="007B4A34"/>
    <w:rsid w:val="007B5E18"/>
    <w:rsid w:val="007C057A"/>
    <w:rsid w:val="007C1B7F"/>
    <w:rsid w:val="007C3E0D"/>
    <w:rsid w:val="007C6D09"/>
    <w:rsid w:val="007D0835"/>
    <w:rsid w:val="007D3D69"/>
    <w:rsid w:val="007D65D1"/>
    <w:rsid w:val="007E1A31"/>
    <w:rsid w:val="007E3A27"/>
    <w:rsid w:val="007E3BF9"/>
    <w:rsid w:val="007F4A5F"/>
    <w:rsid w:val="007F707F"/>
    <w:rsid w:val="00804BBC"/>
    <w:rsid w:val="00804E20"/>
    <w:rsid w:val="00812C68"/>
    <w:rsid w:val="0081401F"/>
    <w:rsid w:val="00814B1E"/>
    <w:rsid w:val="00814FF2"/>
    <w:rsid w:val="0081609F"/>
    <w:rsid w:val="00821438"/>
    <w:rsid w:val="00827674"/>
    <w:rsid w:val="00830BB6"/>
    <w:rsid w:val="00836109"/>
    <w:rsid w:val="00836783"/>
    <w:rsid w:val="00841CE8"/>
    <w:rsid w:val="00845952"/>
    <w:rsid w:val="00851D22"/>
    <w:rsid w:val="008522A7"/>
    <w:rsid w:val="008528D8"/>
    <w:rsid w:val="00860126"/>
    <w:rsid w:val="00861548"/>
    <w:rsid w:val="008653EC"/>
    <w:rsid w:val="008659C4"/>
    <w:rsid w:val="00875523"/>
    <w:rsid w:val="00877551"/>
    <w:rsid w:val="008804F6"/>
    <w:rsid w:val="00880C5B"/>
    <w:rsid w:val="008828B1"/>
    <w:rsid w:val="00886938"/>
    <w:rsid w:val="0089065E"/>
    <w:rsid w:val="00890774"/>
    <w:rsid w:val="008919CB"/>
    <w:rsid w:val="008932AC"/>
    <w:rsid w:val="00893CF6"/>
    <w:rsid w:val="008A4664"/>
    <w:rsid w:val="008A4C8C"/>
    <w:rsid w:val="008A71FF"/>
    <w:rsid w:val="008B23F6"/>
    <w:rsid w:val="008B5E46"/>
    <w:rsid w:val="008B6B32"/>
    <w:rsid w:val="008B7EC2"/>
    <w:rsid w:val="008D4F53"/>
    <w:rsid w:val="008D4FC5"/>
    <w:rsid w:val="008F1D1C"/>
    <w:rsid w:val="009031D1"/>
    <w:rsid w:val="00907C31"/>
    <w:rsid w:val="009128D0"/>
    <w:rsid w:val="009137BA"/>
    <w:rsid w:val="00922396"/>
    <w:rsid w:val="0092360E"/>
    <w:rsid w:val="009328A1"/>
    <w:rsid w:val="00932BB0"/>
    <w:rsid w:val="009363BD"/>
    <w:rsid w:val="009365BE"/>
    <w:rsid w:val="00941F6A"/>
    <w:rsid w:val="00946375"/>
    <w:rsid w:val="00950201"/>
    <w:rsid w:val="0095502F"/>
    <w:rsid w:val="00957AF0"/>
    <w:rsid w:val="00962EC5"/>
    <w:rsid w:val="00974D5D"/>
    <w:rsid w:val="00975863"/>
    <w:rsid w:val="009866BB"/>
    <w:rsid w:val="00991BAB"/>
    <w:rsid w:val="009A0311"/>
    <w:rsid w:val="009A1877"/>
    <w:rsid w:val="009A3645"/>
    <w:rsid w:val="009B19D1"/>
    <w:rsid w:val="009B4703"/>
    <w:rsid w:val="009B5C22"/>
    <w:rsid w:val="009C4000"/>
    <w:rsid w:val="009C6E22"/>
    <w:rsid w:val="009D1038"/>
    <w:rsid w:val="009D5843"/>
    <w:rsid w:val="009E1F5A"/>
    <w:rsid w:val="009E41BE"/>
    <w:rsid w:val="009E69C9"/>
    <w:rsid w:val="009F66F4"/>
    <w:rsid w:val="00A01A66"/>
    <w:rsid w:val="00A06BEC"/>
    <w:rsid w:val="00A10743"/>
    <w:rsid w:val="00A15A86"/>
    <w:rsid w:val="00A16DAA"/>
    <w:rsid w:val="00A27A9A"/>
    <w:rsid w:val="00A303C3"/>
    <w:rsid w:val="00A36615"/>
    <w:rsid w:val="00A36E3B"/>
    <w:rsid w:val="00A4311F"/>
    <w:rsid w:val="00A45275"/>
    <w:rsid w:val="00A4545F"/>
    <w:rsid w:val="00A54621"/>
    <w:rsid w:val="00A8129E"/>
    <w:rsid w:val="00A84C3A"/>
    <w:rsid w:val="00A9376B"/>
    <w:rsid w:val="00A96065"/>
    <w:rsid w:val="00AA0C45"/>
    <w:rsid w:val="00AA1791"/>
    <w:rsid w:val="00AA5B45"/>
    <w:rsid w:val="00AA7DA8"/>
    <w:rsid w:val="00AB0114"/>
    <w:rsid w:val="00AB0E3E"/>
    <w:rsid w:val="00AB15A4"/>
    <w:rsid w:val="00AB2932"/>
    <w:rsid w:val="00AB33A2"/>
    <w:rsid w:val="00AB4A47"/>
    <w:rsid w:val="00AB5918"/>
    <w:rsid w:val="00AC020E"/>
    <w:rsid w:val="00AC20D5"/>
    <w:rsid w:val="00AC28A8"/>
    <w:rsid w:val="00AC67F1"/>
    <w:rsid w:val="00AD29C6"/>
    <w:rsid w:val="00AD5854"/>
    <w:rsid w:val="00AE0CB3"/>
    <w:rsid w:val="00AE162D"/>
    <w:rsid w:val="00AE7617"/>
    <w:rsid w:val="00AF04FE"/>
    <w:rsid w:val="00AF05BE"/>
    <w:rsid w:val="00B07CD4"/>
    <w:rsid w:val="00B12CB2"/>
    <w:rsid w:val="00B27505"/>
    <w:rsid w:val="00B30F5A"/>
    <w:rsid w:val="00B32C2E"/>
    <w:rsid w:val="00B40304"/>
    <w:rsid w:val="00B41B71"/>
    <w:rsid w:val="00B462DC"/>
    <w:rsid w:val="00B46F37"/>
    <w:rsid w:val="00B5167F"/>
    <w:rsid w:val="00B519E5"/>
    <w:rsid w:val="00B6185C"/>
    <w:rsid w:val="00B61DE2"/>
    <w:rsid w:val="00B6578B"/>
    <w:rsid w:val="00B65950"/>
    <w:rsid w:val="00B7036B"/>
    <w:rsid w:val="00B7467D"/>
    <w:rsid w:val="00B7499D"/>
    <w:rsid w:val="00B80BD3"/>
    <w:rsid w:val="00B81B86"/>
    <w:rsid w:val="00B82502"/>
    <w:rsid w:val="00B83DA4"/>
    <w:rsid w:val="00B84608"/>
    <w:rsid w:val="00B91105"/>
    <w:rsid w:val="00B930AE"/>
    <w:rsid w:val="00BA5CA1"/>
    <w:rsid w:val="00BA7F4B"/>
    <w:rsid w:val="00BB65F9"/>
    <w:rsid w:val="00BC507E"/>
    <w:rsid w:val="00BD16DA"/>
    <w:rsid w:val="00BE0E3F"/>
    <w:rsid w:val="00BE4295"/>
    <w:rsid w:val="00BE56E9"/>
    <w:rsid w:val="00BE6949"/>
    <w:rsid w:val="00BE74F0"/>
    <w:rsid w:val="00BF2D8E"/>
    <w:rsid w:val="00BF5D1E"/>
    <w:rsid w:val="00C02D75"/>
    <w:rsid w:val="00C04B0E"/>
    <w:rsid w:val="00C10020"/>
    <w:rsid w:val="00C11F34"/>
    <w:rsid w:val="00C13D84"/>
    <w:rsid w:val="00C157D9"/>
    <w:rsid w:val="00C21515"/>
    <w:rsid w:val="00C22A85"/>
    <w:rsid w:val="00C247E6"/>
    <w:rsid w:val="00C26E2D"/>
    <w:rsid w:val="00C31C8A"/>
    <w:rsid w:val="00C32AD7"/>
    <w:rsid w:val="00C35557"/>
    <w:rsid w:val="00C35A75"/>
    <w:rsid w:val="00C53255"/>
    <w:rsid w:val="00C541F9"/>
    <w:rsid w:val="00C66A6C"/>
    <w:rsid w:val="00C83763"/>
    <w:rsid w:val="00CA4672"/>
    <w:rsid w:val="00CA4EA2"/>
    <w:rsid w:val="00CB0D8E"/>
    <w:rsid w:val="00CB1E6D"/>
    <w:rsid w:val="00CB217A"/>
    <w:rsid w:val="00CB2B0E"/>
    <w:rsid w:val="00CC0AD1"/>
    <w:rsid w:val="00CD2A3D"/>
    <w:rsid w:val="00CD3064"/>
    <w:rsid w:val="00CE7D28"/>
    <w:rsid w:val="00D04D63"/>
    <w:rsid w:val="00D05BCD"/>
    <w:rsid w:val="00D12DA5"/>
    <w:rsid w:val="00D13D4D"/>
    <w:rsid w:val="00D167C8"/>
    <w:rsid w:val="00D171BA"/>
    <w:rsid w:val="00D17408"/>
    <w:rsid w:val="00D2100D"/>
    <w:rsid w:val="00D25840"/>
    <w:rsid w:val="00D27B29"/>
    <w:rsid w:val="00D27E0E"/>
    <w:rsid w:val="00D3439B"/>
    <w:rsid w:val="00D352B1"/>
    <w:rsid w:val="00D4013B"/>
    <w:rsid w:val="00D42AA0"/>
    <w:rsid w:val="00D46214"/>
    <w:rsid w:val="00D54393"/>
    <w:rsid w:val="00D6016B"/>
    <w:rsid w:val="00D60EA8"/>
    <w:rsid w:val="00D718CC"/>
    <w:rsid w:val="00D71F3B"/>
    <w:rsid w:val="00D7651C"/>
    <w:rsid w:val="00D91B83"/>
    <w:rsid w:val="00D947B8"/>
    <w:rsid w:val="00DA6CE5"/>
    <w:rsid w:val="00DB56BB"/>
    <w:rsid w:val="00DB7A40"/>
    <w:rsid w:val="00DE197B"/>
    <w:rsid w:val="00DE28DF"/>
    <w:rsid w:val="00DE3C73"/>
    <w:rsid w:val="00DF083A"/>
    <w:rsid w:val="00E02325"/>
    <w:rsid w:val="00E04792"/>
    <w:rsid w:val="00E056BA"/>
    <w:rsid w:val="00E05786"/>
    <w:rsid w:val="00E15410"/>
    <w:rsid w:val="00E163A3"/>
    <w:rsid w:val="00E26D78"/>
    <w:rsid w:val="00E40E4E"/>
    <w:rsid w:val="00E424DC"/>
    <w:rsid w:val="00E5537B"/>
    <w:rsid w:val="00E5565D"/>
    <w:rsid w:val="00E640CD"/>
    <w:rsid w:val="00E70E9E"/>
    <w:rsid w:val="00E72400"/>
    <w:rsid w:val="00E7736E"/>
    <w:rsid w:val="00E87D2B"/>
    <w:rsid w:val="00E925F4"/>
    <w:rsid w:val="00EA22C6"/>
    <w:rsid w:val="00EA3414"/>
    <w:rsid w:val="00EA6054"/>
    <w:rsid w:val="00EB4643"/>
    <w:rsid w:val="00EB4D67"/>
    <w:rsid w:val="00EB6AEA"/>
    <w:rsid w:val="00ED4646"/>
    <w:rsid w:val="00ED5DFD"/>
    <w:rsid w:val="00ED6C23"/>
    <w:rsid w:val="00EE3109"/>
    <w:rsid w:val="00EE587F"/>
    <w:rsid w:val="00EE60F2"/>
    <w:rsid w:val="00EF4330"/>
    <w:rsid w:val="00EF4FA8"/>
    <w:rsid w:val="00F00C92"/>
    <w:rsid w:val="00F03E75"/>
    <w:rsid w:val="00F11C05"/>
    <w:rsid w:val="00F16C72"/>
    <w:rsid w:val="00F22E7D"/>
    <w:rsid w:val="00F236A8"/>
    <w:rsid w:val="00F25D86"/>
    <w:rsid w:val="00F31E23"/>
    <w:rsid w:val="00F352F1"/>
    <w:rsid w:val="00F36422"/>
    <w:rsid w:val="00F47841"/>
    <w:rsid w:val="00F51E0E"/>
    <w:rsid w:val="00F66FD8"/>
    <w:rsid w:val="00F67A8E"/>
    <w:rsid w:val="00F67C64"/>
    <w:rsid w:val="00F70024"/>
    <w:rsid w:val="00F73073"/>
    <w:rsid w:val="00F73D9D"/>
    <w:rsid w:val="00F755AB"/>
    <w:rsid w:val="00F90E9C"/>
    <w:rsid w:val="00F910F5"/>
    <w:rsid w:val="00F94887"/>
    <w:rsid w:val="00F97A32"/>
    <w:rsid w:val="00FA3C76"/>
    <w:rsid w:val="00FA45D2"/>
    <w:rsid w:val="00FA6F92"/>
    <w:rsid w:val="00FB1B3B"/>
    <w:rsid w:val="00FB2161"/>
    <w:rsid w:val="00FB45F6"/>
    <w:rsid w:val="00FB64F7"/>
    <w:rsid w:val="00FB71DF"/>
    <w:rsid w:val="00FC0ABF"/>
    <w:rsid w:val="00FE4A36"/>
    <w:rsid w:val="00FE58D6"/>
    <w:rsid w:val="00FE7157"/>
    <w:rsid w:val="00FF1269"/>
    <w:rsid w:val="00FF1766"/>
    <w:rsid w:val="00FF2D93"/>
    <w:rsid w:val="00FF43BB"/>
    <w:rsid w:val="00FF4B35"/>
    <w:rsid w:val="00FF5A3A"/>
    <w:rsid w:val="00FF683E"/>
    <w:rsid w:val="437D4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CA41"/>
  <w15:chartTrackingRefBased/>
  <w15:docId w15:val="{DF9569C5-DF3C-454A-9A8B-3E64427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5952"/>
    <w:pPr>
      <w:widowControl w:val="0"/>
      <w:spacing w:after="0" w:line="240" w:lineRule="auto"/>
    </w:pPr>
    <w:rPr>
      <w:rFonts w:ascii="Cambria" w:eastAsia="Cambria" w:hAnsi="Cambria" w:cs="Cambr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949E9"/>
    <w:rPr>
      <w:sz w:val="20"/>
      <w:szCs w:val="20"/>
    </w:rPr>
  </w:style>
  <w:style w:type="character" w:customStyle="1" w:styleId="CommentTextChar">
    <w:name w:val="Comment Text Char"/>
    <w:basedOn w:val="DefaultParagraphFont"/>
    <w:link w:val="CommentText"/>
    <w:uiPriority w:val="99"/>
    <w:rsid w:val="002949E9"/>
    <w:rPr>
      <w:rFonts w:ascii="Cambria" w:eastAsia="Cambria" w:hAnsi="Cambria" w:cs="Cambria"/>
      <w:kern w:val="0"/>
      <w:sz w:val="20"/>
      <w:szCs w:val="20"/>
      <w14:ligatures w14:val="none"/>
    </w:rPr>
  </w:style>
  <w:style w:type="character" w:styleId="CommentReference">
    <w:name w:val="annotation reference"/>
    <w:basedOn w:val="DefaultParagraphFont"/>
    <w:uiPriority w:val="99"/>
    <w:unhideWhenUsed/>
    <w:rsid w:val="002949E9"/>
    <w:rPr>
      <w:sz w:val="16"/>
      <w:szCs w:val="16"/>
    </w:rPr>
  </w:style>
  <w:style w:type="paragraph" w:styleId="ListParagraph">
    <w:name w:val="List Paragraph"/>
    <w:basedOn w:val="Normal"/>
    <w:uiPriority w:val="34"/>
    <w:qFormat/>
    <w:rsid w:val="00D25840"/>
    <w:pPr>
      <w:ind w:left="720"/>
      <w:contextualSpacing/>
    </w:pPr>
  </w:style>
  <w:style w:type="paragraph" w:styleId="Header">
    <w:name w:val="header"/>
    <w:basedOn w:val="Normal"/>
    <w:link w:val="HeaderChar"/>
    <w:uiPriority w:val="99"/>
    <w:unhideWhenUsed/>
    <w:rsid w:val="00E424DC"/>
    <w:pPr>
      <w:tabs>
        <w:tab w:val="center" w:pos="4680"/>
        <w:tab w:val="right" w:pos="9360"/>
      </w:tabs>
    </w:pPr>
  </w:style>
  <w:style w:type="character" w:customStyle="1" w:styleId="HeaderChar">
    <w:name w:val="Header Char"/>
    <w:basedOn w:val="DefaultParagraphFont"/>
    <w:link w:val="Header"/>
    <w:uiPriority w:val="99"/>
    <w:rsid w:val="00E424DC"/>
    <w:rPr>
      <w:rFonts w:ascii="Cambria" w:eastAsia="Cambria" w:hAnsi="Cambria" w:cs="Cambria"/>
      <w:kern w:val="0"/>
      <w14:ligatures w14:val="none"/>
    </w:rPr>
  </w:style>
  <w:style w:type="paragraph" w:styleId="Footer">
    <w:name w:val="footer"/>
    <w:basedOn w:val="Normal"/>
    <w:link w:val="FooterChar"/>
    <w:uiPriority w:val="99"/>
    <w:unhideWhenUsed/>
    <w:rsid w:val="00E424DC"/>
    <w:pPr>
      <w:tabs>
        <w:tab w:val="center" w:pos="4680"/>
        <w:tab w:val="right" w:pos="9360"/>
      </w:tabs>
    </w:pPr>
  </w:style>
  <w:style w:type="character" w:customStyle="1" w:styleId="FooterChar">
    <w:name w:val="Footer Char"/>
    <w:basedOn w:val="DefaultParagraphFont"/>
    <w:link w:val="Footer"/>
    <w:uiPriority w:val="99"/>
    <w:rsid w:val="00E424DC"/>
    <w:rPr>
      <w:rFonts w:ascii="Cambria" w:eastAsia="Cambria" w:hAnsi="Cambria" w:cs="Cambria"/>
      <w:kern w:val="0"/>
      <w14:ligatures w14:val="none"/>
    </w:rPr>
  </w:style>
  <w:style w:type="paragraph" w:styleId="Revision">
    <w:name w:val="Revision"/>
    <w:hidden/>
    <w:uiPriority w:val="99"/>
    <w:semiHidden/>
    <w:rsid w:val="000F2BD3"/>
    <w:pPr>
      <w:spacing w:after="0" w:line="240" w:lineRule="auto"/>
    </w:pPr>
    <w:rPr>
      <w:rFonts w:ascii="Cambria" w:eastAsia="Cambria" w:hAnsi="Cambria" w:cs="Cambria"/>
      <w:kern w:val="0"/>
      <w14:ligatures w14:val="none"/>
    </w:rPr>
  </w:style>
  <w:style w:type="paragraph" w:styleId="CommentSubject">
    <w:name w:val="annotation subject"/>
    <w:basedOn w:val="CommentText"/>
    <w:next w:val="CommentText"/>
    <w:link w:val="CommentSubjectChar"/>
    <w:uiPriority w:val="99"/>
    <w:semiHidden/>
    <w:unhideWhenUsed/>
    <w:rsid w:val="00B46F37"/>
    <w:rPr>
      <w:b/>
      <w:bCs/>
    </w:rPr>
  </w:style>
  <w:style w:type="character" w:customStyle="1" w:styleId="CommentSubjectChar">
    <w:name w:val="Comment Subject Char"/>
    <w:basedOn w:val="CommentTextChar"/>
    <w:link w:val="CommentSubject"/>
    <w:uiPriority w:val="99"/>
    <w:semiHidden/>
    <w:rsid w:val="00B46F37"/>
    <w:rPr>
      <w:rFonts w:ascii="Cambria" w:eastAsia="Cambria" w:hAnsi="Cambria" w:cs="Cambria"/>
      <w:b/>
      <w:bCs/>
      <w:kern w:val="0"/>
      <w:sz w:val="20"/>
      <w:szCs w:val="20"/>
      <w14:ligatures w14:val="none"/>
    </w:rPr>
  </w:style>
  <w:style w:type="paragraph" w:styleId="NormalWeb">
    <w:name w:val="Normal (Web)"/>
    <w:basedOn w:val="Normal"/>
    <w:uiPriority w:val="99"/>
    <w:unhideWhenUsed/>
    <w:rsid w:val="001038EB"/>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C361E"/>
    <w:rPr>
      <w:sz w:val="20"/>
      <w:szCs w:val="20"/>
    </w:rPr>
  </w:style>
  <w:style w:type="character" w:customStyle="1" w:styleId="FootnoteTextChar">
    <w:name w:val="Footnote Text Char"/>
    <w:basedOn w:val="DefaultParagraphFont"/>
    <w:link w:val="FootnoteText"/>
    <w:uiPriority w:val="99"/>
    <w:rsid w:val="004C361E"/>
    <w:rPr>
      <w:rFonts w:ascii="Cambria" w:eastAsia="Cambria" w:hAnsi="Cambria" w:cs="Cambria"/>
      <w:kern w:val="0"/>
      <w:sz w:val="20"/>
      <w:szCs w:val="20"/>
      <w14:ligatures w14:val="none"/>
    </w:rPr>
  </w:style>
  <w:style w:type="character" w:styleId="FootnoteReference">
    <w:name w:val="footnote reference"/>
    <w:uiPriority w:val="99"/>
    <w:rsid w:val="004C3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669396">
      <w:bodyDiv w:val="1"/>
      <w:marLeft w:val="0"/>
      <w:marRight w:val="0"/>
      <w:marTop w:val="0"/>
      <w:marBottom w:val="0"/>
      <w:divBdr>
        <w:top w:val="none" w:sz="0" w:space="0" w:color="auto"/>
        <w:left w:val="none" w:sz="0" w:space="0" w:color="auto"/>
        <w:bottom w:val="none" w:sz="0" w:space="0" w:color="auto"/>
        <w:right w:val="none" w:sz="0" w:space="0" w:color="auto"/>
      </w:divBdr>
    </w:div>
    <w:div w:id="11215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5004</Words>
  <Characters>28529</Characters>
  <Application>Microsoft Office Word</Application>
  <DocSecurity>0</DocSecurity>
  <Lines>237</Lines>
  <Paragraphs>66</Paragraphs>
  <ScaleCrop>false</ScaleCrop>
  <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Christine Peyre</cp:lastModifiedBy>
  <cp:revision>19</cp:revision>
  <dcterms:created xsi:type="dcterms:W3CDTF">2025-11-23T10:35:00Z</dcterms:created>
  <dcterms:modified xsi:type="dcterms:W3CDTF">2025-11-23T11:31:00Z</dcterms:modified>
</cp:coreProperties>
</file>