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38208" w14:textId="01B83CC0" w:rsidR="00B07CD4" w:rsidRPr="007F6290" w:rsidRDefault="00B07CD4" w:rsidP="00B07CD4">
      <w:pPr>
        <w:jc w:val="right"/>
        <w:rPr>
          <w:b/>
          <w:bCs/>
          <w:iCs/>
          <w:color w:val="000000"/>
          <w:sz w:val="20"/>
          <w:szCs w:val="20"/>
        </w:rPr>
      </w:pPr>
      <w:r w:rsidRPr="007F6290">
        <w:rPr>
          <w:b/>
          <w:bCs/>
          <w:iCs/>
          <w:color w:val="000000"/>
          <w:sz w:val="20"/>
          <w:szCs w:val="20"/>
        </w:rPr>
        <w:t xml:space="preserve">Original: English </w:t>
      </w:r>
    </w:p>
    <w:p w14:paraId="4296D92D" w14:textId="77777777" w:rsidR="00B07CD4" w:rsidRPr="007F6290" w:rsidRDefault="00B07CD4" w:rsidP="00B07CD4">
      <w:pPr>
        <w:jc w:val="center"/>
        <w:rPr>
          <w:b/>
          <w:bCs/>
          <w:iCs/>
          <w:color w:val="000000"/>
          <w:sz w:val="20"/>
          <w:szCs w:val="20"/>
        </w:rPr>
      </w:pPr>
    </w:p>
    <w:p w14:paraId="50D92521" w14:textId="77777777" w:rsidR="00CA1C05" w:rsidRPr="007F6290" w:rsidRDefault="002432BD" w:rsidP="00B07CD4">
      <w:pPr>
        <w:jc w:val="center"/>
        <w:rPr>
          <w:b/>
          <w:bCs/>
          <w:iCs/>
          <w:color w:val="000000"/>
          <w:sz w:val="20"/>
          <w:szCs w:val="20"/>
        </w:rPr>
      </w:pPr>
      <w:r w:rsidRPr="007F6290">
        <w:rPr>
          <w:b/>
          <w:bCs/>
          <w:iCs/>
          <w:color w:val="000000"/>
          <w:sz w:val="20"/>
          <w:szCs w:val="20"/>
        </w:rPr>
        <w:t>Draft Recommendation by ICCAT on conservation and mana</w:t>
      </w:r>
      <w:r w:rsidR="00D54393" w:rsidRPr="007F6290">
        <w:rPr>
          <w:b/>
          <w:bCs/>
          <w:iCs/>
          <w:color w:val="000000"/>
          <w:sz w:val="20"/>
          <w:szCs w:val="20"/>
        </w:rPr>
        <w:t xml:space="preserve">gement of measures </w:t>
      </w:r>
    </w:p>
    <w:p w14:paraId="5D763474" w14:textId="357252EF" w:rsidR="002949E9" w:rsidRPr="007F6290" w:rsidRDefault="00D54393" w:rsidP="00B07CD4">
      <w:pPr>
        <w:jc w:val="center"/>
        <w:rPr>
          <w:b/>
          <w:bCs/>
          <w:iCs/>
          <w:color w:val="000000"/>
          <w:sz w:val="20"/>
          <w:szCs w:val="20"/>
        </w:rPr>
      </w:pPr>
      <w:r w:rsidRPr="007F6290">
        <w:rPr>
          <w:b/>
          <w:bCs/>
          <w:iCs/>
          <w:color w:val="000000"/>
          <w:sz w:val="20"/>
          <w:szCs w:val="20"/>
        </w:rPr>
        <w:t>including a management procedure for North Atlantic swordfish</w:t>
      </w:r>
    </w:p>
    <w:p w14:paraId="56DA7888" w14:textId="77777777" w:rsidR="00D54393" w:rsidRPr="007F6290" w:rsidRDefault="00D54393" w:rsidP="002949E9">
      <w:pPr>
        <w:ind w:left="1950" w:right="1950"/>
        <w:jc w:val="center"/>
        <w:rPr>
          <w:i/>
          <w:color w:val="000000"/>
          <w:sz w:val="20"/>
          <w:szCs w:val="20"/>
        </w:rPr>
      </w:pPr>
    </w:p>
    <w:p w14:paraId="68CE8C46" w14:textId="518AB1A6" w:rsidR="00D54393" w:rsidRPr="007F6290" w:rsidRDefault="00D54393" w:rsidP="002949E9">
      <w:pPr>
        <w:ind w:left="1950" w:right="1950"/>
        <w:jc w:val="center"/>
        <w:rPr>
          <w:i/>
          <w:color w:val="000000"/>
          <w:sz w:val="20"/>
          <w:szCs w:val="20"/>
        </w:rPr>
      </w:pPr>
      <w:r w:rsidRPr="007F6290">
        <w:rPr>
          <w:i/>
          <w:color w:val="000000"/>
          <w:sz w:val="20"/>
          <w:szCs w:val="20"/>
        </w:rPr>
        <w:t xml:space="preserve">(submitted by </w:t>
      </w:r>
      <w:r w:rsidR="000D1A9B" w:rsidRPr="007F6290">
        <w:rPr>
          <w:i/>
          <w:color w:val="000000"/>
          <w:sz w:val="20"/>
          <w:szCs w:val="20"/>
        </w:rPr>
        <w:t>Canada)</w:t>
      </w:r>
    </w:p>
    <w:p w14:paraId="25E88F8C" w14:textId="77777777" w:rsidR="002432BD" w:rsidRPr="007F6290" w:rsidRDefault="002432BD" w:rsidP="002949E9">
      <w:pPr>
        <w:ind w:left="1950" w:right="1950"/>
        <w:jc w:val="center"/>
        <w:rPr>
          <w:i/>
          <w:color w:val="000000"/>
          <w:sz w:val="20"/>
          <w:szCs w:val="20"/>
        </w:rPr>
      </w:pPr>
    </w:p>
    <w:p w14:paraId="670E103B" w14:textId="21E62C14" w:rsidR="002949E9" w:rsidRPr="007F6290" w:rsidRDefault="002949E9" w:rsidP="006E3DFA">
      <w:pPr>
        <w:ind w:right="-1" w:firstLine="420"/>
        <w:jc w:val="both"/>
        <w:rPr>
          <w:i/>
          <w:sz w:val="20"/>
          <w:szCs w:val="20"/>
        </w:rPr>
      </w:pPr>
      <w:r w:rsidRPr="007F6290">
        <w:rPr>
          <w:i/>
          <w:sz w:val="20"/>
          <w:szCs w:val="20"/>
        </w:rPr>
        <w:t>RECALLING</w:t>
      </w:r>
      <w:r w:rsidRPr="007F6290">
        <w:rPr>
          <w:sz w:val="20"/>
          <w:szCs w:val="20"/>
        </w:rPr>
        <w:t xml:space="preserve"> the</w:t>
      </w:r>
      <w:r w:rsidRPr="007F6290">
        <w:rPr>
          <w:i/>
          <w:sz w:val="20"/>
          <w:szCs w:val="20"/>
        </w:rPr>
        <w:t xml:space="preserve"> Supplemental Recommendation by ICCAT to </w:t>
      </w:r>
      <w:r w:rsidR="00115634" w:rsidRPr="007F6290">
        <w:rPr>
          <w:i/>
          <w:sz w:val="20"/>
          <w:szCs w:val="20"/>
        </w:rPr>
        <w:t>a</w:t>
      </w:r>
      <w:r w:rsidRPr="007F6290">
        <w:rPr>
          <w:i/>
          <w:sz w:val="20"/>
          <w:szCs w:val="20"/>
        </w:rPr>
        <w:t xml:space="preserve">mend the Rebuilding Program for North Atlantic Swordfish </w:t>
      </w:r>
      <w:r w:rsidRPr="007F6290">
        <w:rPr>
          <w:sz w:val="20"/>
          <w:szCs w:val="20"/>
        </w:rPr>
        <w:t>(Rec. 06-02)</w:t>
      </w:r>
      <w:r w:rsidRPr="007F6290">
        <w:rPr>
          <w:i/>
          <w:sz w:val="20"/>
          <w:szCs w:val="20"/>
        </w:rPr>
        <w:t xml:space="preserve">, </w:t>
      </w:r>
      <w:r w:rsidRPr="007F6290">
        <w:rPr>
          <w:sz w:val="20"/>
          <w:szCs w:val="20"/>
        </w:rPr>
        <w:t>the</w:t>
      </w:r>
      <w:r w:rsidRPr="007F6290">
        <w:rPr>
          <w:i/>
          <w:sz w:val="20"/>
          <w:szCs w:val="20"/>
        </w:rPr>
        <w:t xml:space="preserve"> Recommendation by ICCAT for the </w:t>
      </w:r>
      <w:r w:rsidR="003B4E84" w:rsidRPr="007F6290">
        <w:rPr>
          <w:i/>
          <w:sz w:val="20"/>
          <w:szCs w:val="20"/>
        </w:rPr>
        <w:t>c</w:t>
      </w:r>
      <w:r w:rsidRPr="007F6290">
        <w:rPr>
          <w:i/>
          <w:sz w:val="20"/>
          <w:szCs w:val="20"/>
        </w:rPr>
        <w:t xml:space="preserve">onservation of North Atlantic </w:t>
      </w:r>
      <w:r w:rsidR="003B4E84" w:rsidRPr="007F6290">
        <w:rPr>
          <w:i/>
          <w:sz w:val="20"/>
          <w:szCs w:val="20"/>
        </w:rPr>
        <w:t>s</w:t>
      </w:r>
      <w:r w:rsidRPr="007F6290">
        <w:rPr>
          <w:i/>
          <w:sz w:val="20"/>
          <w:szCs w:val="20"/>
        </w:rPr>
        <w:t xml:space="preserve">wordfish </w:t>
      </w:r>
      <w:r w:rsidRPr="007F6290">
        <w:rPr>
          <w:sz w:val="20"/>
          <w:szCs w:val="20"/>
        </w:rPr>
        <w:t>(Rec. 10-02, Rec. 11-02, Rec. 16-03)</w:t>
      </w:r>
      <w:r w:rsidRPr="007F6290">
        <w:rPr>
          <w:i/>
          <w:sz w:val="20"/>
          <w:szCs w:val="20"/>
        </w:rPr>
        <w:t xml:space="preserve">, </w:t>
      </w:r>
      <w:r w:rsidRPr="007F6290">
        <w:rPr>
          <w:sz w:val="20"/>
          <w:szCs w:val="20"/>
        </w:rPr>
        <w:t>and the</w:t>
      </w:r>
      <w:r w:rsidRPr="007F6290">
        <w:rPr>
          <w:i/>
          <w:sz w:val="20"/>
          <w:szCs w:val="20"/>
        </w:rPr>
        <w:t xml:space="preserve"> Recommendation by ICCAT </w:t>
      </w:r>
      <w:r w:rsidR="0044163A" w:rsidRPr="007F6290">
        <w:rPr>
          <w:i/>
          <w:sz w:val="20"/>
          <w:szCs w:val="20"/>
        </w:rPr>
        <w:t>a</w:t>
      </w:r>
      <w:r w:rsidRPr="007F6290">
        <w:rPr>
          <w:i/>
          <w:sz w:val="20"/>
          <w:szCs w:val="20"/>
        </w:rPr>
        <w:t>mending the Recommendation for the</w:t>
      </w:r>
      <w:r w:rsidR="007030E5" w:rsidRPr="007F6290">
        <w:rPr>
          <w:i/>
          <w:sz w:val="20"/>
          <w:szCs w:val="20"/>
        </w:rPr>
        <w:t xml:space="preserve"> c</w:t>
      </w:r>
      <w:r w:rsidRPr="007F6290">
        <w:rPr>
          <w:i/>
          <w:sz w:val="20"/>
          <w:szCs w:val="20"/>
        </w:rPr>
        <w:t xml:space="preserve">onservation of North Atlantic </w:t>
      </w:r>
      <w:r w:rsidR="003B4E84" w:rsidRPr="007F6290">
        <w:rPr>
          <w:i/>
          <w:sz w:val="20"/>
          <w:szCs w:val="20"/>
        </w:rPr>
        <w:t>s</w:t>
      </w:r>
      <w:r w:rsidRPr="007F6290">
        <w:rPr>
          <w:i/>
          <w:sz w:val="20"/>
          <w:szCs w:val="20"/>
        </w:rPr>
        <w:t xml:space="preserve">wordfish, Rec. 16-03 </w:t>
      </w:r>
      <w:r w:rsidRPr="007F6290">
        <w:rPr>
          <w:sz w:val="20"/>
          <w:szCs w:val="20"/>
        </w:rPr>
        <w:t>(Rec. 17-02)</w:t>
      </w:r>
      <w:r w:rsidRPr="007F6290">
        <w:rPr>
          <w:i/>
          <w:sz w:val="20"/>
          <w:szCs w:val="20"/>
        </w:rPr>
        <w:t xml:space="preserve"> </w:t>
      </w:r>
      <w:r w:rsidRPr="007F6290">
        <w:rPr>
          <w:sz w:val="20"/>
          <w:szCs w:val="20"/>
        </w:rPr>
        <w:t>as amended by the</w:t>
      </w:r>
      <w:r w:rsidRPr="007F6290">
        <w:rPr>
          <w:i/>
          <w:sz w:val="20"/>
          <w:szCs w:val="20"/>
        </w:rPr>
        <w:t xml:space="preserve"> Recommendation by ICCAT </w:t>
      </w:r>
      <w:r w:rsidR="007030E5" w:rsidRPr="007F6290">
        <w:rPr>
          <w:i/>
          <w:sz w:val="20"/>
          <w:szCs w:val="20"/>
        </w:rPr>
        <w:t>r</w:t>
      </w:r>
      <w:r w:rsidRPr="007F6290">
        <w:rPr>
          <w:i/>
          <w:sz w:val="20"/>
          <w:szCs w:val="20"/>
        </w:rPr>
        <w:t xml:space="preserve">eplacing Recommendation 22-03 </w:t>
      </w:r>
      <w:r w:rsidR="002E18AA" w:rsidRPr="007F6290">
        <w:rPr>
          <w:i/>
          <w:sz w:val="20"/>
          <w:szCs w:val="20"/>
        </w:rPr>
        <w:t>e</w:t>
      </w:r>
      <w:r w:rsidRPr="007F6290">
        <w:rPr>
          <w:i/>
          <w:sz w:val="20"/>
          <w:szCs w:val="20"/>
        </w:rPr>
        <w:t xml:space="preserve">xtending and </w:t>
      </w:r>
      <w:r w:rsidR="002E18AA" w:rsidRPr="007F6290">
        <w:rPr>
          <w:i/>
          <w:sz w:val="20"/>
          <w:szCs w:val="20"/>
        </w:rPr>
        <w:t>a</w:t>
      </w:r>
      <w:r w:rsidRPr="007F6290">
        <w:rPr>
          <w:i/>
          <w:sz w:val="20"/>
          <w:szCs w:val="20"/>
        </w:rPr>
        <w:t>mending Recommendation</w:t>
      </w:r>
      <w:r w:rsidR="002E18AA" w:rsidRPr="007F6290">
        <w:rPr>
          <w:i/>
          <w:sz w:val="20"/>
          <w:szCs w:val="20"/>
        </w:rPr>
        <w:t> </w:t>
      </w:r>
      <w:r w:rsidRPr="007F6290">
        <w:rPr>
          <w:i/>
          <w:sz w:val="20"/>
          <w:szCs w:val="20"/>
        </w:rPr>
        <w:t>17</w:t>
      </w:r>
      <w:r w:rsidR="002E18AA" w:rsidRPr="007F6290">
        <w:rPr>
          <w:i/>
          <w:sz w:val="20"/>
          <w:szCs w:val="20"/>
        </w:rPr>
        <w:noBreakHyphen/>
      </w:r>
      <w:r w:rsidRPr="007F6290">
        <w:rPr>
          <w:i/>
          <w:sz w:val="20"/>
          <w:szCs w:val="20"/>
        </w:rPr>
        <w:t xml:space="preserve">02 for the </w:t>
      </w:r>
      <w:r w:rsidR="002E18AA" w:rsidRPr="007F6290">
        <w:rPr>
          <w:i/>
          <w:sz w:val="20"/>
          <w:szCs w:val="20"/>
        </w:rPr>
        <w:t>c</w:t>
      </w:r>
      <w:r w:rsidRPr="007F6290">
        <w:rPr>
          <w:i/>
          <w:sz w:val="20"/>
          <w:szCs w:val="20"/>
        </w:rPr>
        <w:t xml:space="preserve">onservation of North Atlantic </w:t>
      </w:r>
      <w:r w:rsidR="002E18AA" w:rsidRPr="007F6290">
        <w:rPr>
          <w:i/>
          <w:sz w:val="20"/>
          <w:szCs w:val="20"/>
        </w:rPr>
        <w:t>s</w:t>
      </w:r>
      <w:r w:rsidRPr="007F6290">
        <w:rPr>
          <w:i/>
          <w:sz w:val="20"/>
          <w:szCs w:val="20"/>
        </w:rPr>
        <w:t xml:space="preserve">wordfish </w:t>
      </w:r>
      <w:r w:rsidRPr="007F6290">
        <w:rPr>
          <w:sz w:val="20"/>
          <w:szCs w:val="20"/>
        </w:rPr>
        <w:t>(Rec. 23-04);</w:t>
      </w:r>
    </w:p>
    <w:p w14:paraId="21918386" w14:textId="77777777" w:rsidR="002949E9" w:rsidRPr="007F6290" w:rsidRDefault="002949E9" w:rsidP="006E3DFA">
      <w:pPr>
        <w:ind w:left="120" w:right="-1" w:firstLine="420"/>
        <w:jc w:val="both"/>
        <w:rPr>
          <w:i/>
          <w:sz w:val="20"/>
          <w:szCs w:val="20"/>
        </w:rPr>
      </w:pPr>
    </w:p>
    <w:p w14:paraId="666F6838" w14:textId="51EC6A35" w:rsidR="002949E9" w:rsidRPr="007F6290" w:rsidRDefault="002949E9" w:rsidP="006E3DFA">
      <w:pPr>
        <w:ind w:right="-1" w:firstLine="420"/>
        <w:jc w:val="both"/>
        <w:rPr>
          <w:sz w:val="20"/>
          <w:szCs w:val="20"/>
        </w:rPr>
      </w:pPr>
      <w:r w:rsidRPr="007F6290">
        <w:rPr>
          <w:i/>
          <w:sz w:val="20"/>
          <w:szCs w:val="20"/>
        </w:rPr>
        <w:t xml:space="preserve">FURTHER RECALLING the Recommendation by ICCAT on the </w:t>
      </w:r>
      <w:r w:rsidR="008804F6" w:rsidRPr="007F6290">
        <w:rPr>
          <w:i/>
          <w:sz w:val="20"/>
          <w:szCs w:val="20"/>
        </w:rPr>
        <w:t>p</w:t>
      </w:r>
      <w:r w:rsidRPr="007F6290">
        <w:rPr>
          <w:i/>
          <w:sz w:val="20"/>
          <w:szCs w:val="20"/>
        </w:rPr>
        <w:t xml:space="preserve">rinciples of </w:t>
      </w:r>
      <w:r w:rsidR="00C10020" w:rsidRPr="007F6290">
        <w:rPr>
          <w:i/>
          <w:sz w:val="20"/>
          <w:szCs w:val="20"/>
        </w:rPr>
        <w:t>d</w:t>
      </w:r>
      <w:r w:rsidRPr="007F6290">
        <w:rPr>
          <w:i/>
          <w:sz w:val="20"/>
          <w:szCs w:val="20"/>
        </w:rPr>
        <w:t xml:space="preserve">ecision </w:t>
      </w:r>
      <w:r w:rsidR="00C10020" w:rsidRPr="007F6290">
        <w:rPr>
          <w:i/>
          <w:sz w:val="20"/>
          <w:szCs w:val="20"/>
        </w:rPr>
        <w:t>m</w:t>
      </w:r>
      <w:r w:rsidRPr="007F6290">
        <w:rPr>
          <w:i/>
          <w:sz w:val="20"/>
          <w:szCs w:val="20"/>
        </w:rPr>
        <w:t xml:space="preserve">aking for ICCAT </w:t>
      </w:r>
      <w:r w:rsidR="00C10020" w:rsidRPr="007F6290">
        <w:rPr>
          <w:i/>
          <w:sz w:val="20"/>
          <w:szCs w:val="20"/>
        </w:rPr>
        <w:t>c</w:t>
      </w:r>
      <w:r w:rsidRPr="007F6290">
        <w:rPr>
          <w:i/>
          <w:sz w:val="20"/>
          <w:szCs w:val="20"/>
        </w:rPr>
        <w:t xml:space="preserve">onservation and </w:t>
      </w:r>
      <w:r w:rsidR="00C10020" w:rsidRPr="007F6290">
        <w:rPr>
          <w:i/>
          <w:sz w:val="20"/>
          <w:szCs w:val="20"/>
        </w:rPr>
        <w:t>m</w:t>
      </w:r>
      <w:r w:rsidRPr="007F6290">
        <w:rPr>
          <w:i/>
          <w:sz w:val="20"/>
          <w:szCs w:val="20"/>
        </w:rPr>
        <w:t xml:space="preserve">anagement </w:t>
      </w:r>
      <w:r w:rsidR="00C10020" w:rsidRPr="007F6290">
        <w:rPr>
          <w:i/>
          <w:sz w:val="20"/>
          <w:szCs w:val="20"/>
        </w:rPr>
        <w:t>m</w:t>
      </w:r>
      <w:r w:rsidRPr="007F6290">
        <w:rPr>
          <w:i/>
          <w:sz w:val="20"/>
          <w:szCs w:val="20"/>
        </w:rPr>
        <w:t xml:space="preserve">easures </w:t>
      </w:r>
      <w:r w:rsidRPr="007F6290">
        <w:rPr>
          <w:sz w:val="20"/>
          <w:szCs w:val="20"/>
        </w:rPr>
        <w:t>(Rec. 11-13)</w:t>
      </w:r>
      <w:r w:rsidRPr="007F6290">
        <w:rPr>
          <w:i/>
          <w:sz w:val="20"/>
          <w:szCs w:val="20"/>
        </w:rPr>
        <w:t xml:space="preserve"> </w:t>
      </w:r>
      <w:r w:rsidRPr="007F6290">
        <w:rPr>
          <w:sz w:val="20"/>
          <w:szCs w:val="20"/>
        </w:rPr>
        <w:t>and the</w:t>
      </w:r>
      <w:r w:rsidRPr="007F6290">
        <w:rPr>
          <w:i/>
          <w:sz w:val="20"/>
          <w:szCs w:val="20"/>
        </w:rPr>
        <w:t xml:space="preserve"> Recommendation by ICCAT on the </w:t>
      </w:r>
      <w:r w:rsidR="008804F6" w:rsidRPr="007F6290">
        <w:rPr>
          <w:i/>
          <w:sz w:val="20"/>
          <w:szCs w:val="20"/>
        </w:rPr>
        <w:t>d</w:t>
      </w:r>
      <w:r w:rsidRPr="007F6290">
        <w:rPr>
          <w:i/>
          <w:sz w:val="20"/>
          <w:szCs w:val="20"/>
        </w:rPr>
        <w:t xml:space="preserve">evelopment of Harvest Control Rules and of Management Strategy Evaluation </w:t>
      </w:r>
      <w:r w:rsidRPr="007F6290">
        <w:rPr>
          <w:sz w:val="20"/>
          <w:szCs w:val="20"/>
        </w:rPr>
        <w:t>(Rec. 15-07</w:t>
      </w:r>
      <w:proofErr w:type="gramStart"/>
      <w:r w:rsidRPr="007F6290">
        <w:rPr>
          <w:sz w:val="20"/>
          <w:szCs w:val="20"/>
        </w:rPr>
        <w:t>);</w:t>
      </w:r>
      <w:proofErr w:type="gramEnd"/>
    </w:p>
    <w:p w14:paraId="5AFE238E" w14:textId="77777777" w:rsidR="002949E9" w:rsidRPr="007F6290" w:rsidRDefault="002949E9" w:rsidP="006E3DFA">
      <w:pPr>
        <w:ind w:left="120" w:right="-1" w:firstLine="420"/>
        <w:jc w:val="both"/>
        <w:rPr>
          <w:i/>
          <w:sz w:val="20"/>
          <w:szCs w:val="20"/>
        </w:rPr>
      </w:pPr>
    </w:p>
    <w:p w14:paraId="62A6D80C" w14:textId="77777777" w:rsidR="002949E9" w:rsidRPr="007F6290" w:rsidRDefault="002949E9" w:rsidP="006E3DFA">
      <w:pPr>
        <w:ind w:right="-1" w:firstLine="420"/>
        <w:jc w:val="both"/>
        <w:rPr>
          <w:i/>
          <w:sz w:val="20"/>
          <w:szCs w:val="20"/>
        </w:rPr>
      </w:pPr>
      <w:r w:rsidRPr="007F6290">
        <w:rPr>
          <w:i/>
          <w:sz w:val="20"/>
          <w:szCs w:val="20"/>
        </w:rPr>
        <w:t xml:space="preserve">NOTING </w:t>
      </w:r>
      <w:r w:rsidRPr="007F6290">
        <w:rPr>
          <w:sz w:val="20"/>
          <w:szCs w:val="20"/>
        </w:rPr>
        <w:t>that the objective of the Convention is to maintain populations of tuna and tuna-like species at levels that will support maximum sustainable catch (usually referred to as Maximum Sustainable Yield (MSY)</w:t>
      </w:r>
      <w:proofErr w:type="gramStart"/>
      <w:r w:rsidRPr="007F6290">
        <w:rPr>
          <w:sz w:val="20"/>
          <w:szCs w:val="20"/>
        </w:rPr>
        <w:t>);</w:t>
      </w:r>
      <w:proofErr w:type="gramEnd"/>
    </w:p>
    <w:p w14:paraId="35BB3FEB" w14:textId="77777777" w:rsidR="002949E9" w:rsidRPr="007F6290" w:rsidRDefault="002949E9" w:rsidP="002949E9">
      <w:pPr>
        <w:ind w:left="120" w:right="220" w:firstLine="420"/>
        <w:jc w:val="both"/>
        <w:rPr>
          <w:i/>
          <w:sz w:val="20"/>
          <w:szCs w:val="20"/>
        </w:rPr>
      </w:pPr>
    </w:p>
    <w:p w14:paraId="6B8FE200" w14:textId="45F7C5D2" w:rsidR="002949E9" w:rsidRPr="007F6290" w:rsidRDefault="002949E9" w:rsidP="006E3DFA">
      <w:pPr>
        <w:ind w:right="-1" w:firstLine="420"/>
        <w:jc w:val="both"/>
        <w:rPr>
          <w:i/>
          <w:sz w:val="20"/>
          <w:szCs w:val="20"/>
        </w:rPr>
      </w:pPr>
      <w:r w:rsidRPr="007F6290">
        <w:rPr>
          <w:i/>
          <w:sz w:val="20"/>
          <w:szCs w:val="20"/>
        </w:rPr>
        <w:t xml:space="preserve">RECALLING </w:t>
      </w:r>
      <w:r w:rsidRPr="007F6290">
        <w:rPr>
          <w:sz w:val="20"/>
          <w:szCs w:val="20"/>
        </w:rPr>
        <w:t>the Commission’s work toward the development of</w:t>
      </w:r>
      <w:r w:rsidR="00DE3C73" w:rsidRPr="007F6290">
        <w:rPr>
          <w:sz w:val="20"/>
          <w:szCs w:val="20"/>
        </w:rPr>
        <w:t xml:space="preserve"> management </w:t>
      </w:r>
      <w:r w:rsidR="00804BBC" w:rsidRPr="007F6290">
        <w:rPr>
          <w:sz w:val="20"/>
          <w:szCs w:val="20"/>
        </w:rPr>
        <w:t>strategy evaluation (</w:t>
      </w:r>
      <w:r w:rsidRPr="007F6290">
        <w:rPr>
          <w:sz w:val="20"/>
          <w:szCs w:val="20"/>
        </w:rPr>
        <w:t>MSE</w:t>
      </w:r>
      <w:r w:rsidR="00804BBC" w:rsidRPr="007F6290">
        <w:rPr>
          <w:sz w:val="20"/>
          <w:szCs w:val="20"/>
        </w:rPr>
        <w:t>)</w:t>
      </w:r>
      <w:r w:rsidRPr="007F6290">
        <w:rPr>
          <w:sz w:val="20"/>
          <w:szCs w:val="20"/>
        </w:rPr>
        <w:t xml:space="preserve"> for North Atlantic swordfish to manage fisheries more effectively in the face of identified uncertainties, including efforts to develop operational management objectives, in particular,</w:t>
      </w:r>
      <w:r w:rsidRPr="007F6290">
        <w:rPr>
          <w:i/>
          <w:sz w:val="20"/>
          <w:szCs w:val="20"/>
        </w:rPr>
        <w:t xml:space="preserve"> Resolution by ICCAT on development of initial management objectives for North Atlantic swordfish </w:t>
      </w:r>
      <w:r w:rsidRPr="007F6290">
        <w:rPr>
          <w:sz w:val="20"/>
          <w:szCs w:val="20"/>
        </w:rPr>
        <w:t>(Res. 19-14</w:t>
      </w:r>
      <w:proofErr w:type="gramStart"/>
      <w:r w:rsidRPr="007F6290">
        <w:rPr>
          <w:sz w:val="20"/>
          <w:szCs w:val="20"/>
        </w:rPr>
        <w:t>);</w:t>
      </w:r>
      <w:proofErr w:type="gramEnd"/>
    </w:p>
    <w:p w14:paraId="09DE0CB8" w14:textId="77777777" w:rsidR="002949E9" w:rsidRPr="007F6290" w:rsidRDefault="002949E9" w:rsidP="006E3DFA">
      <w:pPr>
        <w:ind w:left="120" w:right="-1" w:firstLine="420"/>
        <w:jc w:val="both"/>
        <w:rPr>
          <w:i/>
          <w:sz w:val="20"/>
          <w:szCs w:val="20"/>
        </w:rPr>
      </w:pPr>
    </w:p>
    <w:p w14:paraId="269AA5EB" w14:textId="5B6A432C" w:rsidR="002949E9" w:rsidRPr="007F6290" w:rsidRDefault="002949E9" w:rsidP="006E3DFA">
      <w:pPr>
        <w:ind w:right="-1" w:firstLine="420"/>
        <w:jc w:val="both"/>
        <w:rPr>
          <w:sz w:val="20"/>
          <w:szCs w:val="20"/>
        </w:rPr>
      </w:pPr>
      <w:r w:rsidRPr="007F6290">
        <w:rPr>
          <w:i/>
          <w:sz w:val="20"/>
          <w:szCs w:val="20"/>
        </w:rPr>
        <w:t xml:space="preserve">FURTHER RECALLING </w:t>
      </w:r>
      <w:r w:rsidRPr="007F6290">
        <w:rPr>
          <w:sz w:val="20"/>
          <w:szCs w:val="20"/>
        </w:rPr>
        <w:t>that paragraph 1e) of Rec. 23-04 called for the Commission to adopt a</w:t>
      </w:r>
      <w:r w:rsidR="007C3E0D" w:rsidRPr="007F6290">
        <w:rPr>
          <w:sz w:val="20"/>
          <w:szCs w:val="20"/>
        </w:rPr>
        <w:t xml:space="preserve"> management procedure (</w:t>
      </w:r>
      <w:r w:rsidRPr="007F6290">
        <w:rPr>
          <w:sz w:val="20"/>
          <w:szCs w:val="20"/>
        </w:rPr>
        <w:t>MP</w:t>
      </w:r>
      <w:r w:rsidR="007C3E0D" w:rsidRPr="007F6290">
        <w:rPr>
          <w:sz w:val="20"/>
          <w:szCs w:val="20"/>
        </w:rPr>
        <w:t>)</w:t>
      </w:r>
      <w:r w:rsidRPr="007F6290">
        <w:rPr>
          <w:sz w:val="20"/>
          <w:szCs w:val="20"/>
        </w:rPr>
        <w:t xml:space="preserve"> for North Atlantic swordfish in 2024 and apply the MP to establish the total allowable catch (TAC) for 2025-2027 and future </w:t>
      </w:r>
      <w:proofErr w:type="gramStart"/>
      <w:r w:rsidRPr="007F6290">
        <w:rPr>
          <w:sz w:val="20"/>
          <w:szCs w:val="20"/>
        </w:rPr>
        <w:t>years;</w:t>
      </w:r>
      <w:proofErr w:type="gramEnd"/>
    </w:p>
    <w:p w14:paraId="15DBEF42" w14:textId="77777777" w:rsidR="002949E9" w:rsidRPr="007F6290" w:rsidRDefault="002949E9" w:rsidP="006E3DFA">
      <w:pPr>
        <w:ind w:left="120" w:right="-1" w:firstLine="420"/>
        <w:jc w:val="both"/>
        <w:rPr>
          <w:i/>
          <w:sz w:val="20"/>
          <w:szCs w:val="20"/>
        </w:rPr>
      </w:pPr>
    </w:p>
    <w:p w14:paraId="31766402" w14:textId="4C2BF21A" w:rsidR="002949E9" w:rsidRPr="007F6290" w:rsidRDefault="002949E9" w:rsidP="006E3DFA">
      <w:pPr>
        <w:ind w:right="-1" w:firstLine="420"/>
        <w:jc w:val="both"/>
        <w:rPr>
          <w:i/>
          <w:sz w:val="20"/>
          <w:szCs w:val="20"/>
        </w:rPr>
      </w:pPr>
      <w:r w:rsidRPr="007F6290">
        <w:rPr>
          <w:i/>
          <w:sz w:val="20"/>
          <w:szCs w:val="20"/>
        </w:rPr>
        <w:t xml:space="preserve">ALSO RECALLING </w:t>
      </w:r>
      <w:r w:rsidRPr="007F6290">
        <w:rPr>
          <w:sz w:val="20"/>
          <w:szCs w:val="20"/>
        </w:rPr>
        <w:t>the results of the 2022 North Atlantic Swordfish Stock Assessment, which show</w:t>
      </w:r>
      <w:r w:rsidR="007E3A27" w:rsidRPr="007F6290">
        <w:rPr>
          <w:sz w:val="20"/>
          <w:szCs w:val="20"/>
        </w:rPr>
        <w:t xml:space="preserve">ed the </w:t>
      </w:r>
      <w:r w:rsidR="000F7490" w:rsidRPr="007F6290">
        <w:rPr>
          <w:sz w:val="20"/>
          <w:szCs w:val="20"/>
        </w:rPr>
        <w:t xml:space="preserve">stock </w:t>
      </w:r>
      <w:r w:rsidR="001A29BC" w:rsidRPr="007F6290">
        <w:rPr>
          <w:sz w:val="20"/>
          <w:szCs w:val="20"/>
        </w:rPr>
        <w:t xml:space="preserve">being in the green </w:t>
      </w:r>
      <w:r w:rsidR="00821438" w:rsidRPr="007F6290">
        <w:rPr>
          <w:sz w:val="20"/>
          <w:szCs w:val="20"/>
        </w:rPr>
        <w:t>quadrant of the Kobe plot (</w:t>
      </w:r>
      <w:r w:rsidR="000F7490" w:rsidRPr="007F6290">
        <w:rPr>
          <w:sz w:val="20"/>
          <w:szCs w:val="20"/>
        </w:rPr>
        <w:t>not overfished and no overfishing was occurring</w:t>
      </w:r>
      <w:r w:rsidR="00821438" w:rsidRPr="007F6290">
        <w:rPr>
          <w:sz w:val="20"/>
          <w:szCs w:val="20"/>
        </w:rPr>
        <w:t>)</w:t>
      </w:r>
      <w:r w:rsidR="000F7490" w:rsidRPr="007F6290">
        <w:rPr>
          <w:sz w:val="20"/>
          <w:szCs w:val="20"/>
        </w:rPr>
        <w:t xml:space="preserve"> </w:t>
      </w:r>
      <w:r w:rsidR="00821438" w:rsidRPr="007F6290">
        <w:rPr>
          <w:sz w:val="20"/>
          <w:szCs w:val="20"/>
        </w:rPr>
        <w:t xml:space="preserve">in </w:t>
      </w:r>
      <w:proofErr w:type="gramStart"/>
      <w:r w:rsidR="00B81B86" w:rsidRPr="007F6290">
        <w:rPr>
          <w:sz w:val="20"/>
          <w:szCs w:val="20"/>
        </w:rPr>
        <w:t>2020</w:t>
      </w:r>
      <w:r w:rsidR="005748E2" w:rsidRPr="007F6290">
        <w:rPr>
          <w:sz w:val="20"/>
          <w:szCs w:val="20"/>
        </w:rPr>
        <w:t>;</w:t>
      </w:r>
      <w:proofErr w:type="gramEnd"/>
    </w:p>
    <w:p w14:paraId="25E780F0" w14:textId="77777777" w:rsidR="002949E9" w:rsidRPr="007F6290" w:rsidRDefault="002949E9" w:rsidP="002949E9">
      <w:pPr>
        <w:ind w:right="215"/>
        <w:jc w:val="both"/>
        <w:rPr>
          <w:i/>
          <w:sz w:val="20"/>
          <w:szCs w:val="20"/>
        </w:rPr>
      </w:pPr>
    </w:p>
    <w:p w14:paraId="3D4A335B" w14:textId="77777777" w:rsidR="002949E9" w:rsidRPr="007F6290" w:rsidRDefault="002949E9" w:rsidP="006E3DFA">
      <w:pPr>
        <w:ind w:right="-1" w:firstLine="420"/>
        <w:jc w:val="both"/>
        <w:rPr>
          <w:sz w:val="20"/>
          <w:szCs w:val="20"/>
        </w:rPr>
      </w:pPr>
      <w:r w:rsidRPr="007F6290">
        <w:rPr>
          <w:i/>
          <w:sz w:val="20"/>
          <w:szCs w:val="20"/>
        </w:rPr>
        <w:t>RECOGNIZING</w:t>
      </w:r>
      <w:r w:rsidRPr="007F6290">
        <w:rPr>
          <w:sz w:val="20"/>
          <w:szCs w:val="20"/>
        </w:rPr>
        <w:t xml:space="preserve"> the total allocation of fishing opportunities for North Atlantic swordfish is superior to recent annual TAC levels and that catches have been well below these levels for many </w:t>
      </w:r>
      <w:proofErr w:type="gramStart"/>
      <w:r w:rsidRPr="007F6290">
        <w:rPr>
          <w:sz w:val="20"/>
          <w:szCs w:val="20"/>
        </w:rPr>
        <w:t>years;</w:t>
      </w:r>
      <w:proofErr w:type="gramEnd"/>
    </w:p>
    <w:p w14:paraId="62A0FE6D" w14:textId="77777777" w:rsidR="002949E9" w:rsidRPr="007F6290" w:rsidRDefault="002949E9" w:rsidP="002949E9">
      <w:pPr>
        <w:ind w:left="118" w:right="215" w:firstLine="427"/>
        <w:jc w:val="both"/>
        <w:rPr>
          <w:i/>
          <w:sz w:val="20"/>
          <w:szCs w:val="20"/>
        </w:rPr>
      </w:pPr>
    </w:p>
    <w:p w14:paraId="554D89AB" w14:textId="5DB1A8CC" w:rsidR="002949E9" w:rsidRPr="007F6290" w:rsidRDefault="002949E9" w:rsidP="006E3DFA">
      <w:pPr>
        <w:ind w:right="-1" w:firstLine="420"/>
        <w:jc w:val="both"/>
        <w:rPr>
          <w:sz w:val="20"/>
          <w:szCs w:val="20"/>
        </w:rPr>
      </w:pPr>
      <w:r w:rsidRPr="007F6290">
        <w:rPr>
          <w:i/>
          <w:sz w:val="20"/>
          <w:szCs w:val="20"/>
        </w:rPr>
        <w:t>TAKING NOTE</w:t>
      </w:r>
      <w:r w:rsidRPr="007F6290">
        <w:rPr>
          <w:sz w:val="20"/>
          <w:szCs w:val="20"/>
        </w:rPr>
        <w:t xml:space="preserve"> of the </w:t>
      </w:r>
      <w:r w:rsidRPr="007F6290">
        <w:rPr>
          <w:i/>
          <w:sz w:val="20"/>
          <w:szCs w:val="20"/>
        </w:rPr>
        <w:t xml:space="preserve">Resolution by ICCAT on </w:t>
      </w:r>
      <w:r w:rsidR="00A54621" w:rsidRPr="007F6290">
        <w:rPr>
          <w:i/>
          <w:sz w:val="20"/>
          <w:szCs w:val="20"/>
        </w:rPr>
        <w:t>c</w:t>
      </w:r>
      <w:r w:rsidRPr="007F6290">
        <w:rPr>
          <w:i/>
          <w:sz w:val="20"/>
          <w:szCs w:val="20"/>
        </w:rPr>
        <w:t xml:space="preserve">riteria for the </w:t>
      </w:r>
      <w:r w:rsidR="00A54621" w:rsidRPr="007F6290">
        <w:rPr>
          <w:i/>
          <w:sz w:val="20"/>
          <w:szCs w:val="20"/>
        </w:rPr>
        <w:t>a</w:t>
      </w:r>
      <w:r w:rsidRPr="007F6290">
        <w:rPr>
          <w:i/>
          <w:sz w:val="20"/>
          <w:szCs w:val="20"/>
        </w:rPr>
        <w:t xml:space="preserve">llocation of </w:t>
      </w:r>
      <w:r w:rsidR="00FE58D6" w:rsidRPr="007F6290">
        <w:rPr>
          <w:i/>
          <w:sz w:val="20"/>
          <w:szCs w:val="20"/>
        </w:rPr>
        <w:t>f</w:t>
      </w:r>
      <w:r w:rsidRPr="007F6290">
        <w:rPr>
          <w:i/>
          <w:sz w:val="20"/>
          <w:szCs w:val="20"/>
        </w:rPr>
        <w:t xml:space="preserve">ishing </w:t>
      </w:r>
      <w:r w:rsidR="00FE58D6" w:rsidRPr="007F6290">
        <w:rPr>
          <w:i/>
          <w:sz w:val="20"/>
          <w:szCs w:val="20"/>
        </w:rPr>
        <w:t>p</w:t>
      </w:r>
      <w:r w:rsidRPr="007F6290">
        <w:rPr>
          <w:i/>
          <w:sz w:val="20"/>
          <w:szCs w:val="20"/>
        </w:rPr>
        <w:t xml:space="preserve">ossibilities </w:t>
      </w:r>
      <w:r w:rsidRPr="007F6290">
        <w:rPr>
          <w:sz w:val="20"/>
          <w:szCs w:val="20"/>
        </w:rPr>
        <w:t>(Res</w:t>
      </w:r>
      <w:r w:rsidR="00DE197B" w:rsidRPr="007F6290">
        <w:rPr>
          <w:sz w:val="20"/>
          <w:szCs w:val="20"/>
        </w:rPr>
        <w:t>. </w:t>
      </w:r>
      <w:r w:rsidRPr="007F6290">
        <w:rPr>
          <w:sz w:val="20"/>
          <w:szCs w:val="20"/>
        </w:rPr>
        <w:t>15</w:t>
      </w:r>
      <w:r w:rsidR="00DE197B" w:rsidRPr="007F6290">
        <w:rPr>
          <w:sz w:val="20"/>
          <w:szCs w:val="20"/>
        </w:rPr>
        <w:noBreakHyphen/>
      </w:r>
      <w:r w:rsidRPr="007F6290">
        <w:rPr>
          <w:sz w:val="20"/>
          <w:szCs w:val="20"/>
        </w:rPr>
        <w:t>13</w:t>
      </w:r>
      <w:proofErr w:type="gramStart"/>
      <w:r w:rsidRPr="007F6290">
        <w:rPr>
          <w:sz w:val="20"/>
          <w:szCs w:val="20"/>
        </w:rPr>
        <w:t>);</w:t>
      </w:r>
      <w:proofErr w:type="gramEnd"/>
    </w:p>
    <w:p w14:paraId="1AA73872" w14:textId="77777777" w:rsidR="002949E9" w:rsidRPr="007F6290" w:rsidRDefault="002949E9" w:rsidP="006E3DFA">
      <w:pPr>
        <w:ind w:right="-1"/>
        <w:jc w:val="both"/>
        <w:rPr>
          <w:i/>
          <w:sz w:val="20"/>
          <w:szCs w:val="20"/>
        </w:rPr>
      </w:pPr>
    </w:p>
    <w:p w14:paraId="1C2D204B" w14:textId="14858C1A" w:rsidR="002949E9" w:rsidRPr="007F6290" w:rsidRDefault="002949E9" w:rsidP="006E3DFA">
      <w:pPr>
        <w:ind w:right="-1" w:firstLine="420"/>
        <w:jc w:val="both"/>
        <w:rPr>
          <w:sz w:val="20"/>
          <w:szCs w:val="20"/>
        </w:rPr>
      </w:pPr>
      <w:r w:rsidRPr="007F6290">
        <w:rPr>
          <w:i/>
          <w:sz w:val="20"/>
          <w:szCs w:val="20"/>
        </w:rPr>
        <w:t xml:space="preserve">RECALLING </w:t>
      </w:r>
      <w:r w:rsidRPr="007F6290">
        <w:rPr>
          <w:sz w:val="20"/>
          <w:szCs w:val="20"/>
        </w:rPr>
        <w:t xml:space="preserve">the </w:t>
      </w:r>
      <w:r w:rsidRPr="007F6290">
        <w:rPr>
          <w:i/>
          <w:sz w:val="20"/>
          <w:szCs w:val="20"/>
        </w:rPr>
        <w:t xml:space="preserve">Recommendation by ICCAT regarding </w:t>
      </w:r>
      <w:r w:rsidR="00FE58D6" w:rsidRPr="007F6290">
        <w:rPr>
          <w:i/>
          <w:sz w:val="20"/>
          <w:szCs w:val="20"/>
        </w:rPr>
        <w:t>c</w:t>
      </w:r>
      <w:r w:rsidRPr="007F6290">
        <w:rPr>
          <w:i/>
          <w:sz w:val="20"/>
          <w:szCs w:val="20"/>
        </w:rPr>
        <w:t xml:space="preserve">ompliance in the </w:t>
      </w:r>
      <w:r w:rsidR="00FE58D6" w:rsidRPr="007F6290">
        <w:rPr>
          <w:i/>
          <w:sz w:val="20"/>
          <w:szCs w:val="20"/>
        </w:rPr>
        <w:t>b</w:t>
      </w:r>
      <w:r w:rsidRPr="007F6290">
        <w:rPr>
          <w:i/>
          <w:sz w:val="20"/>
          <w:szCs w:val="20"/>
        </w:rPr>
        <w:t xml:space="preserve">luefin </w:t>
      </w:r>
      <w:r w:rsidR="00FE58D6" w:rsidRPr="007F6290">
        <w:rPr>
          <w:i/>
          <w:sz w:val="20"/>
          <w:szCs w:val="20"/>
        </w:rPr>
        <w:t>t</w:t>
      </w:r>
      <w:r w:rsidRPr="007F6290">
        <w:rPr>
          <w:i/>
          <w:sz w:val="20"/>
          <w:szCs w:val="20"/>
        </w:rPr>
        <w:t xml:space="preserve">una and North Atlantic </w:t>
      </w:r>
      <w:r w:rsidR="00FE58D6" w:rsidRPr="007F6290">
        <w:rPr>
          <w:i/>
          <w:sz w:val="20"/>
          <w:szCs w:val="20"/>
        </w:rPr>
        <w:t>s</w:t>
      </w:r>
      <w:r w:rsidRPr="007F6290">
        <w:rPr>
          <w:i/>
          <w:sz w:val="20"/>
          <w:szCs w:val="20"/>
        </w:rPr>
        <w:t xml:space="preserve">wordfish </w:t>
      </w:r>
      <w:r w:rsidR="00FE58D6" w:rsidRPr="007F6290">
        <w:rPr>
          <w:i/>
          <w:sz w:val="20"/>
          <w:szCs w:val="20"/>
        </w:rPr>
        <w:t>f</w:t>
      </w:r>
      <w:r w:rsidRPr="007F6290">
        <w:rPr>
          <w:i/>
          <w:sz w:val="20"/>
          <w:szCs w:val="20"/>
        </w:rPr>
        <w:t xml:space="preserve">isheries </w:t>
      </w:r>
      <w:r w:rsidRPr="007F6290">
        <w:rPr>
          <w:sz w:val="20"/>
          <w:szCs w:val="20"/>
        </w:rPr>
        <w:t>(Rec. 96-14</w:t>
      </w:r>
      <w:proofErr w:type="gramStart"/>
      <w:r w:rsidRPr="007F6290">
        <w:rPr>
          <w:sz w:val="20"/>
          <w:szCs w:val="20"/>
        </w:rPr>
        <w:t>);</w:t>
      </w:r>
      <w:proofErr w:type="gramEnd"/>
    </w:p>
    <w:p w14:paraId="0A3C9D8A" w14:textId="77777777" w:rsidR="002949E9" w:rsidRPr="007F6290" w:rsidRDefault="002949E9" w:rsidP="002949E9">
      <w:pPr>
        <w:ind w:right="215"/>
        <w:jc w:val="both"/>
        <w:rPr>
          <w:i/>
          <w:sz w:val="20"/>
          <w:szCs w:val="20"/>
        </w:rPr>
      </w:pPr>
    </w:p>
    <w:p w14:paraId="527464C3" w14:textId="77777777" w:rsidR="002949E9" w:rsidRPr="007F6290" w:rsidRDefault="002949E9" w:rsidP="00DB56BB">
      <w:pPr>
        <w:ind w:right="220" w:firstLine="420"/>
        <w:jc w:val="both"/>
        <w:rPr>
          <w:sz w:val="20"/>
          <w:szCs w:val="20"/>
        </w:rPr>
      </w:pPr>
      <w:r w:rsidRPr="007F6290">
        <w:rPr>
          <w:i/>
          <w:sz w:val="20"/>
          <w:szCs w:val="20"/>
        </w:rPr>
        <w:t xml:space="preserve">SEEKING </w:t>
      </w:r>
      <w:r w:rsidRPr="007F6290">
        <w:rPr>
          <w:sz w:val="20"/>
          <w:szCs w:val="20"/>
        </w:rPr>
        <w:t xml:space="preserve">to ensure that the total catch does not exceed the annual </w:t>
      </w:r>
      <w:proofErr w:type="gramStart"/>
      <w:r w:rsidRPr="007F6290">
        <w:rPr>
          <w:sz w:val="20"/>
          <w:szCs w:val="20"/>
        </w:rPr>
        <w:t>TAC;</w:t>
      </w:r>
      <w:proofErr w:type="gramEnd"/>
    </w:p>
    <w:p w14:paraId="564A7E6E" w14:textId="77777777" w:rsidR="002949E9" w:rsidRPr="007F6290" w:rsidRDefault="002949E9" w:rsidP="002949E9">
      <w:pPr>
        <w:ind w:left="120" w:right="220" w:firstLine="420"/>
        <w:jc w:val="both"/>
        <w:rPr>
          <w:i/>
          <w:sz w:val="20"/>
          <w:szCs w:val="20"/>
        </w:rPr>
      </w:pPr>
      <w:r w:rsidRPr="007F6290">
        <w:rPr>
          <w:i/>
          <w:sz w:val="20"/>
          <w:szCs w:val="20"/>
        </w:rPr>
        <w:t xml:space="preserve"> </w:t>
      </w:r>
    </w:p>
    <w:p w14:paraId="02E129E4" w14:textId="50CCF5BD" w:rsidR="002949E9" w:rsidRPr="007F6290" w:rsidRDefault="002949E9" w:rsidP="001E710C">
      <w:pPr>
        <w:ind w:right="-1" w:firstLine="420"/>
        <w:jc w:val="both"/>
        <w:rPr>
          <w:sz w:val="20"/>
          <w:szCs w:val="20"/>
        </w:rPr>
      </w:pPr>
      <w:r w:rsidRPr="007F6290">
        <w:rPr>
          <w:i/>
          <w:sz w:val="20"/>
          <w:szCs w:val="20"/>
        </w:rPr>
        <w:t xml:space="preserve">RECOGNIZING </w:t>
      </w:r>
      <w:r w:rsidRPr="007F6290">
        <w:rPr>
          <w:sz w:val="20"/>
          <w:szCs w:val="20"/>
        </w:rPr>
        <w:t xml:space="preserve">that the North Atlantic swordfish MSE incorporates a wide range of uncertainties to ensure the selected MP that has been tested through MSE meets identified management objectives concerning status, safety, stability and yield, and supports the overall objective of the </w:t>
      </w:r>
      <w:proofErr w:type="gramStart"/>
      <w:r w:rsidRPr="007F6290">
        <w:rPr>
          <w:sz w:val="20"/>
          <w:szCs w:val="20"/>
        </w:rPr>
        <w:t>Convention;</w:t>
      </w:r>
      <w:proofErr w:type="gramEnd"/>
    </w:p>
    <w:p w14:paraId="7FD7E9C0" w14:textId="11615A31" w:rsidR="009A1877" w:rsidRPr="007F6290" w:rsidRDefault="001038EB" w:rsidP="005F1578">
      <w:pPr>
        <w:pStyle w:val="NormalWeb"/>
        <w:spacing w:before="240"/>
        <w:ind w:firstLine="420"/>
        <w:jc w:val="both"/>
        <w:rPr>
          <w:i/>
          <w:sz w:val="20"/>
          <w:szCs w:val="20"/>
        </w:rPr>
      </w:pPr>
      <w:r w:rsidRPr="007F6290">
        <w:rPr>
          <w:rFonts w:ascii="Cambria" w:hAnsi="Cambria"/>
          <w:i/>
          <w:iCs/>
          <w:color w:val="000000"/>
          <w:sz w:val="20"/>
          <w:szCs w:val="20"/>
        </w:rPr>
        <w:t>FURTHER RECOGNIZING</w:t>
      </w:r>
      <w:r w:rsidRPr="007F6290">
        <w:rPr>
          <w:rFonts w:ascii="Cambria" w:hAnsi="Cambria"/>
          <w:color w:val="000000"/>
          <w:sz w:val="20"/>
          <w:szCs w:val="20"/>
        </w:rPr>
        <w:t xml:space="preserve"> the importance of reconciling the sum of catch limits with the TAC through any increases derived from the application of the M</w:t>
      </w:r>
      <w:r w:rsidR="00FF43BB" w:rsidRPr="007F6290">
        <w:rPr>
          <w:rFonts w:ascii="Cambria" w:hAnsi="Cambria"/>
          <w:color w:val="000000"/>
          <w:sz w:val="20"/>
          <w:szCs w:val="20"/>
        </w:rPr>
        <w:t>P</w:t>
      </w:r>
      <w:r w:rsidRPr="007F6290">
        <w:rPr>
          <w:rFonts w:ascii="Cambria" w:hAnsi="Cambria"/>
          <w:color w:val="000000"/>
          <w:sz w:val="20"/>
          <w:szCs w:val="20"/>
        </w:rPr>
        <w:t xml:space="preserve"> for the 2028-2030 management </w:t>
      </w:r>
      <w:proofErr w:type="gramStart"/>
      <w:r w:rsidRPr="007F6290">
        <w:rPr>
          <w:rFonts w:ascii="Cambria" w:hAnsi="Cambria"/>
          <w:color w:val="000000"/>
          <w:sz w:val="20"/>
          <w:szCs w:val="20"/>
        </w:rPr>
        <w:t>cycle;</w:t>
      </w:r>
      <w:proofErr w:type="gramEnd"/>
    </w:p>
    <w:p w14:paraId="04C27D48" w14:textId="16C0ACEB" w:rsidR="002949E9" w:rsidRPr="007F6290" w:rsidRDefault="002949E9" w:rsidP="00FF683E">
      <w:pPr>
        <w:ind w:right="-1" w:firstLine="420"/>
        <w:jc w:val="both"/>
        <w:rPr>
          <w:i/>
          <w:sz w:val="20"/>
          <w:szCs w:val="20"/>
        </w:rPr>
      </w:pPr>
      <w:r w:rsidRPr="007F6290">
        <w:rPr>
          <w:i/>
          <w:sz w:val="20"/>
          <w:szCs w:val="20"/>
        </w:rPr>
        <w:t xml:space="preserve">NOTING </w:t>
      </w:r>
      <w:r w:rsidRPr="007F6290">
        <w:rPr>
          <w:sz w:val="20"/>
          <w:szCs w:val="20"/>
        </w:rPr>
        <w:t>the importance of identifying exceptional circumstances (EC</w:t>
      </w:r>
      <w:r w:rsidR="00CA4672" w:rsidRPr="007F6290">
        <w:rPr>
          <w:sz w:val="20"/>
          <w:szCs w:val="20"/>
        </w:rPr>
        <w:t>s</w:t>
      </w:r>
      <w:r w:rsidRPr="007F6290">
        <w:rPr>
          <w:sz w:val="20"/>
          <w:szCs w:val="20"/>
        </w:rPr>
        <w:t xml:space="preserve">) that would result in suspending or modifying the application of the MP to remain aligned with the </w:t>
      </w:r>
      <w:r w:rsidRPr="007F6290">
        <w:rPr>
          <w:i/>
          <w:iCs/>
          <w:sz w:val="20"/>
          <w:szCs w:val="20"/>
        </w:rPr>
        <w:t xml:space="preserve">Recommendation by ICCAT on the </w:t>
      </w:r>
      <w:r w:rsidR="00110C96" w:rsidRPr="007F6290">
        <w:rPr>
          <w:i/>
          <w:iCs/>
          <w:sz w:val="20"/>
          <w:szCs w:val="20"/>
        </w:rPr>
        <w:t>p</w:t>
      </w:r>
      <w:r w:rsidRPr="007F6290">
        <w:rPr>
          <w:i/>
          <w:iCs/>
          <w:sz w:val="20"/>
          <w:szCs w:val="20"/>
        </w:rPr>
        <w:t xml:space="preserve">rinciples of </w:t>
      </w:r>
      <w:r w:rsidR="00110C96" w:rsidRPr="007F6290">
        <w:rPr>
          <w:i/>
          <w:iCs/>
          <w:sz w:val="20"/>
          <w:szCs w:val="20"/>
        </w:rPr>
        <w:t>d</w:t>
      </w:r>
      <w:r w:rsidRPr="007F6290">
        <w:rPr>
          <w:i/>
          <w:iCs/>
          <w:sz w:val="20"/>
          <w:szCs w:val="20"/>
        </w:rPr>
        <w:t xml:space="preserve">ecision </w:t>
      </w:r>
      <w:r w:rsidR="00110C96" w:rsidRPr="007F6290">
        <w:rPr>
          <w:i/>
          <w:iCs/>
          <w:sz w:val="20"/>
          <w:szCs w:val="20"/>
        </w:rPr>
        <w:t>m</w:t>
      </w:r>
      <w:r w:rsidRPr="007F6290">
        <w:rPr>
          <w:i/>
          <w:iCs/>
          <w:sz w:val="20"/>
          <w:szCs w:val="20"/>
        </w:rPr>
        <w:t xml:space="preserve">aking for </w:t>
      </w:r>
      <w:r w:rsidR="00FF683E" w:rsidRPr="007F6290">
        <w:rPr>
          <w:i/>
          <w:iCs/>
          <w:sz w:val="20"/>
          <w:szCs w:val="20"/>
        </w:rPr>
        <w:t>c</w:t>
      </w:r>
      <w:r w:rsidRPr="007F6290">
        <w:rPr>
          <w:i/>
          <w:iCs/>
          <w:sz w:val="20"/>
          <w:szCs w:val="20"/>
        </w:rPr>
        <w:t xml:space="preserve">onservation and </w:t>
      </w:r>
      <w:r w:rsidR="00FF683E" w:rsidRPr="007F6290">
        <w:rPr>
          <w:i/>
          <w:iCs/>
          <w:sz w:val="20"/>
          <w:szCs w:val="20"/>
        </w:rPr>
        <w:t>m</w:t>
      </w:r>
      <w:r w:rsidRPr="007F6290">
        <w:rPr>
          <w:i/>
          <w:iCs/>
          <w:sz w:val="20"/>
          <w:szCs w:val="20"/>
        </w:rPr>
        <w:t xml:space="preserve">anagement </w:t>
      </w:r>
      <w:r w:rsidR="00FF683E" w:rsidRPr="007F6290">
        <w:rPr>
          <w:i/>
          <w:iCs/>
          <w:sz w:val="20"/>
          <w:szCs w:val="20"/>
        </w:rPr>
        <w:t>m</w:t>
      </w:r>
      <w:r w:rsidRPr="007F6290">
        <w:rPr>
          <w:i/>
          <w:iCs/>
          <w:sz w:val="20"/>
          <w:szCs w:val="20"/>
        </w:rPr>
        <w:t>easures</w:t>
      </w:r>
      <w:r w:rsidRPr="007F6290">
        <w:rPr>
          <w:sz w:val="20"/>
          <w:szCs w:val="20"/>
        </w:rPr>
        <w:t xml:space="preserve"> (Rec. 11-13</w:t>
      </w:r>
      <w:proofErr w:type="gramStart"/>
      <w:r w:rsidRPr="007F6290">
        <w:rPr>
          <w:sz w:val="20"/>
          <w:szCs w:val="20"/>
        </w:rPr>
        <w:t>);</w:t>
      </w:r>
      <w:proofErr w:type="gramEnd"/>
    </w:p>
    <w:p w14:paraId="344CEBBA" w14:textId="77777777" w:rsidR="002949E9" w:rsidRPr="007F6290" w:rsidRDefault="002949E9" w:rsidP="002949E9">
      <w:pPr>
        <w:pBdr>
          <w:top w:val="nil"/>
          <w:left w:val="nil"/>
          <w:bottom w:val="nil"/>
          <w:right w:val="nil"/>
          <w:between w:val="nil"/>
        </w:pBdr>
        <w:spacing w:before="5"/>
        <w:rPr>
          <w:color w:val="000000"/>
          <w:sz w:val="20"/>
          <w:szCs w:val="20"/>
        </w:rPr>
      </w:pPr>
    </w:p>
    <w:p w14:paraId="2DCBC76C" w14:textId="14A6ECB2" w:rsidR="004B4F7E" w:rsidRPr="007F6290" w:rsidRDefault="00CA4672" w:rsidP="002949E9">
      <w:pPr>
        <w:pBdr>
          <w:top w:val="nil"/>
          <w:left w:val="nil"/>
          <w:bottom w:val="nil"/>
          <w:right w:val="nil"/>
          <w:between w:val="nil"/>
        </w:pBdr>
        <w:spacing w:before="5"/>
        <w:rPr>
          <w:color w:val="000000"/>
          <w:sz w:val="20"/>
          <w:szCs w:val="20"/>
        </w:rPr>
      </w:pPr>
      <w:r w:rsidRPr="007F6290">
        <w:rPr>
          <w:color w:val="000000"/>
          <w:sz w:val="20"/>
          <w:szCs w:val="20"/>
        </w:rPr>
        <w:t xml:space="preserve"> </w:t>
      </w:r>
    </w:p>
    <w:p w14:paraId="4031515F" w14:textId="77777777" w:rsidR="00CA1C05" w:rsidRPr="007F6290" w:rsidRDefault="00CA1C05" w:rsidP="002949E9">
      <w:pPr>
        <w:pBdr>
          <w:top w:val="nil"/>
          <w:left w:val="nil"/>
          <w:bottom w:val="nil"/>
          <w:right w:val="nil"/>
          <w:between w:val="nil"/>
        </w:pBdr>
        <w:spacing w:before="5"/>
        <w:rPr>
          <w:color w:val="000000"/>
          <w:sz w:val="20"/>
          <w:szCs w:val="20"/>
        </w:rPr>
      </w:pPr>
    </w:p>
    <w:p w14:paraId="5E691870" w14:textId="77777777" w:rsidR="002949E9" w:rsidRPr="007F6290" w:rsidRDefault="002949E9" w:rsidP="002949E9">
      <w:pPr>
        <w:pBdr>
          <w:top w:val="nil"/>
          <w:left w:val="nil"/>
          <w:bottom w:val="nil"/>
          <w:right w:val="nil"/>
          <w:between w:val="nil"/>
        </w:pBdr>
        <w:spacing w:line="244" w:lineRule="auto"/>
        <w:ind w:right="2"/>
        <w:jc w:val="center"/>
        <w:rPr>
          <w:color w:val="000000"/>
          <w:sz w:val="20"/>
          <w:szCs w:val="20"/>
        </w:rPr>
      </w:pPr>
      <w:r w:rsidRPr="007F6290">
        <w:rPr>
          <w:color w:val="000000"/>
          <w:sz w:val="20"/>
          <w:szCs w:val="20"/>
        </w:rPr>
        <w:t xml:space="preserve">THE INTERNATIONAL COMMISSION FOR THE </w:t>
      </w:r>
    </w:p>
    <w:p w14:paraId="00DB6F5C" w14:textId="77777777" w:rsidR="002949E9" w:rsidRPr="007F6290" w:rsidRDefault="002949E9" w:rsidP="002949E9">
      <w:pPr>
        <w:pBdr>
          <w:top w:val="nil"/>
          <w:left w:val="nil"/>
          <w:bottom w:val="nil"/>
          <w:right w:val="nil"/>
          <w:between w:val="nil"/>
        </w:pBdr>
        <w:spacing w:line="244" w:lineRule="auto"/>
        <w:ind w:right="2"/>
        <w:jc w:val="center"/>
        <w:rPr>
          <w:color w:val="000000"/>
          <w:sz w:val="20"/>
          <w:szCs w:val="20"/>
        </w:rPr>
      </w:pPr>
      <w:r w:rsidRPr="007F6290">
        <w:rPr>
          <w:color w:val="000000"/>
          <w:sz w:val="20"/>
          <w:szCs w:val="20"/>
        </w:rPr>
        <w:lastRenderedPageBreak/>
        <w:t>CONSERVATION OF ATLANTIC TUNAS (ICCAT) RECOMMENDS THAT:</w:t>
      </w:r>
    </w:p>
    <w:p w14:paraId="7D4BDAC2" w14:textId="77777777" w:rsidR="002949E9" w:rsidRPr="007F6290" w:rsidRDefault="002949E9" w:rsidP="002949E9">
      <w:pPr>
        <w:pBdr>
          <w:top w:val="nil"/>
          <w:left w:val="nil"/>
          <w:bottom w:val="nil"/>
          <w:right w:val="nil"/>
          <w:between w:val="nil"/>
        </w:pBdr>
        <w:spacing w:before="7"/>
        <w:jc w:val="center"/>
        <w:rPr>
          <w:b/>
          <w:color w:val="000000"/>
          <w:sz w:val="20"/>
          <w:szCs w:val="20"/>
        </w:rPr>
      </w:pPr>
    </w:p>
    <w:p w14:paraId="62144979" w14:textId="075C70D3" w:rsidR="002949E9" w:rsidRPr="007F6290" w:rsidRDefault="00B07CD4" w:rsidP="002949E9">
      <w:pPr>
        <w:pBdr>
          <w:top w:val="nil"/>
          <w:left w:val="nil"/>
          <w:bottom w:val="nil"/>
          <w:right w:val="nil"/>
          <w:between w:val="nil"/>
        </w:pBdr>
        <w:spacing w:before="7"/>
        <w:jc w:val="center"/>
        <w:rPr>
          <w:b/>
          <w:color w:val="000000"/>
          <w:sz w:val="20"/>
          <w:szCs w:val="20"/>
        </w:rPr>
      </w:pPr>
      <w:r w:rsidRPr="007F6290">
        <w:rPr>
          <w:b/>
          <w:color w:val="000000"/>
          <w:sz w:val="20"/>
          <w:szCs w:val="20"/>
        </w:rPr>
        <w:t xml:space="preserve">PART I </w:t>
      </w:r>
    </w:p>
    <w:p w14:paraId="3F539C38" w14:textId="71C66D96" w:rsidR="002949E9" w:rsidRPr="007F6290" w:rsidRDefault="00B07CD4" w:rsidP="002949E9">
      <w:pPr>
        <w:pBdr>
          <w:top w:val="nil"/>
          <w:left w:val="nil"/>
          <w:bottom w:val="nil"/>
          <w:right w:val="nil"/>
          <w:between w:val="nil"/>
        </w:pBdr>
        <w:spacing w:before="7"/>
        <w:jc w:val="center"/>
        <w:rPr>
          <w:b/>
          <w:color w:val="000000"/>
          <w:sz w:val="20"/>
          <w:szCs w:val="20"/>
        </w:rPr>
      </w:pPr>
      <w:r w:rsidRPr="007F6290">
        <w:rPr>
          <w:b/>
          <w:color w:val="000000"/>
          <w:sz w:val="20"/>
          <w:szCs w:val="20"/>
        </w:rPr>
        <w:t>GENERAL PROVISIONS</w:t>
      </w:r>
    </w:p>
    <w:p w14:paraId="059CF474" w14:textId="77777777" w:rsidR="002949E9" w:rsidRPr="007F6290" w:rsidRDefault="002949E9" w:rsidP="002949E9">
      <w:pPr>
        <w:pBdr>
          <w:top w:val="nil"/>
          <w:left w:val="nil"/>
          <w:bottom w:val="nil"/>
          <w:right w:val="nil"/>
          <w:between w:val="nil"/>
        </w:pBdr>
        <w:spacing w:before="7"/>
        <w:rPr>
          <w:sz w:val="20"/>
          <w:szCs w:val="20"/>
        </w:rPr>
      </w:pPr>
    </w:p>
    <w:p w14:paraId="715AAD07" w14:textId="07C8E284" w:rsidR="002949E9" w:rsidRPr="007F6290" w:rsidRDefault="002949E9" w:rsidP="005412D0">
      <w:pPr>
        <w:numPr>
          <w:ilvl w:val="0"/>
          <w:numId w:val="1"/>
        </w:numPr>
        <w:pBdr>
          <w:top w:val="nil"/>
          <w:left w:val="nil"/>
          <w:bottom w:val="nil"/>
          <w:right w:val="nil"/>
          <w:between w:val="nil"/>
        </w:pBdr>
        <w:spacing w:line="244" w:lineRule="auto"/>
        <w:ind w:left="426" w:right="-1" w:hanging="426"/>
        <w:jc w:val="both"/>
        <w:rPr>
          <w:color w:val="000000"/>
          <w:sz w:val="20"/>
          <w:szCs w:val="20"/>
        </w:rPr>
      </w:pPr>
      <w:r w:rsidRPr="007F6290">
        <w:rPr>
          <w:color w:val="000000"/>
          <w:sz w:val="20"/>
          <w:szCs w:val="20"/>
        </w:rPr>
        <w:t xml:space="preserve">The Contracting Parties, and Cooperating non-Contracting Parties, Entities or Fishing Entities (CPCs) whose vessels catch North Atlantic swordfish in the Convention area shall implement the following conservation and management measures including the MP set out in </w:t>
      </w:r>
      <w:r w:rsidRPr="007F6290">
        <w:rPr>
          <w:b/>
          <w:color w:val="000000"/>
          <w:sz w:val="20"/>
          <w:szCs w:val="20"/>
        </w:rPr>
        <w:t>Annex 1</w:t>
      </w:r>
      <w:r w:rsidRPr="007F6290">
        <w:rPr>
          <w:color w:val="000000"/>
          <w:sz w:val="20"/>
          <w:szCs w:val="20"/>
        </w:rPr>
        <w:t xml:space="preserve"> for establishing annual TACs.</w:t>
      </w:r>
    </w:p>
    <w:p w14:paraId="3EACC9CC" w14:textId="77777777" w:rsidR="002949E9" w:rsidRPr="007F6290" w:rsidRDefault="002949E9" w:rsidP="002949E9">
      <w:pPr>
        <w:pBdr>
          <w:top w:val="nil"/>
          <w:left w:val="nil"/>
          <w:bottom w:val="nil"/>
          <w:right w:val="nil"/>
          <w:between w:val="nil"/>
        </w:pBdr>
        <w:tabs>
          <w:tab w:val="left" w:pos="542"/>
          <w:tab w:val="left" w:pos="544"/>
        </w:tabs>
        <w:spacing w:line="244" w:lineRule="auto"/>
        <w:ind w:right="114"/>
        <w:jc w:val="both"/>
        <w:rPr>
          <w:i/>
          <w:color w:val="000000"/>
          <w:sz w:val="20"/>
          <w:szCs w:val="20"/>
        </w:rPr>
      </w:pPr>
    </w:p>
    <w:p w14:paraId="05C67273" w14:textId="77777777" w:rsidR="002949E9" w:rsidRPr="007F6290" w:rsidRDefault="002949E9" w:rsidP="002949E9">
      <w:pPr>
        <w:pBdr>
          <w:top w:val="nil"/>
          <w:left w:val="nil"/>
          <w:bottom w:val="nil"/>
          <w:right w:val="nil"/>
          <w:between w:val="nil"/>
        </w:pBdr>
        <w:tabs>
          <w:tab w:val="left" w:pos="542"/>
          <w:tab w:val="left" w:pos="544"/>
        </w:tabs>
        <w:spacing w:line="244" w:lineRule="auto"/>
        <w:ind w:right="114"/>
        <w:jc w:val="both"/>
        <w:rPr>
          <w:b/>
          <w:color w:val="000000"/>
          <w:sz w:val="20"/>
          <w:szCs w:val="20"/>
        </w:rPr>
      </w:pPr>
      <w:r w:rsidRPr="007F6290">
        <w:rPr>
          <w:b/>
          <w:color w:val="000000"/>
          <w:sz w:val="20"/>
          <w:szCs w:val="20"/>
        </w:rPr>
        <w:t>Management objectives</w:t>
      </w:r>
    </w:p>
    <w:p w14:paraId="2921695D" w14:textId="77777777" w:rsidR="002949E9" w:rsidRPr="007F6290" w:rsidRDefault="002949E9" w:rsidP="002949E9">
      <w:pPr>
        <w:pBdr>
          <w:top w:val="nil"/>
          <w:left w:val="nil"/>
          <w:bottom w:val="nil"/>
          <w:right w:val="nil"/>
          <w:between w:val="nil"/>
        </w:pBdr>
        <w:tabs>
          <w:tab w:val="left" w:pos="542"/>
          <w:tab w:val="left" w:pos="544"/>
        </w:tabs>
        <w:spacing w:line="244" w:lineRule="auto"/>
        <w:ind w:right="114"/>
        <w:jc w:val="both"/>
        <w:rPr>
          <w:color w:val="000000"/>
          <w:sz w:val="20"/>
          <w:szCs w:val="20"/>
        </w:rPr>
      </w:pPr>
    </w:p>
    <w:p w14:paraId="01D3E87C" w14:textId="77777777" w:rsidR="002949E9" w:rsidRPr="007F6290"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7F6290">
        <w:rPr>
          <w:color w:val="000000"/>
          <w:sz w:val="20"/>
          <w:szCs w:val="20"/>
        </w:rPr>
        <w:t>The management objectives for the North Atlantic swordfish stock are:</w:t>
      </w:r>
    </w:p>
    <w:p w14:paraId="398A8C67" w14:textId="77777777" w:rsidR="002949E9" w:rsidRPr="007F6290"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13391D78" w14:textId="77777777" w:rsidR="002949E9" w:rsidRPr="007F6290"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color w:val="000000"/>
          <w:sz w:val="20"/>
          <w:szCs w:val="20"/>
        </w:rPr>
      </w:pPr>
      <w:r w:rsidRPr="007F6290">
        <w:rPr>
          <w:color w:val="000000"/>
          <w:sz w:val="20"/>
          <w:szCs w:val="20"/>
        </w:rPr>
        <w:t>Stock Status:</w:t>
      </w:r>
    </w:p>
    <w:p w14:paraId="112C4B1B" w14:textId="77777777" w:rsidR="002949E9" w:rsidRPr="007F6290" w:rsidRDefault="002949E9" w:rsidP="002949E9">
      <w:pPr>
        <w:pBdr>
          <w:top w:val="nil"/>
          <w:left w:val="nil"/>
          <w:bottom w:val="nil"/>
          <w:right w:val="nil"/>
          <w:between w:val="nil"/>
        </w:pBdr>
        <w:tabs>
          <w:tab w:val="left" w:pos="542"/>
          <w:tab w:val="left" w:pos="544"/>
        </w:tabs>
        <w:spacing w:line="244" w:lineRule="auto"/>
        <w:ind w:left="838" w:right="114"/>
        <w:jc w:val="both"/>
        <w:rPr>
          <w:color w:val="000000"/>
          <w:sz w:val="20"/>
          <w:szCs w:val="20"/>
        </w:rPr>
      </w:pPr>
    </w:p>
    <w:p w14:paraId="6B49FB5C" w14:textId="77777777" w:rsidR="002949E9" w:rsidRPr="007F6290" w:rsidRDefault="002949E9" w:rsidP="005412D0">
      <w:pPr>
        <w:numPr>
          <w:ilvl w:val="0"/>
          <w:numId w:val="2"/>
        </w:numPr>
        <w:pBdr>
          <w:top w:val="nil"/>
          <w:left w:val="nil"/>
          <w:bottom w:val="nil"/>
          <w:right w:val="nil"/>
          <w:between w:val="nil"/>
        </w:pBdr>
        <w:tabs>
          <w:tab w:val="left" w:pos="542"/>
          <w:tab w:val="left" w:pos="544"/>
        </w:tabs>
        <w:spacing w:line="244" w:lineRule="auto"/>
        <w:ind w:left="1276" w:right="-1" w:hanging="425"/>
        <w:jc w:val="both"/>
        <w:rPr>
          <w:color w:val="000000"/>
          <w:sz w:val="20"/>
          <w:szCs w:val="20"/>
        </w:rPr>
      </w:pPr>
      <w:r w:rsidRPr="007F6290">
        <w:rPr>
          <w:color w:val="000000"/>
          <w:sz w:val="20"/>
          <w:szCs w:val="20"/>
        </w:rPr>
        <w:t>The stock shall have a 60% or greater probability of occurring in the green quadrant of the Kobe plot (no overfishing occurring and not overfished</w:t>
      </w:r>
      <w:proofErr w:type="gramStart"/>
      <w:r w:rsidRPr="007F6290">
        <w:rPr>
          <w:color w:val="000000"/>
          <w:sz w:val="20"/>
          <w:szCs w:val="20"/>
        </w:rPr>
        <w:t>);</w:t>
      </w:r>
      <w:proofErr w:type="gramEnd"/>
    </w:p>
    <w:p w14:paraId="103CED3D" w14:textId="77777777" w:rsidR="002949E9" w:rsidRPr="007F6290"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0C65F788" w14:textId="77777777" w:rsidR="002949E9" w:rsidRPr="007F6290"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color w:val="000000"/>
          <w:sz w:val="20"/>
          <w:szCs w:val="20"/>
        </w:rPr>
      </w:pPr>
      <w:r w:rsidRPr="007F6290">
        <w:rPr>
          <w:color w:val="000000"/>
          <w:sz w:val="20"/>
          <w:szCs w:val="20"/>
        </w:rPr>
        <w:t>Safety:</w:t>
      </w:r>
    </w:p>
    <w:p w14:paraId="3ED5E2FD" w14:textId="77777777" w:rsidR="002949E9" w:rsidRPr="007F6290" w:rsidRDefault="002949E9" w:rsidP="002949E9">
      <w:pPr>
        <w:pBdr>
          <w:top w:val="nil"/>
          <w:left w:val="nil"/>
          <w:bottom w:val="nil"/>
          <w:right w:val="nil"/>
          <w:between w:val="nil"/>
        </w:pBdr>
        <w:tabs>
          <w:tab w:val="left" w:pos="542"/>
          <w:tab w:val="left" w:pos="544"/>
        </w:tabs>
        <w:spacing w:line="244" w:lineRule="auto"/>
        <w:ind w:left="838" w:right="114"/>
        <w:jc w:val="both"/>
        <w:rPr>
          <w:color w:val="000000"/>
          <w:sz w:val="20"/>
          <w:szCs w:val="20"/>
        </w:rPr>
      </w:pPr>
    </w:p>
    <w:p w14:paraId="2E71E1CC" w14:textId="2B7216BE" w:rsidR="002949E9" w:rsidRPr="007F6290" w:rsidRDefault="002949E9" w:rsidP="005412D0">
      <w:pPr>
        <w:numPr>
          <w:ilvl w:val="0"/>
          <w:numId w:val="2"/>
        </w:numPr>
        <w:pBdr>
          <w:top w:val="nil"/>
          <w:left w:val="nil"/>
          <w:bottom w:val="nil"/>
          <w:right w:val="nil"/>
          <w:between w:val="nil"/>
        </w:pBdr>
        <w:tabs>
          <w:tab w:val="left" w:pos="542"/>
          <w:tab w:val="left" w:pos="544"/>
        </w:tabs>
        <w:spacing w:line="244" w:lineRule="auto"/>
        <w:ind w:left="1276" w:right="-1" w:hanging="425"/>
        <w:jc w:val="both"/>
        <w:rPr>
          <w:color w:val="000000"/>
          <w:sz w:val="20"/>
          <w:szCs w:val="20"/>
        </w:rPr>
      </w:pPr>
      <w:r w:rsidRPr="007F6290">
        <w:rPr>
          <w:color w:val="000000"/>
          <w:sz w:val="20"/>
          <w:szCs w:val="20"/>
        </w:rPr>
        <w:t>There shall be a 15% or less probability of the stock falling below B</w:t>
      </w:r>
      <w:r w:rsidRPr="007F6290">
        <w:rPr>
          <w:color w:val="000000"/>
          <w:sz w:val="20"/>
          <w:szCs w:val="20"/>
          <w:vertAlign w:val="subscript"/>
        </w:rPr>
        <w:t>LIM</w:t>
      </w:r>
      <w:r w:rsidRPr="007F6290">
        <w:rPr>
          <w:color w:val="000000"/>
          <w:sz w:val="20"/>
          <w:szCs w:val="20"/>
          <w:vertAlign w:val="superscript"/>
        </w:rPr>
        <w:footnoteReference w:id="2"/>
      </w:r>
      <w:r w:rsidRPr="007F6290">
        <w:rPr>
          <w:color w:val="000000"/>
          <w:sz w:val="20"/>
          <w:szCs w:val="20"/>
        </w:rPr>
        <w:t xml:space="preserve"> at any point during the 30-year evaluation </w:t>
      </w:r>
      <w:proofErr w:type="gramStart"/>
      <w:r w:rsidRPr="007F6290">
        <w:rPr>
          <w:color w:val="000000"/>
          <w:sz w:val="20"/>
          <w:szCs w:val="20"/>
        </w:rPr>
        <w:t>period;</w:t>
      </w:r>
      <w:proofErr w:type="gramEnd"/>
    </w:p>
    <w:p w14:paraId="61F01970" w14:textId="77777777" w:rsidR="002949E9" w:rsidRPr="007F6290"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530CBEB8" w14:textId="77777777" w:rsidR="002949E9" w:rsidRPr="007F6290"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color w:val="000000"/>
          <w:sz w:val="20"/>
          <w:szCs w:val="20"/>
        </w:rPr>
      </w:pPr>
      <w:r w:rsidRPr="007F6290">
        <w:rPr>
          <w:color w:val="000000"/>
          <w:sz w:val="20"/>
          <w:szCs w:val="20"/>
        </w:rPr>
        <w:t>Yield:</w:t>
      </w:r>
    </w:p>
    <w:p w14:paraId="2AFD7B4D" w14:textId="77777777" w:rsidR="002949E9" w:rsidRPr="007F6290" w:rsidRDefault="002949E9" w:rsidP="002949E9">
      <w:pPr>
        <w:pBdr>
          <w:top w:val="nil"/>
          <w:left w:val="nil"/>
          <w:bottom w:val="nil"/>
          <w:right w:val="nil"/>
          <w:between w:val="nil"/>
        </w:pBdr>
        <w:tabs>
          <w:tab w:val="left" w:pos="542"/>
          <w:tab w:val="left" w:pos="544"/>
        </w:tabs>
        <w:spacing w:line="244" w:lineRule="auto"/>
        <w:ind w:left="838" w:right="114"/>
        <w:jc w:val="both"/>
        <w:rPr>
          <w:color w:val="000000"/>
          <w:sz w:val="20"/>
          <w:szCs w:val="20"/>
        </w:rPr>
      </w:pPr>
    </w:p>
    <w:p w14:paraId="5970065F" w14:textId="77777777" w:rsidR="002949E9" w:rsidRPr="007F6290" w:rsidRDefault="002949E9" w:rsidP="00DE197B">
      <w:pPr>
        <w:numPr>
          <w:ilvl w:val="0"/>
          <w:numId w:val="2"/>
        </w:numPr>
        <w:pBdr>
          <w:top w:val="nil"/>
          <w:left w:val="nil"/>
          <w:bottom w:val="nil"/>
          <w:right w:val="nil"/>
          <w:between w:val="nil"/>
        </w:pBdr>
        <w:tabs>
          <w:tab w:val="left" w:pos="542"/>
          <w:tab w:val="left" w:pos="544"/>
        </w:tabs>
        <w:spacing w:line="244" w:lineRule="auto"/>
        <w:ind w:left="1276" w:right="114" w:hanging="425"/>
        <w:jc w:val="both"/>
        <w:rPr>
          <w:color w:val="000000"/>
          <w:sz w:val="20"/>
          <w:szCs w:val="20"/>
        </w:rPr>
      </w:pPr>
      <w:r w:rsidRPr="007F6290">
        <w:rPr>
          <w:color w:val="000000"/>
          <w:sz w:val="20"/>
          <w:szCs w:val="20"/>
        </w:rPr>
        <w:t>Overall catch levels shall be maximized; and</w:t>
      </w:r>
    </w:p>
    <w:p w14:paraId="39B15CB4" w14:textId="77777777" w:rsidR="002949E9" w:rsidRPr="007F6290"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643E3856" w14:textId="77777777" w:rsidR="002949E9" w:rsidRPr="007F6290"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color w:val="000000"/>
          <w:sz w:val="20"/>
          <w:szCs w:val="20"/>
        </w:rPr>
      </w:pPr>
      <w:r w:rsidRPr="007F6290">
        <w:rPr>
          <w:color w:val="000000"/>
          <w:sz w:val="20"/>
          <w:szCs w:val="20"/>
        </w:rPr>
        <w:t>Stability:</w:t>
      </w:r>
    </w:p>
    <w:p w14:paraId="42041801" w14:textId="77777777" w:rsidR="002949E9" w:rsidRPr="007F6290" w:rsidRDefault="002949E9" w:rsidP="002949E9">
      <w:pPr>
        <w:pBdr>
          <w:top w:val="nil"/>
          <w:left w:val="nil"/>
          <w:bottom w:val="nil"/>
          <w:right w:val="nil"/>
          <w:between w:val="nil"/>
        </w:pBdr>
        <w:tabs>
          <w:tab w:val="left" w:pos="542"/>
          <w:tab w:val="left" w:pos="544"/>
        </w:tabs>
        <w:spacing w:line="244" w:lineRule="auto"/>
        <w:ind w:left="838" w:right="114"/>
        <w:jc w:val="both"/>
        <w:rPr>
          <w:color w:val="000000"/>
          <w:sz w:val="20"/>
          <w:szCs w:val="20"/>
        </w:rPr>
      </w:pPr>
    </w:p>
    <w:p w14:paraId="3219B342" w14:textId="77777777" w:rsidR="002949E9" w:rsidRPr="007F6290" w:rsidRDefault="002949E9" w:rsidP="005412D0">
      <w:pPr>
        <w:numPr>
          <w:ilvl w:val="0"/>
          <w:numId w:val="2"/>
        </w:numPr>
        <w:pBdr>
          <w:top w:val="nil"/>
          <w:left w:val="nil"/>
          <w:bottom w:val="nil"/>
          <w:right w:val="nil"/>
          <w:between w:val="nil"/>
        </w:pBdr>
        <w:tabs>
          <w:tab w:val="left" w:pos="542"/>
          <w:tab w:val="left" w:pos="544"/>
        </w:tabs>
        <w:spacing w:line="244" w:lineRule="auto"/>
        <w:ind w:left="1276" w:right="-1" w:hanging="425"/>
        <w:jc w:val="both"/>
        <w:rPr>
          <w:color w:val="000000"/>
          <w:sz w:val="20"/>
          <w:szCs w:val="20"/>
        </w:rPr>
      </w:pPr>
      <w:r w:rsidRPr="007F6290">
        <w:rPr>
          <w:color w:val="000000"/>
          <w:sz w:val="20"/>
          <w:szCs w:val="20"/>
        </w:rPr>
        <w:t xml:space="preserve">Changes in TAC shall be minimized, consistent with the specifications of the MP as described in </w:t>
      </w:r>
      <w:r w:rsidRPr="007F6290">
        <w:rPr>
          <w:b/>
          <w:color w:val="000000"/>
          <w:sz w:val="20"/>
          <w:szCs w:val="20"/>
        </w:rPr>
        <w:t>Annex 1</w:t>
      </w:r>
      <w:r w:rsidRPr="007F6290">
        <w:rPr>
          <w:color w:val="000000"/>
          <w:sz w:val="20"/>
          <w:szCs w:val="20"/>
        </w:rPr>
        <w:t xml:space="preserve">. </w:t>
      </w:r>
    </w:p>
    <w:p w14:paraId="1EFEBD1A" w14:textId="77777777" w:rsidR="002949E9" w:rsidRPr="007F6290" w:rsidRDefault="002949E9" w:rsidP="005412D0">
      <w:pPr>
        <w:pBdr>
          <w:top w:val="nil"/>
          <w:left w:val="nil"/>
          <w:bottom w:val="nil"/>
          <w:right w:val="nil"/>
          <w:between w:val="nil"/>
        </w:pBdr>
        <w:tabs>
          <w:tab w:val="left" w:pos="542"/>
          <w:tab w:val="left" w:pos="544"/>
        </w:tabs>
        <w:spacing w:line="244" w:lineRule="auto"/>
        <w:ind w:left="544" w:right="-1"/>
        <w:jc w:val="both"/>
        <w:rPr>
          <w:color w:val="000000"/>
          <w:sz w:val="20"/>
          <w:szCs w:val="20"/>
        </w:rPr>
      </w:pPr>
    </w:p>
    <w:p w14:paraId="2DA944EB" w14:textId="77777777" w:rsidR="002949E9" w:rsidRPr="007F6290" w:rsidRDefault="002949E9" w:rsidP="005412D0">
      <w:pPr>
        <w:pBdr>
          <w:top w:val="nil"/>
          <w:left w:val="nil"/>
          <w:bottom w:val="nil"/>
          <w:right w:val="nil"/>
          <w:between w:val="nil"/>
        </w:pBdr>
        <w:tabs>
          <w:tab w:val="left" w:pos="542"/>
          <w:tab w:val="left" w:pos="544"/>
        </w:tabs>
        <w:spacing w:line="244" w:lineRule="auto"/>
        <w:ind w:right="-1"/>
        <w:jc w:val="both"/>
        <w:rPr>
          <w:color w:val="000000"/>
          <w:sz w:val="20"/>
          <w:szCs w:val="20"/>
        </w:rPr>
      </w:pPr>
      <w:r w:rsidRPr="007F6290">
        <w:rPr>
          <w:color w:val="000000"/>
          <w:sz w:val="20"/>
          <w:szCs w:val="20"/>
        </w:rPr>
        <w:t xml:space="preserve">Performance measures (indicators) used to evaluate the performance of MPs for each management objective are found in </w:t>
      </w:r>
      <w:r w:rsidRPr="007F6290">
        <w:rPr>
          <w:b/>
          <w:color w:val="000000"/>
          <w:sz w:val="20"/>
          <w:szCs w:val="20"/>
        </w:rPr>
        <w:t>Annex 2</w:t>
      </w:r>
      <w:r w:rsidRPr="007F6290">
        <w:rPr>
          <w:color w:val="000000"/>
          <w:sz w:val="20"/>
          <w:szCs w:val="20"/>
        </w:rPr>
        <w:t>.</w:t>
      </w:r>
    </w:p>
    <w:p w14:paraId="51C5C73B" w14:textId="77777777" w:rsidR="002949E9" w:rsidRPr="007F6290"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2B7916CC" w14:textId="508F527D" w:rsidR="002949E9" w:rsidRPr="007F6290" w:rsidRDefault="00B07CD4" w:rsidP="002949E9">
      <w:pPr>
        <w:pBdr>
          <w:top w:val="nil"/>
          <w:left w:val="nil"/>
          <w:bottom w:val="nil"/>
          <w:right w:val="nil"/>
          <w:between w:val="nil"/>
        </w:pBdr>
        <w:tabs>
          <w:tab w:val="left" w:pos="542"/>
          <w:tab w:val="left" w:pos="544"/>
        </w:tabs>
        <w:spacing w:line="244" w:lineRule="auto"/>
        <w:ind w:left="544" w:right="114"/>
        <w:jc w:val="center"/>
        <w:rPr>
          <w:b/>
          <w:color w:val="000000"/>
          <w:sz w:val="20"/>
          <w:szCs w:val="20"/>
        </w:rPr>
      </w:pPr>
      <w:r w:rsidRPr="007F6290">
        <w:rPr>
          <w:b/>
          <w:color w:val="000000"/>
          <w:sz w:val="20"/>
          <w:szCs w:val="20"/>
        </w:rPr>
        <w:t>PART II</w:t>
      </w:r>
    </w:p>
    <w:p w14:paraId="5F6C6D52" w14:textId="3C17EA8C" w:rsidR="002949E9" w:rsidRPr="007F6290" w:rsidRDefault="00B07CD4" w:rsidP="002949E9">
      <w:pPr>
        <w:pBdr>
          <w:top w:val="nil"/>
          <w:left w:val="nil"/>
          <w:bottom w:val="nil"/>
          <w:right w:val="nil"/>
          <w:between w:val="nil"/>
        </w:pBdr>
        <w:tabs>
          <w:tab w:val="left" w:pos="542"/>
          <w:tab w:val="left" w:pos="544"/>
        </w:tabs>
        <w:spacing w:line="244" w:lineRule="auto"/>
        <w:ind w:left="544" w:right="114"/>
        <w:jc w:val="center"/>
        <w:rPr>
          <w:b/>
          <w:color w:val="000000"/>
          <w:sz w:val="20"/>
          <w:szCs w:val="20"/>
        </w:rPr>
      </w:pPr>
      <w:r w:rsidRPr="007F6290">
        <w:rPr>
          <w:b/>
          <w:color w:val="000000"/>
          <w:sz w:val="20"/>
          <w:szCs w:val="20"/>
        </w:rPr>
        <w:t>MANAGEMENT PROCEDURE AND TOTAL ALLOWABLE CATCH</w:t>
      </w:r>
    </w:p>
    <w:p w14:paraId="5DAABB21" w14:textId="77777777" w:rsidR="002949E9" w:rsidRPr="007F6290" w:rsidRDefault="002949E9" w:rsidP="002949E9">
      <w:pPr>
        <w:pBdr>
          <w:top w:val="nil"/>
          <w:left w:val="nil"/>
          <w:bottom w:val="nil"/>
          <w:right w:val="nil"/>
          <w:between w:val="nil"/>
        </w:pBdr>
        <w:spacing w:before="9"/>
        <w:rPr>
          <w:color w:val="000000"/>
          <w:sz w:val="20"/>
          <w:szCs w:val="20"/>
        </w:rPr>
      </w:pPr>
    </w:p>
    <w:p w14:paraId="79D9C0BE" w14:textId="255DC08E" w:rsidR="002949E9" w:rsidRPr="007F6290" w:rsidRDefault="002949E9" w:rsidP="005412D0">
      <w:pPr>
        <w:numPr>
          <w:ilvl w:val="0"/>
          <w:numId w:val="1"/>
        </w:numPr>
        <w:pBdr>
          <w:top w:val="nil"/>
          <w:left w:val="nil"/>
          <w:bottom w:val="nil"/>
          <w:right w:val="nil"/>
          <w:between w:val="nil"/>
        </w:pBdr>
        <w:spacing w:line="244" w:lineRule="auto"/>
        <w:ind w:left="426" w:right="-1" w:hanging="426"/>
        <w:jc w:val="both"/>
        <w:rPr>
          <w:sz w:val="20"/>
          <w:szCs w:val="20"/>
        </w:rPr>
      </w:pPr>
      <w:r w:rsidRPr="007F6290">
        <w:rPr>
          <w:color w:val="000000"/>
          <w:sz w:val="20"/>
          <w:szCs w:val="20"/>
        </w:rPr>
        <w:t xml:space="preserve">Consistent with the management objectives specified in paragraph 2, the MCC11 MP is adopted. The MP is fully described in </w:t>
      </w:r>
      <w:r w:rsidRPr="007F6290">
        <w:rPr>
          <w:b/>
          <w:color w:val="000000"/>
          <w:sz w:val="20"/>
          <w:szCs w:val="20"/>
        </w:rPr>
        <w:t>Annex 1</w:t>
      </w:r>
      <w:r w:rsidRPr="007F6290">
        <w:rPr>
          <w:color w:val="000000"/>
          <w:sz w:val="20"/>
          <w:szCs w:val="20"/>
        </w:rPr>
        <w:t>.</w:t>
      </w:r>
    </w:p>
    <w:p w14:paraId="31C43E79" w14:textId="77777777" w:rsidR="002949E9" w:rsidRPr="007F6290" w:rsidRDefault="002949E9" w:rsidP="005412D0">
      <w:pPr>
        <w:pBdr>
          <w:top w:val="nil"/>
          <w:left w:val="nil"/>
          <w:bottom w:val="nil"/>
          <w:right w:val="nil"/>
          <w:between w:val="nil"/>
        </w:pBdr>
        <w:spacing w:line="244" w:lineRule="auto"/>
        <w:ind w:left="426" w:right="-1"/>
        <w:jc w:val="both"/>
        <w:rPr>
          <w:sz w:val="20"/>
          <w:szCs w:val="20"/>
        </w:rPr>
      </w:pPr>
    </w:p>
    <w:p w14:paraId="509D6EC3" w14:textId="1F5F9D60" w:rsidR="002949E9" w:rsidRPr="007F6290" w:rsidRDefault="002949E9" w:rsidP="005412D0">
      <w:pPr>
        <w:numPr>
          <w:ilvl w:val="0"/>
          <w:numId w:val="1"/>
        </w:numPr>
        <w:pBdr>
          <w:top w:val="nil"/>
          <w:left w:val="nil"/>
          <w:bottom w:val="nil"/>
          <w:right w:val="nil"/>
          <w:between w:val="nil"/>
        </w:pBdr>
        <w:spacing w:line="244" w:lineRule="auto"/>
        <w:ind w:left="426" w:right="-1" w:hanging="426"/>
        <w:jc w:val="both"/>
        <w:rPr>
          <w:sz w:val="20"/>
          <w:szCs w:val="20"/>
        </w:rPr>
      </w:pPr>
      <w:r w:rsidRPr="007F6290">
        <w:rPr>
          <w:color w:val="000000"/>
          <w:sz w:val="20"/>
          <w:szCs w:val="20"/>
        </w:rPr>
        <w:t>The TAC derived from the first application of the MP is 14,769 t and shall apply in 2025, 2026, and 2027. The management cycle length shall be three years; therefore, the MP shall be applied every three years.</w:t>
      </w:r>
    </w:p>
    <w:p w14:paraId="42AF21A1" w14:textId="2D219847" w:rsidR="002949E9" w:rsidRPr="007F6290" w:rsidRDefault="002949E9" w:rsidP="005412D0">
      <w:pPr>
        <w:pBdr>
          <w:top w:val="nil"/>
          <w:left w:val="nil"/>
          <w:bottom w:val="nil"/>
          <w:right w:val="nil"/>
          <w:between w:val="nil"/>
        </w:pBdr>
        <w:tabs>
          <w:tab w:val="left" w:pos="544"/>
        </w:tabs>
        <w:spacing w:line="244" w:lineRule="auto"/>
        <w:ind w:right="-1"/>
        <w:jc w:val="both"/>
        <w:rPr>
          <w:color w:val="000000"/>
          <w:sz w:val="20"/>
          <w:szCs w:val="20"/>
        </w:rPr>
      </w:pPr>
    </w:p>
    <w:p w14:paraId="53AA01D1" w14:textId="6FA74C07" w:rsidR="002949E9" w:rsidRPr="007F6290" w:rsidRDefault="002949E9" w:rsidP="005412D0">
      <w:pPr>
        <w:numPr>
          <w:ilvl w:val="0"/>
          <w:numId w:val="1"/>
        </w:numPr>
        <w:pBdr>
          <w:top w:val="nil"/>
          <w:left w:val="nil"/>
          <w:bottom w:val="nil"/>
          <w:right w:val="nil"/>
          <w:between w:val="nil"/>
        </w:pBdr>
        <w:spacing w:line="244" w:lineRule="auto"/>
        <w:ind w:left="426" w:right="-1" w:hanging="426"/>
        <w:jc w:val="both"/>
        <w:rPr>
          <w:sz w:val="20"/>
          <w:szCs w:val="20"/>
        </w:rPr>
      </w:pPr>
      <w:r w:rsidRPr="007F6290">
        <w:rPr>
          <w:color w:val="000000"/>
          <w:sz w:val="20"/>
          <w:szCs w:val="20"/>
        </w:rPr>
        <w:t xml:space="preserve">The SCRS shall apply the MP specified in </w:t>
      </w:r>
      <w:r w:rsidRPr="007F6290">
        <w:rPr>
          <w:b/>
          <w:color w:val="000000"/>
          <w:sz w:val="20"/>
          <w:szCs w:val="20"/>
        </w:rPr>
        <w:t xml:space="preserve">Annex 1 </w:t>
      </w:r>
      <w:r w:rsidRPr="007F6290">
        <w:rPr>
          <w:color w:val="000000"/>
          <w:sz w:val="20"/>
          <w:szCs w:val="20"/>
        </w:rPr>
        <w:t xml:space="preserve">in accordance with the timeline set out in </w:t>
      </w:r>
      <w:r w:rsidRPr="007F6290">
        <w:rPr>
          <w:b/>
          <w:color w:val="000000"/>
          <w:sz w:val="20"/>
          <w:szCs w:val="20"/>
        </w:rPr>
        <w:t>Annex 3</w:t>
      </w:r>
      <w:r w:rsidRPr="007F6290">
        <w:rPr>
          <w:color w:val="000000"/>
          <w:sz w:val="20"/>
          <w:szCs w:val="20"/>
        </w:rPr>
        <w:t xml:space="preserve"> and advise the Commission of the resulting TAC for North Atlantic swordfish for </w:t>
      </w:r>
      <w:r w:rsidRPr="007F6290" w:rsidDel="001D144E">
        <w:rPr>
          <w:color w:val="000000"/>
          <w:sz w:val="20"/>
          <w:szCs w:val="20"/>
        </w:rPr>
        <w:t xml:space="preserve">the </w:t>
      </w:r>
      <w:r w:rsidRPr="007F6290" w:rsidDel="003861EA">
        <w:rPr>
          <w:color w:val="000000"/>
          <w:sz w:val="20"/>
          <w:szCs w:val="20"/>
        </w:rPr>
        <w:t xml:space="preserve">next </w:t>
      </w:r>
      <w:r w:rsidRPr="007F6290">
        <w:rPr>
          <w:color w:val="000000"/>
          <w:sz w:val="20"/>
          <w:szCs w:val="20"/>
        </w:rPr>
        <w:t xml:space="preserve">three-year management cycle. The SCRS shall assess the occurrence of ECs annually, and the Commission shall act in accordance with the EC Protocol </w:t>
      </w:r>
      <w:r w:rsidR="004A4807" w:rsidRPr="007F6290">
        <w:rPr>
          <w:color w:val="000000"/>
          <w:sz w:val="20"/>
          <w:szCs w:val="20"/>
          <w:u w:val="single"/>
        </w:rPr>
        <w:t xml:space="preserve">set out in </w:t>
      </w:r>
      <w:r w:rsidR="004A4807" w:rsidRPr="007F6290">
        <w:rPr>
          <w:b/>
          <w:bCs/>
          <w:color w:val="000000"/>
          <w:sz w:val="20"/>
          <w:szCs w:val="20"/>
          <w:u w:val="single"/>
        </w:rPr>
        <w:t>Annex 4</w:t>
      </w:r>
      <w:r w:rsidR="004A4807" w:rsidRPr="007F6290">
        <w:rPr>
          <w:color w:val="000000"/>
          <w:sz w:val="20"/>
          <w:szCs w:val="20"/>
          <w:u w:val="single"/>
        </w:rPr>
        <w:t>.</w:t>
      </w:r>
    </w:p>
    <w:p w14:paraId="6F4F85E3" w14:textId="77777777" w:rsidR="005412D0" w:rsidRPr="007F6290" w:rsidRDefault="005412D0" w:rsidP="005412D0">
      <w:pPr>
        <w:pStyle w:val="ListParagraph"/>
        <w:rPr>
          <w:sz w:val="20"/>
          <w:szCs w:val="20"/>
        </w:rPr>
      </w:pPr>
    </w:p>
    <w:p w14:paraId="7C0EAA84" w14:textId="3139BEDF" w:rsidR="002949E9" w:rsidRPr="007F6290" w:rsidRDefault="002949E9" w:rsidP="005412D0">
      <w:pPr>
        <w:numPr>
          <w:ilvl w:val="0"/>
          <w:numId w:val="1"/>
        </w:numPr>
        <w:pBdr>
          <w:top w:val="nil"/>
          <w:left w:val="nil"/>
          <w:bottom w:val="nil"/>
          <w:right w:val="nil"/>
          <w:between w:val="nil"/>
        </w:pBdr>
        <w:spacing w:line="244" w:lineRule="auto"/>
        <w:ind w:left="426" w:right="-1" w:hanging="426"/>
        <w:jc w:val="both"/>
        <w:rPr>
          <w:sz w:val="20"/>
          <w:szCs w:val="20"/>
        </w:rPr>
      </w:pPr>
      <w:r w:rsidRPr="007F6290">
        <w:rPr>
          <w:color w:val="000000"/>
          <w:sz w:val="20"/>
          <w:szCs w:val="20"/>
        </w:rPr>
        <w:t>The Commission shall adopt the TAC based on the outcome of the MP unless the SCRS identifies exceptional circumstances that require the Commission to take alternative management actions to remain aligned with the principles of Recommendation 11-13.</w:t>
      </w:r>
    </w:p>
    <w:p w14:paraId="59B08CA0" w14:textId="77777777" w:rsidR="002949E9" w:rsidRPr="007F6290" w:rsidRDefault="002949E9" w:rsidP="002949E9">
      <w:pPr>
        <w:tabs>
          <w:tab w:val="left" w:pos="542"/>
          <w:tab w:val="left" w:pos="544"/>
        </w:tabs>
        <w:spacing w:line="244" w:lineRule="auto"/>
        <w:ind w:left="544" w:right="114"/>
        <w:jc w:val="center"/>
        <w:rPr>
          <w:b/>
          <w:color w:val="000000"/>
          <w:sz w:val="20"/>
          <w:szCs w:val="20"/>
        </w:rPr>
      </w:pPr>
    </w:p>
    <w:p w14:paraId="650FCDEF" w14:textId="77777777" w:rsidR="002949E9" w:rsidRPr="007F6290" w:rsidRDefault="002949E9" w:rsidP="002949E9">
      <w:pPr>
        <w:tabs>
          <w:tab w:val="left" w:pos="542"/>
          <w:tab w:val="left" w:pos="544"/>
        </w:tabs>
        <w:spacing w:line="244" w:lineRule="auto"/>
        <w:ind w:left="544" w:right="114"/>
        <w:jc w:val="center"/>
        <w:rPr>
          <w:b/>
          <w:color w:val="000000"/>
          <w:sz w:val="20"/>
          <w:szCs w:val="20"/>
        </w:rPr>
      </w:pPr>
      <w:r w:rsidRPr="007F6290">
        <w:rPr>
          <w:b/>
          <w:color w:val="000000"/>
          <w:sz w:val="20"/>
          <w:szCs w:val="20"/>
        </w:rPr>
        <w:t>PART III</w:t>
      </w:r>
    </w:p>
    <w:p w14:paraId="2A5C34AC" w14:textId="6925BCC4" w:rsidR="002949E9" w:rsidRPr="007F6290" w:rsidRDefault="000B54AA" w:rsidP="002949E9">
      <w:pPr>
        <w:tabs>
          <w:tab w:val="left" w:pos="542"/>
          <w:tab w:val="left" w:pos="544"/>
        </w:tabs>
        <w:spacing w:line="244" w:lineRule="auto"/>
        <w:ind w:left="544" w:right="114"/>
        <w:jc w:val="center"/>
        <w:rPr>
          <w:b/>
          <w:color w:val="000000"/>
          <w:sz w:val="20"/>
          <w:szCs w:val="20"/>
        </w:rPr>
      </w:pPr>
      <w:r w:rsidRPr="007F6290">
        <w:rPr>
          <w:b/>
          <w:color w:val="000000"/>
          <w:sz w:val="20"/>
          <w:szCs w:val="20"/>
        </w:rPr>
        <w:t>CATCH LIMITS AND RELATED PROVISIONS</w:t>
      </w:r>
    </w:p>
    <w:p w14:paraId="2E5D8513" w14:textId="77777777" w:rsidR="002949E9" w:rsidRPr="007F6290" w:rsidRDefault="002949E9" w:rsidP="002949E9">
      <w:pPr>
        <w:pBdr>
          <w:top w:val="nil"/>
          <w:left w:val="nil"/>
          <w:bottom w:val="nil"/>
          <w:right w:val="nil"/>
          <w:between w:val="nil"/>
        </w:pBdr>
        <w:tabs>
          <w:tab w:val="left" w:pos="544"/>
        </w:tabs>
        <w:ind w:left="544"/>
        <w:rPr>
          <w:b/>
          <w:color w:val="000000"/>
          <w:sz w:val="20"/>
          <w:szCs w:val="20"/>
        </w:rPr>
      </w:pPr>
    </w:p>
    <w:p w14:paraId="54C6F488" w14:textId="77777777" w:rsidR="002949E9" w:rsidRPr="007F6290" w:rsidRDefault="002949E9" w:rsidP="00FB1B3B">
      <w:pPr>
        <w:pBdr>
          <w:top w:val="nil"/>
          <w:left w:val="nil"/>
          <w:bottom w:val="nil"/>
          <w:right w:val="nil"/>
          <w:between w:val="nil"/>
        </w:pBdr>
        <w:tabs>
          <w:tab w:val="left" w:pos="544"/>
        </w:tabs>
        <w:rPr>
          <w:b/>
          <w:color w:val="000000"/>
          <w:sz w:val="20"/>
          <w:szCs w:val="20"/>
        </w:rPr>
      </w:pPr>
      <w:r w:rsidRPr="007F6290">
        <w:rPr>
          <w:b/>
          <w:color w:val="000000"/>
          <w:sz w:val="20"/>
          <w:szCs w:val="20"/>
        </w:rPr>
        <w:t>Catch limits</w:t>
      </w:r>
    </w:p>
    <w:p w14:paraId="6F9FDBF2" w14:textId="77777777" w:rsidR="002949E9" w:rsidRPr="007F6290" w:rsidRDefault="002949E9" w:rsidP="00FB1B3B">
      <w:pPr>
        <w:pBdr>
          <w:top w:val="nil"/>
          <w:left w:val="nil"/>
          <w:bottom w:val="nil"/>
          <w:right w:val="nil"/>
          <w:between w:val="nil"/>
        </w:pBdr>
        <w:tabs>
          <w:tab w:val="left" w:pos="544"/>
        </w:tabs>
        <w:rPr>
          <w:b/>
          <w:i/>
          <w:color w:val="000000"/>
          <w:sz w:val="20"/>
          <w:szCs w:val="20"/>
        </w:rPr>
      </w:pPr>
    </w:p>
    <w:p w14:paraId="62C5CB3F" w14:textId="77777777" w:rsidR="002949E9" w:rsidRPr="007F6290" w:rsidRDefault="002949E9" w:rsidP="003F4991">
      <w:pPr>
        <w:numPr>
          <w:ilvl w:val="0"/>
          <w:numId w:val="1"/>
        </w:numPr>
        <w:pBdr>
          <w:top w:val="nil"/>
          <w:left w:val="nil"/>
          <w:bottom w:val="nil"/>
          <w:right w:val="nil"/>
          <w:between w:val="nil"/>
        </w:pBdr>
        <w:tabs>
          <w:tab w:val="left" w:pos="836"/>
          <w:tab w:val="left" w:pos="838"/>
        </w:tabs>
        <w:ind w:left="426" w:right="-1" w:hanging="426"/>
        <w:jc w:val="both"/>
        <w:rPr>
          <w:color w:val="000000"/>
          <w:sz w:val="20"/>
          <w:szCs w:val="20"/>
        </w:rPr>
      </w:pPr>
      <w:r w:rsidRPr="007F6290">
        <w:rPr>
          <w:color w:val="000000"/>
          <w:sz w:val="20"/>
          <w:szCs w:val="20"/>
        </w:rPr>
        <w:t xml:space="preserve">The annual TAC of 14,769 t for North Atlantic swordfish resulting from the application of the MP described in </w:t>
      </w:r>
      <w:r w:rsidRPr="007F6290">
        <w:rPr>
          <w:b/>
          <w:color w:val="000000"/>
          <w:sz w:val="20"/>
          <w:szCs w:val="20"/>
        </w:rPr>
        <w:t>Annex 1</w:t>
      </w:r>
      <w:r w:rsidRPr="007F6290">
        <w:rPr>
          <w:color w:val="000000"/>
          <w:sz w:val="20"/>
          <w:szCs w:val="20"/>
        </w:rPr>
        <w:t xml:space="preserve"> shall be allocated as follows for the 2025-2027 management period:</w:t>
      </w:r>
    </w:p>
    <w:p w14:paraId="5913254C" w14:textId="77777777" w:rsidR="002949E9" w:rsidRPr="007F6290" w:rsidRDefault="002949E9" w:rsidP="00F11C05">
      <w:pPr>
        <w:pBdr>
          <w:top w:val="nil"/>
          <w:left w:val="nil"/>
          <w:bottom w:val="nil"/>
          <w:right w:val="nil"/>
          <w:between w:val="nil"/>
        </w:pBdr>
        <w:tabs>
          <w:tab w:val="left" w:pos="838"/>
        </w:tabs>
        <w:spacing w:before="1"/>
        <w:ind w:left="838" w:right="114"/>
        <w:rPr>
          <w:color w:val="000000"/>
          <w:sz w:val="20"/>
          <w:szCs w:val="20"/>
        </w:rPr>
      </w:pP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5"/>
      </w:tblGrid>
      <w:tr w:rsidR="002949E9" w:rsidRPr="007F6290" w14:paraId="0D3EAD58" w14:textId="77777777">
        <w:trPr>
          <w:trHeight w:val="51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E8AC6A6" w14:textId="77777777" w:rsidR="002949E9" w:rsidRPr="007F6290" w:rsidRDefault="002949E9">
            <w:pPr>
              <w:widowControl/>
              <w:jc w:val="center"/>
              <w:rPr>
                <w:rFonts w:eastAsia="Times New Roman" w:cs="Calibri"/>
                <w:i/>
                <w:iCs/>
                <w:color w:val="000000"/>
                <w:sz w:val="20"/>
                <w:szCs w:val="20"/>
              </w:rPr>
            </w:pPr>
            <w:r w:rsidRPr="007F6290">
              <w:rPr>
                <w:rFonts w:eastAsia="Times New Roman" w:cs="Times New Roman"/>
                <w:i/>
                <w:iCs/>
                <w:color w:val="000000"/>
                <w:sz w:val="20"/>
                <w:szCs w:val="20"/>
              </w:rPr>
              <w:t>CPCs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F3B9AD" w14:textId="24E65807" w:rsidR="002949E9" w:rsidRPr="007F6290" w:rsidRDefault="002949E9">
            <w:pPr>
              <w:widowControl/>
              <w:jc w:val="center"/>
              <w:rPr>
                <w:rFonts w:eastAsiaTheme="minorHAnsi" w:cstheme="minorBidi"/>
                <w:i/>
                <w:iCs/>
                <w:sz w:val="24"/>
              </w:rPr>
            </w:pPr>
            <w:r w:rsidRPr="007F6290">
              <w:rPr>
                <w:rFonts w:eastAsia="Times New Roman" w:cs="Times New Roman"/>
                <w:i/>
                <w:iCs/>
                <w:sz w:val="20"/>
                <w:szCs w:val="24"/>
              </w:rPr>
              <w:t>Catch limit*</w:t>
            </w:r>
          </w:p>
          <w:p w14:paraId="6D2706D9" w14:textId="77777777" w:rsidR="002949E9" w:rsidRPr="007F6290" w:rsidRDefault="002949E9">
            <w:pPr>
              <w:widowControl/>
              <w:jc w:val="center"/>
              <w:rPr>
                <w:rFonts w:eastAsia="Times New Roman" w:cs="Calibri"/>
                <w:i/>
                <w:iCs/>
                <w:color w:val="000000"/>
                <w:sz w:val="20"/>
                <w:szCs w:val="20"/>
              </w:rPr>
            </w:pPr>
            <w:r w:rsidRPr="007F6290">
              <w:rPr>
                <w:rFonts w:eastAsia="Times New Roman" w:cs="Times New Roman"/>
                <w:i/>
                <w:iCs/>
                <w:color w:val="000000"/>
                <w:sz w:val="20"/>
                <w:szCs w:val="20"/>
              </w:rPr>
              <w:t>14,769 (t)</w:t>
            </w:r>
          </w:p>
        </w:tc>
      </w:tr>
      <w:tr w:rsidR="002949E9" w:rsidRPr="007F6290" w14:paraId="044F5D43" w14:textId="77777777">
        <w:trPr>
          <w:trHeight w:val="35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88CBBD9" w14:textId="33CBCBCD" w:rsidR="002949E9" w:rsidRPr="007F6290" w:rsidRDefault="002949E9">
            <w:pPr>
              <w:widowControl/>
              <w:rPr>
                <w:rFonts w:eastAsia="Times New Roman" w:cs="Calibri"/>
                <w:color w:val="000000"/>
                <w:sz w:val="20"/>
                <w:szCs w:val="20"/>
              </w:rPr>
            </w:pPr>
            <w:r w:rsidRPr="007F6290">
              <w:rPr>
                <w:rFonts w:eastAsia="Times New Roman" w:cs="Calibri"/>
                <w:color w:val="000000"/>
                <w:sz w:val="20"/>
                <w:szCs w:val="20"/>
              </w:rPr>
              <w:t>European Union</w:t>
            </w:r>
            <w:r w:rsidRPr="007F6290">
              <w:rPr>
                <w:rFonts w:eastAsia="Times New Roman" w:cs="Calibri"/>
                <w:color w:val="000000"/>
                <w:sz w:val="20"/>
                <w:szCs w:val="20"/>
                <w:vertAlign w:val="superscript"/>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0F3420" w14:textId="791BD3E9" w:rsidR="002949E9" w:rsidRPr="007F6290" w:rsidRDefault="00446F2A">
            <w:pPr>
              <w:widowControl/>
              <w:jc w:val="center"/>
              <w:rPr>
                <w:rFonts w:eastAsia="Times New Roman" w:cs="Calibri"/>
                <w:color w:val="000000"/>
                <w:sz w:val="20"/>
                <w:szCs w:val="20"/>
              </w:rPr>
            </w:pPr>
            <w:r w:rsidRPr="007F6290">
              <w:rPr>
                <w:rFonts w:eastAsia="Times New Roman" w:cs="Calibri"/>
                <w:color w:val="000000"/>
                <w:sz w:val="20"/>
                <w:szCs w:val="20"/>
              </w:rPr>
              <w:t>7,408.33</w:t>
            </w:r>
          </w:p>
        </w:tc>
      </w:tr>
      <w:tr w:rsidR="002949E9" w:rsidRPr="007F6290" w14:paraId="56540B5E" w14:textId="77777777">
        <w:trPr>
          <w:trHeight w:val="27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3B97834" w14:textId="2C564759" w:rsidR="002949E9" w:rsidRPr="007F6290" w:rsidRDefault="002949E9">
            <w:pPr>
              <w:widowControl/>
              <w:rPr>
                <w:rFonts w:eastAsia="Times New Roman" w:cs="Calibri"/>
                <w:color w:val="000000"/>
                <w:sz w:val="20"/>
                <w:szCs w:val="20"/>
              </w:rPr>
            </w:pPr>
            <w:r w:rsidRPr="007F6290">
              <w:rPr>
                <w:rFonts w:eastAsia="Times New Roman" w:cs="Calibri"/>
                <w:color w:val="000000"/>
                <w:sz w:val="20"/>
                <w:szCs w:val="20"/>
              </w:rPr>
              <w:t>United States</w:t>
            </w:r>
            <w:r w:rsidRPr="007F6290">
              <w:rPr>
                <w:rFonts w:eastAsia="Times New Roman" w:cs="Calibri"/>
                <w:color w:val="000000"/>
                <w:sz w:val="20"/>
                <w:szCs w:val="20"/>
                <w:vertAlign w:val="superscript"/>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454AD1" w14:textId="5D6E3CE3" w:rsidR="002949E9" w:rsidRPr="007F6290" w:rsidRDefault="00446F2A">
            <w:pPr>
              <w:widowControl/>
              <w:jc w:val="center"/>
              <w:rPr>
                <w:rFonts w:eastAsia="Times New Roman" w:cs="Calibri"/>
                <w:color w:val="000000"/>
                <w:sz w:val="20"/>
                <w:szCs w:val="20"/>
              </w:rPr>
            </w:pPr>
            <w:r w:rsidRPr="007F6290">
              <w:rPr>
                <w:rFonts w:eastAsia="Times New Roman" w:cs="Calibri"/>
                <w:color w:val="000000"/>
                <w:sz w:val="20"/>
                <w:szCs w:val="20"/>
              </w:rPr>
              <w:t>3,907</w:t>
            </w:r>
          </w:p>
        </w:tc>
      </w:tr>
      <w:tr w:rsidR="002949E9" w:rsidRPr="007F6290" w14:paraId="4F949A04"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144EE03" w14:textId="04FBECF0" w:rsidR="002949E9" w:rsidRPr="007F6290" w:rsidRDefault="002949E9">
            <w:pPr>
              <w:widowControl/>
              <w:rPr>
                <w:rFonts w:eastAsia="Times New Roman" w:cs="Calibri"/>
                <w:color w:val="000000"/>
                <w:sz w:val="20"/>
                <w:szCs w:val="20"/>
              </w:rPr>
            </w:pPr>
            <w:r w:rsidRPr="007F6290">
              <w:rPr>
                <w:rFonts w:eastAsia="Times New Roman" w:cs="Calibri"/>
                <w:color w:val="000000"/>
                <w:sz w:val="20"/>
                <w:szCs w:val="20"/>
              </w:rPr>
              <w:t>Canada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6BD343" w14:textId="0A392572" w:rsidR="002949E9" w:rsidRPr="007F6290" w:rsidRDefault="00446F2A">
            <w:pPr>
              <w:widowControl/>
              <w:jc w:val="center"/>
              <w:rPr>
                <w:rFonts w:eastAsia="Times New Roman" w:cs="Calibri"/>
                <w:color w:val="000000"/>
                <w:sz w:val="20"/>
                <w:szCs w:val="20"/>
              </w:rPr>
            </w:pPr>
            <w:r w:rsidRPr="007F6290">
              <w:rPr>
                <w:rFonts w:eastAsia="Times New Roman" w:cs="Calibri"/>
                <w:color w:val="000000"/>
                <w:sz w:val="20"/>
                <w:szCs w:val="20"/>
              </w:rPr>
              <w:t>1,880</w:t>
            </w:r>
          </w:p>
        </w:tc>
      </w:tr>
      <w:tr w:rsidR="002949E9" w:rsidRPr="007F6290" w14:paraId="4B065589"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2E55BDB" w14:textId="4FBD713A" w:rsidR="002949E9" w:rsidRPr="007F6290" w:rsidRDefault="002949E9">
            <w:pPr>
              <w:widowControl/>
              <w:rPr>
                <w:rFonts w:eastAsia="Times New Roman" w:cs="Calibri"/>
                <w:color w:val="000000"/>
                <w:sz w:val="20"/>
                <w:szCs w:val="20"/>
              </w:rPr>
            </w:pPr>
            <w:r w:rsidRPr="007F6290">
              <w:rPr>
                <w:rFonts w:eastAsia="Times New Roman" w:cs="Calibri"/>
                <w:color w:val="000000"/>
                <w:sz w:val="20"/>
                <w:szCs w:val="20"/>
              </w:rPr>
              <w:t>Japan</w:t>
            </w:r>
            <w:r w:rsidRPr="007F6290">
              <w:rPr>
                <w:rFonts w:eastAsia="Times New Roman" w:cs="Calibri"/>
                <w:color w:val="000000"/>
                <w:sz w:val="20"/>
                <w:szCs w:val="20"/>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019038" w14:textId="2868C6E5" w:rsidR="002949E9" w:rsidRPr="007F6290" w:rsidRDefault="00446F2A">
            <w:pPr>
              <w:widowControl/>
              <w:jc w:val="center"/>
              <w:rPr>
                <w:rFonts w:eastAsia="Times New Roman" w:cs="Calibri"/>
                <w:color w:val="000000"/>
                <w:sz w:val="20"/>
                <w:szCs w:val="20"/>
              </w:rPr>
            </w:pPr>
            <w:r w:rsidRPr="007F6290">
              <w:rPr>
                <w:rFonts w:eastAsia="Times New Roman" w:cs="Calibri"/>
                <w:color w:val="000000"/>
                <w:sz w:val="20"/>
                <w:szCs w:val="20"/>
              </w:rPr>
              <w:t>842</w:t>
            </w:r>
          </w:p>
        </w:tc>
      </w:tr>
      <w:tr w:rsidR="002949E9" w:rsidRPr="007F6290" w14:paraId="13C2E13B"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D0C5484" w14:textId="77777777" w:rsidR="002949E9" w:rsidRPr="007F6290" w:rsidRDefault="002949E9">
            <w:pPr>
              <w:widowControl/>
              <w:rPr>
                <w:rFonts w:eastAsia="Times New Roman" w:cs="Calibri"/>
                <w:color w:val="000000"/>
                <w:sz w:val="20"/>
                <w:szCs w:val="20"/>
              </w:rPr>
            </w:pPr>
            <w:proofErr w:type="spellStart"/>
            <w:r w:rsidRPr="007F6290">
              <w:rPr>
                <w:rFonts w:eastAsia="Times New Roman" w:cs="Calibri"/>
                <w:color w:val="000000"/>
                <w:sz w:val="20"/>
                <w:szCs w:val="20"/>
                <w:lang w:val="es-ES"/>
              </w:rPr>
              <w:t>Morocco</w:t>
            </w:r>
            <w:proofErr w:type="spellEnd"/>
            <w:r w:rsidRPr="007F6290">
              <w:rPr>
                <w:rFonts w:eastAsia="Times New Roman" w:cs="Calibri"/>
                <w:color w:val="000000"/>
                <w:sz w:val="20"/>
                <w:szCs w:val="20"/>
                <w:lang w:val="es-ES"/>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132D6F" w14:textId="1C6144A0" w:rsidR="002949E9" w:rsidRPr="007F6290" w:rsidRDefault="00446F2A">
            <w:pPr>
              <w:widowControl/>
              <w:jc w:val="center"/>
              <w:rPr>
                <w:rFonts w:eastAsia="Times New Roman" w:cs="Calibri"/>
                <w:color w:val="000000"/>
                <w:sz w:val="20"/>
                <w:szCs w:val="20"/>
              </w:rPr>
            </w:pPr>
            <w:r w:rsidRPr="007F6290">
              <w:rPr>
                <w:rFonts w:eastAsia="Times New Roman" w:cs="Calibri"/>
                <w:color w:val="000000"/>
                <w:sz w:val="20"/>
                <w:szCs w:val="20"/>
              </w:rPr>
              <w:t>1,186</w:t>
            </w:r>
          </w:p>
        </w:tc>
      </w:tr>
      <w:tr w:rsidR="002949E9" w:rsidRPr="007F6290" w14:paraId="2C20A611"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647491C" w14:textId="77777777" w:rsidR="002949E9" w:rsidRPr="007F6290" w:rsidRDefault="002949E9">
            <w:pPr>
              <w:widowControl/>
              <w:rPr>
                <w:rFonts w:eastAsia="Times New Roman" w:cs="Calibri"/>
                <w:color w:val="000000"/>
                <w:sz w:val="20"/>
                <w:szCs w:val="20"/>
              </w:rPr>
            </w:pPr>
            <w:proofErr w:type="spellStart"/>
            <w:r w:rsidRPr="007F6290">
              <w:rPr>
                <w:rFonts w:eastAsia="Times New Roman" w:cs="Calibri"/>
                <w:color w:val="000000"/>
                <w:sz w:val="20"/>
                <w:szCs w:val="20"/>
                <w:lang w:val="es-ES"/>
              </w:rPr>
              <w:t>Mexico</w:t>
            </w:r>
            <w:proofErr w:type="spellEnd"/>
            <w:r w:rsidRPr="007F6290">
              <w:rPr>
                <w:rFonts w:eastAsia="Times New Roman" w:cs="Calibri"/>
                <w:color w:val="000000"/>
                <w:sz w:val="20"/>
                <w:szCs w:val="20"/>
                <w:lang w:val="es-ES"/>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CC853F" w14:textId="4A17409F" w:rsidR="002949E9" w:rsidRPr="007F6290" w:rsidRDefault="00922396">
            <w:pPr>
              <w:widowControl/>
              <w:jc w:val="center"/>
              <w:rPr>
                <w:rFonts w:eastAsia="Times New Roman" w:cs="Calibri"/>
                <w:color w:val="000000"/>
                <w:sz w:val="20"/>
                <w:szCs w:val="20"/>
              </w:rPr>
            </w:pPr>
            <w:r w:rsidRPr="007F6290">
              <w:rPr>
                <w:rFonts w:eastAsia="Times New Roman" w:cs="Calibri"/>
                <w:color w:val="000000"/>
                <w:sz w:val="20"/>
                <w:szCs w:val="20"/>
              </w:rPr>
              <w:t>200</w:t>
            </w:r>
          </w:p>
        </w:tc>
      </w:tr>
      <w:tr w:rsidR="002949E9" w:rsidRPr="007F6290" w14:paraId="05EAD24B"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B8FAE64" w14:textId="77777777" w:rsidR="002949E9" w:rsidRPr="007F6290" w:rsidRDefault="002949E9">
            <w:pPr>
              <w:widowControl/>
              <w:rPr>
                <w:rFonts w:eastAsia="Times New Roman" w:cs="Calibri"/>
                <w:color w:val="000000"/>
                <w:sz w:val="20"/>
                <w:szCs w:val="20"/>
              </w:rPr>
            </w:pPr>
            <w:proofErr w:type="spellStart"/>
            <w:r w:rsidRPr="007F6290">
              <w:rPr>
                <w:rFonts w:eastAsia="Times New Roman" w:cs="Calibri"/>
                <w:color w:val="000000"/>
                <w:sz w:val="20"/>
                <w:szCs w:val="20"/>
                <w:lang w:val="es-ES"/>
              </w:rPr>
              <w:t>Brazil</w:t>
            </w:r>
            <w:proofErr w:type="spellEnd"/>
            <w:r w:rsidRPr="007F6290">
              <w:rPr>
                <w:rFonts w:eastAsia="Times New Roman" w:cs="Calibri"/>
                <w:color w:val="000000"/>
                <w:sz w:val="20"/>
                <w:szCs w:val="20"/>
                <w:lang w:val="es-ES"/>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2238D3" w14:textId="7D1C83CF" w:rsidR="002949E9" w:rsidRPr="007F6290" w:rsidRDefault="00922396">
            <w:pPr>
              <w:widowControl/>
              <w:jc w:val="center"/>
              <w:rPr>
                <w:rFonts w:eastAsia="Times New Roman" w:cs="Calibri"/>
                <w:color w:val="000000"/>
                <w:sz w:val="20"/>
                <w:szCs w:val="20"/>
              </w:rPr>
            </w:pPr>
            <w:r w:rsidRPr="007F6290">
              <w:rPr>
                <w:rFonts w:eastAsia="Times New Roman" w:cs="Calibri"/>
                <w:color w:val="000000"/>
                <w:sz w:val="20"/>
                <w:szCs w:val="20"/>
              </w:rPr>
              <w:t>50</w:t>
            </w:r>
          </w:p>
        </w:tc>
      </w:tr>
      <w:tr w:rsidR="002949E9" w:rsidRPr="007F6290" w14:paraId="75A742ED"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C924058" w14:textId="77777777" w:rsidR="002949E9" w:rsidRPr="007F6290" w:rsidRDefault="002949E9">
            <w:pPr>
              <w:widowControl/>
              <w:rPr>
                <w:rFonts w:eastAsia="Times New Roman" w:cs="Calibri"/>
                <w:color w:val="000000"/>
                <w:sz w:val="20"/>
                <w:szCs w:val="20"/>
              </w:rPr>
            </w:pPr>
            <w:r w:rsidRPr="007F6290">
              <w:rPr>
                <w:rFonts w:eastAsia="Times New Roman" w:cs="Calibri"/>
                <w:color w:val="000000"/>
                <w:sz w:val="20"/>
                <w:szCs w:val="20"/>
                <w:lang w:val="es-ES"/>
              </w:rPr>
              <w:t>Barbados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BB332E" w14:textId="7759F1FA" w:rsidR="002949E9" w:rsidRPr="007F6290" w:rsidRDefault="00D4013B">
            <w:pPr>
              <w:widowControl/>
              <w:jc w:val="center"/>
              <w:rPr>
                <w:rFonts w:eastAsia="Times New Roman" w:cs="Calibri"/>
                <w:color w:val="000000"/>
                <w:sz w:val="20"/>
                <w:szCs w:val="20"/>
              </w:rPr>
            </w:pPr>
            <w:r w:rsidRPr="007F6290">
              <w:rPr>
                <w:rFonts w:eastAsia="Times New Roman" w:cs="Calibri"/>
                <w:color w:val="000000"/>
                <w:sz w:val="20"/>
                <w:szCs w:val="20"/>
              </w:rPr>
              <w:t>45</w:t>
            </w:r>
          </w:p>
        </w:tc>
      </w:tr>
      <w:tr w:rsidR="002949E9" w:rsidRPr="007F6290" w14:paraId="4C92A821" w14:textId="77777777">
        <w:trPr>
          <w:trHeight w:val="314"/>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CBF686C" w14:textId="77777777" w:rsidR="002949E9" w:rsidRPr="007F6290" w:rsidRDefault="002949E9">
            <w:pPr>
              <w:widowControl/>
              <w:rPr>
                <w:rFonts w:eastAsia="Times New Roman" w:cs="Calibri"/>
                <w:color w:val="000000"/>
                <w:sz w:val="20"/>
                <w:szCs w:val="20"/>
              </w:rPr>
            </w:pPr>
            <w:r w:rsidRPr="007F6290">
              <w:rPr>
                <w:rFonts w:eastAsia="Times New Roman" w:cs="Calibri"/>
                <w:color w:val="000000"/>
                <w:sz w:val="20"/>
                <w:szCs w:val="20"/>
                <w:lang w:val="es-ES"/>
              </w:rPr>
              <w:t>Venezuela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15C77C" w14:textId="79A6E2CB" w:rsidR="002949E9" w:rsidRPr="007F6290" w:rsidRDefault="00D4013B">
            <w:pPr>
              <w:widowControl/>
              <w:jc w:val="center"/>
              <w:rPr>
                <w:rFonts w:eastAsia="Times New Roman" w:cs="Calibri"/>
                <w:color w:val="000000"/>
                <w:sz w:val="20"/>
                <w:szCs w:val="20"/>
              </w:rPr>
            </w:pPr>
            <w:r w:rsidRPr="007F6290">
              <w:rPr>
                <w:rFonts w:eastAsia="Times New Roman" w:cs="Calibri"/>
                <w:color w:val="000000"/>
                <w:sz w:val="20"/>
                <w:szCs w:val="20"/>
              </w:rPr>
              <w:t>85</w:t>
            </w:r>
          </w:p>
        </w:tc>
      </w:tr>
      <w:tr w:rsidR="002949E9" w:rsidRPr="007F6290" w14:paraId="42B6F4FA" w14:textId="77777777">
        <w:trPr>
          <w:trHeight w:val="364"/>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148C9CA" w14:textId="77777777" w:rsidR="002949E9" w:rsidRPr="007F6290" w:rsidRDefault="002949E9">
            <w:pPr>
              <w:widowControl/>
              <w:rPr>
                <w:rFonts w:eastAsia="Times New Roman" w:cs="Calibri"/>
                <w:color w:val="000000"/>
                <w:sz w:val="20"/>
                <w:szCs w:val="20"/>
              </w:rPr>
            </w:pPr>
            <w:r w:rsidRPr="007F6290">
              <w:rPr>
                <w:rFonts w:eastAsia="Times New Roman" w:cs="Calibri"/>
                <w:color w:val="000000"/>
                <w:sz w:val="20"/>
                <w:szCs w:val="20"/>
                <w:lang w:val="es-ES"/>
              </w:rPr>
              <w:t>Trinidad &amp; Tobago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720F04" w14:textId="4C48C32A" w:rsidR="002949E9" w:rsidRPr="007F6290" w:rsidRDefault="00D4013B">
            <w:pPr>
              <w:widowControl/>
              <w:jc w:val="center"/>
              <w:rPr>
                <w:rFonts w:eastAsia="Times New Roman" w:cs="Calibri"/>
                <w:color w:val="000000"/>
                <w:sz w:val="20"/>
                <w:szCs w:val="20"/>
              </w:rPr>
            </w:pPr>
            <w:r w:rsidRPr="007F6290">
              <w:rPr>
                <w:rFonts w:eastAsia="Times New Roman" w:cs="Calibri"/>
                <w:color w:val="000000"/>
                <w:sz w:val="20"/>
                <w:szCs w:val="20"/>
              </w:rPr>
              <w:t>125</w:t>
            </w:r>
          </w:p>
        </w:tc>
      </w:tr>
      <w:tr w:rsidR="002949E9" w:rsidRPr="007F6290" w14:paraId="61E8BAE1" w14:textId="77777777">
        <w:trPr>
          <w:trHeight w:val="28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FE10391" w14:textId="77777777" w:rsidR="002949E9" w:rsidRPr="007F6290" w:rsidRDefault="002949E9">
            <w:pPr>
              <w:widowControl/>
              <w:rPr>
                <w:rFonts w:eastAsia="Times New Roman" w:cs="Calibri"/>
                <w:color w:val="000000"/>
                <w:sz w:val="20"/>
                <w:szCs w:val="20"/>
              </w:rPr>
            </w:pPr>
            <w:r w:rsidRPr="007F6290">
              <w:rPr>
                <w:rFonts w:eastAsia="Times New Roman" w:cs="Calibri"/>
                <w:color w:val="000000"/>
                <w:sz w:val="20"/>
                <w:szCs w:val="20"/>
              </w:rPr>
              <w:t>United Kingdom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52CF54" w14:textId="38CD5497" w:rsidR="002949E9" w:rsidRPr="007F6290" w:rsidRDefault="00D4013B">
            <w:pPr>
              <w:widowControl/>
              <w:jc w:val="center"/>
              <w:rPr>
                <w:rFonts w:eastAsia="Times New Roman" w:cs="Calibri"/>
                <w:color w:val="000000"/>
                <w:sz w:val="20"/>
                <w:szCs w:val="20"/>
              </w:rPr>
            </w:pPr>
            <w:r w:rsidRPr="007F6290">
              <w:rPr>
                <w:rFonts w:eastAsia="Times New Roman" w:cs="Calibri"/>
                <w:color w:val="000000"/>
                <w:sz w:val="20"/>
                <w:szCs w:val="20"/>
              </w:rPr>
              <w:t>35.67</w:t>
            </w:r>
          </w:p>
        </w:tc>
      </w:tr>
      <w:tr w:rsidR="002949E9" w:rsidRPr="007F6290" w14:paraId="61394DEF" w14:textId="77777777">
        <w:trPr>
          <w:trHeight w:val="393"/>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8564333" w14:textId="77777777" w:rsidR="002949E9" w:rsidRPr="007F6290" w:rsidRDefault="002949E9">
            <w:pPr>
              <w:widowControl/>
              <w:rPr>
                <w:rFonts w:eastAsia="Times New Roman" w:cs="Calibri"/>
                <w:color w:val="000000"/>
                <w:sz w:val="20"/>
                <w:szCs w:val="20"/>
                <w:lang w:val="fr-CA"/>
              </w:rPr>
            </w:pPr>
            <w:r w:rsidRPr="007F6290">
              <w:rPr>
                <w:rFonts w:eastAsia="Times New Roman" w:cs="Calibri"/>
                <w:color w:val="000000"/>
                <w:sz w:val="20"/>
                <w:szCs w:val="20"/>
                <w:lang w:val="fr-CA"/>
              </w:rPr>
              <w:t xml:space="preserve">France (SPM)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5CBFDC" w14:textId="66698AC5" w:rsidR="002949E9" w:rsidRPr="007F6290" w:rsidRDefault="00036147">
            <w:pPr>
              <w:widowControl/>
              <w:jc w:val="center"/>
              <w:rPr>
                <w:rFonts w:eastAsia="Times New Roman" w:cs="Calibri"/>
                <w:color w:val="000000"/>
                <w:sz w:val="20"/>
                <w:szCs w:val="20"/>
                <w:lang w:val="fr-FR"/>
              </w:rPr>
            </w:pPr>
            <w:r w:rsidRPr="007F6290">
              <w:rPr>
                <w:rFonts w:eastAsia="Times New Roman" w:cs="Calibri"/>
                <w:color w:val="000000"/>
                <w:sz w:val="20"/>
                <w:szCs w:val="20"/>
                <w:lang w:val="fr-FR"/>
              </w:rPr>
              <w:t>40</w:t>
            </w:r>
          </w:p>
        </w:tc>
      </w:tr>
      <w:tr w:rsidR="002949E9" w:rsidRPr="007F6290" w14:paraId="6265DF9D"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E6FC30E" w14:textId="77777777" w:rsidR="002949E9" w:rsidRPr="007F6290" w:rsidRDefault="002949E9">
            <w:pPr>
              <w:widowControl/>
              <w:rPr>
                <w:rFonts w:eastAsia="Times New Roman" w:cs="Calibri"/>
                <w:color w:val="000000"/>
                <w:sz w:val="20"/>
                <w:szCs w:val="20"/>
              </w:rPr>
            </w:pPr>
            <w:r w:rsidRPr="007F6290">
              <w:rPr>
                <w:rFonts w:eastAsia="Times New Roman" w:cs="Calibri"/>
                <w:color w:val="000000"/>
                <w:sz w:val="20"/>
                <w:szCs w:val="20"/>
              </w:rPr>
              <w:t>China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9AEC3E" w14:textId="7AB099BE" w:rsidR="002949E9" w:rsidRPr="007F6290" w:rsidRDefault="00036147">
            <w:pPr>
              <w:widowControl/>
              <w:jc w:val="center"/>
              <w:rPr>
                <w:rFonts w:eastAsia="Times New Roman" w:cs="Calibri"/>
                <w:color w:val="000000"/>
                <w:sz w:val="20"/>
                <w:szCs w:val="20"/>
              </w:rPr>
            </w:pPr>
            <w:r w:rsidRPr="007F6290">
              <w:rPr>
                <w:rFonts w:eastAsia="Times New Roman" w:cs="Calibri"/>
                <w:color w:val="000000"/>
                <w:sz w:val="20"/>
                <w:szCs w:val="20"/>
              </w:rPr>
              <w:t>111</w:t>
            </w:r>
          </w:p>
        </w:tc>
      </w:tr>
      <w:tr w:rsidR="002949E9" w:rsidRPr="007F6290" w14:paraId="011F2378"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94062BF" w14:textId="77777777" w:rsidR="002949E9" w:rsidRPr="007F6290" w:rsidRDefault="002949E9">
            <w:pPr>
              <w:widowControl/>
              <w:rPr>
                <w:rFonts w:eastAsia="Times New Roman" w:cs="Calibri"/>
                <w:color w:val="000000"/>
                <w:sz w:val="20"/>
                <w:szCs w:val="20"/>
              </w:rPr>
            </w:pPr>
            <w:r w:rsidRPr="007F6290">
              <w:rPr>
                <w:rFonts w:eastAsia="Times New Roman" w:cs="Calibri"/>
                <w:color w:val="000000"/>
                <w:sz w:val="20"/>
                <w:szCs w:val="20"/>
              </w:rPr>
              <w:t>Senegal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193BFD" w14:textId="19AE2263" w:rsidR="002949E9" w:rsidRPr="007F6290" w:rsidRDefault="008919CB">
            <w:pPr>
              <w:widowControl/>
              <w:jc w:val="center"/>
              <w:rPr>
                <w:rFonts w:eastAsia="Times New Roman" w:cs="Calibri"/>
                <w:color w:val="000000"/>
                <w:sz w:val="20"/>
                <w:szCs w:val="20"/>
              </w:rPr>
            </w:pPr>
            <w:r w:rsidRPr="007F6290">
              <w:rPr>
                <w:rFonts w:eastAsia="Times New Roman" w:cs="Calibri"/>
                <w:color w:val="000000"/>
                <w:sz w:val="20"/>
                <w:szCs w:val="20"/>
              </w:rPr>
              <w:t>250</w:t>
            </w:r>
          </w:p>
        </w:tc>
      </w:tr>
      <w:tr w:rsidR="002949E9" w:rsidRPr="007F6290" w14:paraId="6EDF5B7C"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2A05BCE" w14:textId="14D20B29" w:rsidR="002949E9" w:rsidRPr="007F6290" w:rsidRDefault="002949E9">
            <w:pPr>
              <w:widowControl/>
              <w:rPr>
                <w:rFonts w:eastAsia="Times New Roman" w:cs="Calibri"/>
                <w:color w:val="000000"/>
                <w:sz w:val="20"/>
                <w:szCs w:val="20"/>
              </w:rPr>
            </w:pPr>
            <w:r w:rsidRPr="007F6290">
              <w:rPr>
                <w:rFonts w:eastAsia="Times New Roman" w:cs="Calibri"/>
                <w:color w:val="000000"/>
                <w:sz w:val="20"/>
                <w:szCs w:val="20"/>
              </w:rPr>
              <w:t>Korea</w:t>
            </w:r>
            <w:r w:rsidR="007E1A31" w:rsidRPr="007F6290">
              <w:rPr>
                <w:rFonts w:eastAsia="Times New Roman" w:cs="Calibri"/>
                <w:color w:val="000000"/>
                <w:sz w:val="20"/>
                <w:szCs w:val="20"/>
                <w:vertAlign w:val="superscript"/>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EEC3ED" w14:textId="642C3259" w:rsidR="002949E9" w:rsidRPr="007F6290" w:rsidRDefault="008919CB">
            <w:pPr>
              <w:widowControl/>
              <w:jc w:val="center"/>
              <w:rPr>
                <w:rFonts w:eastAsia="Times New Roman" w:cs="Calibri"/>
                <w:color w:val="000000"/>
                <w:sz w:val="20"/>
                <w:szCs w:val="20"/>
              </w:rPr>
            </w:pPr>
            <w:r w:rsidRPr="007F6290">
              <w:rPr>
                <w:rFonts w:eastAsia="Times New Roman" w:cs="Calibri"/>
                <w:color w:val="000000"/>
                <w:sz w:val="20"/>
                <w:szCs w:val="20"/>
              </w:rPr>
              <w:t>50</w:t>
            </w:r>
          </w:p>
        </w:tc>
      </w:tr>
      <w:tr w:rsidR="002949E9" w:rsidRPr="007F6290" w14:paraId="5BBA096D"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9C59A5D" w14:textId="06D156D1" w:rsidR="002949E9" w:rsidRPr="007F6290" w:rsidRDefault="002949E9">
            <w:pPr>
              <w:widowControl/>
              <w:rPr>
                <w:rFonts w:eastAsia="Times New Roman" w:cs="Calibri"/>
                <w:color w:val="000000"/>
                <w:sz w:val="20"/>
                <w:szCs w:val="20"/>
              </w:rPr>
            </w:pPr>
            <w:r w:rsidRPr="007F6290">
              <w:rPr>
                <w:rFonts w:eastAsia="Times New Roman" w:cs="Calibri"/>
                <w:color w:val="000000"/>
                <w:sz w:val="20"/>
                <w:szCs w:val="20"/>
              </w:rPr>
              <w:t>Belize</w:t>
            </w:r>
            <w:r w:rsidR="007E1A31" w:rsidRPr="007F6290">
              <w:rPr>
                <w:rFonts w:eastAsia="Times New Roman" w:cs="Calibri"/>
                <w:color w:val="000000"/>
                <w:sz w:val="20"/>
                <w:szCs w:val="20"/>
                <w:vertAlign w:val="superscript"/>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BF8E10" w14:textId="35D3501D" w:rsidR="002949E9" w:rsidRPr="007F6290" w:rsidRDefault="00646A7B">
            <w:pPr>
              <w:widowControl/>
              <w:jc w:val="center"/>
              <w:rPr>
                <w:rFonts w:eastAsia="Times New Roman" w:cs="Calibri"/>
                <w:color w:val="000000"/>
                <w:sz w:val="20"/>
                <w:szCs w:val="20"/>
              </w:rPr>
            </w:pPr>
            <w:r w:rsidRPr="007F6290">
              <w:rPr>
                <w:rFonts w:eastAsia="Times New Roman" w:cs="Calibri"/>
                <w:color w:val="000000"/>
                <w:sz w:val="20"/>
                <w:szCs w:val="20"/>
              </w:rPr>
              <w:t>130</w:t>
            </w:r>
          </w:p>
        </w:tc>
      </w:tr>
      <w:tr w:rsidR="002949E9" w:rsidRPr="007F6290" w14:paraId="7FE72FC0" w14:textId="77777777">
        <w:trPr>
          <w:trHeight w:val="24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B088021" w14:textId="77777777" w:rsidR="002949E9" w:rsidRPr="007F6290" w:rsidRDefault="002949E9">
            <w:pPr>
              <w:widowControl/>
              <w:rPr>
                <w:rFonts w:eastAsia="Times New Roman" w:cs="Calibri"/>
                <w:color w:val="000000"/>
                <w:sz w:val="20"/>
                <w:szCs w:val="20"/>
              </w:rPr>
            </w:pPr>
            <w:r w:rsidRPr="007F6290">
              <w:rPr>
                <w:rFonts w:eastAsia="Times New Roman" w:cs="Calibri"/>
                <w:color w:val="000000"/>
                <w:sz w:val="20"/>
                <w:szCs w:val="20"/>
              </w:rPr>
              <w:t>Côte d'Ivoire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282A2F" w14:textId="03FC049B" w:rsidR="002949E9" w:rsidRPr="007F6290" w:rsidRDefault="00FC0ABF">
            <w:pPr>
              <w:widowControl/>
              <w:jc w:val="center"/>
              <w:rPr>
                <w:rFonts w:eastAsia="Times New Roman" w:cs="Calibri"/>
                <w:color w:val="000000"/>
                <w:sz w:val="20"/>
                <w:szCs w:val="20"/>
              </w:rPr>
            </w:pPr>
            <w:r w:rsidRPr="007F6290">
              <w:rPr>
                <w:rFonts w:eastAsia="Times New Roman" w:cs="Calibri"/>
                <w:color w:val="000000"/>
                <w:sz w:val="20"/>
                <w:szCs w:val="20"/>
              </w:rPr>
              <w:t>50</w:t>
            </w:r>
          </w:p>
        </w:tc>
      </w:tr>
      <w:tr w:rsidR="002949E9" w:rsidRPr="007F6290" w14:paraId="7C22C618" w14:textId="77777777">
        <w:trPr>
          <w:trHeight w:val="301"/>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31FE16B" w14:textId="3C4E3B48" w:rsidR="002949E9" w:rsidRPr="007F6290" w:rsidRDefault="002949E9">
            <w:pPr>
              <w:widowControl/>
              <w:rPr>
                <w:rFonts w:eastAsia="Times New Roman" w:cs="Calibri"/>
                <w:color w:val="000000"/>
                <w:sz w:val="20"/>
                <w:szCs w:val="20"/>
              </w:rPr>
            </w:pPr>
            <w:r w:rsidRPr="007F6290">
              <w:rPr>
                <w:rFonts w:eastAsia="Times New Roman" w:cs="Calibri"/>
                <w:color w:val="000000"/>
                <w:sz w:val="20"/>
                <w:szCs w:val="20"/>
              </w:rPr>
              <w:t xml:space="preserve">St Vincent &amp; the Grenadines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17ABB3" w14:textId="11658CCB" w:rsidR="002949E9" w:rsidRPr="007F6290" w:rsidRDefault="00D171BA">
            <w:pPr>
              <w:widowControl/>
              <w:jc w:val="center"/>
              <w:rPr>
                <w:rFonts w:eastAsia="Times New Roman" w:cs="Calibri"/>
                <w:color w:val="000000"/>
                <w:sz w:val="20"/>
                <w:szCs w:val="20"/>
              </w:rPr>
            </w:pPr>
            <w:r w:rsidRPr="007F6290">
              <w:rPr>
                <w:rFonts w:eastAsia="Times New Roman" w:cs="Calibri"/>
                <w:color w:val="000000"/>
                <w:sz w:val="20"/>
                <w:szCs w:val="20"/>
              </w:rPr>
              <w:t>75</w:t>
            </w:r>
          </w:p>
        </w:tc>
      </w:tr>
      <w:tr w:rsidR="002949E9" w:rsidRPr="007F6290" w14:paraId="64296731" w14:textId="77777777" w:rsidTr="00FB71DF">
        <w:trPr>
          <w:trHeight w:val="227"/>
          <w:jc w:val="center"/>
        </w:trPr>
        <w:tc>
          <w:tcPr>
            <w:tcW w:w="2830" w:type="dxa"/>
            <w:tcBorders>
              <w:top w:val="single" w:sz="4" w:space="0" w:color="auto"/>
              <w:left w:val="single" w:sz="4" w:space="0" w:color="auto"/>
              <w:bottom w:val="single" w:sz="4" w:space="0" w:color="auto"/>
              <w:right w:val="single" w:sz="4" w:space="0" w:color="auto"/>
            </w:tcBorders>
            <w:vAlign w:val="center"/>
          </w:tcPr>
          <w:p w14:paraId="5D167F47" w14:textId="77777777" w:rsidR="002949E9" w:rsidRPr="007F6290" w:rsidRDefault="002949E9">
            <w:pPr>
              <w:widowControl/>
              <w:rPr>
                <w:rFonts w:eastAsia="Times New Roman" w:cs="Calibri"/>
                <w:color w:val="000000"/>
                <w:sz w:val="20"/>
                <w:szCs w:val="20"/>
              </w:rPr>
            </w:pPr>
            <w:r w:rsidRPr="007F6290">
              <w:rPr>
                <w:rFonts w:eastAsia="Times New Roman" w:cs="Calibri"/>
                <w:color w:val="000000"/>
                <w:sz w:val="20"/>
                <w:szCs w:val="20"/>
              </w:rPr>
              <w:t>Costa Rica</w:t>
            </w:r>
          </w:p>
        </w:tc>
        <w:tc>
          <w:tcPr>
            <w:tcW w:w="1985" w:type="dxa"/>
            <w:tcBorders>
              <w:top w:val="single" w:sz="4" w:space="0" w:color="auto"/>
              <w:left w:val="single" w:sz="4" w:space="0" w:color="auto"/>
              <w:bottom w:val="single" w:sz="4" w:space="0" w:color="auto"/>
              <w:right w:val="single" w:sz="4" w:space="0" w:color="auto"/>
            </w:tcBorders>
            <w:vAlign w:val="center"/>
          </w:tcPr>
          <w:p w14:paraId="431DAAAC" w14:textId="7E37A957" w:rsidR="002949E9" w:rsidRPr="007F6290" w:rsidDel="008174F2" w:rsidRDefault="00D171BA">
            <w:pPr>
              <w:widowControl/>
              <w:jc w:val="center"/>
              <w:rPr>
                <w:rFonts w:eastAsia="Times New Roman" w:cs="Calibri"/>
                <w:color w:val="000000"/>
                <w:sz w:val="20"/>
                <w:szCs w:val="20"/>
              </w:rPr>
            </w:pPr>
            <w:r w:rsidRPr="007F6290">
              <w:rPr>
                <w:rFonts w:eastAsia="Times New Roman" w:cs="Calibri"/>
                <w:color w:val="000000"/>
                <w:sz w:val="20"/>
                <w:szCs w:val="20"/>
              </w:rPr>
              <w:t>75</w:t>
            </w:r>
          </w:p>
        </w:tc>
      </w:tr>
      <w:tr w:rsidR="002949E9" w:rsidRPr="007F6290" w14:paraId="64965C66" w14:textId="77777777" w:rsidTr="00FB71DF">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368B36C" w14:textId="77777777" w:rsidR="002949E9" w:rsidRPr="007F6290" w:rsidRDefault="002949E9">
            <w:pPr>
              <w:widowControl/>
              <w:rPr>
                <w:rFonts w:eastAsia="Times New Roman" w:cs="Calibri"/>
                <w:color w:val="000000"/>
                <w:sz w:val="20"/>
                <w:szCs w:val="20"/>
              </w:rPr>
            </w:pPr>
            <w:r w:rsidRPr="007F6290">
              <w:rPr>
                <w:rFonts w:eastAsia="Times New Roman" w:cs="Calibri"/>
                <w:color w:val="000000"/>
                <w:sz w:val="20"/>
                <w:szCs w:val="20"/>
              </w:rPr>
              <w:t>Chinese Taipei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B7E9F0" w14:textId="42D2E09C" w:rsidR="002949E9" w:rsidRPr="007F6290" w:rsidRDefault="00D171BA">
            <w:pPr>
              <w:widowControl/>
              <w:jc w:val="center"/>
              <w:rPr>
                <w:rFonts w:eastAsia="Times New Roman" w:cs="Calibri"/>
                <w:color w:val="000000"/>
                <w:sz w:val="20"/>
                <w:szCs w:val="20"/>
              </w:rPr>
            </w:pPr>
            <w:r w:rsidRPr="007F6290">
              <w:rPr>
                <w:rFonts w:eastAsia="Times New Roman" w:cs="Calibri"/>
                <w:color w:val="000000"/>
                <w:sz w:val="20"/>
                <w:szCs w:val="20"/>
              </w:rPr>
              <w:t>270</w:t>
            </w:r>
          </w:p>
        </w:tc>
      </w:tr>
    </w:tbl>
    <w:p w14:paraId="7EA717B5" w14:textId="26EE1DAA" w:rsidR="00841CE8" w:rsidRPr="007F6290" w:rsidRDefault="007033AE" w:rsidP="00FB64F7">
      <w:pPr>
        <w:pBdr>
          <w:top w:val="nil"/>
          <w:left w:val="nil"/>
          <w:bottom w:val="nil"/>
          <w:right w:val="nil"/>
          <w:between w:val="nil"/>
        </w:pBdr>
        <w:spacing w:before="1"/>
        <w:ind w:left="1110"/>
        <w:jc w:val="both"/>
        <w:rPr>
          <w:color w:val="000000"/>
          <w:sz w:val="16"/>
          <w:szCs w:val="16"/>
        </w:rPr>
      </w:pPr>
      <w:r w:rsidRPr="007F6290">
        <w:rPr>
          <w:color w:val="000000"/>
          <w:sz w:val="16"/>
          <w:szCs w:val="16"/>
        </w:rPr>
        <w:t xml:space="preserve">If Liberia submits a fishing plan clearly describing their </w:t>
      </w:r>
      <w:r w:rsidR="006F0FE1" w:rsidRPr="007F6290">
        <w:rPr>
          <w:color w:val="000000"/>
          <w:sz w:val="16"/>
          <w:szCs w:val="16"/>
        </w:rPr>
        <w:t>N</w:t>
      </w:r>
      <w:r w:rsidRPr="007F6290">
        <w:rPr>
          <w:color w:val="000000"/>
          <w:sz w:val="16"/>
          <w:szCs w:val="16"/>
        </w:rPr>
        <w:t>orth Atlantic swordfish fishery for Panel 4 to review at the 2025 annual meeting, Liberia's catch limit needs shall then be assessed for inclusion in the allocation table in paragraph 7 for 2026 and 2027.</w:t>
      </w:r>
    </w:p>
    <w:p w14:paraId="09509235" w14:textId="77777777" w:rsidR="007033AE" w:rsidRPr="007F6290" w:rsidRDefault="007033AE" w:rsidP="00FB64F7">
      <w:pPr>
        <w:pBdr>
          <w:top w:val="nil"/>
          <w:left w:val="nil"/>
          <w:bottom w:val="nil"/>
          <w:right w:val="nil"/>
          <w:between w:val="nil"/>
        </w:pBdr>
        <w:spacing w:before="1"/>
        <w:ind w:left="1110"/>
        <w:rPr>
          <w:color w:val="000000"/>
          <w:sz w:val="16"/>
          <w:szCs w:val="16"/>
        </w:rPr>
      </w:pPr>
    </w:p>
    <w:p w14:paraId="109754D7" w14:textId="67128A95" w:rsidR="002949E9" w:rsidRPr="007F6290" w:rsidRDefault="002949E9" w:rsidP="002949E9">
      <w:pPr>
        <w:ind w:left="1820" w:right="3258" w:hanging="710"/>
        <w:rPr>
          <w:sz w:val="16"/>
          <w:szCs w:val="16"/>
        </w:rPr>
      </w:pPr>
      <w:r w:rsidRPr="007F6290">
        <w:rPr>
          <w:sz w:val="16"/>
          <w:szCs w:val="16"/>
        </w:rPr>
        <w:t>* The following transfers of annual catch limits shall be authorized: From Japan to Morocco: 150 t</w:t>
      </w:r>
    </w:p>
    <w:p w14:paraId="28FBADF6" w14:textId="65D3DBBF" w:rsidR="00FB64F7" w:rsidRPr="007F6290" w:rsidRDefault="002949E9" w:rsidP="00FB64F7">
      <w:pPr>
        <w:spacing w:before="1" w:line="187" w:lineRule="auto"/>
        <w:ind w:left="1820"/>
        <w:rPr>
          <w:sz w:val="16"/>
          <w:szCs w:val="16"/>
          <w:lang w:val="fr-FR"/>
        </w:rPr>
      </w:pPr>
      <w:proofErr w:type="spellStart"/>
      <w:r w:rsidRPr="007F6290">
        <w:rPr>
          <w:sz w:val="16"/>
          <w:szCs w:val="16"/>
          <w:lang w:val="fr-FR"/>
        </w:rPr>
        <w:t>From</w:t>
      </w:r>
      <w:proofErr w:type="spellEnd"/>
      <w:r w:rsidRPr="007F6290">
        <w:rPr>
          <w:sz w:val="16"/>
          <w:szCs w:val="16"/>
          <w:lang w:val="fr-FR"/>
        </w:rPr>
        <w:t xml:space="preserve"> EU to France (St Pierre et Miquelon</w:t>
      </w:r>
      <w:proofErr w:type="gramStart"/>
      <w:r w:rsidRPr="007F6290">
        <w:rPr>
          <w:sz w:val="16"/>
          <w:szCs w:val="16"/>
          <w:lang w:val="fr-FR"/>
        </w:rPr>
        <w:t>):</w:t>
      </w:r>
      <w:proofErr w:type="gramEnd"/>
      <w:r w:rsidRPr="007F6290">
        <w:rPr>
          <w:sz w:val="16"/>
          <w:szCs w:val="16"/>
          <w:lang w:val="fr-FR"/>
        </w:rPr>
        <w:t xml:space="preserve"> 40 t</w:t>
      </w:r>
      <w:r w:rsidR="00FB64F7" w:rsidRPr="007F6290">
        <w:rPr>
          <w:sz w:val="16"/>
          <w:szCs w:val="16"/>
          <w:lang w:val="fr-FR"/>
        </w:rPr>
        <w:t xml:space="preserve"> </w:t>
      </w:r>
    </w:p>
    <w:p w14:paraId="1BA7D159" w14:textId="5444957D" w:rsidR="001B46AE" w:rsidRPr="007F6290" w:rsidRDefault="002949E9" w:rsidP="002949E9">
      <w:pPr>
        <w:ind w:left="1820" w:right="4254"/>
        <w:rPr>
          <w:sz w:val="16"/>
          <w:szCs w:val="16"/>
        </w:rPr>
      </w:pPr>
      <w:r w:rsidRPr="007F6290">
        <w:rPr>
          <w:sz w:val="16"/>
          <w:szCs w:val="16"/>
        </w:rPr>
        <w:t>From Trinidad &amp; Tobago to Belize: 75 t</w:t>
      </w:r>
    </w:p>
    <w:p w14:paraId="2443DD34" w14:textId="691D1CAD" w:rsidR="002949E9" w:rsidRPr="007F6290" w:rsidRDefault="002949E9" w:rsidP="002949E9">
      <w:pPr>
        <w:ind w:left="1820" w:right="1110"/>
        <w:jc w:val="both"/>
        <w:rPr>
          <w:sz w:val="16"/>
          <w:szCs w:val="16"/>
        </w:rPr>
      </w:pPr>
      <w:r w:rsidRPr="007F6290">
        <w:rPr>
          <w:sz w:val="16"/>
          <w:szCs w:val="16"/>
        </w:rPr>
        <w:t xml:space="preserve">From Japan, and Senegal, to Mauritania: 25 t each for a total of </w:t>
      </w:r>
      <w:r w:rsidR="00DA6CE5" w:rsidRPr="007F6290">
        <w:rPr>
          <w:sz w:val="16"/>
          <w:szCs w:val="16"/>
        </w:rPr>
        <w:t xml:space="preserve">50 </w:t>
      </w:r>
      <w:r w:rsidRPr="007F6290">
        <w:rPr>
          <w:sz w:val="16"/>
          <w:szCs w:val="16"/>
        </w:rPr>
        <w:t>t, on the condition that Mauritania submit its development plan per paragraph 10 of this Recommendation. If a development plan is not submitted, these transfers are considered null. Future decisions regarding access to the North Atlantic swordfish fishery by Mauritania shall be contingent upon submission of its development plan</w:t>
      </w:r>
    </w:p>
    <w:p w14:paraId="5A89D334" w14:textId="2666D63C" w:rsidR="002949E9" w:rsidRPr="007F6290" w:rsidRDefault="002949E9" w:rsidP="002949E9">
      <w:pPr>
        <w:ind w:left="1820" w:right="1110"/>
        <w:jc w:val="both"/>
        <w:rPr>
          <w:sz w:val="16"/>
          <w:szCs w:val="16"/>
        </w:rPr>
      </w:pPr>
      <w:r w:rsidRPr="007F6290">
        <w:rPr>
          <w:sz w:val="16"/>
          <w:szCs w:val="16"/>
        </w:rPr>
        <w:t>From Trinidad and Tobago to Morocco: 25 t</w:t>
      </w:r>
    </w:p>
    <w:p w14:paraId="5D18E886" w14:textId="502AFF3F" w:rsidR="001038EB" w:rsidRPr="007F6290" w:rsidRDefault="001038EB" w:rsidP="002949E9">
      <w:pPr>
        <w:ind w:left="1820" w:right="1110"/>
        <w:jc w:val="both"/>
        <w:rPr>
          <w:sz w:val="16"/>
          <w:szCs w:val="16"/>
        </w:rPr>
      </w:pPr>
      <w:r w:rsidRPr="007F6290">
        <w:rPr>
          <w:sz w:val="16"/>
          <w:szCs w:val="16"/>
        </w:rPr>
        <w:t xml:space="preserve">From the United States to Costa Rica: 300 t in 2025 </w:t>
      </w:r>
    </w:p>
    <w:p w14:paraId="18EBD6D6" w14:textId="77777777" w:rsidR="008932AC" w:rsidRPr="007F6290" w:rsidRDefault="008932AC">
      <w:pPr>
        <w:widowControl/>
        <w:spacing w:after="160" w:line="259" w:lineRule="auto"/>
        <w:rPr>
          <w:sz w:val="16"/>
          <w:szCs w:val="16"/>
        </w:rPr>
      </w:pPr>
      <w:r w:rsidRPr="007F6290">
        <w:rPr>
          <w:sz w:val="16"/>
          <w:szCs w:val="16"/>
        </w:rPr>
        <w:br w:type="page"/>
      </w:r>
    </w:p>
    <w:p w14:paraId="0233108D" w14:textId="6C6703A2" w:rsidR="002949E9" w:rsidRPr="007F6290" w:rsidRDefault="002949E9" w:rsidP="007E1A31">
      <w:pPr>
        <w:ind w:left="1345"/>
        <w:rPr>
          <w:sz w:val="16"/>
          <w:szCs w:val="16"/>
        </w:rPr>
      </w:pPr>
      <w:r w:rsidRPr="007F6290">
        <w:rPr>
          <w:sz w:val="16"/>
          <w:szCs w:val="16"/>
        </w:rPr>
        <w:t>These transfers do not change the relative shares of CPCs as reflected in the above catch limits.</w:t>
      </w:r>
    </w:p>
    <w:p w14:paraId="58F83444" w14:textId="77777777" w:rsidR="00C32AD7" w:rsidRPr="007F6290" w:rsidRDefault="00C32AD7" w:rsidP="007E1A31">
      <w:pPr>
        <w:ind w:left="1345"/>
        <w:rPr>
          <w:sz w:val="16"/>
          <w:szCs w:val="16"/>
        </w:rPr>
      </w:pPr>
    </w:p>
    <w:p w14:paraId="5A9A4423" w14:textId="77777777" w:rsidR="002949E9" w:rsidRPr="007F6290" w:rsidRDefault="002949E9" w:rsidP="007E1A31">
      <w:pPr>
        <w:ind w:left="1390" w:right="-1"/>
        <w:jc w:val="both"/>
        <w:rPr>
          <w:sz w:val="16"/>
          <w:szCs w:val="16"/>
        </w:rPr>
      </w:pPr>
      <w:r w:rsidRPr="007F6290">
        <w:rPr>
          <w:sz w:val="16"/>
          <w:szCs w:val="16"/>
          <w:vertAlign w:val="superscript"/>
        </w:rPr>
        <w:t xml:space="preserve">1 </w:t>
      </w:r>
      <w:r w:rsidRPr="007F6290">
        <w:rPr>
          <w:sz w:val="16"/>
          <w:szCs w:val="16"/>
        </w:rPr>
        <w:t xml:space="preserve">The European Union shall be allowed to </w:t>
      </w:r>
      <w:proofErr w:type="gramStart"/>
      <w:r w:rsidRPr="007F6290">
        <w:rPr>
          <w:sz w:val="16"/>
          <w:szCs w:val="16"/>
        </w:rPr>
        <w:t>count up</w:t>
      </w:r>
      <w:proofErr w:type="gramEnd"/>
      <w:r w:rsidRPr="007F6290">
        <w:rPr>
          <w:sz w:val="16"/>
          <w:szCs w:val="16"/>
        </w:rPr>
        <w:t xml:space="preserve"> to 200 t of its swordfish catch taken from the South Atlantic management area against its uncaught North Atlantic swordfish catch limits.</w:t>
      </w:r>
    </w:p>
    <w:p w14:paraId="6B34E008" w14:textId="77777777" w:rsidR="002949E9" w:rsidRPr="007F6290" w:rsidRDefault="002949E9" w:rsidP="007E1A31">
      <w:pPr>
        <w:ind w:left="1390" w:right="929"/>
        <w:jc w:val="both"/>
        <w:rPr>
          <w:sz w:val="16"/>
          <w:szCs w:val="16"/>
        </w:rPr>
      </w:pPr>
    </w:p>
    <w:p w14:paraId="668393A2" w14:textId="77777777" w:rsidR="002949E9" w:rsidRPr="007F6290" w:rsidRDefault="002949E9" w:rsidP="007E1A31">
      <w:pPr>
        <w:ind w:left="1388" w:right="-1"/>
        <w:jc w:val="both"/>
        <w:rPr>
          <w:sz w:val="16"/>
          <w:szCs w:val="16"/>
        </w:rPr>
      </w:pPr>
      <w:r w:rsidRPr="007F6290">
        <w:rPr>
          <w:sz w:val="16"/>
          <w:szCs w:val="16"/>
          <w:vertAlign w:val="superscript"/>
        </w:rPr>
        <w:t xml:space="preserve">2 </w:t>
      </w:r>
      <w:r w:rsidRPr="007F6290">
        <w:rPr>
          <w:sz w:val="16"/>
          <w:szCs w:val="16"/>
        </w:rPr>
        <w:t xml:space="preserve">The United States shall be allowed to </w:t>
      </w:r>
      <w:proofErr w:type="gramStart"/>
      <w:r w:rsidRPr="007F6290">
        <w:rPr>
          <w:sz w:val="16"/>
          <w:szCs w:val="16"/>
        </w:rPr>
        <w:t>count up</w:t>
      </w:r>
      <w:proofErr w:type="gramEnd"/>
      <w:r w:rsidRPr="007F6290">
        <w:rPr>
          <w:sz w:val="16"/>
          <w:szCs w:val="16"/>
        </w:rPr>
        <w:t xml:space="preserve"> to 200 t of its swordfish catch taken from the area between 5°N and 5°S, against its uncaught North Atlantic swordfish catch limit.</w:t>
      </w:r>
    </w:p>
    <w:p w14:paraId="60C38A16" w14:textId="77777777" w:rsidR="002949E9" w:rsidRPr="007F6290" w:rsidRDefault="002949E9" w:rsidP="007E1A31">
      <w:pPr>
        <w:ind w:left="1388" w:right="929"/>
        <w:jc w:val="both"/>
        <w:rPr>
          <w:sz w:val="16"/>
          <w:szCs w:val="16"/>
        </w:rPr>
      </w:pPr>
    </w:p>
    <w:p w14:paraId="48955ED6" w14:textId="77777777" w:rsidR="002949E9" w:rsidRPr="007F6290" w:rsidRDefault="002949E9" w:rsidP="007E1A31">
      <w:pPr>
        <w:ind w:left="1406" w:right="-1" w:hanging="61"/>
        <w:jc w:val="both"/>
        <w:rPr>
          <w:sz w:val="16"/>
          <w:szCs w:val="16"/>
        </w:rPr>
      </w:pPr>
      <w:r w:rsidRPr="007F6290">
        <w:rPr>
          <w:sz w:val="16"/>
          <w:szCs w:val="16"/>
          <w:vertAlign w:val="superscript"/>
        </w:rPr>
        <w:t xml:space="preserve">3 </w:t>
      </w:r>
      <w:r w:rsidRPr="007F6290">
        <w:rPr>
          <w:sz w:val="16"/>
          <w:szCs w:val="16"/>
        </w:rPr>
        <w:t xml:space="preserve">Japan shall be allowed to </w:t>
      </w:r>
      <w:proofErr w:type="gramStart"/>
      <w:r w:rsidRPr="007F6290">
        <w:rPr>
          <w:sz w:val="16"/>
          <w:szCs w:val="16"/>
        </w:rPr>
        <w:t>count up</w:t>
      </w:r>
      <w:proofErr w:type="gramEnd"/>
      <w:r w:rsidRPr="007F6290">
        <w:rPr>
          <w:sz w:val="16"/>
          <w:szCs w:val="16"/>
        </w:rPr>
        <w:t xml:space="preserve"> to 400 t of its swordfish catch taken from the South Atlantic management area against its uncaught North Atlantic swordfish catch limits.</w:t>
      </w:r>
    </w:p>
    <w:p w14:paraId="37A691EB" w14:textId="77777777" w:rsidR="007E1A31" w:rsidRPr="007F6290" w:rsidRDefault="007E1A31" w:rsidP="007E1A31">
      <w:pPr>
        <w:ind w:left="1406" w:right="-1" w:hanging="61"/>
        <w:jc w:val="both"/>
        <w:rPr>
          <w:sz w:val="16"/>
          <w:szCs w:val="16"/>
        </w:rPr>
      </w:pPr>
    </w:p>
    <w:p w14:paraId="0F87CD6F" w14:textId="78E2E3E8" w:rsidR="007E1A31" w:rsidRPr="007F6290" w:rsidRDefault="007E1A31" w:rsidP="007E1A31">
      <w:pPr>
        <w:ind w:left="1406" w:right="-1" w:hanging="61"/>
        <w:jc w:val="both"/>
        <w:rPr>
          <w:sz w:val="16"/>
          <w:szCs w:val="16"/>
        </w:rPr>
      </w:pPr>
      <w:r w:rsidRPr="007F6290">
        <w:rPr>
          <w:sz w:val="16"/>
          <w:szCs w:val="16"/>
          <w:vertAlign w:val="superscript"/>
        </w:rPr>
        <w:t xml:space="preserve">4 </w:t>
      </w:r>
      <w:r w:rsidRPr="007F6290">
        <w:rPr>
          <w:sz w:val="16"/>
          <w:szCs w:val="16"/>
        </w:rPr>
        <w:t xml:space="preserve">Korea shall be allowed to </w:t>
      </w:r>
      <w:proofErr w:type="gramStart"/>
      <w:r w:rsidRPr="007F6290">
        <w:rPr>
          <w:sz w:val="16"/>
          <w:szCs w:val="16"/>
        </w:rPr>
        <w:t>count up</w:t>
      </w:r>
      <w:proofErr w:type="gramEnd"/>
      <w:r w:rsidRPr="007F6290">
        <w:rPr>
          <w:sz w:val="16"/>
          <w:szCs w:val="16"/>
        </w:rPr>
        <w:t xml:space="preserve"> to 25 t of swordfish catch taken from the South Atlantic management area against its uncaught North Atlantic catch limit.</w:t>
      </w:r>
    </w:p>
    <w:p w14:paraId="2564005A" w14:textId="77777777" w:rsidR="002949E9" w:rsidRPr="007F6290" w:rsidRDefault="002949E9" w:rsidP="007E1A31">
      <w:pPr>
        <w:ind w:left="1406" w:right="929" w:hanging="61"/>
        <w:jc w:val="both"/>
        <w:rPr>
          <w:sz w:val="16"/>
          <w:szCs w:val="16"/>
        </w:rPr>
      </w:pPr>
    </w:p>
    <w:p w14:paraId="0108DFD9" w14:textId="67D469E7" w:rsidR="00552318" w:rsidRPr="007F6290" w:rsidRDefault="007E1A31" w:rsidP="00FB64F7">
      <w:pPr>
        <w:ind w:left="1345" w:right="-1"/>
        <w:jc w:val="both"/>
        <w:rPr>
          <w:sz w:val="16"/>
          <w:szCs w:val="16"/>
        </w:rPr>
      </w:pPr>
      <w:r w:rsidRPr="007F6290">
        <w:rPr>
          <w:sz w:val="16"/>
          <w:szCs w:val="16"/>
          <w:vertAlign w:val="superscript"/>
        </w:rPr>
        <w:t>5</w:t>
      </w:r>
      <w:r w:rsidR="002949E9" w:rsidRPr="007F6290">
        <w:rPr>
          <w:sz w:val="16"/>
          <w:szCs w:val="16"/>
          <w:vertAlign w:val="superscript"/>
        </w:rPr>
        <w:t xml:space="preserve"> </w:t>
      </w:r>
      <w:r w:rsidR="002949E9" w:rsidRPr="007F6290">
        <w:rPr>
          <w:sz w:val="16"/>
          <w:szCs w:val="16"/>
        </w:rPr>
        <w:t xml:space="preserve">Belize shall be allowed to </w:t>
      </w:r>
      <w:proofErr w:type="gramStart"/>
      <w:r w:rsidR="002949E9" w:rsidRPr="007F6290">
        <w:rPr>
          <w:sz w:val="16"/>
          <w:szCs w:val="16"/>
        </w:rPr>
        <w:t>count up</w:t>
      </w:r>
      <w:proofErr w:type="gramEnd"/>
      <w:r w:rsidR="002949E9" w:rsidRPr="007F6290">
        <w:rPr>
          <w:sz w:val="16"/>
          <w:szCs w:val="16"/>
        </w:rPr>
        <w:t xml:space="preserve"> to 75 t of its swordfish catch taken from the area between 5°N and 5°S, against its uncaught North Atlantic swordfish catch limit.</w:t>
      </w:r>
      <w:bookmarkStart w:id="0" w:name="_Hlk182748820"/>
    </w:p>
    <w:bookmarkEnd w:id="0"/>
    <w:p w14:paraId="421CECE0" w14:textId="77777777" w:rsidR="002949E9" w:rsidRPr="007F6290" w:rsidRDefault="002949E9" w:rsidP="007E1A31">
      <w:pPr>
        <w:pBdr>
          <w:top w:val="nil"/>
          <w:left w:val="nil"/>
          <w:bottom w:val="nil"/>
          <w:right w:val="nil"/>
          <w:between w:val="nil"/>
        </w:pBdr>
        <w:rPr>
          <w:color w:val="000000"/>
          <w:sz w:val="20"/>
          <w:szCs w:val="20"/>
        </w:rPr>
      </w:pPr>
    </w:p>
    <w:p w14:paraId="6AB81D79" w14:textId="0909C055" w:rsidR="002949E9" w:rsidRPr="007F6290" w:rsidRDefault="002949E9" w:rsidP="003F4991">
      <w:pPr>
        <w:numPr>
          <w:ilvl w:val="0"/>
          <w:numId w:val="1"/>
        </w:numPr>
        <w:pBdr>
          <w:top w:val="nil"/>
          <w:left w:val="nil"/>
          <w:bottom w:val="nil"/>
          <w:right w:val="nil"/>
          <w:between w:val="nil"/>
        </w:pBdr>
        <w:tabs>
          <w:tab w:val="left" w:pos="836"/>
          <w:tab w:val="left" w:pos="838"/>
        </w:tabs>
        <w:ind w:left="426" w:right="-1" w:hanging="426"/>
        <w:jc w:val="both"/>
        <w:rPr>
          <w:color w:val="000000"/>
          <w:sz w:val="20"/>
          <w:szCs w:val="20"/>
        </w:rPr>
      </w:pPr>
      <w:r w:rsidRPr="007F6290">
        <w:rPr>
          <w:color w:val="000000"/>
          <w:sz w:val="20"/>
          <w:szCs w:val="20"/>
        </w:rPr>
        <w:t xml:space="preserve">Notwithstanding the </w:t>
      </w:r>
      <w:r w:rsidRPr="007F6290">
        <w:rPr>
          <w:i/>
          <w:color w:val="000000"/>
          <w:sz w:val="20"/>
          <w:szCs w:val="20"/>
        </w:rPr>
        <w:t xml:space="preserve">Recommendation by ICCAT </w:t>
      </w:r>
      <w:r w:rsidR="00C11F34" w:rsidRPr="007F6290">
        <w:rPr>
          <w:i/>
          <w:color w:val="000000"/>
          <w:sz w:val="20"/>
          <w:szCs w:val="20"/>
        </w:rPr>
        <w:t>r</w:t>
      </w:r>
      <w:r w:rsidRPr="007F6290">
        <w:rPr>
          <w:i/>
          <w:color w:val="000000"/>
          <w:sz w:val="20"/>
          <w:szCs w:val="20"/>
        </w:rPr>
        <w:t xml:space="preserve">egarding the </w:t>
      </w:r>
      <w:r w:rsidR="00C11F34" w:rsidRPr="007F6290">
        <w:rPr>
          <w:i/>
          <w:color w:val="000000"/>
          <w:sz w:val="20"/>
          <w:szCs w:val="20"/>
        </w:rPr>
        <w:t>t</w:t>
      </w:r>
      <w:r w:rsidRPr="007F6290">
        <w:rPr>
          <w:i/>
          <w:color w:val="000000"/>
          <w:sz w:val="20"/>
          <w:szCs w:val="20"/>
        </w:rPr>
        <w:t xml:space="preserve">emporary </w:t>
      </w:r>
      <w:r w:rsidR="008F1D1C" w:rsidRPr="007F6290">
        <w:rPr>
          <w:i/>
          <w:color w:val="000000"/>
          <w:sz w:val="20"/>
          <w:szCs w:val="20"/>
        </w:rPr>
        <w:t>a</w:t>
      </w:r>
      <w:r w:rsidRPr="007F6290">
        <w:rPr>
          <w:i/>
          <w:color w:val="000000"/>
          <w:sz w:val="20"/>
          <w:szCs w:val="20"/>
        </w:rPr>
        <w:t xml:space="preserve">djustment of </w:t>
      </w:r>
      <w:r w:rsidR="008F1D1C" w:rsidRPr="007F6290">
        <w:rPr>
          <w:i/>
          <w:color w:val="000000"/>
          <w:sz w:val="20"/>
          <w:szCs w:val="20"/>
        </w:rPr>
        <w:t>q</w:t>
      </w:r>
      <w:r w:rsidRPr="007F6290">
        <w:rPr>
          <w:i/>
          <w:color w:val="000000"/>
          <w:sz w:val="20"/>
          <w:szCs w:val="20"/>
        </w:rPr>
        <w:t xml:space="preserve">uotas </w:t>
      </w:r>
      <w:r w:rsidRPr="007F6290">
        <w:rPr>
          <w:color w:val="000000"/>
          <w:sz w:val="20"/>
          <w:szCs w:val="20"/>
        </w:rPr>
        <w:t>(Rec.</w:t>
      </w:r>
      <w:r w:rsidR="003D48B5" w:rsidRPr="007F6290">
        <w:rPr>
          <w:color w:val="000000"/>
          <w:sz w:val="20"/>
          <w:szCs w:val="20"/>
        </w:rPr>
        <w:t> </w:t>
      </w:r>
      <w:r w:rsidRPr="007F6290">
        <w:rPr>
          <w:color w:val="000000"/>
          <w:sz w:val="20"/>
          <w:szCs w:val="20"/>
        </w:rPr>
        <w:t xml:space="preserve">01-12), in between meetings of the Commission, a CPC with a TAC allocation of North Atlantic swordfish, as per paragraph </w:t>
      </w:r>
      <w:r w:rsidR="00533935" w:rsidRPr="007F6290">
        <w:rPr>
          <w:color w:val="000000"/>
          <w:sz w:val="20"/>
          <w:szCs w:val="20"/>
        </w:rPr>
        <w:t>7</w:t>
      </w:r>
      <w:r w:rsidRPr="007F6290">
        <w:rPr>
          <w:color w:val="000000"/>
          <w:sz w:val="20"/>
          <w:szCs w:val="20"/>
        </w:rPr>
        <w:t>, may make a one-time transfer within a fishing year of up to 15% of its TAC allocation to other CPCs with TAC allocations, consistent with domestic obligations and conservation considerations. Any such transfer may not be used to cover overharvests. A CPC that receives a one-time catch limit transfer may not retransfer that catch limit.</w:t>
      </w:r>
    </w:p>
    <w:p w14:paraId="344F8B77" w14:textId="77777777" w:rsidR="002949E9" w:rsidRPr="007F6290" w:rsidRDefault="002949E9" w:rsidP="002949E9">
      <w:pPr>
        <w:tabs>
          <w:tab w:val="left" w:pos="542"/>
          <w:tab w:val="left" w:pos="544"/>
        </w:tabs>
        <w:ind w:left="544" w:right="116"/>
        <w:jc w:val="both"/>
        <w:rPr>
          <w:sz w:val="20"/>
          <w:szCs w:val="20"/>
        </w:rPr>
      </w:pPr>
    </w:p>
    <w:p w14:paraId="6AA62C45" w14:textId="0B021593" w:rsidR="002949E9" w:rsidRPr="007F6290" w:rsidRDefault="002949E9" w:rsidP="003F4991">
      <w:pPr>
        <w:numPr>
          <w:ilvl w:val="0"/>
          <w:numId w:val="1"/>
        </w:numPr>
        <w:pBdr>
          <w:top w:val="nil"/>
          <w:left w:val="nil"/>
          <w:bottom w:val="nil"/>
          <w:right w:val="nil"/>
          <w:between w:val="nil"/>
        </w:pBdr>
        <w:tabs>
          <w:tab w:val="left" w:pos="836"/>
          <w:tab w:val="left" w:pos="838"/>
        </w:tabs>
        <w:ind w:left="426" w:right="-1" w:hanging="426"/>
        <w:jc w:val="both"/>
        <w:rPr>
          <w:color w:val="000000"/>
          <w:sz w:val="20"/>
          <w:szCs w:val="20"/>
        </w:rPr>
      </w:pPr>
      <w:r w:rsidRPr="007F6290">
        <w:rPr>
          <w:color w:val="000000"/>
          <w:sz w:val="20"/>
          <w:szCs w:val="20"/>
        </w:rPr>
        <w:t xml:space="preserve">When setting catch limits under the TAC described in paragraph 8, the Commission shall </w:t>
      </w:r>
      <w:proofErr w:type="gramStart"/>
      <w:r w:rsidRPr="007F6290">
        <w:rPr>
          <w:color w:val="000000"/>
          <w:sz w:val="20"/>
          <w:szCs w:val="20"/>
        </w:rPr>
        <w:t>take into account</w:t>
      </w:r>
      <w:proofErr w:type="gramEnd"/>
      <w:r w:rsidRPr="007F6290">
        <w:rPr>
          <w:color w:val="000000"/>
          <w:sz w:val="20"/>
          <w:szCs w:val="20"/>
        </w:rPr>
        <w:t xml:space="preserve"> the </w:t>
      </w:r>
      <w:r w:rsidRPr="007F6290">
        <w:rPr>
          <w:i/>
          <w:color w:val="000000"/>
          <w:sz w:val="20"/>
          <w:szCs w:val="20"/>
        </w:rPr>
        <w:t xml:space="preserve">Resolution by ICCAT on </w:t>
      </w:r>
      <w:r w:rsidR="00262FCC" w:rsidRPr="007F6290">
        <w:rPr>
          <w:i/>
          <w:color w:val="000000"/>
          <w:sz w:val="20"/>
          <w:szCs w:val="20"/>
        </w:rPr>
        <w:t>c</w:t>
      </w:r>
      <w:r w:rsidRPr="007F6290">
        <w:rPr>
          <w:i/>
          <w:color w:val="000000"/>
          <w:sz w:val="20"/>
          <w:szCs w:val="20"/>
        </w:rPr>
        <w:t xml:space="preserve">riteria for the </w:t>
      </w:r>
      <w:r w:rsidR="00262FCC" w:rsidRPr="007F6290">
        <w:rPr>
          <w:i/>
          <w:color w:val="000000"/>
          <w:sz w:val="20"/>
          <w:szCs w:val="20"/>
        </w:rPr>
        <w:t>a</w:t>
      </w:r>
      <w:r w:rsidRPr="007F6290">
        <w:rPr>
          <w:i/>
          <w:color w:val="000000"/>
          <w:sz w:val="20"/>
          <w:szCs w:val="20"/>
        </w:rPr>
        <w:t xml:space="preserve">llocation of </w:t>
      </w:r>
      <w:r w:rsidR="00262FCC" w:rsidRPr="007F6290">
        <w:rPr>
          <w:i/>
          <w:color w:val="000000"/>
          <w:sz w:val="20"/>
          <w:szCs w:val="20"/>
        </w:rPr>
        <w:t>f</w:t>
      </w:r>
      <w:r w:rsidRPr="007F6290">
        <w:rPr>
          <w:i/>
          <w:color w:val="000000"/>
          <w:sz w:val="20"/>
          <w:szCs w:val="20"/>
        </w:rPr>
        <w:t xml:space="preserve">ishing </w:t>
      </w:r>
      <w:r w:rsidR="00262FCC" w:rsidRPr="007F6290">
        <w:rPr>
          <w:i/>
          <w:color w:val="000000"/>
          <w:sz w:val="20"/>
          <w:szCs w:val="20"/>
        </w:rPr>
        <w:t>p</w:t>
      </w:r>
      <w:r w:rsidRPr="007F6290">
        <w:rPr>
          <w:i/>
          <w:color w:val="000000"/>
          <w:sz w:val="20"/>
          <w:szCs w:val="20"/>
        </w:rPr>
        <w:t xml:space="preserve">ossibilities </w:t>
      </w:r>
      <w:r w:rsidRPr="007F6290">
        <w:rPr>
          <w:color w:val="000000"/>
          <w:sz w:val="20"/>
          <w:szCs w:val="20"/>
        </w:rPr>
        <w:t xml:space="preserve">(Res. 15-13). In support of this effort, the Commission shall consider development/management plans of coastal developing CPCs and fishing/management plans of other CPCs so that adjustments can be made to the existing catch limits and other conservation measures, as appropriate. In the event of the modification of its fishing/management plan, each CPC shall submit </w:t>
      </w:r>
      <w:proofErr w:type="gramStart"/>
      <w:r w:rsidRPr="007F6290">
        <w:rPr>
          <w:color w:val="000000"/>
          <w:sz w:val="20"/>
          <w:szCs w:val="20"/>
        </w:rPr>
        <w:t>the</w:t>
      </w:r>
      <w:proofErr w:type="gramEnd"/>
      <w:r w:rsidRPr="007F6290">
        <w:rPr>
          <w:color w:val="000000"/>
          <w:sz w:val="20"/>
          <w:szCs w:val="20"/>
        </w:rPr>
        <w:t xml:space="preserve"> updated version of its fishing/management plan to the Commission by 15 September.</w:t>
      </w:r>
    </w:p>
    <w:p w14:paraId="03FD3D52" w14:textId="77777777" w:rsidR="002949E9" w:rsidRPr="007F6290" w:rsidRDefault="002949E9" w:rsidP="002949E9">
      <w:pPr>
        <w:pBdr>
          <w:top w:val="nil"/>
          <w:left w:val="nil"/>
          <w:bottom w:val="nil"/>
          <w:right w:val="nil"/>
          <w:between w:val="nil"/>
        </w:pBdr>
        <w:tabs>
          <w:tab w:val="left" w:pos="388"/>
        </w:tabs>
        <w:ind w:right="121"/>
        <w:rPr>
          <w:b/>
          <w:i/>
          <w:sz w:val="20"/>
          <w:szCs w:val="20"/>
        </w:rPr>
      </w:pPr>
    </w:p>
    <w:p w14:paraId="252615A2" w14:textId="77777777" w:rsidR="002949E9" w:rsidRPr="007F6290" w:rsidRDefault="002949E9" w:rsidP="002949E9">
      <w:pPr>
        <w:pBdr>
          <w:top w:val="nil"/>
          <w:left w:val="nil"/>
          <w:bottom w:val="nil"/>
          <w:right w:val="nil"/>
          <w:between w:val="nil"/>
        </w:pBdr>
        <w:tabs>
          <w:tab w:val="left" w:pos="388"/>
        </w:tabs>
        <w:ind w:right="121"/>
        <w:rPr>
          <w:b/>
          <w:sz w:val="20"/>
          <w:szCs w:val="20"/>
        </w:rPr>
      </w:pPr>
      <w:r w:rsidRPr="007F6290">
        <w:rPr>
          <w:b/>
          <w:sz w:val="20"/>
          <w:szCs w:val="20"/>
        </w:rPr>
        <w:t>Underage or overage of catch</w:t>
      </w:r>
    </w:p>
    <w:p w14:paraId="4118AD16" w14:textId="77777777" w:rsidR="002949E9" w:rsidRPr="007F6290" w:rsidRDefault="002949E9" w:rsidP="002949E9">
      <w:pPr>
        <w:pBdr>
          <w:top w:val="nil"/>
          <w:left w:val="nil"/>
          <w:bottom w:val="nil"/>
          <w:right w:val="nil"/>
          <w:between w:val="nil"/>
        </w:pBdr>
        <w:tabs>
          <w:tab w:val="left" w:pos="388"/>
        </w:tabs>
        <w:ind w:right="121"/>
        <w:rPr>
          <w:color w:val="000000"/>
          <w:sz w:val="20"/>
          <w:szCs w:val="20"/>
        </w:rPr>
      </w:pPr>
    </w:p>
    <w:p w14:paraId="6AB4F889" w14:textId="1992EC6A" w:rsidR="002949E9" w:rsidRPr="007F6290" w:rsidRDefault="002949E9" w:rsidP="003F4991">
      <w:pPr>
        <w:numPr>
          <w:ilvl w:val="0"/>
          <w:numId w:val="1"/>
        </w:numPr>
        <w:pBdr>
          <w:top w:val="nil"/>
          <w:left w:val="nil"/>
          <w:bottom w:val="nil"/>
          <w:right w:val="nil"/>
          <w:between w:val="nil"/>
        </w:pBdr>
        <w:tabs>
          <w:tab w:val="left" w:pos="836"/>
          <w:tab w:val="left" w:pos="838"/>
        </w:tabs>
        <w:ind w:left="425" w:right="-1" w:hanging="425"/>
        <w:jc w:val="both"/>
        <w:rPr>
          <w:color w:val="000000"/>
          <w:sz w:val="20"/>
          <w:szCs w:val="20"/>
        </w:rPr>
      </w:pPr>
      <w:r w:rsidRPr="007F6290">
        <w:rPr>
          <w:color w:val="000000"/>
          <w:sz w:val="20"/>
          <w:szCs w:val="20"/>
        </w:rPr>
        <w:t xml:space="preserve">If the annual catch in any year exceeds the TAC specified in </w:t>
      </w:r>
      <w:r w:rsidR="007E1A31" w:rsidRPr="007F6290">
        <w:rPr>
          <w:color w:val="000000"/>
          <w:sz w:val="20"/>
          <w:szCs w:val="20"/>
        </w:rPr>
        <w:t>p</w:t>
      </w:r>
      <w:r w:rsidRPr="007F6290">
        <w:rPr>
          <w:color w:val="000000"/>
          <w:sz w:val="20"/>
          <w:szCs w:val="20"/>
        </w:rPr>
        <w:t xml:space="preserve">aragraph 4, CPCs that have exceeded their individual catch limits shall pay back their overharvest in accordance with </w:t>
      </w:r>
      <w:r w:rsidR="007E1A31" w:rsidRPr="007F6290">
        <w:rPr>
          <w:color w:val="000000"/>
          <w:sz w:val="20"/>
          <w:szCs w:val="20"/>
        </w:rPr>
        <w:t>p</w:t>
      </w:r>
      <w:r w:rsidRPr="007F6290">
        <w:rPr>
          <w:color w:val="000000"/>
          <w:sz w:val="20"/>
          <w:szCs w:val="20"/>
        </w:rPr>
        <w:t>aragraph 1</w:t>
      </w:r>
      <w:r w:rsidR="002523A0" w:rsidRPr="007F6290">
        <w:rPr>
          <w:color w:val="000000"/>
          <w:sz w:val="20"/>
          <w:szCs w:val="20"/>
        </w:rPr>
        <w:t>1</w:t>
      </w:r>
      <w:r w:rsidRPr="007F6290">
        <w:rPr>
          <w:color w:val="000000"/>
          <w:sz w:val="20"/>
          <w:szCs w:val="20"/>
        </w:rPr>
        <w:t>. Any amount of the overharvest remaining after such adjustment shall be deducted from the annual catch limits of all CPC</w:t>
      </w:r>
      <w:r w:rsidR="00B12CB2" w:rsidRPr="007F6290">
        <w:rPr>
          <w:color w:val="000000"/>
          <w:sz w:val="20"/>
          <w:szCs w:val="20"/>
        </w:rPr>
        <w:t>s</w:t>
      </w:r>
      <w:r w:rsidRPr="007F6290">
        <w:rPr>
          <w:color w:val="000000"/>
          <w:sz w:val="20"/>
          <w:szCs w:val="20"/>
        </w:rPr>
        <w:t xml:space="preserve">, two years following the year in which the excess occurred, on a pro rata basis of the catch limits in paragraph </w:t>
      </w:r>
      <w:r w:rsidR="00533935" w:rsidRPr="007F6290">
        <w:rPr>
          <w:color w:val="000000"/>
          <w:sz w:val="20"/>
          <w:szCs w:val="20"/>
        </w:rPr>
        <w:t>7</w:t>
      </w:r>
      <w:r w:rsidRPr="007F6290">
        <w:rPr>
          <w:color w:val="000000"/>
          <w:sz w:val="20"/>
          <w:szCs w:val="20"/>
        </w:rPr>
        <w:t xml:space="preserve">. The Commission may also consider the need for further measures, including </w:t>
      </w:r>
      <w:proofErr w:type="gramStart"/>
      <w:r w:rsidRPr="007F6290">
        <w:rPr>
          <w:color w:val="000000"/>
          <w:sz w:val="20"/>
          <w:szCs w:val="20"/>
        </w:rPr>
        <w:t>taking into account</w:t>
      </w:r>
      <w:proofErr w:type="gramEnd"/>
      <w:r w:rsidRPr="007F6290">
        <w:rPr>
          <w:color w:val="000000"/>
          <w:sz w:val="20"/>
          <w:szCs w:val="20"/>
        </w:rPr>
        <w:t xml:space="preserve"> any advice of the SCRS pursuant to its evaluation of the existence of ECs.</w:t>
      </w:r>
    </w:p>
    <w:p w14:paraId="3BAF8DEA" w14:textId="77777777" w:rsidR="002949E9" w:rsidRPr="007F6290" w:rsidRDefault="002949E9" w:rsidP="002949E9">
      <w:pPr>
        <w:pBdr>
          <w:top w:val="nil"/>
          <w:left w:val="nil"/>
          <w:bottom w:val="nil"/>
          <w:right w:val="nil"/>
          <w:between w:val="nil"/>
        </w:pBdr>
        <w:tabs>
          <w:tab w:val="left" w:pos="388"/>
        </w:tabs>
        <w:ind w:right="121"/>
        <w:rPr>
          <w:sz w:val="8"/>
          <w:szCs w:val="8"/>
        </w:rPr>
      </w:pPr>
    </w:p>
    <w:p w14:paraId="3485DAFB" w14:textId="77777777" w:rsidR="007E1A31" w:rsidRPr="007F6290" w:rsidRDefault="007E1A31" w:rsidP="002949E9">
      <w:pPr>
        <w:pBdr>
          <w:top w:val="nil"/>
          <w:left w:val="nil"/>
          <w:bottom w:val="nil"/>
          <w:right w:val="nil"/>
          <w:between w:val="nil"/>
        </w:pBdr>
        <w:tabs>
          <w:tab w:val="left" w:pos="388"/>
        </w:tabs>
        <w:ind w:right="121"/>
        <w:rPr>
          <w:sz w:val="6"/>
          <w:szCs w:val="6"/>
        </w:rPr>
      </w:pPr>
    </w:p>
    <w:p w14:paraId="58E4244C" w14:textId="77777777" w:rsidR="002949E9" w:rsidRPr="007F6290" w:rsidRDefault="002949E9" w:rsidP="003F4991">
      <w:pPr>
        <w:numPr>
          <w:ilvl w:val="0"/>
          <w:numId w:val="1"/>
        </w:numPr>
        <w:pBdr>
          <w:top w:val="nil"/>
          <w:left w:val="nil"/>
          <w:bottom w:val="nil"/>
          <w:right w:val="nil"/>
          <w:between w:val="nil"/>
        </w:pBdr>
        <w:tabs>
          <w:tab w:val="left" w:pos="836"/>
          <w:tab w:val="left" w:pos="838"/>
        </w:tabs>
        <w:ind w:left="426" w:right="-1" w:hanging="426"/>
        <w:jc w:val="both"/>
        <w:rPr>
          <w:color w:val="000000"/>
          <w:sz w:val="20"/>
          <w:szCs w:val="20"/>
        </w:rPr>
      </w:pPr>
      <w:r w:rsidRPr="007F6290">
        <w:rPr>
          <w:color w:val="000000"/>
          <w:sz w:val="20"/>
          <w:szCs w:val="20"/>
        </w:rPr>
        <w:t>Any unused portion or excess of the annual adjusted quota may be added to/shall be deducted from, according to the case, the respective quota/catch limit during or before the adjustment year, as follows:</w:t>
      </w:r>
    </w:p>
    <w:p w14:paraId="67A2C680" w14:textId="77777777" w:rsidR="003F4991" w:rsidRPr="007F6290" w:rsidRDefault="003F4991" w:rsidP="003F4991">
      <w:pPr>
        <w:pBdr>
          <w:top w:val="nil"/>
          <w:left w:val="nil"/>
          <w:bottom w:val="nil"/>
          <w:right w:val="nil"/>
          <w:between w:val="nil"/>
        </w:pBdr>
        <w:tabs>
          <w:tab w:val="left" w:pos="836"/>
          <w:tab w:val="left" w:pos="838"/>
        </w:tabs>
        <w:ind w:left="426" w:right="-1"/>
        <w:jc w:val="both"/>
        <w:rPr>
          <w:color w:val="000000"/>
          <w:sz w:val="20"/>
          <w:szCs w:val="20"/>
        </w:rPr>
      </w:pPr>
    </w:p>
    <w:tbl>
      <w:tblPr>
        <w:tblW w:w="3402" w:type="dxa"/>
        <w:tblInd w:w="2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02"/>
        <w:gridCol w:w="1700"/>
      </w:tblGrid>
      <w:tr w:rsidR="002949E9" w:rsidRPr="007F6290" w14:paraId="1A48580F" w14:textId="77777777">
        <w:trPr>
          <w:trHeight w:val="240"/>
        </w:trPr>
        <w:tc>
          <w:tcPr>
            <w:tcW w:w="1702" w:type="dxa"/>
          </w:tcPr>
          <w:p w14:paraId="43514CBA" w14:textId="77777777" w:rsidR="002949E9" w:rsidRPr="007F6290" w:rsidRDefault="002949E9">
            <w:pPr>
              <w:pBdr>
                <w:top w:val="nil"/>
                <w:left w:val="nil"/>
                <w:bottom w:val="nil"/>
                <w:right w:val="nil"/>
                <w:between w:val="nil"/>
              </w:pBdr>
              <w:ind w:left="395" w:right="387"/>
              <w:jc w:val="center"/>
              <w:rPr>
                <w:i/>
                <w:color w:val="000000"/>
                <w:sz w:val="20"/>
                <w:szCs w:val="20"/>
              </w:rPr>
            </w:pPr>
            <w:r w:rsidRPr="007F6290">
              <w:rPr>
                <w:i/>
                <w:color w:val="000000"/>
                <w:sz w:val="20"/>
                <w:szCs w:val="20"/>
              </w:rPr>
              <w:t>Catch year</w:t>
            </w:r>
          </w:p>
        </w:tc>
        <w:tc>
          <w:tcPr>
            <w:tcW w:w="1700" w:type="dxa"/>
          </w:tcPr>
          <w:p w14:paraId="20F96299" w14:textId="77777777" w:rsidR="002949E9" w:rsidRPr="007F6290" w:rsidRDefault="002949E9">
            <w:pPr>
              <w:pBdr>
                <w:top w:val="nil"/>
                <w:left w:val="nil"/>
                <w:bottom w:val="nil"/>
                <w:right w:val="nil"/>
                <w:between w:val="nil"/>
              </w:pBdr>
              <w:ind w:left="155" w:right="144"/>
              <w:jc w:val="center"/>
              <w:rPr>
                <w:i/>
                <w:color w:val="000000"/>
                <w:sz w:val="20"/>
                <w:szCs w:val="20"/>
              </w:rPr>
            </w:pPr>
            <w:r w:rsidRPr="007F6290">
              <w:rPr>
                <w:i/>
                <w:color w:val="000000"/>
                <w:sz w:val="20"/>
                <w:szCs w:val="20"/>
              </w:rPr>
              <w:t>Adjustment year</w:t>
            </w:r>
          </w:p>
        </w:tc>
      </w:tr>
      <w:tr w:rsidR="002949E9" w:rsidRPr="007F6290" w14:paraId="2574595E" w14:textId="77777777">
        <w:trPr>
          <w:trHeight w:val="239"/>
        </w:trPr>
        <w:tc>
          <w:tcPr>
            <w:tcW w:w="1702" w:type="dxa"/>
          </w:tcPr>
          <w:p w14:paraId="6466EE12" w14:textId="77777777" w:rsidR="002949E9" w:rsidRPr="007F6290" w:rsidRDefault="002949E9">
            <w:pPr>
              <w:pBdr>
                <w:top w:val="nil"/>
                <w:left w:val="nil"/>
                <w:bottom w:val="nil"/>
                <w:right w:val="nil"/>
                <w:between w:val="nil"/>
              </w:pBdr>
              <w:ind w:left="395" w:right="387"/>
              <w:jc w:val="center"/>
              <w:rPr>
                <w:color w:val="000000"/>
                <w:sz w:val="20"/>
                <w:szCs w:val="20"/>
              </w:rPr>
            </w:pPr>
            <w:r w:rsidRPr="007F6290">
              <w:rPr>
                <w:color w:val="000000"/>
                <w:sz w:val="20"/>
                <w:szCs w:val="20"/>
              </w:rPr>
              <w:t>2023</w:t>
            </w:r>
          </w:p>
        </w:tc>
        <w:tc>
          <w:tcPr>
            <w:tcW w:w="1700" w:type="dxa"/>
          </w:tcPr>
          <w:p w14:paraId="5BC81256" w14:textId="77777777" w:rsidR="002949E9" w:rsidRPr="007F6290" w:rsidRDefault="002949E9">
            <w:pPr>
              <w:pBdr>
                <w:top w:val="nil"/>
                <w:left w:val="nil"/>
                <w:bottom w:val="nil"/>
                <w:right w:val="nil"/>
                <w:between w:val="nil"/>
              </w:pBdr>
              <w:ind w:left="154" w:right="144"/>
              <w:jc w:val="center"/>
              <w:rPr>
                <w:color w:val="000000"/>
                <w:sz w:val="20"/>
                <w:szCs w:val="20"/>
              </w:rPr>
            </w:pPr>
            <w:r w:rsidRPr="007F6290">
              <w:rPr>
                <w:color w:val="000000"/>
                <w:sz w:val="20"/>
                <w:szCs w:val="20"/>
              </w:rPr>
              <w:t>2025</w:t>
            </w:r>
          </w:p>
        </w:tc>
      </w:tr>
      <w:tr w:rsidR="002949E9" w:rsidRPr="007F6290" w14:paraId="20067890" w14:textId="77777777">
        <w:trPr>
          <w:trHeight w:val="239"/>
        </w:trPr>
        <w:tc>
          <w:tcPr>
            <w:tcW w:w="1702" w:type="dxa"/>
          </w:tcPr>
          <w:p w14:paraId="7B9522BE" w14:textId="77777777" w:rsidR="002949E9" w:rsidRPr="007F6290" w:rsidRDefault="002949E9">
            <w:pPr>
              <w:pBdr>
                <w:top w:val="nil"/>
                <w:left w:val="nil"/>
                <w:bottom w:val="nil"/>
                <w:right w:val="nil"/>
                <w:between w:val="nil"/>
              </w:pBdr>
              <w:ind w:left="395" w:right="387"/>
              <w:jc w:val="center"/>
              <w:rPr>
                <w:color w:val="000000"/>
                <w:sz w:val="20"/>
                <w:szCs w:val="20"/>
              </w:rPr>
            </w:pPr>
            <w:r w:rsidRPr="007F6290">
              <w:rPr>
                <w:color w:val="000000"/>
                <w:sz w:val="20"/>
                <w:szCs w:val="20"/>
              </w:rPr>
              <w:t>2024</w:t>
            </w:r>
          </w:p>
        </w:tc>
        <w:tc>
          <w:tcPr>
            <w:tcW w:w="1700" w:type="dxa"/>
          </w:tcPr>
          <w:p w14:paraId="2362CAB0" w14:textId="77777777" w:rsidR="002949E9" w:rsidRPr="007F6290" w:rsidRDefault="002949E9">
            <w:pPr>
              <w:pBdr>
                <w:top w:val="nil"/>
                <w:left w:val="nil"/>
                <w:bottom w:val="nil"/>
                <w:right w:val="nil"/>
                <w:between w:val="nil"/>
              </w:pBdr>
              <w:ind w:left="154" w:right="144"/>
              <w:jc w:val="center"/>
              <w:rPr>
                <w:color w:val="000000"/>
                <w:sz w:val="20"/>
                <w:szCs w:val="20"/>
              </w:rPr>
            </w:pPr>
            <w:r w:rsidRPr="007F6290">
              <w:rPr>
                <w:color w:val="000000"/>
                <w:sz w:val="20"/>
                <w:szCs w:val="20"/>
              </w:rPr>
              <w:t>2026</w:t>
            </w:r>
          </w:p>
        </w:tc>
      </w:tr>
      <w:tr w:rsidR="002949E9" w:rsidRPr="007F6290" w14:paraId="4AEB7F30" w14:textId="77777777">
        <w:trPr>
          <w:trHeight w:val="239"/>
        </w:trPr>
        <w:tc>
          <w:tcPr>
            <w:tcW w:w="1702" w:type="dxa"/>
          </w:tcPr>
          <w:p w14:paraId="334BEFC0" w14:textId="77777777" w:rsidR="002949E9" w:rsidRPr="007F6290" w:rsidRDefault="002949E9">
            <w:pPr>
              <w:pBdr>
                <w:top w:val="nil"/>
                <w:left w:val="nil"/>
                <w:bottom w:val="nil"/>
                <w:right w:val="nil"/>
                <w:between w:val="nil"/>
              </w:pBdr>
              <w:ind w:left="395" w:right="387"/>
              <w:jc w:val="center"/>
              <w:rPr>
                <w:color w:val="000000"/>
                <w:sz w:val="20"/>
                <w:szCs w:val="20"/>
              </w:rPr>
            </w:pPr>
            <w:r w:rsidRPr="007F6290">
              <w:rPr>
                <w:color w:val="000000"/>
                <w:sz w:val="20"/>
                <w:szCs w:val="20"/>
              </w:rPr>
              <w:t>2025</w:t>
            </w:r>
          </w:p>
        </w:tc>
        <w:tc>
          <w:tcPr>
            <w:tcW w:w="1700" w:type="dxa"/>
          </w:tcPr>
          <w:p w14:paraId="03395E83" w14:textId="77777777" w:rsidR="002949E9" w:rsidRPr="007F6290" w:rsidRDefault="002949E9">
            <w:pPr>
              <w:pBdr>
                <w:top w:val="nil"/>
                <w:left w:val="nil"/>
                <w:bottom w:val="nil"/>
                <w:right w:val="nil"/>
                <w:between w:val="nil"/>
              </w:pBdr>
              <w:ind w:left="154" w:right="144"/>
              <w:jc w:val="center"/>
              <w:rPr>
                <w:color w:val="000000"/>
                <w:sz w:val="20"/>
                <w:szCs w:val="20"/>
              </w:rPr>
            </w:pPr>
            <w:r w:rsidRPr="007F6290">
              <w:rPr>
                <w:color w:val="000000"/>
                <w:sz w:val="20"/>
                <w:szCs w:val="20"/>
              </w:rPr>
              <w:t>2027</w:t>
            </w:r>
          </w:p>
        </w:tc>
      </w:tr>
      <w:tr w:rsidR="002949E9" w:rsidRPr="007F6290" w14:paraId="38C69E62" w14:textId="77777777" w:rsidTr="001C197F">
        <w:trPr>
          <w:trHeight w:val="239"/>
        </w:trPr>
        <w:tc>
          <w:tcPr>
            <w:tcW w:w="1702" w:type="dxa"/>
            <w:tcBorders>
              <w:bottom w:val="single" w:sz="4" w:space="0" w:color="000000"/>
            </w:tcBorders>
          </w:tcPr>
          <w:p w14:paraId="477B25BD" w14:textId="77777777" w:rsidR="002949E9" w:rsidRPr="007F6290" w:rsidRDefault="002949E9">
            <w:pPr>
              <w:pBdr>
                <w:top w:val="nil"/>
                <w:left w:val="nil"/>
                <w:bottom w:val="nil"/>
                <w:right w:val="nil"/>
                <w:between w:val="nil"/>
              </w:pBdr>
              <w:ind w:left="395" w:right="387"/>
              <w:jc w:val="center"/>
              <w:rPr>
                <w:color w:val="000000"/>
                <w:sz w:val="20"/>
                <w:szCs w:val="20"/>
              </w:rPr>
            </w:pPr>
            <w:r w:rsidRPr="007F6290">
              <w:rPr>
                <w:color w:val="000000"/>
                <w:sz w:val="20"/>
                <w:szCs w:val="20"/>
              </w:rPr>
              <w:t>2026</w:t>
            </w:r>
          </w:p>
        </w:tc>
        <w:tc>
          <w:tcPr>
            <w:tcW w:w="1700" w:type="dxa"/>
            <w:tcBorders>
              <w:bottom w:val="single" w:sz="4" w:space="0" w:color="000000"/>
            </w:tcBorders>
          </w:tcPr>
          <w:p w14:paraId="5A639136" w14:textId="77777777" w:rsidR="002949E9" w:rsidRPr="007F6290" w:rsidRDefault="002949E9">
            <w:pPr>
              <w:pBdr>
                <w:top w:val="nil"/>
                <w:left w:val="nil"/>
                <w:bottom w:val="nil"/>
                <w:right w:val="nil"/>
                <w:between w:val="nil"/>
              </w:pBdr>
              <w:ind w:left="154" w:right="144"/>
              <w:jc w:val="center"/>
              <w:rPr>
                <w:color w:val="000000"/>
                <w:sz w:val="20"/>
                <w:szCs w:val="20"/>
              </w:rPr>
            </w:pPr>
            <w:r w:rsidRPr="007F6290">
              <w:rPr>
                <w:color w:val="000000"/>
                <w:sz w:val="20"/>
                <w:szCs w:val="20"/>
              </w:rPr>
              <w:t>2028</w:t>
            </w:r>
          </w:p>
        </w:tc>
      </w:tr>
      <w:tr w:rsidR="002949E9" w:rsidRPr="007F6290" w14:paraId="30FC6BAF" w14:textId="77777777" w:rsidTr="001C197F">
        <w:trPr>
          <w:trHeight w:val="239"/>
        </w:trPr>
        <w:tc>
          <w:tcPr>
            <w:tcW w:w="1702" w:type="dxa"/>
            <w:tcBorders>
              <w:bottom w:val="single" w:sz="4" w:space="0" w:color="auto"/>
            </w:tcBorders>
          </w:tcPr>
          <w:p w14:paraId="36B6E04E" w14:textId="77777777" w:rsidR="002949E9" w:rsidRPr="007F6290" w:rsidRDefault="002949E9">
            <w:pPr>
              <w:pBdr>
                <w:top w:val="nil"/>
                <w:left w:val="nil"/>
                <w:bottom w:val="nil"/>
                <w:right w:val="nil"/>
                <w:between w:val="nil"/>
              </w:pBdr>
              <w:ind w:left="395" w:right="387"/>
              <w:jc w:val="center"/>
              <w:rPr>
                <w:color w:val="000000"/>
                <w:sz w:val="20"/>
                <w:szCs w:val="20"/>
              </w:rPr>
            </w:pPr>
            <w:r w:rsidRPr="007F6290">
              <w:rPr>
                <w:color w:val="000000"/>
                <w:sz w:val="20"/>
                <w:szCs w:val="20"/>
              </w:rPr>
              <w:t>2027</w:t>
            </w:r>
          </w:p>
        </w:tc>
        <w:tc>
          <w:tcPr>
            <w:tcW w:w="1700" w:type="dxa"/>
            <w:tcBorders>
              <w:bottom w:val="single" w:sz="4" w:space="0" w:color="auto"/>
            </w:tcBorders>
          </w:tcPr>
          <w:p w14:paraId="20C7EDD9" w14:textId="77777777" w:rsidR="002949E9" w:rsidRPr="007F6290" w:rsidRDefault="002949E9">
            <w:pPr>
              <w:pBdr>
                <w:top w:val="nil"/>
                <w:left w:val="nil"/>
                <w:bottom w:val="nil"/>
                <w:right w:val="nil"/>
                <w:between w:val="nil"/>
              </w:pBdr>
              <w:ind w:left="154" w:right="144"/>
              <w:jc w:val="center"/>
              <w:rPr>
                <w:color w:val="000000"/>
                <w:sz w:val="20"/>
                <w:szCs w:val="20"/>
              </w:rPr>
            </w:pPr>
            <w:r w:rsidRPr="007F6290">
              <w:rPr>
                <w:color w:val="000000"/>
                <w:sz w:val="20"/>
                <w:szCs w:val="20"/>
              </w:rPr>
              <w:t>2029</w:t>
            </w:r>
          </w:p>
        </w:tc>
      </w:tr>
    </w:tbl>
    <w:p w14:paraId="5EBBE7D9" w14:textId="77777777" w:rsidR="002949E9" w:rsidRPr="007F6290" w:rsidRDefault="002949E9" w:rsidP="002949E9">
      <w:pPr>
        <w:pBdr>
          <w:top w:val="nil"/>
          <w:left w:val="nil"/>
          <w:bottom w:val="nil"/>
          <w:right w:val="nil"/>
          <w:between w:val="nil"/>
        </w:pBdr>
        <w:rPr>
          <w:color w:val="000000"/>
          <w:sz w:val="12"/>
          <w:szCs w:val="12"/>
        </w:rPr>
      </w:pPr>
    </w:p>
    <w:p w14:paraId="69BA506A" w14:textId="6E0B027A" w:rsidR="002949E9" w:rsidRPr="007F6290" w:rsidRDefault="002949E9" w:rsidP="003F4991">
      <w:pPr>
        <w:pBdr>
          <w:top w:val="nil"/>
          <w:left w:val="nil"/>
          <w:bottom w:val="nil"/>
          <w:right w:val="nil"/>
          <w:between w:val="nil"/>
        </w:pBdr>
        <w:ind w:left="488" w:right="-1"/>
        <w:jc w:val="both"/>
        <w:rPr>
          <w:color w:val="000000"/>
          <w:sz w:val="20"/>
          <w:szCs w:val="20"/>
        </w:rPr>
      </w:pPr>
      <w:r w:rsidRPr="007F6290">
        <w:rPr>
          <w:color w:val="000000"/>
          <w:sz w:val="20"/>
          <w:szCs w:val="20"/>
        </w:rPr>
        <w:t xml:space="preserve">However, the maximum underage that a CPC may </w:t>
      </w:r>
      <w:proofErr w:type="gramStart"/>
      <w:r w:rsidRPr="007F6290">
        <w:rPr>
          <w:color w:val="000000"/>
          <w:sz w:val="20"/>
          <w:szCs w:val="20"/>
        </w:rPr>
        <w:t>carryover</w:t>
      </w:r>
      <w:proofErr w:type="gramEnd"/>
      <w:r w:rsidRPr="007F6290">
        <w:rPr>
          <w:color w:val="000000"/>
          <w:sz w:val="20"/>
          <w:szCs w:val="20"/>
        </w:rPr>
        <w:t xml:space="preserve"> in any given year shall not exceed 15% of its initial catch limit (as specified in paragraph </w:t>
      </w:r>
      <w:r w:rsidR="00804E20" w:rsidRPr="007F6290">
        <w:rPr>
          <w:color w:val="000000"/>
          <w:sz w:val="20"/>
          <w:szCs w:val="20"/>
        </w:rPr>
        <w:t>7</w:t>
      </w:r>
      <w:r w:rsidRPr="007F6290">
        <w:rPr>
          <w:color w:val="000000"/>
          <w:sz w:val="20"/>
          <w:szCs w:val="20"/>
        </w:rPr>
        <w:t xml:space="preserve"> and excluding quota transfers) for those CPCs holding catch limits more than 500 t, and 40% for other CPCs.</w:t>
      </w:r>
    </w:p>
    <w:p w14:paraId="43C393A7" w14:textId="77777777" w:rsidR="000061BE" w:rsidRPr="007F6290" w:rsidRDefault="000061BE" w:rsidP="002949E9">
      <w:pPr>
        <w:pBdr>
          <w:top w:val="nil"/>
          <w:left w:val="nil"/>
          <w:bottom w:val="nil"/>
          <w:right w:val="nil"/>
          <w:between w:val="nil"/>
        </w:pBdr>
        <w:rPr>
          <w:color w:val="000000"/>
          <w:sz w:val="20"/>
          <w:szCs w:val="20"/>
        </w:rPr>
      </w:pPr>
    </w:p>
    <w:p w14:paraId="79919B14" w14:textId="77777777" w:rsidR="002949E9" w:rsidRPr="007F6290" w:rsidRDefault="002949E9" w:rsidP="003F4991">
      <w:pPr>
        <w:numPr>
          <w:ilvl w:val="0"/>
          <w:numId w:val="1"/>
        </w:numPr>
        <w:pBdr>
          <w:top w:val="nil"/>
          <w:left w:val="nil"/>
          <w:bottom w:val="nil"/>
          <w:right w:val="nil"/>
          <w:between w:val="nil"/>
        </w:pBdr>
        <w:tabs>
          <w:tab w:val="left" w:pos="836"/>
          <w:tab w:val="left" w:pos="838"/>
        </w:tabs>
        <w:ind w:left="426" w:hanging="426"/>
        <w:jc w:val="both"/>
        <w:rPr>
          <w:color w:val="000000"/>
          <w:sz w:val="20"/>
          <w:szCs w:val="20"/>
        </w:rPr>
      </w:pPr>
      <w:r w:rsidRPr="007F6290">
        <w:rPr>
          <w:color w:val="000000"/>
          <w:sz w:val="20"/>
          <w:szCs w:val="20"/>
        </w:rPr>
        <w:t xml:space="preserve">If Japan’s landings exceed its catch limits in any year, the overage shall be deducted in subsequent years so that total landings for Japan shall not exceed its total catch limits for the three-year period commencing in 2025. When annual landings by Japan are less than its catch limits during this period, the underage may be added to the subsequent years’ catch limits, so that total landings by Japan do not exceed its total for the same three-year period. Any overages from a three-year management period, including for 2025-2027, shall be applied to the subsequent three-year management period. Any </w:t>
      </w:r>
      <w:proofErr w:type="spellStart"/>
      <w:r w:rsidRPr="007F6290">
        <w:rPr>
          <w:color w:val="000000"/>
          <w:sz w:val="20"/>
          <w:szCs w:val="20"/>
        </w:rPr>
        <w:t>underages</w:t>
      </w:r>
      <w:proofErr w:type="spellEnd"/>
      <w:r w:rsidRPr="007F6290">
        <w:rPr>
          <w:color w:val="000000"/>
          <w:sz w:val="20"/>
          <w:szCs w:val="20"/>
        </w:rPr>
        <w:t xml:space="preserve"> from a three-year management period, including for 2025-2027, may be applied to the subsequent three-year management period if </w:t>
      </w:r>
      <w:proofErr w:type="gramStart"/>
      <w:r w:rsidRPr="007F6290">
        <w:rPr>
          <w:color w:val="000000"/>
          <w:sz w:val="20"/>
          <w:szCs w:val="20"/>
        </w:rPr>
        <w:t>so</w:t>
      </w:r>
      <w:proofErr w:type="gramEnd"/>
      <w:r w:rsidRPr="007F6290">
        <w:rPr>
          <w:color w:val="000000"/>
          <w:sz w:val="20"/>
          <w:szCs w:val="20"/>
        </w:rPr>
        <w:t xml:space="preserve"> decided by the Commission.</w:t>
      </w:r>
    </w:p>
    <w:p w14:paraId="2912B224" w14:textId="45034E3C" w:rsidR="002949E9" w:rsidRPr="007F6290" w:rsidRDefault="002949E9" w:rsidP="002949E9">
      <w:pPr>
        <w:tabs>
          <w:tab w:val="left" w:pos="542"/>
          <w:tab w:val="left" w:pos="544"/>
        </w:tabs>
        <w:spacing w:line="244" w:lineRule="auto"/>
        <w:ind w:left="544" w:right="114"/>
        <w:jc w:val="center"/>
        <w:rPr>
          <w:b/>
          <w:color w:val="000000"/>
          <w:sz w:val="20"/>
          <w:szCs w:val="20"/>
        </w:rPr>
      </w:pPr>
      <w:r w:rsidRPr="007F6290">
        <w:rPr>
          <w:b/>
          <w:color w:val="000000"/>
          <w:sz w:val="20"/>
          <w:szCs w:val="20"/>
        </w:rPr>
        <w:t>PART IV</w:t>
      </w:r>
    </w:p>
    <w:p w14:paraId="4D48D642" w14:textId="71CE0909" w:rsidR="002949E9" w:rsidRPr="007F6290" w:rsidRDefault="000B54AA" w:rsidP="002949E9">
      <w:pPr>
        <w:tabs>
          <w:tab w:val="left" w:pos="542"/>
          <w:tab w:val="left" w:pos="544"/>
        </w:tabs>
        <w:spacing w:line="244" w:lineRule="auto"/>
        <w:ind w:left="544" w:right="114"/>
        <w:jc w:val="center"/>
        <w:rPr>
          <w:b/>
          <w:color w:val="000000"/>
          <w:sz w:val="20"/>
          <w:szCs w:val="20"/>
        </w:rPr>
      </w:pPr>
      <w:r w:rsidRPr="007F6290">
        <w:rPr>
          <w:b/>
          <w:color w:val="000000"/>
          <w:sz w:val="20"/>
          <w:szCs w:val="20"/>
        </w:rPr>
        <w:t>CONTROL MEASURES</w:t>
      </w:r>
    </w:p>
    <w:p w14:paraId="7E50913E" w14:textId="77777777" w:rsidR="002949E9" w:rsidRPr="007F6290" w:rsidRDefault="002949E9" w:rsidP="002949E9">
      <w:pPr>
        <w:tabs>
          <w:tab w:val="left" w:pos="542"/>
          <w:tab w:val="left" w:pos="544"/>
        </w:tabs>
        <w:spacing w:line="244" w:lineRule="auto"/>
        <w:ind w:left="544" w:right="114"/>
        <w:jc w:val="center"/>
        <w:rPr>
          <w:color w:val="000000"/>
          <w:sz w:val="20"/>
          <w:szCs w:val="20"/>
        </w:rPr>
      </w:pPr>
    </w:p>
    <w:p w14:paraId="73E0ED9C" w14:textId="0FAA8AAB" w:rsidR="002949E9" w:rsidRPr="007F6290" w:rsidRDefault="002949E9" w:rsidP="002949E9">
      <w:pPr>
        <w:tabs>
          <w:tab w:val="left" w:pos="542"/>
          <w:tab w:val="left" w:pos="544"/>
        </w:tabs>
        <w:spacing w:line="244" w:lineRule="auto"/>
        <w:ind w:right="114"/>
        <w:rPr>
          <w:b/>
          <w:sz w:val="20"/>
          <w:szCs w:val="20"/>
        </w:rPr>
      </w:pPr>
      <w:r w:rsidRPr="007F6290">
        <w:rPr>
          <w:b/>
          <w:sz w:val="20"/>
          <w:szCs w:val="20"/>
        </w:rPr>
        <w:t>Specific authorization to fish for North Atlantic swordfish and ICCAT record of vessels</w:t>
      </w:r>
      <w:r w:rsidR="009C4000" w:rsidRPr="007F6290">
        <w:rPr>
          <w:b/>
          <w:sz w:val="20"/>
          <w:szCs w:val="20"/>
        </w:rPr>
        <w:t xml:space="preserve"> </w:t>
      </w:r>
    </w:p>
    <w:p w14:paraId="17085DB4" w14:textId="77777777" w:rsidR="002949E9" w:rsidRPr="007F6290" w:rsidRDefault="002949E9" w:rsidP="002949E9">
      <w:pPr>
        <w:tabs>
          <w:tab w:val="left" w:pos="542"/>
          <w:tab w:val="left" w:pos="544"/>
        </w:tabs>
        <w:spacing w:line="244" w:lineRule="auto"/>
        <w:ind w:left="544" w:right="114"/>
        <w:jc w:val="center"/>
        <w:rPr>
          <w:b/>
          <w:sz w:val="20"/>
          <w:szCs w:val="20"/>
        </w:rPr>
      </w:pPr>
    </w:p>
    <w:p w14:paraId="36FF88C0" w14:textId="4283BFBA" w:rsidR="002949E9" w:rsidRPr="007F6290" w:rsidRDefault="002949E9" w:rsidP="003F4991">
      <w:pPr>
        <w:numPr>
          <w:ilvl w:val="0"/>
          <w:numId w:val="1"/>
        </w:numPr>
        <w:pBdr>
          <w:top w:val="nil"/>
          <w:left w:val="nil"/>
          <w:bottom w:val="nil"/>
          <w:right w:val="nil"/>
          <w:between w:val="nil"/>
        </w:pBdr>
        <w:tabs>
          <w:tab w:val="left" w:pos="836"/>
          <w:tab w:val="left" w:pos="838"/>
        </w:tabs>
        <w:ind w:left="426" w:hanging="426"/>
        <w:jc w:val="both"/>
        <w:rPr>
          <w:color w:val="000000"/>
          <w:sz w:val="20"/>
          <w:szCs w:val="20"/>
        </w:rPr>
      </w:pPr>
      <w:r w:rsidRPr="007F6290">
        <w:rPr>
          <w:color w:val="000000"/>
          <w:sz w:val="20"/>
          <w:szCs w:val="20"/>
        </w:rPr>
        <w:t xml:space="preserve">CPCs shall issue specific authorizations to vessels 20 meters LOA or greater flying their flag that are authorized to fish for North Atlantic swordfish in the Convention area. Each CPC shall indicate which of such vessels it </w:t>
      </w:r>
      <w:proofErr w:type="gramStart"/>
      <w:r w:rsidRPr="007F6290">
        <w:rPr>
          <w:color w:val="000000"/>
          <w:sz w:val="20"/>
          <w:szCs w:val="20"/>
        </w:rPr>
        <w:t>has so</w:t>
      </w:r>
      <w:proofErr w:type="gramEnd"/>
      <w:r w:rsidRPr="007F6290">
        <w:rPr>
          <w:color w:val="000000"/>
          <w:sz w:val="20"/>
          <w:szCs w:val="20"/>
        </w:rPr>
        <w:t xml:space="preserve"> authorized on its vessel list submitted pursuant to the </w:t>
      </w:r>
      <w:r w:rsidRPr="007F6290">
        <w:rPr>
          <w:i/>
          <w:color w:val="000000"/>
          <w:sz w:val="20"/>
          <w:szCs w:val="20"/>
        </w:rPr>
        <w:t xml:space="preserve">Recommendation by ICCAT </w:t>
      </w:r>
      <w:r w:rsidR="000E1DE2" w:rsidRPr="007F6290">
        <w:rPr>
          <w:i/>
          <w:color w:val="000000"/>
          <w:sz w:val="20"/>
          <w:szCs w:val="20"/>
        </w:rPr>
        <w:t>a</w:t>
      </w:r>
      <w:r w:rsidRPr="007F6290">
        <w:rPr>
          <w:i/>
          <w:color w:val="000000"/>
          <w:sz w:val="20"/>
          <w:szCs w:val="20"/>
        </w:rPr>
        <w:t xml:space="preserve">mending Recommendation 13-13 </w:t>
      </w:r>
      <w:r w:rsidR="000E1DE2" w:rsidRPr="007F6290">
        <w:rPr>
          <w:i/>
          <w:color w:val="000000"/>
          <w:sz w:val="20"/>
          <w:szCs w:val="20"/>
        </w:rPr>
        <w:t>c</w:t>
      </w:r>
      <w:r w:rsidRPr="007F6290">
        <w:rPr>
          <w:i/>
          <w:color w:val="000000"/>
          <w:sz w:val="20"/>
          <w:szCs w:val="20"/>
        </w:rPr>
        <w:t xml:space="preserve">oncerning the </w:t>
      </w:r>
      <w:r w:rsidR="000E1DE2" w:rsidRPr="007F6290">
        <w:rPr>
          <w:i/>
          <w:color w:val="000000"/>
          <w:sz w:val="20"/>
          <w:szCs w:val="20"/>
        </w:rPr>
        <w:t>e</w:t>
      </w:r>
      <w:r w:rsidRPr="007F6290">
        <w:rPr>
          <w:i/>
          <w:color w:val="000000"/>
          <w:sz w:val="20"/>
          <w:szCs w:val="20"/>
        </w:rPr>
        <w:t>stablishment of an ICCAT Record of Vessels 20</w:t>
      </w:r>
      <w:r w:rsidR="00EE3109" w:rsidRPr="007F6290">
        <w:rPr>
          <w:i/>
          <w:color w:val="000000"/>
          <w:sz w:val="20"/>
          <w:szCs w:val="20"/>
        </w:rPr>
        <w:t> </w:t>
      </w:r>
      <w:r w:rsidRPr="007F6290">
        <w:rPr>
          <w:i/>
          <w:color w:val="000000"/>
          <w:sz w:val="20"/>
          <w:szCs w:val="20"/>
        </w:rPr>
        <w:t xml:space="preserve">meters in Length Overall or </w:t>
      </w:r>
      <w:r w:rsidR="00EE3109" w:rsidRPr="007F6290">
        <w:rPr>
          <w:i/>
          <w:color w:val="000000"/>
          <w:sz w:val="20"/>
          <w:szCs w:val="20"/>
        </w:rPr>
        <w:t>g</w:t>
      </w:r>
      <w:r w:rsidRPr="007F6290">
        <w:rPr>
          <w:i/>
          <w:color w:val="000000"/>
          <w:sz w:val="20"/>
          <w:szCs w:val="20"/>
        </w:rPr>
        <w:t xml:space="preserve">reater </w:t>
      </w:r>
      <w:r w:rsidR="00EE3109" w:rsidRPr="007F6290">
        <w:rPr>
          <w:i/>
          <w:color w:val="000000"/>
          <w:sz w:val="20"/>
          <w:szCs w:val="20"/>
        </w:rPr>
        <w:t>a</w:t>
      </w:r>
      <w:r w:rsidRPr="007F6290">
        <w:rPr>
          <w:i/>
          <w:color w:val="000000"/>
          <w:sz w:val="20"/>
          <w:szCs w:val="20"/>
        </w:rPr>
        <w:t xml:space="preserve">uthorized to </w:t>
      </w:r>
      <w:r w:rsidR="00EE3109" w:rsidRPr="007F6290">
        <w:rPr>
          <w:i/>
          <w:color w:val="000000"/>
          <w:sz w:val="20"/>
          <w:szCs w:val="20"/>
        </w:rPr>
        <w:t>o</w:t>
      </w:r>
      <w:r w:rsidRPr="007F6290">
        <w:rPr>
          <w:i/>
          <w:color w:val="000000"/>
          <w:sz w:val="20"/>
          <w:szCs w:val="20"/>
        </w:rPr>
        <w:t xml:space="preserve">perate in the Convention </w:t>
      </w:r>
      <w:r w:rsidR="00EE3109" w:rsidRPr="007F6290">
        <w:rPr>
          <w:i/>
          <w:color w:val="000000"/>
          <w:sz w:val="20"/>
          <w:szCs w:val="20"/>
        </w:rPr>
        <w:t>a</w:t>
      </w:r>
      <w:r w:rsidRPr="007F6290">
        <w:rPr>
          <w:i/>
          <w:color w:val="000000"/>
          <w:sz w:val="20"/>
          <w:szCs w:val="20"/>
        </w:rPr>
        <w:t xml:space="preserve">rea </w:t>
      </w:r>
      <w:r w:rsidRPr="007F6290">
        <w:rPr>
          <w:color w:val="000000"/>
          <w:sz w:val="20"/>
          <w:szCs w:val="20"/>
        </w:rPr>
        <w:t xml:space="preserve">(Rec. 21-14). Such vessels not entered into this record or entered without the required indication that fishing for North Atlantic swordfish is authorized are deemed not to be authorized to fish for, retain on board, </w:t>
      </w:r>
      <w:proofErr w:type="gramStart"/>
      <w:r w:rsidRPr="007F6290">
        <w:rPr>
          <w:color w:val="000000"/>
          <w:sz w:val="20"/>
          <w:szCs w:val="20"/>
        </w:rPr>
        <w:t>transship</w:t>
      </w:r>
      <w:proofErr w:type="gramEnd"/>
      <w:r w:rsidRPr="007F6290">
        <w:rPr>
          <w:color w:val="000000"/>
          <w:sz w:val="20"/>
          <w:szCs w:val="20"/>
        </w:rPr>
        <w:t>, transport, transfer, process or land North Atlantic swordfish.</w:t>
      </w:r>
    </w:p>
    <w:p w14:paraId="042DF6BC" w14:textId="77777777" w:rsidR="002949E9" w:rsidRPr="007F6290" w:rsidRDefault="002949E9" w:rsidP="002949E9">
      <w:pPr>
        <w:pBdr>
          <w:top w:val="nil"/>
          <w:left w:val="nil"/>
          <w:bottom w:val="nil"/>
          <w:right w:val="nil"/>
          <w:between w:val="nil"/>
        </w:pBdr>
        <w:tabs>
          <w:tab w:val="left" w:pos="542"/>
          <w:tab w:val="left" w:pos="544"/>
        </w:tabs>
        <w:spacing w:line="244" w:lineRule="auto"/>
        <w:ind w:left="544" w:right="115"/>
        <w:jc w:val="both"/>
        <w:rPr>
          <w:sz w:val="20"/>
          <w:szCs w:val="20"/>
        </w:rPr>
      </w:pPr>
    </w:p>
    <w:p w14:paraId="4A58EC08" w14:textId="6275D688" w:rsidR="002949E9" w:rsidRPr="007F6290" w:rsidRDefault="00D25840" w:rsidP="003F4991">
      <w:pPr>
        <w:numPr>
          <w:ilvl w:val="0"/>
          <w:numId w:val="1"/>
        </w:numPr>
        <w:pBdr>
          <w:top w:val="nil"/>
          <w:left w:val="nil"/>
          <w:bottom w:val="nil"/>
          <w:right w:val="nil"/>
          <w:between w:val="nil"/>
        </w:pBdr>
        <w:tabs>
          <w:tab w:val="left" w:pos="836"/>
          <w:tab w:val="left" w:pos="838"/>
        </w:tabs>
        <w:ind w:left="426" w:hanging="426"/>
        <w:jc w:val="both"/>
        <w:rPr>
          <w:b/>
          <w:sz w:val="20"/>
          <w:szCs w:val="20"/>
        </w:rPr>
      </w:pPr>
      <w:r w:rsidRPr="007F6290">
        <w:rPr>
          <w:color w:val="212121"/>
          <w:sz w:val="20"/>
          <w:szCs w:val="20"/>
        </w:rPr>
        <w:t>CPCs may allow bycatch of North Atlantic swordfish by vessels not authorized to fish for North Atlantic swordfish pursuant to paragraph 13, if the CPC establishes a maximum</w:t>
      </w:r>
      <w:r w:rsidR="001038EB" w:rsidRPr="007F6290">
        <w:rPr>
          <w:color w:val="212121"/>
          <w:sz w:val="20"/>
          <w:szCs w:val="20"/>
        </w:rPr>
        <w:t xml:space="preserve"> per trip</w:t>
      </w:r>
      <w:r w:rsidRPr="007F6290">
        <w:rPr>
          <w:color w:val="212121"/>
          <w:sz w:val="20"/>
          <w:szCs w:val="20"/>
        </w:rPr>
        <w:t xml:space="preserve"> onboard bycatch limit for such vessels and the bycatch in question is accounted for within the CPC's quota or catch limit. Each CPC shall provide in its Annual </w:t>
      </w:r>
      <w:proofErr w:type="gramStart"/>
      <w:r w:rsidRPr="007F6290">
        <w:rPr>
          <w:color w:val="212121"/>
          <w:sz w:val="20"/>
          <w:szCs w:val="20"/>
        </w:rPr>
        <w:t>Report</w:t>
      </w:r>
      <w:proofErr w:type="gramEnd"/>
      <w:r w:rsidRPr="007F6290">
        <w:rPr>
          <w:color w:val="212121"/>
          <w:sz w:val="20"/>
          <w:szCs w:val="20"/>
        </w:rPr>
        <w:t xml:space="preserve"> the maximum</w:t>
      </w:r>
      <w:r w:rsidR="001038EB" w:rsidRPr="007F6290">
        <w:rPr>
          <w:color w:val="212121"/>
          <w:sz w:val="20"/>
          <w:szCs w:val="20"/>
        </w:rPr>
        <w:t xml:space="preserve"> per trip</w:t>
      </w:r>
      <w:r w:rsidRPr="007F6290">
        <w:rPr>
          <w:color w:val="212121"/>
          <w:sz w:val="20"/>
          <w:szCs w:val="20"/>
        </w:rPr>
        <w:t xml:space="preserve"> bycatch limit it allows for such vessels</w:t>
      </w:r>
      <w:r w:rsidR="001038EB" w:rsidRPr="007F6290">
        <w:rPr>
          <w:color w:val="212121"/>
          <w:sz w:val="20"/>
          <w:szCs w:val="20"/>
        </w:rPr>
        <w:t xml:space="preserve"> and the total amount of North Atlantic swordfish harvested as bycatch</w:t>
      </w:r>
      <w:r w:rsidRPr="007F6290">
        <w:rPr>
          <w:color w:val="212121"/>
          <w:sz w:val="20"/>
          <w:szCs w:val="20"/>
        </w:rPr>
        <w:t>. That information shall be compiled by the ICCAT Secretariat and made available to CPCs.</w:t>
      </w:r>
      <w:r w:rsidR="002949E9" w:rsidRPr="007F6290">
        <w:rPr>
          <w:b/>
          <w:sz w:val="20"/>
          <w:szCs w:val="20"/>
        </w:rPr>
        <w:t xml:space="preserve">  </w:t>
      </w:r>
    </w:p>
    <w:p w14:paraId="0E70253A" w14:textId="77777777" w:rsidR="00D25840" w:rsidRPr="007F6290" w:rsidRDefault="00D25840" w:rsidP="00D25840">
      <w:pPr>
        <w:tabs>
          <w:tab w:val="left" w:pos="542"/>
          <w:tab w:val="left" w:pos="544"/>
        </w:tabs>
        <w:spacing w:line="244" w:lineRule="auto"/>
        <w:ind w:right="114"/>
        <w:rPr>
          <w:b/>
          <w:sz w:val="20"/>
          <w:szCs w:val="20"/>
        </w:rPr>
      </w:pPr>
    </w:p>
    <w:p w14:paraId="5063DBED" w14:textId="77777777" w:rsidR="002949E9" w:rsidRPr="007F6290" w:rsidRDefault="002949E9" w:rsidP="002949E9">
      <w:pPr>
        <w:tabs>
          <w:tab w:val="left" w:pos="542"/>
          <w:tab w:val="left" w:pos="544"/>
        </w:tabs>
        <w:spacing w:line="244" w:lineRule="auto"/>
        <w:ind w:right="114"/>
        <w:rPr>
          <w:b/>
          <w:sz w:val="20"/>
          <w:szCs w:val="20"/>
        </w:rPr>
      </w:pPr>
      <w:r w:rsidRPr="007F6290">
        <w:rPr>
          <w:b/>
          <w:sz w:val="20"/>
          <w:szCs w:val="20"/>
        </w:rPr>
        <w:t>Minimum sizes</w:t>
      </w:r>
    </w:p>
    <w:p w14:paraId="21F8F7F4" w14:textId="77777777" w:rsidR="002949E9" w:rsidRPr="007F6290" w:rsidRDefault="002949E9" w:rsidP="002949E9">
      <w:pPr>
        <w:pBdr>
          <w:top w:val="nil"/>
          <w:left w:val="nil"/>
          <w:bottom w:val="nil"/>
          <w:right w:val="nil"/>
          <w:between w:val="nil"/>
        </w:pBdr>
        <w:spacing w:before="10"/>
        <w:rPr>
          <w:color w:val="000000"/>
          <w:sz w:val="20"/>
          <w:szCs w:val="20"/>
        </w:rPr>
      </w:pPr>
    </w:p>
    <w:p w14:paraId="674D11D9" w14:textId="75E9ACF0" w:rsidR="002949E9" w:rsidRPr="007F6290" w:rsidRDefault="002949E9" w:rsidP="003F4991">
      <w:pPr>
        <w:numPr>
          <w:ilvl w:val="0"/>
          <w:numId w:val="1"/>
        </w:numPr>
        <w:pBdr>
          <w:top w:val="nil"/>
          <w:left w:val="nil"/>
          <w:bottom w:val="nil"/>
          <w:right w:val="nil"/>
          <w:between w:val="nil"/>
        </w:pBdr>
        <w:tabs>
          <w:tab w:val="left" w:pos="836"/>
          <w:tab w:val="left" w:pos="838"/>
        </w:tabs>
        <w:ind w:left="426" w:hanging="426"/>
        <w:jc w:val="both"/>
        <w:rPr>
          <w:color w:val="000000"/>
          <w:sz w:val="20"/>
          <w:szCs w:val="20"/>
        </w:rPr>
      </w:pPr>
      <w:r w:rsidRPr="007F6290">
        <w:rPr>
          <w:color w:val="000000"/>
          <w:sz w:val="20"/>
          <w:szCs w:val="20"/>
        </w:rPr>
        <w:t>In order to protect small swordfish, CPCs shall take the necessary measures to prohibit the taking of and landing of swordfish weighing less than 25 kg live weight, or in the alternative, 125 cm or less lower jaw fork length (LJFL); however, the CPCs may grant tolerances to boats which have incidentally captured small fish, with the condition that this incidental catch shall not exceed 15</w:t>
      </w:r>
      <w:r w:rsidR="00033C0B" w:rsidRPr="007F6290">
        <w:rPr>
          <w:color w:val="000000"/>
          <w:sz w:val="20"/>
          <w:szCs w:val="20"/>
        </w:rPr>
        <w:t> </w:t>
      </w:r>
      <w:r w:rsidRPr="007F6290">
        <w:rPr>
          <w:color w:val="000000"/>
          <w:sz w:val="20"/>
          <w:szCs w:val="20"/>
        </w:rPr>
        <w:t>percent of the number of swordfish per landing of the total swordfish catch of said boats.</w:t>
      </w:r>
    </w:p>
    <w:p w14:paraId="12B2933E" w14:textId="77777777" w:rsidR="002949E9" w:rsidRPr="007F6290" w:rsidRDefault="002949E9" w:rsidP="002949E9">
      <w:pPr>
        <w:pBdr>
          <w:top w:val="nil"/>
          <w:left w:val="nil"/>
          <w:bottom w:val="nil"/>
          <w:right w:val="nil"/>
          <w:between w:val="nil"/>
        </w:pBdr>
        <w:tabs>
          <w:tab w:val="left" w:pos="542"/>
          <w:tab w:val="left" w:pos="544"/>
        </w:tabs>
        <w:spacing w:line="244" w:lineRule="auto"/>
        <w:ind w:left="544" w:right="116"/>
        <w:jc w:val="both"/>
        <w:rPr>
          <w:sz w:val="20"/>
          <w:szCs w:val="20"/>
        </w:rPr>
      </w:pPr>
    </w:p>
    <w:p w14:paraId="67C76A18" w14:textId="376B02E6" w:rsidR="002949E9" w:rsidRPr="007F6290" w:rsidRDefault="002949E9" w:rsidP="003F4991">
      <w:pPr>
        <w:numPr>
          <w:ilvl w:val="0"/>
          <w:numId w:val="1"/>
        </w:numPr>
        <w:pBdr>
          <w:top w:val="nil"/>
          <w:left w:val="nil"/>
          <w:bottom w:val="nil"/>
          <w:right w:val="nil"/>
          <w:between w:val="nil"/>
        </w:pBdr>
        <w:tabs>
          <w:tab w:val="left" w:pos="836"/>
          <w:tab w:val="left" w:pos="838"/>
        </w:tabs>
        <w:ind w:left="426" w:hanging="426"/>
        <w:jc w:val="both"/>
        <w:rPr>
          <w:color w:val="000000"/>
          <w:sz w:val="20"/>
          <w:szCs w:val="20"/>
        </w:rPr>
      </w:pPr>
      <w:r w:rsidRPr="007F6290">
        <w:rPr>
          <w:color w:val="000000"/>
          <w:sz w:val="20"/>
          <w:szCs w:val="20"/>
        </w:rPr>
        <w:t>Notwithstanding the provisions of paragraph 1</w:t>
      </w:r>
      <w:r w:rsidR="000F4804" w:rsidRPr="007F6290">
        <w:rPr>
          <w:color w:val="000000"/>
          <w:sz w:val="20"/>
          <w:szCs w:val="20"/>
        </w:rPr>
        <w:t>5</w:t>
      </w:r>
      <w:r w:rsidRPr="007F6290">
        <w:rPr>
          <w:color w:val="000000"/>
          <w:sz w:val="20"/>
          <w:szCs w:val="20"/>
        </w:rPr>
        <w:t>, any CPC may choose, as an alternative to the minimum size of 25 kg/125 cm LJFL, to take the necessary measures to prohibit the taking by its vessels in the Atlantic Ocean, as well as the landing and sale in its jurisdiction, of swordfish (and swordfish parts), less than 15</w:t>
      </w:r>
      <w:r w:rsidR="00410B57" w:rsidRPr="007F6290">
        <w:rPr>
          <w:color w:val="000000"/>
          <w:sz w:val="20"/>
          <w:szCs w:val="20"/>
        </w:rPr>
        <w:t xml:space="preserve"> </w:t>
      </w:r>
      <w:r w:rsidRPr="007F6290">
        <w:rPr>
          <w:color w:val="000000"/>
          <w:sz w:val="20"/>
          <w:szCs w:val="20"/>
        </w:rPr>
        <w:t>kg/119 cm LJFL, provided that, if this alternative is chosen, no tolerance of swordfish smaller than 119</w:t>
      </w:r>
      <w:r w:rsidR="00763EA8" w:rsidRPr="007F6290">
        <w:rPr>
          <w:color w:val="000000"/>
          <w:sz w:val="20"/>
          <w:szCs w:val="20"/>
        </w:rPr>
        <w:t xml:space="preserve"> cm</w:t>
      </w:r>
      <w:r w:rsidRPr="007F6290">
        <w:rPr>
          <w:color w:val="000000"/>
          <w:sz w:val="20"/>
          <w:szCs w:val="20"/>
        </w:rPr>
        <w:t xml:space="preserve"> LJFL, or in the alternative 15 kg, shall be allowed. For swordfish that have been dressed, a cleithrum to keel (CK) measurement of 63 cm can also be applied. A CPC that chooses this alternative minimum size shall require appropriate record keeping of discards. The SCRS should continue to monitor and analyze the effects of this measure on the mortality of immature swordfish.</w:t>
      </w:r>
    </w:p>
    <w:p w14:paraId="6F76ABAE" w14:textId="77777777" w:rsidR="00FF1766" w:rsidRPr="007F6290" w:rsidRDefault="00FF1766" w:rsidP="002949E9">
      <w:pPr>
        <w:tabs>
          <w:tab w:val="left" w:pos="544"/>
        </w:tabs>
        <w:spacing w:line="244" w:lineRule="auto"/>
        <w:ind w:left="544" w:right="117"/>
        <w:jc w:val="center"/>
        <w:rPr>
          <w:b/>
          <w:sz w:val="12"/>
          <w:szCs w:val="12"/>
        </w:rPr>
      </w:pPr>
    </w:p>
    <w:p w14:paraId="2CA7FA71" w14:textId="6BE5F1B5" w:rsidR="002949E9" w:rsidRPr="007F6290" w:rsidRDefault="002949E9" w:rsidP="002949E9">
      <w:pPr>
        <w:tabs>
          <w:tab w:val="left" w:pos="544"/>
        </w:tabs>
        <w:spacing w:line="244" w:lineRule="auto"/>
        <w:ind w:left="544" w:right="117"/>
        <w:jc w:val="center"/>
        <w:rPr>
          <w:b/>
          <w:sz w:val="20"/>
          <w:szCs w:val="20"/>
        </w:rPr>
      </w:pPr>
      <w:r w:rsidRPr="007F6290">
        <w:rPr>
          <w:b/>
          <w:sz w:val="20"/>
          <w:szCs w:val="20"/>
        </w:rPr>
        <w:t>PART V</w:t>
      </w:r>
    </w:p>
    <w:p w14:paraId="433F8263" w14:textId="29C38D1B" w:rsidR="002949E9" w:rsidRPr="007F6290" w:rsidRDefault="000B54AA" w:rsidP="00033C0B">
      <w:pPr>
        <w:spacing w:line="244" w:lineRule="auto"/>
        <w:ind w:left="544" w:right="117"/>
        <w:jc w:val="center"/>
        <w:rPr>
          <w:b/>
          <w:sz w:val="20"/>
          <w:szCs w:val="20"/>
        </w:rPr>
      </w:pPr>
      <w:r w:rsidRPr="007F6290">
        <w:rPr>
          <w:b/>
          <w:sz w:val="20"/>
          <w:szCs w:val="20"/>
        </w:rPr>
        <w:t>SCIENTIFIC RESEARCH AND DATA REPORTING REQUIREMENTS</w:t>
      </w:r>
    </w:p>
    <w:p w14:paraId="7679F8C9" w14:textId="77777777" w:rsidR="002949E9" w:rsidRPr="007F6290" w:rsidRDefault="002949E9" w:rsidP="00033C0B">
      <w:pPr>
        <w:spacing w:line="244" w:lineRule="auto"/>
        <w:ind w:left="544" w:right="117"/>
        <w:jc w:val="center"/>
        <w:rPr>
          <w:b/>
          <w:sz w:val="12"/>
          <w:szCs w:val="12"/>
        </w:rPr>
      </w:pPr>
    </w:p>
    <w:p w14:paraId="404A3BA5" w14:textId="16745160" w:rsidR="002949E9" w:rsidRPr="007F6290" w:rsidRDefault="002949E9" w:rsidP="003F4991">
      <w:pPr>
        <w:numPr>
          <w:ilvl w:val="0"/>
          <w:numId w:val="1"/>
        </w:numPr>
        <w:pBdr>
          <w:top w:val="nil"/>
          <w:left w:val="nil"/>
          <w:bottom w:val="nil"/>
          <w:right w:val="nil"/>
          <w:between w:val="nil"/>
        </w:pBdr>
        <w:tabs>
          <w:tab w:val="left" w:pos="836"/>
          <w:tab w:val="left" w:pos="838"/>
        </w:tabs>
        <w:ind w:left="426" w:hanging="426"/>
        <w:jc w:val="both"/>
        <w:rPr>
          <w:color w:val="000000"/>
          <w:sz w:val="20"/>
          <w:szCs w:val="20"/>
        </w:rPr>
      </w:pPr>
      <w:r w:rsidRPr="007F6290">
        <w:rPr>
          <w:color w:val="000000"/>
          <w:sz w:val="20"/>
          <w:szCs w:val="20"/>
        </w:rPr>
        <w:t>All CPCs catching swordfish in the North Atlantic shall provide annually the best available data to the SCRS, including catch, catch at size, location and month of capture on the smallest scale possible, as determined by the SCRS. The data submitted shall be for the broadest range of age classes possible, consistent with minimum size restrictions, and by sex when possible. The data shall also include discards (both dead and alive) and effort statistics, even when no analytical stock assessment is scheduled. The SCRS shall review these data annually.</w:t>
      </w:r>
    </w:p>
    <w:p w14:paraId="37E994EF" w14:textId="77777777" w:rsidR="00941F6A" w:rsidRPr="007F6290" w:rsidRDefault="00941F6A" w:rsidP="003740C8">
      <w:pPr>
        <w:pBdr>
          <w:top w:val="nil"/>
          <w:left w:val="nil"/>
          <w:bottom w:val="nil"/>
          <w:right w:val="nil"/>
          <w:between w:val="nil"/>
        </w:pBdr>
        <w:tabs>
          <w:tab w:val="left" w:pos="836"/>
          <w:tab w:val="left" w:pos="838"/>
        </w:tabs>
        <w:ind w:right="123"/>
        <w:jc w:val="both"/>
        <w:rPr>
          <w:color w:val="212121"/>
          <w:sz w:val="12"/>
          <w:szCs w:val="12"/>
        </w:rPr>
      </w:pPr>
    </w:p>
    <w:p w14:paraId="742B22EC" w14:textId="6230F65D" w:rsidR="00941F6A" w:rsidRPr="007F6290" w:rsidRDefault="00941F6A" w:rsidP="003F4991">
      <w:pPr>
        <w:numPr>
          <w:ilvl w:val="0"/>
          <w:numId w:val="1"/>
        </w:numPr>
        <w:pBdr>
          <w:top w:val="nil"/>
          <w:left w:val="nil"/>
          <w:bottom w:val="nil"/>
          <w:right w:val="nil"/>
          <w:between w:val="nil"/>
        </w:pBdr>
        <w:tabs>
          <w:tab w:val="left" w:pos="836"/>
          <w:tab w:val="left" w:pos="838"/>
        </w:tabs>
        <w:ind w:left="426" w:hanging="426"/>
        <w:jc w:val="both"/>
        <w:rPr>
          <w:color w:val="000000"/>
          <w:sz w:val="20"/>
          <w:szCs w:val="20"/>
        </w:rPr>
      </w:pPr>
      <w:r w:rsidRPr="007F6290">
        <w:rPr>
          <w:color w:val="212121"/>
          <w:sz w:val="20"/>
          <w:szCs w:val="20"/>
        </w:rPr>
        <w:t xml:space="preserve">The SCRS shall continue work on </w:t>
      </w:r>
      <w:proofErr w:type="gramStart"/>
      <w:r w:rsidRPr="007F6290">
        <w:rPr>
          <w:color w:val="212121"/>
          <w:sz w:val="20"/>
          <w:szCs w:val="20"/>
        </w:rPr>
        <w:t>robustness</w:t>
      </w:r>
      <w:proofErr w:type="gramEnd"/>
      <w:r w:rsidRPr="007F6290">
        <w:rPr>
          <w:color w:val="212121"/>
          <w:sz w:val="20"/>
          <w:szCs w:val="20"/>
        </w:rPr>
        <w:t xml:space="preserve"> tests, focusing particularly on the </w:t>
      </w:r>
      <w:r w:rsidR="009E69C9" w:rsidRPr="007F6290">
        <w:rPr>
          <w:color w:val="212121"/>
          <w:sz w:val="20"/>
          <w:szCs w:val="20"/>
        </w:rPr>
        <w:t xml:space="preserve">Climate Change </w:t>
      </w:r>
      <w:r w:rsidRPr="007F6290">
        <w:rPr>
          <w:color w:val="212121"/>
          <w:sz w:val="20"/>
          <w:szCs w:val="20"/>
        </w:rPr>
        <w:t xml:space="preserve">scenarios and minimum size limits. The results shall be presented at the Commission no later than </w:t>
      </w:r>
      <w:r w:rsidR="00B6185C" w:rsidRPr="007F6290">
        <w:rPr>
          <w:color w:val="212121"/>
          <w:sz w:val="20"/>
          <w:szCs w:val="20"/>
        </w:rPr>
        <w:t>2027</w:t>
      </w:r>
      <w:r w:rsidRPr="007F6290">
        <w:rPr>
          <w:color w:val="212121"/>
          <w:sz w:val="20"/>
          <w:szCs w:val="20"/>
        </w:rPr>
        <w:t xml:space="preserve"> and</w:t>
      </w:r>
      <w:r w:rsidR="00F67C64" w:rsidRPr="007F6290">
        <w:rPr>
          <w:color w:val="212121"/>
          <w:sz w:val="20"/>
          <w:szCs w:val="20"/>
        </w:rPr>
        <w:t>,</w:t>
      </w:r>
      <w:r w:rsidRPr="007F6290">
        <w:rPr>
          <w:color w:val="212121"/>
          <w:sz w:val="20"/>
          <w:szCs w:val="20"/>
        </w:rPr>
        <w:t xml:space="preserve"> if needed</w:t>
      </w:r>
      <w:r w:rsidR="00F67C64" w:rsidRPr="007F6290">
        <w:rPr>
          <w:color w:val="212121"/>
          <w:sz w:val="20"/>
          <w:szCs w:val="20"/>
        </w:rPr>
        <w:t>,</w:t>
      </w:r>
      <w:r w:rsidRPr="007F6290">
        <w:rPr>
          <w:color w:val="212121"/>
          <w:sz w:val="20"/>
          <w:szCs w:val="20"/>
        </w:rPr>
        <w:t xml:space="preserve"> considered for future revisions of the present conservation and management measures for North Atlantic swordfish. </w:t>
      </w:r>
    </w:p>
    <w:p w14:paraId="7ADEEFE5" w14:textId="77777777" w:rsidR="002949E9" w:rsidRPr="007F6290" w:rsidRDefault="002949E9" w:rsidP="002949E9">
      <w:pPr>
        <w:pBdr>
          <w:top w:val="nil"/>
          <w:left w:val="nil"/>
          <w:bottom w:val="nil"/>
          <w:right w:val="nil"/>
          <w:between w:val="nil"/>
        </w:pBdr>
        <w:tabs>
          <w:tab w:val="left" w:pos="836"/>
          <w:tab w:val="left" w:pos="838"/>
        </w:tabs>
        <w:ind w:left="426" w:right="123"/>
        <w:jc w:val="both"/>
        <w:rPr>
          <w:color w:val="000000"/>
          <w:sz w:val="20"/>
          <w:szCs w:val="20"/>
        </w:rPr>
      </w:pPr>
    </w:p>
    <w:p w14:paraId="55A624EB" w14:textId="71971DC5" w:rsidR="002949E9" w:rsidRPr="007F6290" w:rsidRDefault="002949E9" w:rsidP="003F4991">
      <w:pPr>
        <w:numPr>
          <w:ilvl w:val="0"/>
          <w:numId w:val="1"/>
        </w:numPr>
        <w:pBdr>
          <w:top w:val="nil"/>
          <w:left w:val="nil"/>
          <w:bottom w:val="nil"/>
          <w:right w:val="nil"/>
          <w:between w:val="nil"/>
        </w:pBdr>
        <w:tabs>
          <w:tab w:val="left" w:pos="836"/>
          <w:tab w:val="left" w:pos="838"/>
        </w:tabs>
        <w:ind w:left="426" w:hanging="426"/>
        <w:jc w:val="both"/>
        <w:rPr>
          <w:color w:val="000000"/>
          <w:sz w:val="20"/>
          <w:szCs w:val="20"/>
        </w:rPr>
      </w:pPr>
      <w:r w:rsidRPr="007F6290">
        <w:rPr>
          <w:rFonts w:eastAsia="Times New Roman" w:cs="Times New Roman"/>
          <w:sz w:val="20"/>
          <w:szCs w:val="24"/>
        </w:rPr>
        <w:t xml:space="preserve">No later than </w:t>
      </w:r>
      <w:r w:rsidR="00AB33A2" w:rsidRPr="007F6290">
        <w:rPr>
          <w:rFonts w:eastAsia="Times New Roman" w:cs="Times New Roman"/>
          <w:sz w:val="20"/>
          <w:szCs w:val="24"/>
        </w:rPr>
        <w:t xml:space="preserve">July </w:t>
      </w:r>
      <w:r w:rsidR="00063C53" w:rsidRPr="007F6290">
        <w:rPr>
          <w:rFonts w:eastAsia="Times New Roman" w:cs="Times New Roman"/>
          <w:sz w:val="20"/>
          <w:szCs w:val="24"/>
        </w:rPr>
        <w:t>15</w:t>
      </w:r>
      <w:r w:rsidR="00C22A85" w:rsidRPr="007F6290">
        <w:rPr>
          <w:rFonts w:eastAsia="Times New Roman" w:cs="Times New Roman"/>
          <w:sz w:val="20"/>
          <w:szCs w:val="24"/>
        </w:rPr>
        <w:t xml:space="preserve">, </w:t>
      </w:r>
      <w:r w:rsidRPr="007F6290">
        <w:rPr>
          <w:rFonts w:eastAsia="Times New Roman" w:cs="Times New Roman"/>
          <w:sz w:val="20"/>
          <w:szCs w:val="24"/>
        </w:rPr>
        <w:t xml:space="preserve">2025, CPCs shall present to the SCRS the statistical methodology used to estimate dead </w:t>
      </w:r>
      <w:r w:rsidR="00A27A9A" w:rsidRPr="007F6290">
        <w:rPr>
          <w:rFonts w:eastAsia="Times New Roman" w:cs="Times New Roman"/>
          <w:sz w:val="20"/>
          <w:szCs w:val="24"/>
        </w:rPr>
        <w:t xml:space="preserve">discards </w:t>
      </w:r>
      <w:r w:rsidRPr="007F6290">
        <w:rPr>
          <w:rFonts w:eastAsia="Times New Roman" w:cs="Times New Roman"/>
          <w:sz w:val="20"/>
          <w:szCs w:val="24"/>
        </w:rPr>
        <w:t xml:space="preserve">and live </w:t>
      </w:r>
      <w:r w:rsidR="00A27A9A" w:rsidRPr="007F6290">
        <w:rPr>
          <w:rFonts w:eastAsia="Times New Roman" w:cs="Times New Roman"/>
          <w:sz w:val="20"/>
          <w:szCs w:val="24"/>
        </w:rPr>
        <w:t>releases</w:t>
      </w:r>
      <w:r w:rsidRPr="007F6290">
        <w:rPr>
          <w:rFonts w:eastAsia="Times New Roman" w:cs="Times New Roman"/>
          <w:sz w:val="20"/>
          <w:szCs w:val="24"/>
        </w:rPr>
        <w:t>. CPCs with artisanal and small-scale fisheries shall also provide information about their data collection programs. The SCRS shall review these methodologies and, if it determines that a methodology is not scientifically sound, the SCRS shall provide relevant feedback to the CPCs in question to improve the methodologies. Once these methods are approved CPCs should update their catch reporting to incorporate these estimated dead and live discards.</w:t>
      </w:r>
    </w:p>
    <w:p w14:paraId="62735626" w14:textId="77777777" w:rsidR="002949E9" w:rsidRPr="007F6290" w:rsidRDefault="002949E9" w:rsidP="002949E9">
      <w:pPr>
        <w:tabs>
          <w:tab w:val="left" w:pos="544"/>
        </w:tabs>
        <w:spacing w:line="244" w:lineRule="auto"/>
        <w:ind w:left="544" w:right="117"/>
        <w:jc w:val="center"/>
        <w:rPr>
          <w:b/>
          <w:sz w:val="20"/>
          <w:szCs w:val="20"/>
        </w:rPr>
      </w:pPr>
      <w:r w:rsidRPr="007F6290">
        <w:rPr>
          <w:b/>
          <w:sz w:val="20"/>
          <w:szCs w:val="20"/>
        </w:rPr>
        <w:t>PART VI</w:t>
      </w:r>
    </w:p>
    <w:p w14:paraId="7DBCDEC5" w14:textId="4D6E290C" w:rsidR="002949E9" w:rsidRPr="007F6290" w:rsidRDefault="000B54AA" w:rsidP="002949E9">
      <w:pPr>
        <w:tabs>
          <w:tab w:val="left" w:pos="542"/>
          <w:tab w:val="left" w:pos="544"/>
        </w:tabs>
        <w:spacing w:line="244" w:lineRule="auto"/>
        <w:ind w:left="540" w:right="220"/>
        <w:jc w:val="center"/>
        <w:rPr>
          <w:b/>
          <w:sz w:val="20"/>
          <w:szCs w:val="20"/>
        </w:rPr>
      </w:pPr>
      <w:r w:rsidRPr="007F6290">
        <w:rPr>
          <w:b/>
          <w:sz w:val="20"/>
          <w:szCs w:val="20"/>
        </w:rPr>
        <w:t>FINAL PROVISIONS</w:t>
      </w:r>
    </w:p>
    <w:p w14:paraId="51BB2C25" w14:textId="77777777" w:rsidR="002949E9" w:rsidRPr="007F6290" w:rsidRDefault="002949E9" w:rsidP="002949E9">
      <w:pPr>
        <w:rPr>
          <w:sz w:val="20"/>
          <w:szCs w:val="20"/>
        </w:rPr>
      </w:pPr>
    </w:p>
    <w:p w14:paraId="14995598" w14:textId="3C75ADA3" w:rsidR="002949E9" w:rsidRPr="007F6290" w:rsidRDefault="002949E9" w:rsidP="003F4991">
      <w:pPr>
        <w:numPr>
          <w:ilvl w:val="0"/>
          <w:numId w:val="1"/>
        </w:numPr>
        <w:pBdr>
          <w:top w:val="nil"/>
          <w:left w:val="nil"/>
          <w:bottom w:val="nil"/>
          <w:right w:val="nil"/>
          <w:between w:val="nil"/>
        </w:pBdr>
        <w:tabs>
          <w:tab w:val="left" w:pos="836"/>
          <w:tab w:val="left" w:pos="838"/>
        </w:tabs>
        <w:ind w:left="426" w:hanging="426"/>
        <w:jc w:val="both"/>
        <w:rPr>
          <w:color w:val="212121"/>
          <w:sz w:val="20"/>
          <w:szCs w:val="20"/>
        </w:rPr>
      </w:pPr>
      <w:r w:rsidRPr="007F6290">
        <w:rPr>
          <w:color w:val="212121"/>
          <w:sz w:val="20"/>
          <w:szCs w:val="20"/>
        </w:rPr>
        <w:t xml:space="preserve">A review of the performance of the MP by the Commission and the SCRS shall be completed by 2030 as set out in </w:t>
      </w:r>
      <w:r w:rsidRPr="007F6290">
        <w:rPr>
          <w:b/>
          <w:bCs/>
          <w:color w:val="212121"/>
          <w:sz w:val="20"/>
          <w:szCs w:val="20"/>
        </w:rPr>
        <w:t xml:space="preserve">Annex 3 </w:t>
      </w:r>
      <w:r w:rsidRPr="007F6290">
        <w:rPr>
          <w:color w:val="212121"/>
          <w:sz w:val="20"/>
          <w:szCs w:val="20"/>
        </w:rPr>
        <w:t xml:space="preserve">and every 6 years thereafter. The scope of the review should be to ensure the MP is performing in line with objectives and may </w:t>
      </w:r>
      <w:proofErr w:type="gramStart"/>
      <w:r w:rsidRPr="007F6290">
        <w:rPr>
          <w:color w:val="212121"/>
          <w:sz w:val="20"/>
          <w:szCs w:val="20"/>
        </w:rPr>
        <w:t>include:</w:t>
      </w:r>
      <w:proofErr w:type="gramEnd"/>
      <w:r w:rsidRPr="007F6290">
        <w:rPr>
          <w:color w:val="212121"/>
          <w:sz w:val="20"/>
          <w:szCs w:val="20"/>
        </w:rPr>
        <w:t xml:space="preserve"> updating the</w:t>
      </w:r>
      <w:r w:rsidR="00A45275" w:rsidRPr="007F6290">
        <w:rPr>
          <w:color w:val="212121"/>
          <w:sz w:val="20"/>
          <w:szCs w:val="20"/>
        </w:rPr>
        <w:t xml:space="preserve"> operating model (</w:t>
      </w:r>
      <w:r w:rsidRPr="007F6290">
        <w:rPr>
          <w:color w:val="212121"/>
          <w:sz w:val="20"/>
          <w:szCs w:val="20"/>
        </w:rPr>
        <w:t>OM</w:t>
      </w:r>
      <w:r w:rsidR="00A45275" w:rsidRPr="007F6290">
        <w:rPr>
          <w:color w:val="212121"/>
          <w:sz w:val="20"/>
          <w:szCs w:val="20"/>
        </w:rPr>
        <w:t>)</w:t>
      </w:r>
      <w:r w:rsidRPr="007F6290">
        <w:rPr>
          <w:color w:val="212121"/>
          <w:sz w:val="20"/>
          <w:szCs w:val="20"/>
        </w:rPr>
        <w:t xml:space="preserve"> reference grid; reconditioning the MSE </w:t>
      </w:r>
      <w:r w:rsidR="0058274E" w:rsidRPr="007F6290">
        <w:rPr>
          <w:color w:val="212121"/>
          <w:sz w:val="20"/>
          <w:szCs w:val="20"/>
        </w:rPr>
        <w:t>OMs</w:t>
      </w:r>
      <w:r w:rsidRPr="007F6290">
        <w:rPr>
          <w:color w:val="212121"/>
          <w:sz w:val="20"/>
          <w:szCs w:val="20"/>
        </w:rPr>
        <w:t xml:space="preserve">; </w:t>
      </w:r>
      <w:proofErr w:type="gramStart"/>
      <w:r w:rsidRPr="007F6290">
        <w:rPr>
          <w:color w:val="212121"/>
          <w:sz w:val="20"/>
          <w:szCs w:val="20"/>
        </w:rPr>
        <w:t>retuning</w:t>
      </w:r>
      <w:proofErr w:type="gramEnd"/>
      <w:r w:rsidRPr="007F6290">
        <w:rPr>
          <w:color w:val="212121"/>
          <w:sz w:val="20"/>
          <w:szCs w:val="20"/>
        </w:rPr>
        <w:t xml:space="preserve"> the existing MP; and considering the performance of alternative candidate management procedures</w:t>
      </w:r>
      <w:r w:rsidR="00030E0F" w:rsidRPr="007F6290">
        <w:rPr>
          <w:color w:val="212121"/>
          <w:sz w:val="20"/>
          <w:szCs w:val="20"/>
        </w:rPr>
        <w:t xml:space="preserve"> (CMPs)</w:t>
      </w:r>
      <w:r w:rsidRPr="007F6290">
        <w:rPr>
          <w:color w:val="212121"/>
          <w:sz w:val="20"/>
          <w:szCs w:val="20"/>
        </w:rPr>
        <w:t xml:space="preserve"> within an updated MSE framework. Based on that review and subsequent SCRS advice, the Commission shall decide on future management measures, approaches, and strategies, including, inter alia, regarding TAC levels, for North Atlantic swordfish.</w:t>
      </w:r>
      <w:r w:rsidR="00D42AA0" w:rsidRPr="007F6290">
        <w:rPr>
          <w:color w:val="212121"/>
          <w:sz w:val="20"/>
          <w:szCs w:val="20"/>
        </w:rPr>
        <w:t xml:space="preserve"> </w:t>
      </w:r>
    </w:p>
    <w:p w14:paraId="071D9A03" w14:textId="77777777" w:rsidR="00932B87" w:rsidRPr="007F6290" w:rsidRDefault="00932B87" w:rsidP="00B07CD4">
      <w:pPr>
        <w:pBdr>
          <w:top w:val="nil"/>
          <w:left w:val="nil"/>
          <w:bottom w:val="nil"/>
          <w:right w:val="nil"/>
          <w:between w:val="nil"/>
        </w:pBdr>
        <w:tabs>
          <w:tab w:val="left" w:pos="836"/>
          <w:tab w:val="left" w:pos="838"/>
        </w:tabs>
        <w:ind w:left="426" w:right="123"/>
        <w:jc w:val="both"/>
        <w:rPr>
          <w:color w:val="212121"/>
          <w:sz w:val="20"/>
          <w:szCs w:val="20"/>
        </w:rPr>
      </w:pPr>
    </w:p>
    <w:p w14:paraId="1D038261" w14:textId="14046183" w:rsidR="002949E9" w:rsidRPr="007F6290" w:rsidRDefault="000D1A9B" w:rsidP="00B07CD4">
      <w:pPr>
        <w:pBdr>
          <w:top w:val="nil"/>
          <w:left w:val="nil"/>
          <w:bottom w:val="nil"/>
          <w:right w:val="nil"/>
          <w:between w:val="nil"/>
        </w:pBdr>
        <w:tabs>
          <w:tab w:val="left" w:pos="836"/>
          <w:tab w:val="left" w:pos="838"/>
        </w:tabs>
        <w:ind w:left="426" w:right="123"/>
        <w:jc w:val="both"/>
        <w:rPr>
          <w:color w:val="212121"/>
          <w:sz w:val="20"/>
          <w:szCs w:val="20"/>
        </w:rPr>
      </w:pPr>
      <w:r w:rsidRPr="007F6290">
        <w:rPr>
          <w:color w:val="212121"/>
          <w:sz w:val="20"/>
          <w:szCs w:val="20"/>
        </w:rPr>
        <w:t>[…]</w:t>
      </w:r>
    </w:p>
    <w:p w14:paraId="1580DA2B" w14:textId="77777777" w:rsidR="00DA2824" w:rsidRPr="007F6290" w:rsidRDefault="00DA2824" w:rsidP="00B07CD4">
      <w:pPr>
        <w:pBdr>
          <w:top w:val="nil"/>
          <w:left w:val="nil"/>
          <w:bottom w:val="nil"/>
          <w:right w:val="nil"/>
          <w:between w:val="nil"/>
        </w:pBdr>
        <w:tabs>
          <w:tab w:val="left" w:pos="836"/>
          <w:tab w:val="left" w:pos="838"/>
        </w:tabs>
        <w:ind w:left="426" w:right="123"/>
        <w:jc w:val="both"/>
        <w:rPr>
          <w:color w:val="000000"/>
          <w:sz w:val="20"/>
          <w:szCs w:val="20"/>
        </w:rPr>
      </w:pPr>
    </w:p>
    <w:p w14:paraId="2AAD74EB" w14:textId="2DDC72AA" w:rsidR="002949E9" w:rsidRPr="007F6290" w:rsidRDefault="002949E9" w:rsidP="003F4991">
      <w:pPr>
        <w:numPr>
          <w:ilvl w:val="0"/>
          <w:numId w:val="1"/>
        </w:numPr>
        <w:pBdr>
          <w:top w:val="nil"/>
          <w:left w:val="nil"/>
          <w:bottom w:val="nil"/>
          <w:right w:val="nil"/>
          <w:between w:val="nil"/>
        </w:pBdr>
        <w:tabs>
          <w:tab w:val="left" w:pos="836"/>
          <w:tab w:val="left" w:pos="838"/>
        </w:tabs>
        <w:ind w:left="426" w:hanging="426"/>
        <w:jc w:val="both"/>
        <w:rPr>
          <w:color w:val="000000"/>
          <w:sz w:val="20"/>
          <w:szCs w:val="20"/>
        </w:rPr>
      </w:pPr>
      <w:r w:rsidRPr="007F6290">
        <w:rPr>
          <w:color w:val="000000"/>
          <w:sz w:val="20"/>
          <w:szCs w:val="20"/>
        </w:rPr>
        <w:t xml:space="preserve">This Recommendation repeals and replaces the </w:t>
      </w:r>
      <w:r w:rsidR="00890774" w:rsidRPr="007F6290">
        <w:rPr>
          <w:i/>
          <w:iCs/>
          <w:color w:val="000000"/>
          <w:sz w:val="20"/>
          <w:szCs w:val="20"/>
          <w:u w:val="single"/>
        </w:rPr>
        <w:t xml:space="preserve">Recommendation by ICCAT on </w:t>
      </w:r>
      <w:r w:rsidR="006C755C" w:rsidRPr="007F6290">
        <w:rPr>
          <w:i/>
          <w:iCs/>
          <w:color w:val="000000"/>
          <w:sz w:val="20"/>
          <w:szCs w:val="20"/>
          <w:u w:val="single"/>
        </w:rPr>
        <w:t>conservation</w:t>
      </w:r>
      <w:r w:rsidR="00890774" w:rsidRPr="007F6290">
        <w:rPr>
          <w:i/>
          <w:iCs/>
          <w:color w:val="000000"/>
          <w:sz w:val="20"/>
          <w:szCs w:val="20"/>
          <w:u w:val="single"/>
        </w:rPr>
        <w:t xml:space="preserve"> and management measures</w:t>
      </w:r>
      <w:r w:rsidR="004A7D36" w:rsidRPr="007F6290">
        <w:rPr>
          <w:i/>
          <w:iCs/>
          <w:color w:val="000000"/>
          <w:sz w:val="20"/>
          <w:szCs w:val="20"/>
          <w:u w:val="single"/>
        </w:rPr>
        <w:t xml:space="preserve"> including a management procedure, for North Atlantic </w:t>
      </w:r>
      <w:r w:rsidR="000D1A9B" w:rsidRPr="007F6290">
        <w:rPr>
          <w:i/>
          <w:iCs/>
          <w:color w:val="000000"/>
          <w:sz w:val="20"/>
          <w:szCs w:val="20"/>
          <w:u w:val="single"/>
        </w:rPr>
        <w:t>s</w:t>
      </w:r>
      <w:r w:rsidR="004A7D36" w:rsidRPr="007F6290">
        <w:rPr>
          <w:i/>
          <w:iCs/>
          <w:color w:val="000000"/>
          <w:sz w:val="20"/>
          <w:szCs w:val="20"/>
          <w:u w:val="single"/>
        </w:rPr>
        <w:t>wordfish</w:t>
      </w:r>
      <w:r w:rsidR="00AB4A47" w:rsidRPr="007F6290">
        <w:rPr>
          <w:i/>
          <w:iCs/>
          <w:color w:val="000000"/>
          <w:sz w:val="20"/>
          <w:szCs w:val="20"/>
          <w:u w:val="single"/>
        </w:rPr>
        <w:t xml:space="preserve"> </w:t>
      </w:r>
      <w:r w:rsidR="00AB4A47" w:rsidRPr="007F6290">
        <w:rPr>
          <w:color w:val="000000"/>
          <w:sz w:val="20"/>
          <w:szCs w:val="20"/>
          <w:u w:val="single"/>
        </w:rPr>
        <w:t>(Rec. 24-</w:t>
      </w:r>
      <w:r w:rsidR="003B1767" w:rsidRPr="007F6290">
        <w:rPr>
          <w:color w:val="000000"/>
          <w:sz w:val="20"/>
          <w:szCs w:val="20"/>
          <w:u w:val="single"/>
        </w:rPr>
        <w:t>10</w:t>
      </w:r>
      <w:r w:rsidR="00AB4A47" w:rsidRPr="007F6290">
        <w:rPr>
          <w:color w:val="000000"/>
          <w:sz w:val="20"/>
          <w:szCs w:val="20"/>
          <w:u w:val="single"/>
        </w:rPr>
        <w:t>)</w:t>
      </w:r>
      <w:r w:rsidRPr="007F6290">
        <w:rPr>
          <w:color w:val="000000"/>
          <w:sz w:val="20"/>
          <w:szCs w:val="20"/>
          <w:u w:val="single"/>
        </w:rPr>
        <w:t>.</w:t>
      </w:r>
    </w:p>
    <w:p w14:paraId="5B6B1F41" w14:textId="77777777" w:rsidR="002949E9" w:rsidRPr="007F6290" w:rsidRDefault="002949E9" w:rsidP="002949E9">
      <w:pPr>
        <w:pBdr>
          <w:top w:val="nil"/>
          <w:left w:val="nil"/>
          <w:bottom w:val="nil"/>
          <w:right w:val="nil"/>
          <w:between w:val="nil"/>
        </w:pBdr>
        <w:rPr>
          <w:color w:val="000000"/>
          <w:sz w:val="20"/>
          <w:szCs w:val="20"/>
        </w:rPr>
      </w:pPr>
    </w:p>
    <w:p w14:paraId="379AF02F" w14:textId="77777777" w:rsidR="002949E9" w:rsidRPr="007F6290" w:rsidRDefault="002949E9" w:rsidP="002949E9">
      <w:pPr>
        <w:ind w:left="118"/>
        <w:rPr>
          <w:sz w:val="20"/>
          <w:szCs w:val="20"/>
        </w:rPr>
      </w:pPr>
      <w:r w:rsidRPr="007F6290">
        <w:br w:type="page"/>
      </w:r>
    </w:p>
    <w:p w14:paraId="4DFD004F" w14:textId="77777777" w:rsidR="002949E9" w:rsidRPr="007F6290" w:rsidRDefault="002949E9" w:rsidP="002949E9">
      <w:pPr>
        <w:ind w:right="2"/>
        <w:jc w:val="right"/>
        <w:rPr>
          <w:b/>
          <w:sz w:val="20"/>
          <w:szCs w:val="20"/>
        </w:rPr>
      </w:pPr>
      <w:r w:rsidRPr="007F6290">
        <w:rPr>
          <w:b/>
          <w:sz w:val="20"/>
          <w:szCs w:val="20"/>
        </w:rPr>
        <w:t>Annex 1</w:t>
      </w:r>
    </w:p>
    <w:p w14:paraId="7E01AA3E" w14:textId="77777777" w:rsidR="002949E9" w:rsidRPr="007F6290" w:rsidRDefault="002949E9" w:rsidP="002949E9">
      <w:pPr>
        <w:ind w:right="2"/>
        <w:jc w:val="center"/>
        <w:rPr>
          <w:b/>
          <w:sz w:val="20"/>
          <w:szCs w:val="20"/>
        </w:rPr>
      </w:pPr>
      <w:r w:rsidRPr="007F6290">
        <w:rPr>
          <w:b/>
          <w:sz w:val="20"/>
          <w:szCs w:val="20"/>
        </w:rPr>
        <w:t xml:space="preserve"> </w:t>
      </w:r>
    </w:p>
    <w:p w14:paraId="20ECFAAC" w14:textId="77777777" w:rsidR="002949E9" w:rsidRPr="007F6290" w:rsidRDefault="002949E9" w:rsidP="002949E9">
      <w:pPr>
        <w:widowControl/>
        <w:jc w:val="center"/>
        <w:rPr>
          <w:rFonts w:eastAsia="Calibri" w:cs="Times New Roman"/>
          <w:b/>
          <w:bCs/>
          <w:sz w:val="20"/>
          <w:szCs w:val="20"/>
          <w:lang w:val="en-CA"/>
        </w:rPr>
      </w:pPr>
      <w:r w:rsidRPr="007F6290">
        <w:rPr>
          <w:rFonts w:eastAsia="Calibri" w:cs="Times New Roman"/>
          <w:b/>
          <w:bCs/>
          <w:sz w:val="20"/>
          <w:szCs w:val="20"/>
          <w:lang w:val="en-CA"/>
        </w:rPr>
        <w:t xml:space="preserve">Description and formulae for calculating Total Allowable Catches (TACs) for </w:t>
      </w:r>
    </w:p>
    <w:p w14:paraId="3E594C8F" w14:textId="77777777" w:rsidR="002949E9" w:rsidRPr="007F6290" w:rsidRDefault="002949E9" w:rsidP="002949E9">
      <w:pPr>
        <w:ind w:right="2"/>
        <w:jc w:val="center"/>
        <w:rPr>
          <w:b/>
          <w:sz w:val="20"/>
          <w:szCs w:val="20"/>
        </w:rPr>
      </w:pPr>
      <w:r w:rsidRPr="007F6290">
        <w:rPr>
          <w:rFonts w:eastAsia="Calibri" w:cs="Times New Roman"/>
          <w:b/>
          <w:bCs/>
          <w:sz w:val="20"/>
          <w:szCs w:val="20"/>
          <w:lang w:val="en-CA"/>
        </w:rPr>
        <w:t xml:space="preserve">North Atlantic swordfish using the MCC11 </w:t>
      </w:r>
      <w:r w:rsidRPr="007F6290">
        <w:rPr>
          <w:b/>
          <w:sz w:val="20"/>
          <w:szCs w:val="20"/>
        </w:rPr>
        <w:t>Management Procedure (MP) Specifications</w:t>
      </w:r>
    </w:p>
    <w:p w14:paraId="02DAED02" w14:textId="77777777" w:rsidR="002949E9" w:rsidRPr="007F6290" w:rsidRDefault="002949E9" w:rsidP="002949E9">
      <w:pPr>
        <w:ind w:right="1360"/>
        <w:jc w:val="center"/>
        <w:rPr>
          <w:sz w:val="20"/>
          <w:szCs w:val="20"/>
        </w:rPr>
      </w:pPr>
      <w:r w:rsidRPr="007F6290">
        <w:rPr>
          <w:sz w:val="20"/>
          <w:szCs w:val="20"/>
        </w:rPr>
        <w:t xml:space="preserve"> </w:t>
      </w:r>
    </w:p>
    <w:p w14:paraId="0F686908" w14:textId="77777777" w:rsidR="002949E9" w:rsidRPr="007F6290" w:rsidRDefault="002949E9" w:rsidP="002949E9">
      <w:pPr>
        <w:ind w:right="2"/>
        <w:rPr>
          <w:bCs/>
          <w:sz w:val="20"/>
          <w:szCs w:val="20"/>
        </w:rPr>
      </w:pPr>
    </w:p>
    <w:p w14:paraId="33921E7D" w14:textId="77777777" w:rsidR="002949E9" w:rsidRPr="007F6290" w:rsidRDefault="002949E9" w:rsidP="002949E9">
      <w:pPr>
        <w:rPr>
          <w:b/>
          <w:bCs/>
          <w:iCs/>
          <w:sz w:val="20"/>
          <w:szCs w:val="20"/>
          <w:lang w:val="en-CA"/>
        </w:rPr>
      </w:pPr>
      <w:r w:rsidRPr="007F6290">
        <w:rPr>
          <w:b/>
          <w:bCs/>
          <w:iCs/>
          <w:sz w:val="20"/>
          <w:szCs w:val="20"/>
          <w:lang w:val="en-CA"/>
        </w:rPr>
        <w:t>MCC11</w:t>
      </w:r>
    </w:p>
    <w:p w14:paraId="07A87F4D" w14:textId="77777777" w:rsidR="002949E9" w:rsidRPr="007F6290" w:rsidRDefault="002949E9" w:rsidP="002949E9">
      <w:pPr>
        <w:jc w:val="both"/>
        <w:rPr>
          <w:sz w:val="20"/>
          <w:szCs w:val="20"/>
        </w:rPr>
      </w:pPr>
    </w:p>
    <w:p w14:paraId="662850F0" w14:textId="708FFDE1" w:rsidR="002949E9" w:rsidRPr="007F6290" w:rsidRDefault="002949E9" w:rsidP="002949E9">
      <w:pPr>
        <w:jc w:val="both"/>
        <w:rPr>
          <w:sz w:val="20"/>
          <w:szCs w:val="20"/>
        </w:rPr>
      </w:pPr>
      <w:r w:rsidRPr="007F6290">
        <w:rPr>
          <w:sz w:val="20"/>
          <w:szCs w:val="20"/>
        </w:rPr>
        <w:t>The MCC11 (Mostly Constant Catch with 11 levels) management procedure is empirical and uses a single input</w:t>
      </w:r>
      <w:r w:rsidR="001C3381" w:rsidRPr="007F6290">
        <w:rPr>
          <w:sz w:val="20"/>
          <w:szCs w:val="20"/>
        </w:rPr>
        <w:t>:</w:t>
      </w:r>
      <w:r w:rsidR="00033C0B" w:rsidRPr="007F6290">
        <w:rPr>
          <w:sz w:val="20"/>
          <w:szCs w:val="20"/>
        </w:rPr>
        <w:t xml:space="preserve"> </w:t>
      </w:r>
      <w:r w:rsidRPr="007F6290">
        <w:rPr>
          <w:sz w:val="20"/>
          <w:szCs w:val="20"/>
        </w:rPr>
        <w:t xml:space="preserve">the North Atlantic </w:t>
      </w:r>
      <w:r w:rsidR="00E05786" w:rsidRPr="007F6290">
        <w:rPr>
          <w:sz w:val="20"/>
          <w:szCs w:val="20"/>
        </w:rPr>
        <w:t>s</w:t>
      </w:r>
      <w:r w:rsidRPr="007F6290">
        <w:rPr>
          <w:sz w:val="20"/>
          <w:szCs w:val="20"/>
        </w:rPr>
        <w:t>wordfish combined index of abundance (“the Combined Index”). The goal of the MCC11 MP is to have the catch remain as constant as possible and only increase the TAC if the Combined Index increased substantially and only decrease the TAC if the Combined Index declined substantially. This MP is tuned to achieve a 60% probability of being in the Kobe green quadrant (i.e. SB≥SB</w:t>
      </w:r>
      <w:r w:rsidRPr="007F6290">
        <w:rPr>
          <w:sz w:val="20"/>
          <w:szCs w:val="20"/>
          <w:vertAlign w:val="subscript"/>
        </w:rPr>
        <w:t>MSY</w:t>
      </w:r>
      <w:r w:rsidRPr="007F6290">
        <w:rPr>
          <w:sz w:val="20"/>
          <w:szCs w:val="20"/>
        </w:rPr>
        <w:t xml:space="preserve"> and F≤F</w:t>
      </w:r>
      <w:r w:rsidRPr="007F6290">
        <w:rPr>
          <w:sz w:val="20"/>
          <w:szCs w:val="20"/>
          <w:vertAlign w:val="subscript"/>
        </w:rPr>
        <w:t>MSY</w:t>
      </w:r>
      <w:r w:rsidRPr="007F6290">
        <w:rPr>
          <w:sz w:val="20"/>
          <w:szCs w:val="20"/>
        </w:rPr>
        <w:t xml:space="preserve">) in each of the three </w:t>
      </w:r>
      <w:r w:rsidR="002071C0" w:rsidRPr="007F6290">
        <w:rPr>
          <w:sz w:val="20"/>
          <w:szCs w:val="20"/>
        </w:rPr>
        <w:t>10-year</w:t>
      </w:r>
      <w:r w:rsidRPr="007F6290">
        <w:rPr>
          <w:sz w:val="20"/>
          <w:szCs w:val="20"/>
        </w:rPr>
        <w:t xml:space="preserve"> projection time periods (short = years 1-10; medium = years 11-20; long = years</w:t>
      </w:r>
      <w:r w:rsidR="00033C0B" w:rsidRPr="007F6290">
        <w:rPr>
          <w:sz w:val="20"/>
          <w:szCs w:val="20"/>
        </w:rPr>
        <w:t> </w:t>
      </w:r>
      <w:r w:rsidRPr="007F6290">
        <w:rPr>
          <w:sz w:val="20"/>
          <w:szCs w:val="20"/>
        </w:rPr>
        <w:t>21-30).</w:t>
      </w:r>
    </w:p>
    <w:p w14:paraId="33B5E839" w14:textId="77777777" w:rsidR="002949E9" w:rsidRPr="007F6290" w:rsidRDefault="002949E9" w:rsidP="002949E9">
      <w:pPr>
        <w:jc w:val="both"/>
        <w:rPr>
          <w:i/>
          <w:iCs/>
          <w:sz w:val="20"/>
          <w:szCs w:val="20"/>
        </w:rPr>
      </w:pPr>
    </w:p>
    <w:p w14:paraId="649A8ECC" w14:textId="77777777" w:rsidR="002949E9" w:rsidRPr="007F6290" w:rsidRDefault="002949E9" w:rsidP="002949E9">
      <w:pPr>
        <w:jc w:val="both"/>
        <w:rPr>
          <w:b/>
          <w:bCs/>
          <w:sz w:val="20"/>
          <w:szCs w:val="20"/>
        </w:rPr>
      </w:pPr>
      <w:r w:rsidRPr="007F6290">
        <w:rPr>
          <w:b/>
          <w:bCs/>
          <w:sz w:val="20"/>
          <w:szCs w:val="20"/>
        </w:rPr>
        <w:t>Abundance index</w:t>
      </w:r>
    </w:p>
    <w:p w14:paraId="18651BE0" w14:textId="77777777" w:rsidR="002949E9" w:rsidRPr="007F6290" w:rsidRDefault="002949E9" w:rsidP="002949E9">
      <w:pPr>
        <w:jc w:val="both"/>
        <w:rPr>
          <w:sz w:val="20"/>
          <w:szCs w:val="20"/>
        </w:rPr>
      </w:pPr>
    </w:p>
    <w:p w14:paraId="79EB2C33" w14:textId="2072C7AA" w:rsidR="002949E9" w:rsidRPr="007F6290" w:rsidRDefault="002949E9" w:rsidP="002949E9">
      <w:pPr>
        <w:jc w:val="both"/>
        <w:rPr>
          <w:sz w:val="20"/>
          <w:szCs w:val="20"/>
        </w:rPr>
      </w:pPr>
      <w:r w:rsidRPr="007F6290">
        <w:rPr>
          <w:sz w:val="20"/>
          <w:szCs w:val="20"/>
        </w:rPr>
        <w:t>The Combined Index uses catch and effort data from 7 ICCAT CPCs and draws from both Task 2 catch and effort data and detailed catch and effort records obtained directly from some CPCs</w:t>
      </w:r>
      <w:r w:rsidR="007C1B7F" w:rsidRPr="007F6290">
        <w:rPr>
          <w:sz w:val="20"/>
          <w:szCs w:val="20"/>
        </w:rPr>
        <w:t>,</w:t>
      </w:r>
      <w:r w:rsidR="00033C0B" w:rsidRPr="007F6290">
        <w:rPr>
          <w:sz w:val="20"/>
          <w:szCs w:val="20"/>
        </w:rPr>
        <w:t xml:space="preserve"> </w:t>
      </w:r>
      <w:r w:rsidR="00C35557" w:rsidRPr="007F6290">
        <w:rPr>
          <w:sz w:val="20"/>
          <w:szCs w:val="20"/>
        </w:rPr>
        <w:t>totaling</w:t>
      </w:r>
      <w:r w:rsidRPr="007F6290">
        <w:rPr>
          <w:sz w:val="20"/>
          <w:szCs w:val="20"/>
        </w:rPr>
        <w:t xml:space="preserve"> over 95% of the annual catch in the North Atlantic. The initial year of the index is 1963. The index values are in kilograms of swordfish catch per 1000 hooks. This model-based index uses a Tweedie error distribution and categorical explanatory variables: year, quarter, spatial zone, a targeting variable, and a size class variable.</w:t>
      </w:r>
    </w:p>
    <w:p w14:paraId="4E0B99D6" w14:textId="77777777" w:rsidR="002949E9" w:rsidRPr="007F6290" w:rsidRDefault="002949E9" w:rsidP="002949E9">
      <w:pPr>
        <w:jc w:val="both"/>
        <w:rPr>
          <w:sz w:val="20"/>
          <w:szCs w:val="20"/>
        </w:rPr>
      </w:pPr>
    </w:p>
    <w:p w14:paraId="2E198394" w14:textId="77777777" w:rsidR="002949E9" w:rsidRPr="007F6290" w:rsidRDefault="002949E9" w:rsidP="002949E9">
      <w:pPr>
        <w:jc w:val="both"/>
        <w:rPr>
          <w:sz w:val="20"/>
          <w:szCs w:val="20"/>
        </w:rPr>
      </w:pPr>
      <w:r w:rsidRPr="007F6290">
        <w:rPr>
          <w:sz w:val="20"/>
          <w:szCs w:val="20"/>
        </w:rPr>
        <w:t xml:space="preserve">The predicted </w:t>
      </w:r>
      <w:proofErr w:type="gramStart"/>
      <w:r w:rsidRPr="007F6290">
        <w:rPr>
          <w:sz w:val="20"/>
          <w:szCs w:val="20"/>
        </w:rPr>
        <w:t>year</w:t>
      </w:r>
      <w:proofErr w:type="gramEnd"/>
      <w:r w:rsidRPr="007F6290">
        <w:rPr>
          <w:sz w:val="20"/>
          <w:szCs w:val="20"/>
        </w:rPr>
        <w:t xml:space="preserve"> values are then standardized to a mean of 1 over the </w:t>
      </w:r>
      <w:proofErr w:type="gramStart"/>
      <w:r w:rsidRPr="007F6290">
        <w:rPr>
          <w:sz w:val="20"/>
          <w:szCs w:val="20"/>
        </w:rPr>
        <w:t>whole time</w:t>
      </w:r>
      <w:proofErr w:type="gramEnd"/>
      <w:r w:rsidRPr="007F6290">
        <w:rPr>
          <w:sz w:val="20"/>
          <w:szCs w:val="20"/>
        </w:rPr>
        <w:t xml:space="preserve"> series. These values are defined as </w:t>
      </w:r>
      <w:r w:rsidRPr="007F6290">
        <w:rPr>
          <w:i/>
          <w:iCs/>
          <w:sz w:val="20"/>
          <w:szCs w:val="20"/>
        </w:rPr>
        <w:t>I</w:t>
      </w:r>
      <w:r w:rsidRPr="007F6290">
        <w:rPr>
          <w:sz w:val="20"/>
          <w:szCs w:val="20"/>
        </w:rPr>
        <w:t>.</w:t>
      </w:r>
    </w:p>
    <w:p w14:paraId="23D9A0A1" w14:textId="77777777" w:rsidR="002949E9" w:rsidRPr="007F6290" w:rsidRDefault="002949E9" w:rsidP="002949E9">
      <w:pPr>
        <w:jc w:val="both"/>
        <w:rPr>
          <w:sz w:val="20"/>
          <w:szCs w:val="20"/>
        </w:rPr>
      </w:pPr>
    </w:p>
    <w:p w14:paraId="6EF40E7C" w14:textId="77777777" w:rsidR="002949E9" w:rsidRPr="007F6290" w:rsidRDefault="002949E9" w:rsidP="002949E9">
      <w:pPr>
        <w:jc w:val="both"/>
        <w:rPr>
          <w:b/>
          <w:bCs/>
          <w:sz w:val="20"/>
          <w:szCs w:val="20"/>
        </w:rPr>
      </w:pPr>
      <w:r w:rsidRPr="007F6290">
        <w:rPr>
          <w:b/>
          <w:bCs/>
          <w:sz w:val="20"/>
          <w:szCs w:val="20"/>
          <w:lang w:val="en-CA"/>
        </w:rPr>
        <w:t>MP specifications</w:t>
      </w:r>
    </w:p>
    <w:p w14:paraId="23DCAE9F" w14:textId="77777777" w:rsidR="002949E9" w:rsidRPr="007F6290" w:rsidRDefault="002949E9" w:rsidP="002949E9">
      <w:pPr>
        <w:jc w:val="both"/>
        <w:rPr>
          <w:sz w:val="20"/>
          <w:szCs w:val="20"/>
        </w:rPr>
      </w:pPr>
    </w:p>
    <w:p w14:paraId="6423E21A" w14:textId="1B6F87D9" w:rsidR="002949E9" w:rsidRPr="007F6290" w:rsidRDefault="002949E9" w:rsidP="002949E9">
      <w:pPr>
        <w:jc w:val="both"/>
        <w:rPr>
          <w:sz w:val="20"/>
          <w:szCs w:val="20"/>
        </w:rPr>
      </w:pPr>
      <w:r w:rsidRPr="007F6290">
        <w:rPr>
          <w:sz w:val="20"/>
          <w:szCs w:val="20"/>
        </w:rPr>
        <w:t>This MP uses a 3-year management cycle length. The base TAC (constant catch) is 12,600 t</w:t>
      </w:r>
      <w:r w:rsidR="00762205" w:rsidRPr="007F6290">
        <w:rPr>
          <w:sz w:val="20"/>
          <w:szCs w:val="20"/>
        </w:rPr>
        <w:t>;</w:t>
      </w:r>
      <w:r w:rsidR="006173FF" w:rsidRPr="007F6290">
        <w:rPr>
          <w:sz w:val="20"/>
          <w:szCs w:val="20"/>
        </w:rPr>
        <w:t xml:space="preserve"> </w:t>
      </w:r>
      <w:r w:rsidRPr="007F6290">
        <w:rPr>
          <w:sz w:val="20"/>
          <w:szCs w:val="20"/>
        </w:rPr>
        <w:t xml:space="preserve">this </w:t>
      </w:r>
      <w:proofErr w:type="gramStart"/>
      <w:r w:rsidRPr="007F6290">
        <w:rPr>
          <w:sz w:val="20"/>
          <w:szCs w:val="20"/>
        </w:rPr>
        <w:t>is an approximation of</w:t>
      </w:r>
      <w:proofErr w:type="gramEnd"/>
      <w:r w:rsidRPr="007F6290">
        <w:rPr>
          <w:sz w:val="20"/>
          <w:szCs w:val="20"/>
        </w:rPr>
        <w:t xml:space="preserve"> the constant catch that would result in at least 60% PGK.</w:t>
      </w:r>
    </w:p>
    <w:p w14:paraId="4FA5DF34" w14:textId="77777777" w:rsidR="002949E9" w:rsidRPr="007F6290" w:rsidRDefault="002949E9" w:rsidP="002949E9">
      <w:pPr>
        <w:jc w:val="both"/>
        <w:rPr>
          <w:sz w:val="20"/>
          <w:szCs w:val="20"/>
        </w:rPr>
      </w:pPr>
    </w:p>
    <w:p w14:paraId="2970ACFA" w14:textId="77777777" w:rsidR="002949E9" w:rsidRPr="007F6290" w:rsidRDefault="002949E9" w:rsidP="002949E9">
      <w:pPr>
        <w:jc w:val="both"/>
        <w:rPr>
          <w:sz w:val="20"/>
          <w:szCs w:val="20"/>
        </w:rPr>
      </w:pPr>
      <w:r w:rsidRPr="007F6290">
        <w:rPr>
          <w:sz w:val="20"/>
          <w:szCs w:val="20"/>
        </w:rPr>
        <w:t>A base TAC (</w:t>
      </w:r>
      <w:proofErr w:type="spellStart"/>
      <w:r w:rsidRPr="007F6290">
        <w:rPr>
          <w:sz w:val="20"/>
          <w:szCs w:val="20"/>
        </w:rPr>
        <w:t>TAC</w:t>
      </w:r>
      <w:r w:rsidRPr="007F6290">
        <w:rPr>
          <w:sz w:val="20"/>
          <w:szCs w:val="20"/>
          <w:vertAlign w:val="subscript"/>
        </w:rPr>
        <w:t>base</w:t>
      </w:r>
      <w:proofErr w:type="spellEnd"/>
      <w:r w:rsidRPr="007F6290">
        <w:rPr>
          <w:sz w:val="20"/>
          <w:szCs w:val="20"/>
        </w:rPr>
        <w:t>) is calculated as:</w:t>
      </w:r>
    </w:p>
    <w:p w14:paraId="62A8B98D" w14:textId="77777777" w:rsidR="002949E9" w:rsidRPr="007F6290" w:rsidRDefault="003E0952" w:rsidP="002949E9">
      <w:pPr>
        <w:rPr>
          <w:sz w:val="20"/>
          <w:szCs w:val="20"/>
        </w:rPr>
      </w:pPr>
      <m:oMathPara>
        <m:oMath>
          <m:sSub>
            <m:sSubPr>
              <m:ctrlPr>
                <w:rPr>
                  <w:rFonts w:ascii="Cambria Math" w:hAnsi="Cambria Math"/>
                  <w:i/>
                  <w:sz w:val="20"/>
                  <w:szCs w:val="20"/>
                </w:rPr>
              </m:ctrlPr>
            </m:sSubPr>
            <m:e>
              <m:r>
                <m:rPr>
                  <m:nor/>
                </m:rPr>
                <w:rPr>
                  <w:sz w:val="20"/>
                  <w:szCs w:val="20"/>
                </w:rPr>
                <m:t>TAC</m:t>
              </m:r>
            </m:e>
            <m:sub>
              <m:r>
                <m:rPr>
                  <m:nor/>
                </m:rPr>
                <w:rPr>
                  <w:sz w:val="20"/>
                  <w:szCs w:val="20"/>
                </w:rPr>
                <m:t>base</m:t>
              </m:r>
            </m:sub>
          </m:sSub>
          <m:r>
            <w:rPr>
              <w:rFonts w:ascii="Cambria Math" w:hAnsi="Cambria Math"/>
              <w:sz w:val="20"/>
              <w:szCs w:val="20"/>
            </w:rPr>
            <m:t>=</m:t>
          </m:r>
          <m:r>
            <w:rPr>
              <w:rFonts w:ascii="Cambria Math" w:hAnsi="Cambria Math"/>
              <w:sz w:val="20"/>
              <w:szCs w:val="20"/>
              <w:lang w:val="en-CA"/>
            </w:rPr>
            <m:t>θ</m:t>
          </m:r>
          <m:r>
            <w:rPr>
              <w:rFonts w:ascii="Cambria Math" w:hAnsi="Cambria Math"/>
              <w:sz w:val="20"/>
              <w:szCs w:val="20"/>
            </w:rPr>
            <m:t>12,600</m:t>
          </m:r>
        </m:oMath>
      </m:oMathPara>
    </w:p>
    <w:p w14:paraId="7DE3420A" w14:textId="77777777" w:rsidR="002949E9" w:rsidRPr="007F6290" w:rsidRDefault="002949E9" w:rsidP="002949E9">
      <w:pPr>
        <w:jc w:val="both"/>
        <w:rPr>
          <w:sz w:val="20"/>
          <w:szCs w:val="20"/>
          <w:lang w:val="en-CA"/>
        </w:rPr>
      </w:pPr>
    </w:p>
    <w:p w14:paraId="12698873" w14:textId="5C9649EF" w:rsidR="002949E9" w:rsidRPr="007F6290" w:rsidRDefault="002949E9" w:rsidP="002949E9">
      <w:pPr>
        <w:jc w:val="both"/>
        <w:rPr>
          <w:sz w:val="20"/>
          <w:szCs w:val="20"/>
          <w:lang w:val="en-CA"/>
        </w:rPr>
      </w:pPr>
      <w:r w:rsidRPr="007F6290">
        <w:rPr>
          <w:sz w:val="20"/>
          <w:szCs w:val="20"/>
          <w:lang w:val="en-CA"/>
        </w:rPr>
        <w:t xml:space="preserve">where </w:t>
      </w:r>
      <m:oMath>
        <m:r>
          <w:rPr>
            <w:rFonts w:ascii="Cambria Math" w:hAnsi="Cambria Math"/>
            <w:sz w:val="20"/>
            <w:szCs w:val="20"/>
            <w:lang w:val="en-CA"/>
          </w:rPr>
          <m:t>θ</m:t>
        </m:r>
      </m:oMath>
      <w:r w:rsidRPr="007F6290">
        <w:rPr>
          <w:sz w:val="20"/>
          <w:szCs w:val="20"/>
          <w:lang w:val="en-CA"/>
        </w:rPr>
        <w:t xml:space="preserve"> is the tuning parameter </w:t>
      </w:r>
      <w:r w:rsidRPr="007F6290">
        <w:rPr>
          <w:sz w:val="20"/>
          <w:szCs w:val="20"/>
        </w:rPr>
        <w:t>that results in achieving a 60% PGK in the short-term</w:t>
      </w:r>
      <w:r w:rsidRPr="007F6290">
        <w:rPr>
          <w:sz w:val="20"/>
          <w:szCs w:val="20"/>
          <w:lang w:val="en-CA"/>
        </w:rPr>
        <w:t>. The tuning parameter for MCC11 is 0.7562.</w:t>
      </w:r>
    </w:p>
    <w:p w14:paraId="75A45F58" w14:textId="77777777" w:rsidR="002949E9" w:rsidRPr="007F6290" w:rsidRDefault="002949E9" w:rsidP="002949E9">
      <w:pPr>
        <w:jc w:val="both"/>
        <w:rPr>
          <w:sz w:val="20"/>
          <w:szCs w:val="20"/>
        </w:rPr>
      </w:pPr>
    </w:p>
    <w:p w14:paraId="3DEA9C52" w14:textId="77777777" w:rsidR="002949E9" w:rsidRPr="007F6290" w:rsidRDefault="002949E9" w:rsidP="002949E9">
      <w:pPr>
        <w:jc w:val="both"/>
        <w:rPr>
          <w:sz w:val="20"/>
          <w:szCs w:val="20"/>
        </w:rPr>
      </w:pPr>
      <w:proofErr w:type="spellStart"/>
      <w:r w:rsidRPr="007F6290">
        <w:rPr>
          <w:sz w:val="20"/>
          <w:szCs w:val="20"/>
        </w:rPr>
        <w:t>TAC</w:t>
      </w:r>
      <w:r w:rsidRPr="007F6290">
        <w:rPr>
          <w:sz w:val="20"/>
          <w:szCs w:val="20"/>
          <w:vertAlign w:val="subscript"/>
        </w:rPr>
        <w:t>base</w:t>
      </w:r>
      <w:proofErr w:type="spellEnd"/>
      <w:r w:rsidRPr="007F6290">
        <w:rPr>
          <w:sz w:val="20"/>
          <w:szCs w:val="20"/>
        </w:rPr>
        <w:t xml:space="preserve"> is modified by comparing the ratio of the current 3-year average of the Combined Index (</w:t>
      </w:r>
      <w:proofErr w:type="spellStart"/>
      <w:r w:rsidRPr="007F6290">
        <w:rPr>
          <w:i/>
          <w:iCs/>
          <w:sz w:val="20"/>
          <w:szCs w:val="20"/>
        </w:rPr>
        <w:t>I</w:t>
      </w:r>
      <w:r w:rsidRPr="007F6290">
        <w:rPr>
          <w:i/>
          <w:iCs/>
          <w:sz w:val="20"/>
          <w:szCs w:val="20"/>
          <w:vertAlign w:val="subscript"/>
        </w:rPr>
        <w:t>curr</w:t>
      </w:r>
      <w:proofErr w:type="spellEnd"/>
      <w:r w:rsidRPr="007F6290">
        <w:rPr>
          <w:sz w:val="20"/>
          <w:szCs w:val="20"/>
        </w:rPr>
        <w:t>) to a historical 3-year average of the Combined Index (</w:t>
      </w:r>
      <w:proofErr w:type="spellStart"/>
      <w:r w:rsidRPr="007F6290">
        <w:rPr>
          <w:i/>
          <w:iCs/>
          <w:sz w:val="20"/>
          <w:szCs w:val="20"/>
        </w:rPr>
        <w:t>I</w:t>
      </w:r>
      <w:r w:rsidRPr="007F6290">
        <w:rPr>
          <w:i/>
          <w:iCs/>
          <w:sz w:val="20"/>
          <w:szCs w:val="20"/>
          <w:vertAlign w:val="subscript"/>
        </w:rPr>
        <w:t>base</w:t>
      </w:r>
      <w:proofErr w:type="spellEnd"/>
      <w:r w:rsidRPr="007F6290">
        <w:rPr>
          <w:sz w:val="20"/>
          <w:szCs w:val="20"/>
        </w:rPr>
        <w:t>):</w:t>
      </w:r>
    </w:p>
    <w:p w14:paraId="6C7BB840" w14:textId="77777777" w:rsidR="002949E9" w:rsidRPr="007F6290" w:rsidRDefault="002949E9" w:rsidP="002949E9">
      <w:pPr>
        <w:jc w:val="both"/>
        <w:rPr>
          <w:sz w:val="20"/>
          <w:szCs w:val="20"/>
        </w:rPr>
      </w:pPr>
    </w:p>
    <w:p w14:paraId="61584D82" w14:textId="77777777" w:rsidR="002949E9" w:rsidRPr="007F6290" w:rsidRDefault="003E0952" w:rsidP="002949E9">
      <w:pPr>
        <w:rPr>
          <w:sz w:val="20"/>
          <w:szCs w:val="20"/>
          <w:lang w:val="fr-FR"/>
        </w:rPr>
      </w:pPr>
      <m:oMathPara>
        <m:oMath>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curr</m:t>
                  </m:r>
                </m:sub>
              </m:sSub>
            </m:num>
            <m:den>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base</m:t>
                  </m:r>
                </m:sub>
              </m:sSub>
            </m:den>
          </m:f>
        </m:oMath>
      </m:oMathPara>
    </w:p>
    <w:p w14:paraId="13A2618D" w14:textId="77777777" w:rsidR="002949E9" w:rsidRPr="007F6290" w:rsidRDefault="002949E9" w:rsidP="002949E9">
      <w:pPr>
        <w:jc w:val="both"/>
        <w:rPr>
          <w:i/>
          <w:iCs/>
          <w:sz w:val="20"/>
          <w:szCs w:val="20"/>
          <w:lang w:val="fr-FR"/>
        </w:rPr>
      </w:pPr>
    </w:p>
    <w:p w14:paraId="57851239" w14:textId="6179EB6E" w:rsidR="002949E9" w:rsidRPr="007F6290" w:rsidRDefault="002949E9" w:rsidP="002949E9">
      <w:pPr>
        <w:jc w:val="both"/>
        <w:rPr>
          <w:sz w:val="20"/>
          <w:szCs w:val="20"/>
        </w:rPr>
      </w:pPr>
      <w:proofErr w:type="spellStart"/>
      <w:r w:rsidRPr="007F6290">
        <w:rPr>
          <w:i/>
          <w:iCs/>
          <w:sz w:val="20"/>
          <w:szCs w:val="20"/>
        </w:rPr>
        <w:t>I</w:t>
      </w:r>
      <w:r w:rsidRPr="007F6290">
        <w:rPr>
          <w:i/>
          <w:iCs/>
          <w:sz w:val="20"/>
          <w:szCs w:val="20"/>
          <w:vertAlign w:val="subscript"/>
        </w:rPr>
        <w:t>base</w:t>
      </w:r>
      <w:proofErr w:type="spellEnd"/>
      <w:r w:rsidRPr="007F6290">
        <w:rPr>
          <w:sz w:val="20"/>
          <w:szCs w:val="20"/>
          <w:lang w:val="en-CA"/>
        </w:rPr>
        <w:t xml:space="preserve"> is calculated as the average of the Combined Index from 2017-2019. </w:t>
      </w:r>
      <w:r w:rsidRPr="007F6290">
        <w:rPr>
          <w:sz w:val="20"/>
          <w:szCs w:val="20"/>
        </w:rPr>
        <w:t xml:space="preserve">The value of </w:t>
      </w:r>
      <m:oMath>
        <m:sSub>
          <m:sSubPr>
            <m:ctrlPr>
              <w:rPr>
                <w:rFonts w:ascii="Cambria Math" w:hAnsi="Cambria Math"/>
                <w:i/>
                <w:sz w:val="20"/>
                <w:szCs w:val="20"/>
              </w:rPr>
            </m:ctrlPr>
          </m:sSubPr>
          <m:e>
            <m:r>
              <w:rPr>
                <w:rFonts w:ascii="Cambria Math" w:hAnsi="Cambria Math"/>
                <w:sz w:val="20"/>
                <w:szCs w:val="20"/>
              </w:rPr>
              <m:t>I</m:t>
            </m:r>
          </m:e>
          <m:sub>
            <m:r>
              <m:rPr>
                <m:nor/>
              </m:rPr>
              <w:rPr>
                <w:sz w:val="20"/>
                <w:szCs w:val="20"/>
              </w:rPr>
              <m:t>rat</m:t>
            </m:r>
          </m:sub>
        </m:sSub>
        <m:r>
          <w:rPr>
            <w:rFonts w:ascii="Cambria Math" w:hAnsi="Cambria Math"/>
            <w:sz w:val="20"/>
            <w:szCs w:val="20"/>
          </w:rPr>
          <m:t xml:space="preserve"> </m:t>
        </m:r>
      </m:oMath>
      <w:r w:rsidRPr="007F6290">
        <w:rPr>
          <w:sz w:val="20"/>
          <w:szCs w:val="20"/>
        </w:rPr>
        <w:t>is used to determine how much</w:t>
      </w:r>
      <w:r w:rsidR="00F66FD8" w:rsidRPr="007F6290">
        <w:rPr>
          <w:sz w:val="20"/>
          <w:szCs w:val="20"/>
        </w:rPr>
        <w:t xml:space="preserve"> the</w:t>
      </w:r>
      <w:r w:rsidRPr="007F6290">
        <w:rPr>
          <w:sz w:val="20"/>
          <w:szCs w:val="20"/>
        </w:rPr>
        <w:t xml:space="preserve"> </w:t>
      </w:r>
      <w:proofErr w:type="spellStart"/>
      <w:r w:rsidRPr="007F6290">
        <w:rPr>
          <w:sz w:val="20"/>
          <w:szCs w:val="20"/>
        </w:rPr>
        <w:t>TAC</w:t>
      </w:r>
      <w:r w:rsidRPr="007F6290">
        <w:rPr>
          <w:sz w:val="20"/>
          <w:szCs w:val="20"/>
          <w:vertAlign w:val="subscript"/>
        </w:rPr>
        <w:t>base</w:t>
      </w:r>
      <w:proofErr w:type="spellEnd"/>
      <w:r w:rsidRPr="007F6290">
        <w:rPr>
          <w:sz w:val="20"/>
          <w:szCs w:val="20"/>
        </w:rPr>
        <w:t xml:space="preserve"> should be increased or decreased if at all. </w:t>
      </w:r>
    </w:p>
    <w:p w14:paraId="2718F0CC" w14:textId="77777777" w:rsidR="002949E9" w:rsidRPr="007F6290" w:rsidRDefault="002949E9" w:rsidP="002949E9">
      <w:pPr>
        <w:jc w:val="both"/>
        <w:rPr>
          <w:sz w:val="20"/>
          <w:szCs w:val="20"/>
        </w:rPr>
      </w:pPr>
    </w:p>
    <w:p w14:paraId="02DA7EA8" w14:textId="77777777" w:rsidR="002949E9" w:rsidRPr="007F6290" w:rsidRDefault="002949E9" w:rsidP="002949E9">
      <w:pPr>
        <w:jc w:val="both"/>
        <w:rPr>
          <w:sz w:val="20"/>
          <w:szCs w:val="20"/>
        </w:rPr>
      </w:pPr>
      <w:r w:rsidRPr="007F6290">
        <w:rPr>
          <w:sz w:val="20"/>
          <w:szCs w:val="20"/>
        </w:rPr>
        <w:t>The TAC for the following management cycle is calculated as:</w:t>
      </w:r>
    </w:p>
    <w:p w14:paraId="13399D85" w14:textId="77777777" w:rsidR="002949E9" w:rsidRPr="007F6290" w:rsidRDefault="002949E9" w:rsidP="002949E9">
      <w:pPr>
        <w:jc w:val="both"/>
        <w:rPr>
          <w:sz w:val="20"/>
          <w:szCs w:val="20"/>
        </w:rPr>
      </w:pPr>
    </w:p>
    <w:p w14:paraId="245CAA6C" w14:textId="77777777" w:rsidR="002949E9" w:rsidRPr="007F6290" w:rsidRDefault="003E0952" w:rsidP="002949E9">
      <w:pPr>
        <w:rPr>
          <w:sz w:val="20"/>
          <w:szCs w:val="20"/>
        </w:rPr>
      </w:pPr>
      <m:oMathPara>
        <m:oMath>
          <m:sSub>
            <m:sSubPr>
              <m:ctrlPr>
                <w:rPr>
                  <w:rFonts w:ascii="Cambria Math" w:hAnsi="Cambria Math"/>
                  <w:i/>
                  <w:sz w:val="20"/>
                  <w:szCs w:val="20"/>
                </w:rPr>
              </m:ctrlPr>
            </m:sSubPr>
            <m:e>
              <m:r>
                <w:rPr>
                  <w:rFonts w:ascii="Cambria Math" w:hAnsi="Cambria Math"/>
                  <w:sz w:val="20"/>
                  <w:szCs w:val="20"/>
                </w:rPr>
                <m:t>TAC</m:t>
              </m:r>
            </m:e>
            <m:sub>
              <m:r>
                <w:rPr>
                  <w:rFonts w:ascii="Cambria Math" w:hAnsi="Cambria Math"/>
                  <w:sz w:val="20"/>
                  <w:szCs w:val="20"/>
                </w:rPr>
                <m:t>y+1</m:t>
              </m:r>
            </m:sub>
          </m:sSub>
          <m:r>
            <w:rPr>
              <w:rFonts w:ascii="Cambria Math" w:hAnsi="Cambria Math"/>
              <w:sz w:val="20"/>
              <w:szCs w:val="20"/>
            </w:rPr>
            <m:t>=</m:t>
          </m:r>
          <m:sSub>
            <m:sSubPr>
              <m:ctrlPr>
                <w:rPr>
                  <w:rFonts w:ascii="Cambria Math" w:hAnsi="Cambria Math"/>
                  <w:i/>
                  <w:sz w:val="20"/>
                  <w:szCs w:val="20"/>
                </w:rPr>
              </m:ctrlPr>
            </m:sSubPr>
            <m:e>
              <m:r>
                <m:rPr>
                  <m:nor/>
                </m:rPr>
                <w:rPr>
                  <w:sz w:val="20"/>
                  <w:szCs w:val="20"/>
                </w:rPr>
                <m:t>TAC</m:t>
              </m:r>
            </m:e>
            <m:sub>
              <m:r>
                <m:rPr>
                  <m:nor/>
                </m:rPr>
                <w:rPr>
                  <w:sz w:val="20"/>
                  <w:szCs w:val="20"/>
                </w:rPr>
                <m:t>base</m:t>
              </m:r>
            </m:sub>
          </m:sSub>
          <m:sSub>
            <m:sSubPr>
              <m:ctrlPr>
                <w:rPr>
                  <w:rFonts w:ascii="Cambria Math" w:hAnsi="Cambria Math"/>
                  <w:i/>
                  <w:sz w:val="20"/>
                  <w:szCs w:val="20"/>
                </w:rPr>
              </m:ctrlPr>
            </m:sSubPr>
            <m:e>
              <m:r>
                <w:rPr>
                  <w:rFonts w:ascii="Cambria Math" w:hAnsi="Cambria Math"/>
                  <w:sz w:val="20"/>
                  <w:szCs w:val="20"/>
                </w:rPr>
                <m:t>∆</m:t>
              </m:r>
            </m:e>
            <m:sub>
              <m:r>
                <m:rPr>
                  <m:nor/>
                </m:rPr>
                <w:rPr>
                  <w:sz w:val="20"/>
                  <w:szCs w:val="20"/>
                </w:rPr>
                <m:t>TAC</m:t>
              </m:r>
            </m:sub>
          </m:sSub>
        </m:oMath>
      </m:oMathPara>
    </w:p>
    <w:p w14:paraId="1202B712" w14:textId="77777777" w:rsidR="002949E9" w:rsidRPr="007F6290" w:rsidRDefault="002949E9" w:rsidP="002949E9">
      <w:pPr>
        <w:rPr>
          <w:sz w:val="20"/>
          <w:szCs w:val="20"/>
        </w:rPr>
      </w:pPr>
      <w:r w:rsidRPr="007F6290">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m:t>
            </m:r>
          </m:e>
          <m:sub>
            <m:r>
              <m:rPr>
                <m:nor/>
              </m:rPr>
              <w:rPr>
                <w:sz w:val="20"/>
                <w:szCs w:val="20"/>
              </w:rPr>
              <m:t>TAC</m:t>
            </m:r>
          </m:sub>
        </m:sSub>
      </m:oMath>
      <w:r w:rsidRPr="007F6290">
        <w:rPr>
          <w:sz w:val="20"/>
          <w:szCs w:val="20"/>
        </w:rPr>
        <w:t xml:space="preserve"> </w:t>
      </w:r>
      <w:r w:rsidRPr="007F6290">
        <w:rPr>
          <w:sz w:val="20"/>
          <w:szCs w:val="20"/>
          <w:lang w:val="en-CA"/>
        </w:rPr>
        <w:t>is calculated as:</w:t>
      </w:r>
    </w:p>
    <w:p w14:paraId="0D35EC1C" w14:textId="77777777" w:rsidR="002949E9" w:rsidRPr="007F6290" w:rsidRDefault="003E0952" w:rsidP="002949E9">
      <w:pPr>
        <w:rPr>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m:t>
              </m:r>
            </m:e>
            <m:sub>
              <m:r>
                <m:rPr>
                  <m:nor/>
                </m:rPr>
                <w:rPr>
                  <w:sz w:val="20"/>
                  <w:szCs w:val="20"/>
                </w:rPr>
                <m:t>TAC</m:t>
              </m:r>
            </m:sub>
          </m:sSub>
          <m:r>
            <m:rPr>
              <m:sty m:val="p"/>
            </m:rPr>
            <w:rPr>
              <w:rFonts w:ascii="Cambria Math" w:hAnsi="Cambria Math"/>
              <w:sz w:val="20"/>
              <w:szCs w:val="20"/>
            </w:rPr>
            <m:t>=</m:t>
          </m:r>
          <m:d>
            <m:dPr>
              <m:begChr m:val="{"/>
              <m:endChr m:val=""/>
              <m:ctrlPr>
                <w:rPr>
                  <w:rFonts w:ascii="Cambria Math" w:hAnsi="Cambria Math"/>
                  <w:sz w:val="20"/>
                  <w:szCs w:val="20"/>
                </w:rPr>
              </m:ctrlPr>
            </m:dPr>
            <m:e>
              <m:m>
                <m:mPr>
                  <m:mcs>
                    <m:mc>
                      <m:mcPr>
                        <m:count m:val="2"/>
                        <m:mcJc m:val="center"/>
                      </m:mcPr>
                    </m:mc>
                  </m:mcs>
                  <m:ctrlPr>
                    <w:rPr>
                      <w:rFonts w:ascii="Cambria Math" w:hAnsi="Cambria Math"/>
                      <w:sz w:val="20"/>
                      <w:szCs w:val="20"/>
                    </w:rPr>
                  </m:ctrlPr>
                </m:mPr>
                <m:mr>
                  <m:e>
                    <m:r>
                      <w:rPr>
                        <w:rFonts w:ascii="Cambria Math" w:hAnsi="Cambria Math"/>
                        <w:sz w:val="20"/>
                        <w:szCs w:val="20"/>
                      </w:rPr>
                      <m:t>1.85</m:t>
                    </m:r>
                    <m:ctrlPr>
                      <w:rPr>
                        <w:rFonts w:ascii="Cambria Math" w:hAnsi="Cambria Math"/>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I</m:t>
                        </m:r>
                      </m:e>
                      <m:sub>
                        <m:r>
                          <m:rPr>
                            <m:nor/>
                          </m:rPr>
                          <w:rPr>
                            <w:sz w:val="20"/>
                            <w:szCs w:val="20"/>
                          </w:rPr>
                          <m:t>rat</m:t>
                        </m:r>
                      </m:sub>
                    </m:sSub>
                    <m:r>
                      <w:rPr>
                        <w:rFonts w:ascii="Cambria Math" w:hAnsi="Cambria Math"/>
                        <w:sz w:val="20"/>
                        <w:szCs w:val="20"/>
                      </w:rPr>
                      <m:t>≥1.85</m:t>
                    </m:r>
                    <m:ctrlPr>
                      <w:rPr>
                        <w:rFonts w:ascii="Cambria Math" w:hAnsi="Cambria Math"/>
                        <w:sz w:val="20"/>
                        <w:szCs w:val="20"/>
                        <w:lang w:val="en-CA"/>
                      </w:rPr>
                    </m:ctrlPr>
                  </m:e>
                </m:mr>
                <m:mr>
                  <m:e>
                    <m:r>
                      <w:rPr>
                        <w:rFonts w:ascii="Cambria Math" w:hAnsi="Cambria Math"/>
                        <w:sz w:val="20"/>
                        <w:szCs w:val="20"/>
                        <w:lang w:val="en-CA"/>
                      </w:rPr>
                      <m:t>1.75</m:t>
                    </m:r>
                    <m:ctrlPr>
                      <w:rPr>
                        <w:rFonts w:ascii="Cambria Math" w:hAnsi="Cambria Math"/>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1.75≤I</m:t>
                        </m:r>
                      </m:e>
                      <m:sub>
                        <m:r>
                          <m:rPr>
                            <m:nor/>
                          </m:rPr>
                          <w:rPr>
                            <w:sz w:val="20"/>
                            <w:szCs w:val="20"/>
                          </w:rPr>
                          <m:t>rat</m:t>
                        </m:r>
                      </m:sub>
                    </m:sSub>
                    <m:r>
                      <w:rPr>
                        <w:rFonts w:ascii="Cambria Math" w:hAnsi="Cambria Math"/>
                        <w:sz w:val="20"/>
                        <w:szCs w:val="20"/>
                      </w:rPr>
                      <m:t>&lt;1.85</m:t>
                    </m:r>
                    <m:ctrlPr>
                      <w:rPr>
                        <w:rFonts w:ascii="Cambria Math" w:hAnsi="Cambria Math"/>
                        <w:sz w:val="20"/>
                        <w:szCs w:val="20"/>
                        <w:lang w:val="en-CA"/>
                      </w:rPr>
                    </m:ctrlPr>
                  </m:e>
                </m:mr>
                <m:mr>
                  <m:e>
                    <m:r>
                      <m:rPr>
                        <m:sty m:val="p"/>
                      </m:rPr>
                      <w:rPr>
                        <w:rFonts w:ascii="Cambria Math" w:hAnsi="Cambria Math"/>
                        <w:sz w:val="20"/>
                        <w:szCs w:val="20"/>
                      </w:rPr>
                      <m:t>1.65</m:t>
                    </m: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1.65≤I</m:t>
                        </m:r>
                      </m:e>
                      <m:sub>
                        <m:r>
                          <m:rPr>
                            <m:nor/>
                          </m:rPr>
                          <w:rPr>
                            <w:sz w:val="20"/>
                            <w:szCs w:val="20"/>
                          </w:rPr>
                          <m:t>rat</m:t>
                        </m:r>
                      </m:sub>
                    </m:sSub>
                    <m:r>
                      <w:rPr>
                        <w:rFonts w:ascii="Cambria Math" w:hAnsi="Cambria Math"/>
                        <w:sz w:val="20"/>
                        <w:szCs w:val="20"/>
                      </w:rPr>
                      <m:t>&lt;1.75</m:t>
                    </m:r>
                  </m:e>
                </m:mr>
                <m:mr>
                  <m:e>
                    <m:r>
                      <w:rPr>
                        <w:rFonts w:ascii="Cambria Math" w:hAnsi="Cambria Math"/>
                        <w:sz w:val="20"/>
                        <w:szCs w:val="20"/>
                      </w:rPr>
                      <m:t>1.55</m:t>
                    </m: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1.55≤I</m:t>
                        </m:r>
                      </m:e>
                      <m:sub>
                        <m:r>
                          <m:rPr>
                            <m:nor/>
                          </m:rPr>
                          <w:rPr>
                            <w:sz w:val="20"/>
                            <w:szCs w:val="20"/>
                          </w:rPr>
                          <m:t>rat</m:t>
                        </m:r>
                      </m:sub>
                    </m:sSub>
                    <m:r>
                      <w:rPr>
                        <w:rFonts w:ascii="Cambria Math" w:hAnsi="Cambria Math"/>
                        <w:sz w:val="20"/>
                        <w:szCs w:val="20"/>
                      </w:rPr>
                      <m:t>&lt;1.65</m:t>
                    </m:r>
                    <m:ctrlPr>
                      <w:rPr>
                        <w:rFonts w:ascii="Cambria Math" w:hAnsi="Cambria Math"/>
                        <w:i/>
                        <w:sz w:val="20"/>
                        <w:szCs w:val="20"/>
                        <w:lang w:val="en-CA"/>
                      </w:rPr>
                    </m:ctrlPr>
                  </m:e>
                </m:mr>
                <m:mr>
                  <m:e>
                    <m:r>
                      <w:rPr>
                        <w:rFonts w:ascii="Cambria Math" w:hAnsi="Cambria Math"/>
                        <w:sz w:val="20"/>
                        <w:szCs w:val="20"/>
                        <w:lang w:val="en-CA"/>
                      </w:rPr>
                      <m:t>1.45</m:t>
                    </m:r>
                    <m:ctrlPr>
                      <w:rPr>
                        <w:rFonts w:ascii="Cambria Math" w:hAnsi="Cambria Math"/>
                        <w:i/>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1.45≤I</m:t>
                        </m:r>
                      </m:e>
                      <m:sub>
                        <m:r>
                          <m:rPr>
                            <m:nor/>
                          </m:rPr>
                          <w:rPr>
                            <w:sz w:val="20"/>
                            <w:szCs w:val="20"/>
                          </w:rPr>
                          <m:t>rat</m:t>
                        </m:r>
                      </m:sub>
                    </m:sSub>
                    <m:r>
                      <w:rPr>
                        <w:rFonts w:ascii="Cambria Math" w:hAnsi="Cambria Math"/>
                        <w:sz w:val="20"/>
                        <w:szCs w:val="20"/>
                      </w:rPr>
                      <m:t>&lt;1.55</m:t>
                    </m:r>
                    <m:ctrlPr>
                      <w:rPr>
                        <w:rFonts w:ascii="Cambria Math" w:hAnsi="Cambria Math"/>
                        <w:i/>
                        <w:sz w:val="20"/>
                        <w:szCs w:val="20"/>
                        <w:lang w:val="en-CA"/>
                      </w:rPr>
                    </m:ctrlPr>
                  </m:e>
                </m:mr>
                <m:mr>
                  <m:e>
                    <m:r>
                      <w:rPr>
                        <w:rFonts w:ascii="Cambria Math" w:hAnsi="Cambria Math"/>
                        <w:sz w:val="20"/>
                        <w:szCs w:val="20"/>
                        <w:lang w:val="en-CA"/>
                      </w:rPr>
                      <m:t>1.35</m:t>
                    </m:r>
                    <m:ctrlPr>
                      <w:rPr>
                        <w:rFonts w:ascii="Cambria Math" w:hAnsi="Cambria Math"/>
                        <w:i/>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1.35≤I</m:t>
                        </m:r>
                      </m:e>
                      <m:sub>
                        <m:r>
                          <m:rPr>
                            <m:nor/>
                          </m:rPr>
                          <w:rPr>
                            <w:sz w:val="20"/>
                            <w:szCs w:val="20"/>
                          </w:rPr>
                          <m:t>rat</m:t>
                        </m:r>
                      </m:sub>
                    </m:sSub>
                    <m:r>
                      <w:rPr>
                        <w:rFonts w:ascii="Cambria Math" w:hAnsi="Cambria Math"/>
                        <w:sz w:val="20"/>
                        <w:szCs w:val="20"/>
                      </w:rPr>
                      <m:t>&lt;1.45</m:t>
                    </m:r>
                    <m:ctrlPr>
                      <w:rPr>
                        <w:rFonts w:ascii="Cambria Math" w:hAnsi="Cambria Math"/>
                        <w:i/>
                        <w:sz w:val="20"/>
                        <w:szCs w:val="20"/>
                        <w:lang w:val="en-CA"/>
                      </w:rPr>
                    </m:ctrlPr>
                  </m:e>
                </m:mr>
                <m:mr>
                  <m:e>
                    <m:r>
                      <w:rPr>
                        <w:rFonts w:ascii="Cambria Math" w:hAnsi="Cambria Math"/>
                        <w:sz w:val="20"/>
                        <w:szCs w:val="20"/>
                        <w:lang w:val="en-CA"/>
                      </w:rPr>
                      <m:t>1.25</m:t>
                    </m:r>
                    <m:ctrlPr>
                      <w:rPr>
                        <w:rFonts w:ascii="Cambria Math" w:hAnsi="Cambria Math"/>
                        <w:i/>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1.25≤I</m:t>
                        </m:r>
                      </m:e>
                      <m:sub>
                        <m:r>
                          <m:rPr>
                            <m:nor/>
                          </m:rPr>
                          <w:rPr>
                            <w:sz w:val="20"/>
                            <w:szCs w:val="20"/>
                          </w:rPr>
                          <m:t>rat</m:t>
                        </m:r>
                      </m:sub>
                    </m:sSub>
                    <m:r>
                      <w:rPr>
                        <w:rFonts w:ascii="Cambria Math" w:hAnsi="Cambria Math"/>
                        <w:sz w:val="20"/>
                        <w:szCs w:val="20"/>
                      </w:rPr>
                      <m:t>&lt;1.35</m:t>
                    </m:r>
                    <m:ctrlPr>
                      <w:rPr>
                        <w:rFonts w:ascii="Cambria Math" w:hAnsi="Cambria Math"/>
                        <w:i/>
                        <w:sz w:val="20"/>
                        <w:szCs w:val="20"/>
                        <w:lang w:val="en-CA"/>
                      </w:rPr>
                    </m:ctrlPr>
                  </m:e>
                </m:mr>
                <m:mr>
                  <m:e>
                    <m:r>
                      <w:rPr>
                        <w:rFonts w:ascii="Cambria Math" w:hAnsi="Cambria Math"/>
                        <w:sz w:val="20"/>
                        <w:szCs w:val="20"/>
                        <w:lang w:val="en-CA"/>
                      </w:rPr>
                      <m:t>1.15</m:t>
                    </m:r>
                    <m:ctrlPr>
                      <w:rPr>
                        <w:rFonts w:ascii="Cambria Math" w:hAnsi="Cambria Math"/>
                        <w:i/>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1.15≤I</m:t>
                        </m:r>
                      </m:e>
                      <m:sub>
                        <m:r>
                          <m:rPr>
                            <m:nor/>
                          </m:rPr>
                          <w:rPr>
                            <w:sz w:val="20"/>
                            <w:szCs w:val="20"/>
                          </w:rPr>
                          <m:t>rat</m:t>
                        </m:r>
                      </m:sub>
                    </m:sSub>
                    <m:r>
                      <w:rPr>
                        <w:rFonts w:ascii="Cambria Math" w:hAnsi="Cambria Math"/>
                        <w:sz w:val="20"/>
                        <w:szCs w:val="20"/>
                      </w:rPr>
                      <m:t>&lt;1.25</m:t>
                    </m:r>
                    <m:ctrlPr>
                      <w:rPr>
                        <w:rFonts w:ascii="Cambria Math" w:hAnsi="Cambria Math"/>
                        <w:i/>
                        <w:sz w:val="20"/>
                        <w:szCs w:val="20"/>
                        <w:lang w:val="en-CA"/>
                      </w:rPr>
                    </m:ctrlPr>
                  </m:e>
                </m:mr>
                <m:mr>
                  <m:e>
                    <m:r>
                      <w:rPr>
                        <w:rFonts w:ascii="Cambria Math" w:hAnsi="Cambria Math"/>
                        <w:sz w:val="20"/>
                        <w:szCs w:val="20"/>
                        <w:lang w:val="en-CA"/>
                      </w:rPr>
                      <m:t>1.00</m:t>
                    </m:r>
                    <m:ctrlPr>
                      <w:rPr>
                        <w:rFonts w:ascii="Cambria Math" w:hAnsi="Cambria Math"/>
                        <w:i/>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0.75≤I</m:t>
                        </m:r>
                      </m:e>
                      <m:sub>
                        <m:r>
                          <m:rPr>
                            <m:nor/>
                          </m:rPr>
                          <w:rPr>
                            <w:sz w:val="20"/>
                            <w:szCs w:val="20"/>
                          </w:rPr>
                          <m:t>rat</m:t>
                        </m:r>
                      </m:sub>
                    </m:sSub>
                    <m:r>
                      <w:rPr>
                        <w:rFonts w:ascii="Cambria Math" w:hAnsi="Cambria Math"/>
                        <w:sz w:val="20"/>
                        <w:szCs w:val="20"/>
                      </w:rPr>
                      <m:t>&lt;1.15</m:t>
                    </m:r>
                    <m:ctrlPr>
                      <w:rPr>
                        <w:rFonts w:ascii="Cambria Math" w:hAnsi="Cambria Math"/>
                        <w:i/>
                        <w:sz w:val="20"/>
                        <w:szCs w:val="20"/>
                        <w:lang w:val="en-CA"/>
                      </w:rPr>
                    </m:ctrlPr>
                  </m:e>
                </m:mr>
                <m:mr>
                  <m:e>
                    <m:r>
                      <w:rPr>
                        <w:rFonts w:ascii="Cambria Math" w:hAnsi="Cambria Math"/>
                        <w:sz w:val="20"/>
                        <w:szCs w:val="20"/>
                        <w:lang w:val="en-CA"/>
                      </w:rPr>
                      <m:t>0.75</m:t>
                    </m:r>
                    <m:ctrlPr>
                      <w:rPr>
                        <w:rFonts w:ascii="Cambria Math" w:hAnsi="Cambria Math"/>
                        <w:i/>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0.5≤I</m:t>
                        </m:r>
                      </m:e>
                      <m:sub>
                        <m:r>
                          <m:rPr>
                            <m:nor/>
                          </m:rPr>
                          <w:rPr>
                            <w:sz w:val="20"/>
                            <w:szCs w:val="20"/>
                          </w:rPr>
                          <m:t>rat</m:t>
                        </m:r>
                      </m:sub>
                    </m:sSub>
                    <m:r>
                      <w:rPr>
                        <w:rFonts w:ascii="Cambria Math" w:hAnsi="Cambria Math"/>
                        <w:sz w:val="20"/>
                        <w:szCs w:val="20"/>
                      </w:rPr>
                      <m:t>&lt;0.75</m:t>
                    </m:r>
                    <m:ctrlPr>
                      <w:rPr>
                        <w:rFonts w:ascii="Cambria Math" w:hAnsi="Cambria Math"/>
                        <w:i/>
                        <w:sz w:val="20"/>
                        <w:szCs w:val="20"/>
                        <w:lang w:val="en-CA"/>
                      </w:rPr>
                    </m:ctrlPr>
                  </m:e>
                </m:mr>
                <m:mr>
                  <m:e>
                    <m:r>
                      <w:rPr>
                        <w:rFonts w:ascii="Cambria Math" w:hAnsi="Cambria Math"/>
                        <w:sz w:val="20"/>
                        <w:szCs w:val="20"/>
                        <w:lang w:val="en-CA"/>
                      </w:rPr>
                      <m:t>0.5</m:t>
                    </m:r>
                    <m:ctrlPr>
                      <w:rPr>
                        <w:rFonts w:ascii="Cambria Math" w:hAnsi="Cambria Math"/>
                        <w:i/>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I</m:t>
                        </m:r>
                      </m:e>
                      <m:sub>
                        <m:r>
                          <m:rPr>
                            <m:nor/>
                          </m:rPr>
                          <w:rPr>
                            <w:sz w:val="20"/>
                            <w:szCs w:val="20"/>
                          </w:rPr>
                          <m:t>rat</m:t>
                        </m:r>
                      </m:sub>
                    </m:sSub>
                    <m:r>
                      <w:rPr>
                        <w:rFonts w:ascii="Cambria Math" w:hAnsi="Cambria Math"/>
                        <w:sz w:val="20"/>
                        <w:szCs w:val="20"/>
                      </w:rPr>
                      <m:t>&lt;0.5</m:t>
                    </m:r>
                  </m:e>
                </m:mr>
              </m:m>
            </m:e>
          </m:d>
        </m:oMath>
      </m:oMathPara>
    </w:p>
    <w:p w14:paraId="68AF94FC" w14:textId="77777777" w:rsidR="002949E9" w:rsidRPr="007F6290" w:rsidRDefault="002949E9" w:rsidP="002949E9">
      <w:pPr>
        <w:rPr>
          <w:sz w:val="20"/>
          <w:szCs w:val="20"/>
          <w:lang w:val="en-CA"/>
        </w:rPr>
      </w:pPr>
    </w:p>
    <w:p w14:paraId="32F364D5" w14:textId="77777777" w:rsidR="002949E9" w:rsidRPr="007F6290" w:rsidRDefault="002949E9" w:rsidP="002949E9">
      <w:pPr>
        <w:rPr>
          <w:sz w:val="20"/>
          <w:szCs w:val="20"/>
        </w:rPr>
      </w:pPr>
      <w:r w:rsidRPr="007F6290">
        <w:br w:type="page"/>
      </w:r>
    </w:p>
    <w:p w14:paraId="3E701EB0" w14:textId="77777777" w:rsidR="002949E9" w:rsidRPr="007F6290" w:rsidRDefault="002949E9" w:rsidP="002949E9">
      <w:pPr>
        <w:spacing w:before="80"/>
        <w:ind w:right="220"/>
        <w:jc w:val="right"/>
        <w:rPr>
          <w:b/>
          <w:sz w:val="20"/>
          <w:szCs w:val="20"/>
        </w:rPr>
      </w:pPr>
      <w:r w:rsidRPr="007F6290">
        <w:rPr>
          <w:b/>
          <w:sz w:val="20"/>
          <w:szCs w:val="20"/>
        </w:rPr>
        <w:t>Annex 2</w:t>
      </w:r>
    </w:p>
    <w:p w14:paraId="6E562193" w14:textId="52D492DB" w:rsidR="002949E9" w:rsidRPr="007F6290" w:rsidRDefault="002949E9" w:rsidP="002949E9">
      <w:pPr>
        <w:spacing w:before="80"/>
        <w:ind w:right="40"/>
        <w:jc w:val="center"/>
        <w:rPr>
          <w:b/>
          <w:sz w:val="20"/>
          <w:szCs w:val="20"/>
        </w:rPr>
      </w:pPr>
      <w:r w:rsidRPr="007F6290">
        <w:rPr>
          <w:b/>
          <w:sz w:val="20"/>
          <w:szCs w:val="20"/>
        </w:rPr>
        <w:t xml:space="preserve">Performance </w:t>
      </w:r>
      <w:r w:rsidR="00D71F3B" w:rsidRPr="007F6290">
        <w:rPr>
          <w:b/>
          <w:sz w:val="20"/>
          <w:szCs w:val="20"/>
        </w:rPr>
        <w:t>indicators</w:t>
      </w:r>
      <w:r w:rsidR="003E3A97" w:rsidRPr="007F6290">
        <w:rPr>
          <w:b/>
          <w:sz w:val="20"/>
          <w:szCs w:val="20"/>
        </w:rPr>
        <w:t xml:space="preserve"> (PIs)</w:t>
      </w:r>
      <w:r w:rsidRPr="007F6290">
        <w:rPr>
          <w:b/>
          <w:sz w:val="20"/>
          <w:szCs w:val="20"/>
        </w:rPr>
        <w:t xml:space="preserve"> for </w:t>
      </w:r>
      <w:r w:rsidR="002E2ED6" w:rsidRPr="007F6290">
        <w:rPr>
          <w:b/>
          <w:sz w:val="20"/>
          <w:szCs w:val="20"/>
        </w:rPr>
        <w:t>m</w:t>
      </w:r>
      <w:r w:rsidRPr="007F6290">
        <w:rPr>
          <w:b/>
          <w:sz w:val="20"/>
          <w:szCs w:val="20"/>
        </w:rPr>
        <w:t xml:space="preserve">anagement </w:t>
      </w:r>
      <w:r w:rsidR="002E2ED6" w:rsidRPr="007F6290">
        <w:rPr>
          <w:b/>
          <w:sz w:val="20"/>
          <w:szCs w:val="20"/>
        </w:rPr>
        <w:t>o</w:t>
      </w:r>
      <w:r w:rsidRPr="007F6290">
        <w:rPr>
          <w:b/>
          <w:sz w:val="20"/>
          <w:szCs w:val="20"/>
        </w:rPr>
        <w:t>bjectives</w:t>
      </w:r>
    </w:p>
    <w:p w14:paraId="7952E3DC" w14:textId="77777777" w:rsidR="002949E9" w:rsidRPr="007F6290" w:rsidRDefault="002949E9" w:rsidP="002949E9">
      <w:pPr>
        <w:ind w:right="40"/>
        <w:jc w:val="center"/>
        <w:rPr>
          <w:sz w:val="20"/>
          <w:szCs w:val="20"/>
        </w:rPr>
      </w:pPr>
    </w:p>
    <w:p w14:paraId="7BFC58A4" w14:textId="091B5D18" w:rsidR="002949E9" w:rsidRPr="007F6290" w:rsidRDefault="002949E9" w:rsidP="006173FF">
      <w:pPr>
        <w:jc w:val="both"/>
        <w:rPr>
          <w:sz w:val="20"/>
          <w:szCs w:val="20"/>
        </w:rPr>
      </w:pPr>
      <w:r w:rsidRPr="007F6290">
        <w:rPr>
          <w:sz w:val="20"/>
          <w:szCs w:val="20"/>
        </w:rPr>
        <w:t xml:space="preserve">Performance </w:t>
      </w:r>
      <w:r w:rsidR="003E3A97" w:rsidRPr="007F6290">
        <w:rPr>
          <w:sz w:val="20"/>
          <w:szCs w:val="20"/>
        </w:rPr>
        <w:t>i</w:t>
      </w:r>
      <w:r w:rsidRPr="007F6290">
        <w:rPr>
          <w:sz w:val="20"/>
          <w:szCs w:val="20"/>
        </w:rPr>
        <w:t xml:space="preserve">ndicators </w:t>
      </w:r>
      <w:r w:rsidR="003E3A97" w:rsidRPr="007F6290">
        <w:rPr>
          <w:sz w:val="20"/>
          <w:szCs w:val="20"/>
        </w:rPr>
        <w:t xml:space="preserve">(PIs) </w:t>
      </w:r>
      <w:r w:rsidRPr="007F6290">
        <w:rPr>
          <w:sz w:val="20"/>
          <w:szCs w:val="20"/>
        </w:rPr>
        <w:t>are calculated based on 80 simulations for each of the 9 operating models (OMs) for a 30-year projection under a Candidate Management Procedure (CMP).</w:t>
      </w:r>
    </w:p>
    <w:p w14:paraId="1AE1972C" w14:textId="77777777" w:rsidR="002949E9" w:rsidRPr="007F6290" w:rsidRDefault="002949E9" w:rsidP="002949E9">
      <w:pPr>
        <w:widowControl/>
        <w:rPr>
          <w:rFonts w:ascii="Times New Roman" w:eastAsia="Calibri" w:hAnsi="Times New Roman" w:cs="Times New Roman"/>
          <w:sz w:val="20"/>
          <w:lang w:val="en-CA"/>
        </w:rPr>
      </w:pPr>
    </w:p>
    <w:tbl>
      <w:tblPr>
        <w:tblW w:w="8500" w:type="dxa"/>
        <w:tblCellMar>
          <w:left w:w="0" w:type="dxa"/>
          <w:right w:w="0" w:type="dxa"/>
        </w:tblCellMar>
        <w:tblLook w:val="0600" w:firstRow="0" w:lastRow="0" w:firstColumn="0" w:lastColumn="0" w:noHBand="1" w:noVBand="1"/>
      </w:tblPr>
      <w:tblGrid>
        <w:gridCol w:w="3960"/>
        <w:gridCol w:w="4540"/>
      </w:tblGrid>
      <w:tr w:rsidR="002949E9" w:rsidRPr="007F6290" w14:paraId="0B373F39" w14:textId="77777777">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5B7135BE" w14:textId="77777777" w:rsidR="002949E9" w:rsidRPr="007F6290" w:rsidRDefault="002949E9">
            <w:pPr>
              <w:widowControl/>
              <w:jc w:val="center"/>
              <w:textAlignment w:val="top"/>
              <w:rPr>
                <w:rFonts w:ascii="Arial" w:eastAsia="Times New Roman" w:hAnsi="Arial" w:cs="Arial"/>
                <w:sz w:val="18"/>
                <w:szCs w:val="18"/>
              </w:rPr>
            </w:pPr>
            <w:r w:rsidRPr="007F6290">
              <w:rPr>
                <w:rFonts w:eastAsia="Times New Roman" w:cs="Arial"/>
                <w:b/>
                <w:bCs/>
                <w:i/>
                <w:iCs/>
                <w:color w:val="000000"/>
                <w:kern w:val="24"/>
                <w:sz w:val="18"/>
                <w:szCs w:val="18"/>
              </w:rPr>
              <w:t>Management objectives</w:t>
            </w:r>
          </w:p>
        </w:tc>
        <w:tc>
          <w:tcPr>
            <w:tcW w:w="454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2127B429" w14:textId="77777777" w:rsidR="002949E9" w:rsidRPr="007F6290" w:rsidRDefault="002949E9">
            <w:pPr>
              <w:widowControl/>
              <w:jc w:val="center"/>
              <w:textAlignment w:val="top"/>
              <w:rPr>
                <w:rFonts w:ascii="Arial" w:eastAsia="Times New Roman" w:hAnsi="Arial" w:cs="Arial"/>
                <w:sz w:val="18"/>
                <w:szCs w:val="18"/>
              </w:rPr>
            </w:pPr>
            <w:r w:rsidRPr="007F6290">
              <w:rPr>
                <w:rFonts w:eastAsia="Times New Roman" w:cs="Arial"/>
                <w:b/>
                <w:bCs/>
                <w:i/>
                <w:iCs/>
                <w:color w:val="000000"/>
                <w:kern w:val="24"/>
                <w:sz w:val="18"/>
                <w:szCs w:val="18"/>
              </w:rPr>
              <w:t>Corresponding key PIs</w:t>
            </w:r>
          </w:p>
        </w:tc>
      </w:tr>
      <w:tr w:rsidR="002949E9" w:rsidRPr="007F6290" w14:paraId="5BED1D46" w14:textId="77777777">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61811544" w14:textId="77777777"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b/>
                <w:bCs/>
                <w:color w:val="000000"/>
                <w:kern w:val="24"/>
                <w:sz w:val="18"/>
                <w:szCs w:val="18"/>
              </w:rPr>
              <w:t>Status</w:t>
            </w:r>
          </w:p>
          <w:p w14:paraId="3019CE4F" w14:textId="77777777"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color w:val="000000"/>
                <w:kern w:val="24"/>
                <w:sz w:val="18"/>
                <w:szCs w:val="18"/>
              </w:rPr>
              <w:t>The stock should have a 60% or greater probability of occurring in the green quadrant of the Kobe matrix.</w:t>
            </w:r>
          </w:p>
        </w:tc>
        <w:tc>
          <w:tcPr>
            <w:tcW w:w="454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690C8929" w14:textId="5315834E"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b/>
                <w:bCs/>
                <w:color w:val="000000"/>
                <w:kern w:val="24"/>
                <w:sz w:val="18"/>
                <w:szCs w:val="18"/>
              </w:rPr>
              <w:t>PGK</w:t>
            </w:r>
            <w:r w:rsidRPr="007F6290">
              <w:rPr>
                <w:rFonts w:eastAsia="Times New Roman" w:cs="Arial"/>
                <w:b/>
                <w:bCs/>
                <w:color w:val="000000"/>
                <w:kern w:val="24"/>
                <w:position w:val="-5"/>
                <w:sz w:val="18"/>
                <w:szCs w:val="18"/>
                <w:vertAlign w:val="subscript"/>
              </w:rPr>
              <w:t>SHORT</w:t>
            </w:r>
            <w:r w:rsidRPr="007F6290">
              <w:rPr>
                <w:rFonts w:eastAsia="Times New Roman" w:cs="Arial"/>
                <w:color w:val="000000"/>
                <w:kern w:val="24"/>
                <w:sz w:val="18"/>
                <w:szCs w:val="18"/>
              </w:rPr>
              <w:t>: Probability of being in the Kobe green quadrant (i.e. SB≥SB</w:t>
            </w:r>
            <w:r w:rsidRPr="007F6290">
              <w:rPr>
                <w:rFonts w:eastAsia="Times New Roman" w:cs="Arial"/>
                <w:color w:val="000000"/>
                <w:kern w:val="24"/>
                <w:position w:val="-5"/>
                <w:sz w:val="18"/>
                <w:szCs w:val="18"/>
                <w:vertAlign w:val="subscript"/>
              </w:rPr>
              <w:t>MSY</w:t>
            </w:r>
            <w:r w:rsidRPr="007F6290">
              <w:rPr>
                <w:rFonts w:eastAsia="Times New Roman" w:cs="Arial"/>
                <w:color w:val="000000"/>
                <w:kern w:val="24"/>
                <w:sz w:val="18"/>
                <w:szCs w:val="18"/>
              </w:rPr>
              <w:t xml:space="preserve"> and F&lt;F</w:t>
            </w:r>
            <w:r w:rsidRPr="007F6290">
              <w:rPr>
                <w:rFonts w:eastAsia="Times New Roman" w:cs="Arial"/>
                <w:color w:val="000000"/>
                <w:kern w:val="24"/>
                <w:position w:val="-5"/>
                <w:sz w:val="18"/>
                <w:szCs w:val="18"/>
                <w:vertAlign w:val="subscript"/>
              </w:rPr>
              <w:t>MSY</w:t>
            </w:r>
            <w:r w:rsidRPr="007F6290">
              <w:rPr>
                <w:rFonts w:eastAsia="Times New Roman" w:cs="Arial"/>
                <w:color w:val="000000"/>
                <w:kern w:val="24"/>
                <w:sz w:val="18"/>
                <w:szCs w:val="18"/>
              </w:rPr>
              <w:t>) in years 1-10</w:t>
            </w:r>
          </w:p>
          <w:p w14:paraId="20F6C948" w14:textId="7B5B2BE3"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b/>
                <w:bCs/>
                <w:color w:val="000000"/>
                <w:kern w:val="24"/>
                <w:sz w:val="18"/>
                <w:szCs w:val="18"/>
              </w:rPr>
              <w:t>PGK</w:t>
            </w:r>
            <w:r w:rsidRPr="007F6290">
              <w:rPr>
                <w:rFonts w:eastAsia="Times New Roman" w:cs="Arial"/>
                <w:b/>
                <w:bCs/>
                <w:color w:val="000000"/>
                <w:kern w:val="24"/>
                <w:position w:val="-5"/>
                <w:sz w:val="18"/>
                <w:szCs w:val="18"/>
                <w:vertAlign w:val="subscript"/>
              </w:rPr>
              <w:t>MED</w:t>
            </w:r>
            <w:r w:rsidRPr="007F6290">
              <w:rPr>
                <w:rFonts w:eastAsia="Times New Roman" w:cs="Arial"/>
                <w:color w:val="000000"/>
                <w:kern w:val="24"/>
                <w:sz w:val="18"/>
                <w:szCs w:val="18"/>
              </w:rPr>
              <w:t>: Probability of being in the Kobe green quadrant (i.e. SB≥SB</w:t>
            </w:r>
            <w:r w:rsidRPr="007F6290">
              <w:rPr>
                <w:rFonts w:eastAsia="Times New Roman" w:cs="Arial"/>
                <w:color w:val="000000"/>
                <w:kern w:val="24"/>
                <w:position w:val="-5"/>
                <w:sz w:val="18"/>
                <w:szCs w:val="18"/>
                <w:vertAlign w:val="subscript"/>
              </w:rPr>
              <w:t>MSY</w:t>
            </w:r>
            <w:r w:rsidRPr="007F6290">
              <w:rPr>
                <w:rFonts w:eastAsia="Times New Roman" w:cs="Arial"/>
                <w:color w:val="000000"/>
                <w:kern w:val="24"/>
                <w:sz w:val="18"/>
                <w:szCs w:val="18"/>
              </w:rPr>
              <w:t xml:space="preserve"> and F&lt;F</w:t>
            </w:r>
            <w:r w:rsidRPr="007F6290">
              <w:rPr>
                <w:rFonts w:eastAsia="Times New Roman" w:cs="Arial"/>
                <w:color w:val="000000"/>
                <w:kern w:val="24"/>
                <w:position w:val="-5"/>
                <w:sz w:val="18"/>
                <w:szCs w:val="18"/>
                <w:vertAlign w:val="subscript"/>
              </w:rPr>
              <w:t>MSY</w:t>
            </w:r>
            <w:r w:rsidRPr="007F6290">
              <w:rPr>
                <w:rFonts w:eastAsia="Times New Roman" w:cs="Arial"/>
                <w:color w:val="000000"/>
                <w:kern w:val="24"/>
                <w:sz w:val="18"/>
                <w:szCs w:val="18"/>
              </w:rPr>
              <w:t>) in years 11-20</w:t>
            </w:r>
          </w:p>
          <w:p w14:paraId="36948B66" w14:textId="73AF9A86"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b/>
                <w:bCs/>
                <w:color w:val="000000"/>
                <w:kern w:val="24"/>
                <w:sz w:val="18"/>
                <w:szCs w:val="18"/>
              </w:rPr>
              <w:t>PGK</w:t>
            </w:r>
            <w:r w:rsidRPr="007F6290">
              <w:rPr>
                <w:rFonts w:eastAsia="Times New Roman" w:cs="Arial"/>
                <w:b/>
                <w:bCs/>
                <w:color w:val="000000"/>
                <w:kern w:val="24"/>
                <w:position w:val="-5"/>
                <w:sz w:val="18"/>
                <w:szCs w:val="18"/>
                <w:vertAlign w:val="subscript"/>
              </w:rPr>
              <w:t>ALL</w:t>
            </w:r>
            <w:r w:rsidRPr="007F6290">
              <w:rPr>
                <w:rFonts w:eastAsia="Times New Roman" w:cs="Arial"/>
                <w:color w:val="000000"/>
                <w:kern w:val="24"/>
                <w:sz w:val="18"/>
                <w:szCs w:val="18"/>
              </w:rPr>
              <w:t>: Probability of being in the Kobe green quadrant (i.e. SB≥SB</w:t>
            </w:r>
            <w:r w:rsidRPr="007F6290">
              <w:rPr>
                <w:rFonts w:eastAsia="Times New Roman" w:cs="Arial"/>
                <w:color w:val="000000"/>
                <w:kern w:val="24"/>
                <w:position w:val="-5"/>
                <w:sz w:val="18"/>
                <w:szCs w:val="18"/>
                <w:vertAlign w:val="subscript"/>
              </w:rPr>
              <w:t>MSY</w:t>
            </w:r>
            <w:r w:rsidRPr="007F6290">
              <w:rPr>
                <w:rFonts w:eastAsia="Times New Roman" w:cs="Arial"/>
                <w:color w:val="000000"/>
                <w:kern w:val="24"/>
                <w:sz w:val="18"/>
                <w:szCs w:val="18"/>
              </w:rPr>
              <w:t xml:space="preserve"> and F&lt;F</w:t>
            </w:r>
            <w:r w:rsidRPr="007F6290">
              <w:rPr>
                <w:rFonts w:eastAsia="Times New Roman" w:cs="Arial"/>
                <w:color w:val="000000"/>
                <w:kern w:val="24"/>
                <w:position w:val="-5"/>
                <w:sz w:val="18"/>
                <w:szCs w:val="18"/>
                <w:vertAlign w:val="subscript"/>
              </w:rPr>
              <w:t>MSY</w:t>
            </w:r>
            <w:r w:rsidRPr="007F6290">
              <w:rPr>
                <w:rFonts w:eastAsia="Times New Roman" w:cs="Arial"/>
                <w:color w:val="000000"/>
                <w:kern w:val="24"/>
                <w:sz w:val="18"/>
                <w:szCs w:val="18"/>
              </w:rPr>
              <w:t>) over years 1-30</w:t>
            </w:r>
          </w:p>
          <w:p w14:paraId="7BB4A364" w14:textId="515CF0BC"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b/>
                <w:bCs/>
                <w:color w:val="000000"/>
                <w:kern w:val="24"/>
                <w:sz w:val="18"/>
                <w:szCs w:val="18"/>
              </w:rPr>
              <w:t>PNOF:</w:t>
            </w:r>
            <w:r w:rsidRPr="007F6290">
              <w:rPr>
                <w:rFonts w:eastAsia="Times New Roman" w:cs="Arial"/>
                <w:color w:val="000000"/>
                <w:kern w:val="24"/>
                <w:sz w:val="18"/>
                <w:szCs w:val="18"/>
              </w:rPr>
              <w:t xml:space="preserve"> Probability of not overfishing (F&lt;F</w:t>
            </w:r>
            <w:r w:rsidRPr="007F6290">
              <w:rPr>
                <w:rFonts w:eastAsia="Times New Roman" w:cs="Arial"/>
                <w:color w:val="000000"/>
                <w:kern w:val="24"/>
                <w:position w:val="-5"/>
                <w:sz w:val="18"/>
                <w:szCs w:val="18"/>
                <w:vertAlign w:val="subscript"/>
              </w:rPr>
              <w:t>MSY</w:t>
            </w:r>
            <w:r w:rsidRPr="007F6290">
              <w:rPr>
                <w:rFonts w:eastAsia="Times New Roman" w:cs="Arial"/>
                <w:color w:val="000000"/>
                <w:kern w:val="24"/>
                <w:sz w:val="18"/>
                <w:szCs w:val="18"/>
              </w:rPr>
              <w:t>) over years 1-30</w:t>
            </w:r>
          </w:p>
        </w:tc>
      </w:tr>
      <w:tr w:rsidR="002949E9" w:rsidRPr="007F6290" w14:paraId="46DA9970" w14:textId="77777777">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328900A4" w14:textId="77777777"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b/>
                <w:bCs/>
                <w:color w:val="000000"/>
                <w:kern w:val="24"/>
                <w:sz w:val="18"/>
                <w:szCs w:val="18"/>
              </w:rPr>
              <w:t>Safety</w:t>
            </w:r>
          </w:p>
          <w:p w14:paraId="4CEA50DE" w14:textId="77777777"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color w:val="000000"/>
                <w:kern w:val="24"/>
                <w:sz w:val="18"/>
                <w:szCs w:val="18"/>
              </w:rPr>
              <w:t>There should be a 15% or less probability of the stock falling below B</w:t>
            </w:r>
            <w:r w:rsidRPr="007F6290">
              <w:rPr>
                <w:rFonts w:eastAsia="Times New Roman" w:cs="Arial"/>
                <w:color w:val="000000"/>
                <w:kern w:val="24"/>
                <w:position w:val="-5"/>
                <w:sz w:val="18"/>
                <w:szCs w:val="18"/>
                <w:vertAlign w:val="subscript"/>
              </w:rPr>
              <w:t>LIM</w:t>
            </w:r>
            <w:r w:rsidRPr="007F6290">
              <w:rPr>
                <w:rFonts w:eastAsia="Times New Roman" w:cs="Arial"/>
                <w:color w:val="000000"/>
                <w:kern w:val="24"/>
                <w:sz w:val="18"/>
                <w:szCs w:val="18"/>
              </w:rPr>
              <w:t xml:space="preserve"> (0.4*B</w:t>
            </w:r>
            <w:r w:rsidRPr="007F6290">
              <w:rPr>
                <w:rFonts w:eastAsia="Times New Roman" w:cs="Arial"/>
                <w:color w:val="000000"/>
                <w:kern w:val="24"/>
                <w:position w:val="-5"/>
                <w:sz w:val="18"/>
                <w:szCs w:val="18"/>
                <w:vertAlign w:val="subscript"/>
              </w:rPr>
              <w:t>MSY</w:t>
            </w:r>
            <w:r w:rsidRPr="007F6290">
              <w:rPr>
                <w:rFonts w:eastAsia="Times New Roman" w:cs="Arial"/>
                <w:color w:val="000000"/>
                <w:kern w:val="24"/>
                <w:sz w:val="18"/>
                <w:szCs w:val="18"/>
              </w:rPr>
              <w:t>) at any point during the 30-year evaluation period.</w:t>
            </w:r>
          </w:p>
        </w:tc>
        <w:tc>
          <w:tcPr>
            <w:tcW w:w="454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542D44D1" w14:textId="571A1EE5"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b/>
                <w:bCs/>
                <w:color w:val="000000"/>
                <w:kern w:val="24"/>
                <w:sz w:val="18"/>
                <w:szCs w:val="18"/>
              </w:rPr>
              <w:t>LRP</w:t>
            </w:r>
            <w:r w:rsidRPr="007F6290">
              <w:rPr>
                <w:rFonts w:eastAsia="Times New Roman" w:cs="Arial"/>
                <w:b/>
                <w:bCs/>
                <w:color w:val="000000"/>
                <w:kern w:val="24"/>
                <w:position w:val="-5"/>
                <w:sz w:val="18"/>
                <w:szCs w:val="18"/>
                <w:vertAlign w:val="subscript"/>
              </w:rPr>
              <w:t>ALL</w:t>
            </w:r>
            <w:r w:rsidRPr="007F6290">
              <w:rPr>
                <w:rFonts w:eastAsia="Times New Roman" w:cs="Arial"/>
                <w:color w:val="000000"/>
                <w:kern w:val="24"/>
                <w:sz w:val="18"/>
                <w:szCs w:val="18"/>
              </w:rPr>
              <w:t>: Probability of breaching the limit reference point (i.e. SB&lt;0.4*SB</w:t>
            </w:r>
            <w:r w:rsidRPr="007F6290">
              <w:rPr>
                <w:rFonts w:eastAsia="Times New Roman" w:cs="Arial"/>
                <w:color w:val="000000"/>
                <w:kern w:val="24"/>
                <w:position w:val="-5"/>
                <w:sz w:val="18"/>
                <w:szCs w:val="18"/>
                <w:vertAlign w:val="subscript"/>
              </w:rPr>
              <w:t>MSY</w:t>
            </w:r>
            <w:r w:rsidRPr="007F6290">
              <w:rPr>
                <w:rFonts w:eastAsia="Times New Roman" w:cs="Arial"/>
                <w:color w:val="000000"/>
                <w:kern w:val="24"/>
                <w:sz w:val="18"/>
                <w:szCs w:val="18"/>
              </w:rPr>
              <w:t>) in any of years 1-30</w:t>
            </w:r>
          </w:p>
          <w:p w14:paraId="67B5DC8A" w14:textId="77777777" w:rsidR="002949E9" w:rsidRPr="007F6290" w:rsidRDefault="002949E9">
            <w:pPr>
              <w:widowControl/>
              <w:jc w:val="both"/>
              <w:textAlignment w:val="top"/>
              <w:rPr>
                <w:rFonts w:ascii="Arial" w:eastAsia="Times New Roman" w:hAnsi="Arial" w:cs="Arial"/>
                <w:sz w:val="18"/>
                <w:szCs w:val="18"/>
              </w:rPr>
            </w:pPr>
          </w:p>
        </w:tc>
      </w:tr>
      <w:tr w:rsidR="002949E9" w:rsidRPr="007F6290" w14:paraId="0BC34563" w14:textId="77777777">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4B3D2877" w14:textId="77777777"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b/>
                <w:bCs/>
                <w:color w:val="000000"/>
                <w:kern w:val="24"/>
                <w:sz w:val="18"/>
                <w:szCs w:val="18"/>
              </w:rPr>
              <w:t>Yield</w:t>
            </w:r>
          </w:p>
          <w:p w14:paraId="044641B7" w14:textId="77777777"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color w:val="000000"/>
                <w:kern w:val="24"/>
                <w:sz w:val="18"/>
                <w:szCs w:val="18"/>
              </w:rPr>
              <w:t>Maximize overall catch levels.</w:t>
            </w:r>
          </w:p>
        </w:tc>
        <w:tc>
          <w:tcPr>
            <w:tcW w:w="454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1653ACD9" w14:textId="77777777"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b/>
                <w:bCs/>
                <w:color w:val="000000"/>
                <w:kern w:val="24"/>
                <w:sz w:val="18"/>
                <w:szCs w:val="18"/>
              </w:rPr>
              <w:t>TAC1</w:t>
            </w:r>
            <w:r w:rsidRPr="007F6290">
              <w:rPr>
                <w:rFonts w:eastAsia="Times New Roman" w:cs="Arial"/>
                <w:color w:val="000000"/>
                <w:kern w:val="24"/>
                <w:sz w:val="18"/>
                <w:szCs w:val="18"/>
              </w:rPr>
              <w:t>: TAC in the first management cycle (2025-2027)</w:t>
            </w:r>
          </w:p>
          <w:p w14:paraId="231AD07C" w14:textId="77777777"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b/>
                <w:bCs/>
                <w:color w:val="000000"/>
                <w:kern w:val="24"/>
                <w:sz w:val="18"/>
                <w:szCs w:val="18"/>
              </w:rPr>
              <w:t>AvTAC</w:t>
            </w:r>
            <w:r w:rsidRPr="007F6290">
              <w:rPr>
                <w:rFonts w:eastAsia="Times New Roman" w:cs="Arial"/>
                <w:b/>
                <w:bCs/>
                <w:color w:val="000000"/>
                <w:kern w:val="24"/>
                <w:position w:val="-5"/>
                <w:sz w:val="18"/>
                <w:szCs w:val="18"/>
                <w:vertAlign w:val="subscript"/>
              </w:rPr>
              <w:t>SHORT</w:t>
            </w:r>
            <w:r w:rsidRPr="007F6290">
              <w:rPr>
                <w:rFonts w:eastAsia="Times New Roman" w:cs="Arial"/>
                <w:color w:val="000000"/>
                <w:kern w:val="24"/>
                <w:sz w:val="18"/>
                <w:szCs w:val="18"/>
              </w:rPr>
              <w:t>: Median TAC (t) over years 1-10</w:t>
            </w:r>
          </w:p>
          <w:p w14:paraId="56BCDBBE" w14:textId="77777777"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b/>
                <w:bCs/>
                <w:color w:val="000000"/>
                <w:kern w:val="24"/>
                <w:sz w:val="18"/>
                <w:szCs w:val="18"/>
              </w:rPr>
              <w:t>AvTAC</w:t>
            </w:r>
            <w:r w:rsidRPr="007F6290">
              <w:rPr>
                <w:rFonts w:eastAsia="Times New Roman" w:cs="Arial"/>
                <w:b/>
                <w:bCs/>
                <w:color w:val="000000"/>
                <w:kern w:val="24"/>
                <w:position w:val="-5"/>
                <w:sz w:val="18"/>
                <w:szCs w:val="18"/>
                <w:vertAlign w:val="subscript"/>
              </w:rPr>
              <w:t>MED</w:t>
            </w:r>
            <w:r w:rsidRPr="007F6290">
              <w:rPr>
                <w:rFonts w:eastAsia="Times New Roman" w:cs="Arial"/>
                <w:color w:val="000000"/>
                <w:kern w:val="24"/>
                <w:sz w:val="18"/>
                <w:szCs w:val="18"/>
              </w:rPr>
              <w:t>: Median TAC (t) over years 11-20</w:t>
            </w:r>
          </w:p>
          <w:p w14:paraId="2646F8CB" w14:textId="77777777"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b/>
                <w:bCs/>
                <w:color w:val="000000"/>
                <w:kern w:val="24"/>
                <w:sz w:val="18"/>
                <w:szCs w:val="18"/>
              </w:rPr>
              <w:t>AvTAC</w:t>
            </w:r>
            <w:r w:rsidRPr="007F6290">
              <w:rPr>
                <w:rFonts w:eastAsia="Times New Roman" w:cs="Arial"/>
                <w:b/>
                <w:bCs/>
                <w:color w:val="000000"/>
                <w:kern w:val="24"/>
                <w:position w:val="-5"/>
                <w:sz w:val="18"/>
                <w:szCs w:val="18"/>
                <w:vertAlign w:val="subscript"/>
              </w:rPr>
              <w:t>LONG</w:t>
            </w:r>
            <w:r w:rsidRPr="007F6290">
              <w:rPr>
                <w:rFonts w:eastAsia="Times New Roman" w:cs="Arial"/>
                <w:color w:val="000000"/>
                <w:kern w:val="24"/>
                <w:sz w:val="18"/>
                <w:szCs w:val="18"/>
              </w:rPr>
              <w:t>: Median TAC (t) over years 21-30</w:t>
            </w:r>
          </w:p>
        </w:tc>
      </w:tr>
      <w:tr w:rsidR="002949E9" w:rsidRPr="007F6290" w14:paraId="12E435F7" w14:textId="77777777">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5D499EEF" w14:textId="77777777"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b/>
                <w:bCs/>
                <w:color w:val="000000"/>
                <w:kern w:val="24"/>
                <w:sz w:val="18"/>
                <w:szCs w:val="18"/>
              </w:rPr>
              <w:t>Stability</w:t>
            </w:r>
          </w:p>
          <w:p w14:paraId="6C632AF6" w14:textId="7DC3889D"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color w:val="000000"/>
                <w:kern w:val="24"/>
                <w:sz w:val="18"/>
                <w:szCs w:val="18"/>
              </w:rPr>
              <w:t xml:space="preserve">Changes in TAC shall be minimized, consistent with the specifications of the MP as described in </w:t>
            </w:r>
            <w:r w:rsidRPr="007F6290">
              <w:rPr>
                <w:rFonts w:eastAsia="Times New Roman" w:cs="Arial"/>
                <w:b/>
                <w:bCs/>
                <w:color w:val="000000"/>
                <w:kern w:val="24"/>
                <w:sz w:val="18"/>
                <w:szCs w:val="18"/>
              </w:rPr>
              <w:t>Annex 1</w:t>
            </w:r>
            <w:r w:rsidR="006107C0" w:rsidRPr="007F6290">
              <w:rPr>
                <w:rFonts w:eastAsia="Times New Roman" w:cs="Arial"/>
                <w:color w:val="000000"/>
                <w:kern w:val="24"/>
                <w:sz w:val="18"/>
                <w:szCs w:val="18"/>
              </w:rPr>
              <w:t>.</w:t>
            </w:r>
          </w:p>
        </w:tc>
        <w:tc>
          <w:tcPr>
            <w:tcW w:w="454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hideMark/>
          </w:tcPr>
          <w:p w14:paraId="33740E0A" w14:textId="758C4651" w:rsidR="002949E9" w:rsidRPr="007F6290" w:rsidRDefault="002949E9">
            <w:pPr>
              <w:widowControl/>
              <w:jc w:val="both"/>
              <w:textAlignment w:val="top"/>
              <w:rPr>
                <w:rFonts w:ascii="Arial" w:eastAsia="Times New Roman" w:hAnsi="Arial" w:cs="Arial"/>
                <w:sz w:val="18"/>
                <w:szCs w:val="18"/>
              </w:rPr>
            </w:pPr>
            <w:r w:rsidRPr="007F6290">
              <w:rPr>
                <w:rFonts w:eastAsia="Times New Roman" w:cs="Arial"/>
                <w:b/>
                <w:bCs/>
                <w:color w:val="000000"/>
                <w:kern w:val="24"/>
                <w:sz w:val="18"/>
                <w:szCs w:val="18"/>
              </w:rPr>
              <w:t>VarC</w:t>
            </w:r>
            <w:r w:rsidRPr="007F6290">
              <w:rPr>
                <w:rFonts w:eastAsia="Times New Roman" w:cs="Arial"/>
                <w:color w:val="000000"/>
                <w:kern w:val="24"/>
                <w:sz w:val="18"/>
                <w:szCs w:val="18"/>
              </w:rPr>
              <w:t>: Mean variation in TAC (%) between management cycles over years 1-30</w:t>
            </w:r>
          </w:p>
          <w:p w14:paraId="064B540D" w14:textId="77777777" w:rsidR="002949E9" w:rsidRPr="007F6290" w:rsidRDefault="002949E9">
            <w:pPr>
              <w:widowControl/>
              <w:textAlignment w:val="top"/>
              <w:rPr>
                <w:rFonts w:ascii="Arial" w:eastAsia="Times New Roman" w:hAnsi="Arial" w:cs="Arial"/>
                <w:sz w:val="18"/>
                <w:szCs w:val="18"/>
              </w:rPr>
            </w:pPr>
          </w:p>
        </w:tc>
      </w:tr>
    </w:tbl>
    <w:p w14:paraId="3A5D46C0" w14:textId="2CD6674D" w:rsidR="002949E9" w:rsidRPr="007F6290" w:rsidRDefault="002949E9" w:rsidP="006C7B0F">
      <w:pPr>
        <w:widowControl/>
        <w:rPr>
          <w:sz w:val="20"/>
          <w:szCs w:val="20"/>
        </w:rPr>
      </w:pPr>
      <w:r w:rsidRPr="007F6290">
        <w:rPr>
          <w:rFonts w:asciiTheme="majorHAnsi" w:eastAsia="Times New Roman" w:hAnsiTheme="majorHAnsi" w:cs="Times New Roman"/>
          <w:sz w:val="20"/>
          <w:szCs w:val="24"/>
        </w:rPr>
        <w:br w:type="page"/>
      </w:r>
    </w:p>
    <w:p w14:paraId="2770166F" w14:textId="77777777" w:rsidR="002949E9" w:rsidRPr="007F6290" w:rsidRDefault="002949E9" w:rsidP="002949E9">
      <w:pPr>
        <w:ind w:right="2"/>
        <w:jc w:val="right"/>
        <w:rPr>
          <w:b/>
          <w:sz w:val="20"/>
          <w:szCs w:val="20"/>
        </w:rPr>
      </w:pPr>
      <w:bookmarkStart w:id="1" w:name="_Hlk214705240"/>
      <w:r w:rsidRPr="007F6290">
        <w:rPr>
          <w:b/>
          <w:sz w:val="20"/>
          <w:szCs w:val="20"/>
        </w:rPr>
        <w:t>Annex 3</w:t>
      </w:r>
    </w:p>
    <w:p w14:paraId="12195C45" w14:textId="77777777" w:rsidR="002949E9" w:rsidRPr="007F6290" w:rsidRDefault="002949E9" w:rsidP="002949E9">
      <w:pPr>
        <w:ind w:right="180"/>
        <w:jc w:val="center"/>
        <w:rPr>
          <w:b/>
          <w:sz w:val="20"/>
          <w:szCs w:val="20"/>
        </w:rPr>
      </w:pPr>
      <w:r w:rsidRPr="007F6290">
        <w:rPr>
          <w:b/>
          <w:sz w:val="20"/>
          <w:szCs w:val="20"/>
        </w:rPr>
        <w:t xml:space="preserve"> </w:t>
      </w:r>
    </w:p>
    <w:p w14:paraId="71F58287" w14:textId="6FA04525" w:rsidR="002949E9" w:rsidRPr="007F6290" w:rsidRDefault="002949E9" w:rsidP="002949E9">
      <w:pPr>
        <w:ind w:right="-20"/>
        <w:jc w:val="center"/>
        <w:rPr>
          <w:b/>
          <w:sz w:val="20"/>
          <w:szCs w:val="20"/>
        </w:rPr>
      </w:pPr>
      <w:r w:rsidRPr="007F6290">
        <w:rPr>
          <w:b/>
          <w:sz w:val="20"/>
          <w:szCs w:val="20"/>
        </w:rPr>
        <w:t>Schedule for Management Procedure</w:t>
      </w:r>
      <w:r w:rsidR="00CD3064" w:rsidRPr="007F6290">
        <w:rPr>
          <w:b/>
          <w:sz w:val="20"/>
          <w:szCs w:val="20"/>
        </w:rPr>
        <w:t xml:space="preserve"> (MP)</w:t>
      </w:r>
      <w:r w:rsidRPr="007F6290">
        <w:rPr>
          <w:b/>
          <w:sz w:val="20"/>
          <w:szCs w:val="20"/>
        </w:rPr>
        <w:t xml:space="preserve"> </w:t>
      </w:r>
      <w:r w:rsidR="0005198D" w:rsidRPr="007F6290">
        <w:rPr>
          <w:b/>
          <w:sz w:val="20"/>
          <w:szCs w:val="20"/>
        </w:rPr>
        <w:t>i</w:t>
      </w:r>
      <w:r w:rsidRPr="007F6290">
        <w:rPr>
          <w:b/>
          <w:sz w:val="20"/>
          <w:szCs w:val="20"/>
        </w:rPr>
        <w:t>mplementation</w:t>
      </w:r>
    </w:p>
    <w:bookmarkEnd w:id="1"/>
    <w:p w14:paraId="729D6F79" w14:textId="77777777" w:rsidR="002949E9" w:rsidRPr="007F6290" w:rsidRDefault="002949E9" w:rsidP="002949E9">
      <w:pPr>
        <w:ind w:left="80" w:right="180"/>
        <w:jc w:val="center"/>
        <w:rPr>
          <w:b/>
          <w:sz w:val="20"/>
          <w:szCs w:val="20"/>
        </w:rPr>
      </w:pPr>
      <w:r w:rsidRPr="007F6290">
        <w:rPr>
          <w:b/>
          <w:sz w:val="20"/>
          <w:szCs w:val="20"/>
        </w:rPr>
        <w:t xml:space="preserve"> </w:t>
      </w:r>
    </w:p>
    <w:p w14:paraId="1CCA6DAB" w14:textId="77777777" w:rsidR="002949E9" w:rsidRPr="007F6290" w:rsidRDefault="002949E9" w:rsidP="006107C0">
      <w:pPr>
        <w:jc w:val="both"/>
        <w:rPr>
          <w:sz w:val="20"/>
          <w:szCs w:val="20"/>
        </w:rPr>
      </w:pPr>
      <w:r w:rsidRPr="007F6290">
        <w:rPr>
          <w:sz w:val="20"/>
          <w:szCs w:val="20"/>
        </w:rPr>
        <w:t>Three-year management cycle</w:t>
      </w:r>
    </w:p>
    <w:p w14:paraId="1CDE0494" w14:textId="77777777" w:rsidR="002949E9" w:rsidRPr="007F6290" w:rsidRDefault="002949E9" w:rsidP="002949E9">
      <w:pPr>
        <w:widowControl/>
        <w:tabs>
          <w:tab w:val="left" w:pos="426"/>
          <w:tab w:val="left" w:pos="709"/>
          <w:tab w:val="left" w:pos="993"/>
        </w:tabs>
        <w:autoSpaceDE w:val="0"/>
        <w:autoSpaceDN w:val="0"/>
        <w:adjustRightInd w:val="0"/>
        <w:spacing w:line="240" w:lineRule="exact"/>
        <w:jc w:val="both"/>
        <w:rPr>
          <w:rFonts w:asciiTheme="majorHAnsi" w:eastAsia="Times New Roman" w:hAnsiTheme="majorHAnsi" w:cs="Times New Roman"/>
          <w:sz w:val="20"/>
          <w:szCs w:val="24"/>
        </w:rPr>
      </w:pPr>
    </w:p>
    <w:tbl>
      <w:tblPr>
        <w:tblW w:w="8810" w:type="dxa"/>
        <w:tblLayout w:type="fixed"/>
        <w:tblCellMar>
          <w:left w:w="0" w:type="dxa"/>
          <w:right w:w="0" w:type="dxa"/>
        </w:tblCellMar>
        <w:tblLook w:val="0600" w:firstRow="0" w:lastRow="0" w:firstColumn="0" w:lastColumn="0" w:noHBand="1" w:noVBand="1"/>
      </w:tblPr>
      <w:tblGrid>
        <w:gridCol w:w="620"/>
        <w:gridCol w:w="1170"/>
        <w:gridCol w:w="450"/>
        <w:gridCol w:w="1170"/>
        <w:gridCol w:w="990"/>
        <w:gridCol w:w="720"/>
        <w:gridCol w:w="1350"/>
        <w:gridCol w:w="990"/>
        <w:gridCol w:w="1350"/>
      </w:tblGrid>
      <w:tr w:rsidR="002949E9" w:rsidRPr="007F6290" w14:paraId="3961FCB6" w14:textId="77777777">
        <w:trPr>
          <w:trHeight w:val="428"/>
        </w:trPr>
        <w:tc>
          <w:tcPr>
            <w:tcW w:w="1790" w:type="dxa"/>
            <w:gridSpan w:val="2"/>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C6251E0" w14:textId="77777777" w:rsidR="002949E9" w:rsidRPr="007F6290" w:rsidRDefault="002949E9">
            <w:pPr>
              <w:widowControl/>
              <w:rPr>
                <w:rFonts w:eastAsia="Times New Roman" w:cs="Times New Roman"/>
                <w:sz w:val="18"/>
                <w:szCs w:val="18"/>
              </w:rPr>
            </w:pPr>
            <w:r w:rsidRPr="007F6290">
              <w:rPr>
                <w:rFonts w:eastAsia="Times New Roman" w:cs="Times New Roman"/>
                <w:sz w:val="18"/>
                <w:szCs w:val="18"/>
              </w:rPr>
              <w:t> </w:t>
            </w:r>
          </w:p>
          <w:p w14:paraId="32EBA304" w14:textId="77777777" w:rsidR="002949E9" w:rsidRPr="007F6290" w:rsidRDefault="002949E9">
            <w:pPr>
              <w:widowControl/>
              <w:rPr>
                <w:rFonts w:eastAsia="Times New Roman" w:cs="Times New Roman"/>
                <w:sz w:val="18"/>
                <w:szCs w:val="18"/>
              </w:rPr>
            </w:pPr>
            <w:r w:rsidRPr="007F6290">
              <w:rPr>
                <w:rFonts w:eastAsia="Times New Roman" w:cs="Times New Roman"/>
                <w:sz w:val="18"/>
                <w:szCs w:val="18"/>
              </w:rPr>
              <w:t> </w:t>
            </w:r>
          </w:p>
        </w:tc>
        <w:tc>
          <w:tcPr>
            <w:tcW w:w="4680" w:type="dxa"/>
            <w:gridSpan w:val="5"/>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4D9A37A" w14:textId="77777777" w:rsidR="002949E9" w:rsidRPr="007F6290" w:rsidRDefault="002949E9">
            <w:pPr>
              <w:widowControl/>
              <w:jc w:val="center"/>
              <w:rPr>
                <w:rFonts w:eastAsia="Times New Roman" w:cs="Times New Roman"/>
                <w:sz w:val="18"/>
                <w:szCs w:val="18"/>
              </w:rPr>
            </w:pPr>
            <w:r w:rsidRPr="007F6290">
              <w:rPr>
                <w:rFonts w:eastAsia="Times New Roman" w:cs="Times New Roman"/>
                <w:b/>
                <w:bCs/>
                <w:i/>
                <w:iCs/>
                <w:sz w:val="18"/>
                <w:szCs w:val="18"/>
              </w:rPr>
              <w:t>Activity</w:t>
            </w:r>
          </w:p>
        </w:tc>
        <w:tc>
          <w:tcPr>
            <w:tcW w:w="2340" w:type="dxa"/>
            <w:gridSpan w:val="2"/>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C613CAF" w14:textId="77777777" w:rsidR="002949E9" w:rsidRPr="007F6290" w:rsidRDefault="002949E9">
            <w:pPr>
              <w:widowControl/>
              <w:jc w:val="center"/>
              <w:rPr>
                <w:rFonts w:eastAsia="Times New Roman" w:cs="Times New Roman"/>
                <w:sz w:val="18"/>
                <w:szCs w:val="18"/>
              </w:rPr>
            </w:pPr>
            <w:r w:rsidRPr="007F6290">
              <w:rPr>
                <w:rFonts w:eastAsia="Times New Roman" w:cs="Times New Roman"/>
                <w:b/>
                <w:bCs/>
                <w:i/>
                <w:iCs/>
                <w:sz w:val="18"/>
                <w:szCs w:val="18"/>
              </w:rPr>
              <w:t>Data inputs</w:t>
            </w:r>
          </w:p>
        </w:tc>
      </w:tr>
      <w:tr w:rsidR="002949E9" w:rsidRPr="007F6290" w14:paraId="4FA82C83" w14:textId="77777777">
        <w:trPr>
          <w:trHeight w:val="581"/>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F28A4C2" w14:textId="77777777" w:rsidR="002949E9" w:rsidRPr="007F6290" w:rsidRDefault="002949E9">
            <w:pPr>
              <w:widowControl/>
              <w:jc w:val="center"/>
              <w:rPr>
                <w:rFonts w:eastAsia="Times New Roman" w:cs="Times New Roman"/>
                <w:i/>
                <w:iCs/>
                <w:sz w:val="18"/>
                <w:szCs w:val="18"/>
              </w:rPr>
            </w:pPr>
            <w:r w:rsidRPr="007F6290">
              <w:rPr>
                <w:rFonts w:eastAsia="Times New Roman" w:cs="Times New Roman"/>
                <w:i/>
                <w:iCs/>
                <w:sz w:val="18"/>
                <w:szCs w:val="18"/>
              </w:rPr>
              <w:t>Year</w:t>
            </w: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545B417" w14:textId="77777777" w:rsidR="002949E9" w:rsidRPr="007F6290" w:rsidRDefault="002949E9">
            <w:pPr>
              <w:widowControl/>
              <w:jc w:val="center"/>
              <w:rPr>
                <w:rFonts w:eastAsia="Times New Roman" w:cs="Times New Roman"/>
                <w:i/>
                <w:iCs/>
                <w:sz w:val="18"/>
                <w:szCs w:val="18"/>
              </w:rPr>
            </w:pPr>
            <w:r w:rsidRPr="007F6290">
              <w:rPr>
                <w:rFonts w:eastAsia="Times New Roman" w:cs="Times New Roman"/>
                <w:i/>
                <w:iCs/>
                <w:sz w:val="18"/>
                <w:szCs w:val="18"/>
              </w:rPr>
              <w:t>Management cycle</w:t>
            </w:r>
          </w:p>
        </w:tc>
        <w:tc>
          <w:tcPr>
            <w:tcW w:w="4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E1ABBE1" w14:textId="77777777" w:rsidR="002949E9" w:rsidRPr="007F6290" w:rsidRDefault="002949E9">
            <w:pPr>
              <w:widowControl/>
              <w:jc w:val="center"/>
              <w:rPr>
                <w:rFonts w:eastAsia="Times New Roman" w:cs="Times New Roman"/>
                <w:i/>
                <w:iCs/>
                <w:sz w:val="18"/>
                <w:szCs w:val="18"/>
              </w:rPr>
            </w:pPr>
            <w:r w:rsidRPr="007F6290">
              <w:rPr>
                <w:rFonts w:eastAsia="Times New Roman" w:cs="Times New Roman"/>
                <w:i/>
                <w:iCs/>
                <w:sz w:val="18"/>
                <w:szCs w:val="18"/>
              </w:rPr>
              <w:t>MP</w:t>
            </w:r>
          </w:p>
          <w:p w14:paraId="12A6ABAA" w14:textId="77777777" w:rsidR="002949E9" w:rsidRPr="007F6290" w:rsidRDefault="002949E9">
            <w:pPr>
              <w:widowControl/>
              <w:jc w:val="center"/>
              <w:rPr>
                <w:rFonts w:eastAsia="Times New Roman" w:cs="Times New Roman"/>
                <w:i/>
                <w:iCs/>
                <w:sz w:val="18"/>
                <w:szCs w:val="18"/>
              </w:rPr>
            </w:pPr>
            <w:r w:rsidRPr="007F6290">
              <w:rPr>
                <w:rFonts w:eastAsia="Times New Roman" w:cs="Times New Roman"/>
                <w:i/>
                <w:iCs/>
                <w:sz w:val="18"/>
                <w:szCs w:val="18"/>
              </w:rPr>
              <w:t>run</w:t>
            </w: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F14553A" w14:textId="77777777" w:rsidR="002949E9" w:rsidRPr="007F6290" w:rsidRDefault="002949E9">
            <w:pPr>
              <w:widowControl/>
              <w:jc w:val="center"/>
              <w:rPr>
                <w:rFonts w:eastAsia="Times New Roman" w:cs="Times New Roman"/>
                <w:i/>
                <w:iCs/>
                <w:sz w:val="18"/>
                <w:szCs w:val="18"/>
              </w:rPr>
            </w:pPr>
            <w:r w:rsidRPr="007F6290">
              <w:rPr>
                <w:rFonts w:eastAsia="Times New Roman" w:cs="Times New Roman"/>
                <w:i/>
                <w:iCs/>
                <w:sz w:val="18"/>
                <w:szCs w:val="18"/>
              </w:rPr>
              <w:t>MP advice implemented</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A165BF3" w14:textId="77777777" w:rsidR="002949E9" w:rsidRPr="007F6290" w:rsidRDefault="002949E9">
            <w:pPr>
              <w:widowControl/>
              <w:jc w:val="center"/>
              <w:rPr>
                <w:rFonts w:eastAsia="Times New Roman" w:cs="Times New Roman"/>
                <w:i/>
                <w:iCs/>
                <w:sz w:val="18"/>
                <w:szCs w:val="18"/>
              </w:rPr>
            </w:pPr>
            <w:r w:rsidRPr="007F6290">
              <w:rPr>
                <w:rFonts w:eastAsia="Times New Roman" w:cs="Times New Roman"/>
                <w:i/>
                <w:iCs/>
                <w:sz w:val="18"/>
                <w:szCs w:val="18"/>
              </w:rPr>
              <w:t>Stock assessment</w:t>
            </w: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6D256DC" w14:textId="77777777" w:rsidR="002949E9" w:rsidRPr="007F6290" w:rsidRDefault="002949E9">
            <w:pPr>
              <w:widowControl/>
              <w:jc w:val="center"/>
              <w:rPr>
                <w:rFonts w:eastAsia="Times New Roman" w:cs="Times New Roman"/>
                <w:i/>
                <w:iCs/>
                <w:sz w:val="18"/>
                <w:szCs w:val="18"/>
              </w:rPr>
            </w:pPr>
            <w:r w:rsidRPr="007F6290">
              <w:rPr>
                <w:rFonts w:eastAsia="Times New Roman" w:cs="Times New Roman"/>
                <w:i/>
                <w:iCs/>
                <w:sz w:val="18"/>
                <w:szCs w:val="18"/>
              </w:rPr>
              <w:t>MSE review</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E5B311A" w14:textId="77777777" w:rsidR="002949E9" w:rsidRPr="007F6290" w:rsidRDefault="002949E9">
            <w:pPr>
              <w:widowControl/>
              <w:jc w:val="center"/>
              <w:rPr>
                <w:rFonts w:eastAsia="Times New Roman" w:cs="Times New Roman"/>
                <w:i/>
                <w:iCs/>
                <w:sz w:val="18"/>
                <w:szCs w:val="18"/>
              </w:rPr>
            </w:pPr>
            <w:r w:rsidRPr="007F6290">
              <w:rPr>
                <w:rFonts w:eastAsia="Times New Roman" w:cs="Times New Roman"/>
                <w:i/>
                <w:iCs/>
                <w:sz w:val="18"/>
                <w:szCs w:val="18"/>
              </w:rPr>
              <w:t>EC evaluated</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B77A3F7" w14:textId="77777777" w:rsidR="002949E9" w:rsidRPr="007F6290" w:rsidRDefault="002949E9">
            <w:pPr>
              <w:widowControl/>
              <w:jc w:val="center"/>
              <w:rPr>
                <w:rFonts w:eastAsia="Times New Roman" w:cs="Times New Roman"/>
                <w:i/>
                <w:iCs/>
                <w:sz w:val="18"/>
                <w:szCs w:val="18"/>
              </w:rPr>
            </w:pPr>
            <w:r w:rsidRPr="007F6290">
              <w:rPr>
                <w:rFonts w:eastAsia="Times New Roman" w:cs="Times New Roman"/>
                <w:i/>
                <w:iCs/>
                <w:sz w:val="18"/>
                <w:szCs w:val="18"/>
              </w:rPr>
              <w:t>Combined index*</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7D9F567" w14:textId="77777777" w:rsidR="002949E9" w:rsidRPr="007F6290" w:rsidRDefault="002949E9">
            <w:pPr>
              <w:widowControl/>
              <w:jc w:val="center"/>
              <w:rPr>
                <w:rFonts w:eastAsia="Times New Roman" w:cs="Times New Roman"/>
                <w:i/>
                <w:iCs/>
                <w:sz w:val="18"/>
                <w:szCs w:val="18"/>
              </w:rPr>
            </w:pPr>
            <w:r w:rsidRPr="007F6290">
              <w:rPr>
                <w:rFonts w:eastAsia="Times New Roman" w:cs="Times New Roman"/>
                <w:i/>
                <w:iCs/>
                <w:sz w:val="18"/>
                <w:szCs w:val="18"/>
              </w:rPr>
              <w:t>EC indicators</w:t>
            </w:r>
          </w:p>
        </w:tc>
      </w:tr>
      <w:tr w:rsidR="002949E9" w:rsidRPr="007F6290" w14:paraId="5B97CDE3" w14:textId="77777777">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1C06AFF"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2024</w:t>
            </w: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DD55E1A" w14:textId="77777777" w:rsidR="002949E9" w:rsidRPr="007F6290" w:rsidRDefault="002949E9">
            <w:pPr>
              <w:widowControl/>
              <w:jc w:val="center"/>
              <w:rPr>
                <w:rFonts w:eastAsia="Times New Roman" w:cs="Times New Roman"/>
                <w:sz w:val="18"/>
                <w:szCs w:val="18"/>
              </w:rPr>
            </w:pPr>
          </w:p>
        </w:tc>
        <w:tc>
          <w:tcPr>
            <w:tcW w:w="4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D87DE66"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06B9618" w14:textId="77777777" w:rsidR="002949E9" w:rsidRPr="007F6290" w:rsidRDefault="002949E9">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A69E28C" w14:textId="77777777" w:rsidR="002949E9" w:rsidRPr="007F6290"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B24E7CE" w14:textId="77777777" w:rsidR="002949E9" w:rsidRPr="007F6290"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1DDA69A" w14:textId="77777777" w:rsidR="002949E9" w:rsidRPr="007F6290" w:rsidRDefault="002949E9">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F4D1079"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A7DEA71" w14:textId="77777777" w:rsidR="002949E9" w:rsidRPr="007F6290" w:rsidRDefault="002949E9">
            <w:pPr>
              <w:widowControl/>
              <w:jc w:val="center"/>
              <w:rPr>
                <w:rFonts w:eastAsia="Times New Roman" w:cs="Times New Roman"/>
                <w:sz w:val="18"/>
                <w:szCs w:val="18"/>
              </w:rPr>
            </w:pPr>
          </w:p>
        </w:tc>
      </w:tr>
      <w:tr w:rsidR="002949E9" w:rsidRPr="007F6290" w14:paraId="16E1D69A" w14:textId="77777777">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9C25953"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2025</w:t>
            </w:r>
          </w:p>
        </w:tc>
        <w:tc>
          <w:tcPr>
            <w:tcW w:w="1170" w:type="dxa"/>
            <w:vMerge w:val="restar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FE9B984"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1</w:t>
            </w:r>
          </w:p>
        </w:tc>
        <w:tc>
          <w:tcPr>
            <w:tcW w:w="4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47EDA2A" w14:textId="77777777" w:rsidR="002949E9" w:rsidRPr="007F6290" w:rsidRDefault="002949E9">
            <w:pPr>
              <w:widowControl/>
              <w:jc w:val="center"/>
              <w:rPr>
                <w:rFonts w:eastAsia="Times New Roman" w:cs="Times New Roman"/>
                <w:sz w:val="18"/>
                <w:szCs w:val="18"/>
              </w:rPr>
            </w:pP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1845599"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CD4AE57" w14:textId="77777777" w:rsidR="002949E9" w:rsidRPr="007F6290"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6311EB0" w14:textId="77777777" w:rsidR="002949E9" w:rsidRPr="007F6290"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5733308"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F79A5BB" w14:textId="77777777" w:rsidR="002949E9" w:rsidRPr="007F6290"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8D7B905"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r>
      <w:tr w:rsidR="002949E9" w:rsidRPr="007F6290" w14:paraId="687D0D51" w14:textId="77777777">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0F286FE"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2026</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2331AF31" w14:textId="77777777" w:rsidR="002949E9" w:rsidRPr="007F6290" w:rsidRDefault="002949E9">
            <w:pPr>
              <w:widowControl/>
              <w:jc w:val="center"/>
              <w:rPr>
                <w:rFonts w:eastAsia="Times New Roman" w:cs="Times New Roman"/>
                <w:sz w:val="18"/>
                <w:szCs w:val="18"/>
              </w:rPr>
            </w:pPr>
          </w:p>
        </w:tc>
        <w:tc>
          <w:tcPr>
            <w:tcW w:w="4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41ABA73" w14:textId="77777777" w:rsidR="002949E9" w:rsidRPr="007F6290" w:rsidRDefault="002949E9">
            <w:pPr>
              <w:widowControl/>
              <w:jc w:val="center"/>
              <w:rPr>
                <w:rFonts w:eastAsia="Times New Roman" w:cs="Times New Roman"/>
                <w:sz w:val="18"/>
                <w:szCs w:val="18"/>
              </w:rPr>
            </w:pP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06FAAD6" w14:textId="77777777" w:rsidR="002949E9" w:rsidRPr="007F6290" w:rsidRDefault="002949E9">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6F9C482" w14:textId="77777777" w:rsidR="002949E9" w:rsidRPr="007F6290"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6F4973B" w14:textId="77777777" w:rsidR="002949E9" w:rsidRPr="007F6290"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05A6A68"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7B0E58E" w14:textId="77777777" w:rsidR="002949E9" w:rsidRPr="007F6290"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8636742"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r>
      <w:tr w:rsidR="002949E9" w:rsidRPr="007F6290" w14:paraId="7632D24D" w14:textId="77777777">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074BB10"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2027</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39391819" w14:textId="77777777" w:rsidR="002949E9" w:rsidRPr="007F6290" w:rsidRDefault="002949E9">
            <w:pPr>
              <w:widowControl/>
              <w:jc w:val="center"/>
              <w:rPr>
                <w:rFonts w:eastAsia="Times New Roman" w:cs="Times New Roman"/>
                <w:sz w:val="18"/>
                <w:szCs w:val="18"/>
              </w:rPr>
            </w:pPr>
          </w:p>
        </w:tc>
        <w:tc>
          <w:tcPr>
            <w:tcW w:w="4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E5E5544"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3F9F7E7" w14:textId="77777777" w:rsidR="002949E9" w:rsidRPr="007F6290" w:rsidRDefault="002949E9">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7A84FD5" w14:textId="77777777" w:rsidR="002949E9" w:rsidRPr="007F6290"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F0B5BF8" w14:textId="77777777" w:rsidR="002949E9" w:rsidRPr="007F6290"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1D41EC5"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1AD5810"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2183841"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r>
      <w:tr w:rsidR="002949E9" w:rsidRPr="007F6290" w14:paraId="7013F1F5" w14:textId="77777777">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6BAD920"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2028</w:t>
            </w:r>
          </w:p>
        </w:tc>
        <w:tc>
          <w:tcPr>
            <w:tcW w:w="1170" w:type="dxa"/>
            <w:vMerge w:val="restar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928627D"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2</w:t>
            </w:r>
          </w:p>
        </w:tc>
        <w:tc>
          <w:tcPr>
            <w:tcW w:w="4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D572249" w14:textId="77777777" w:rsidR="002949E9" w:rsidRPr="007F6290" w:rsidRDefault="002949E9">
            <w:pPr>
              <w:widowControl/>
              <w:jc w:val="center"/>
              <w:rPr>
                <w:rFonts w:eastAsia="Times New Roman" w:cs="Times New Roman"/>
                <w:sz w:val="18"/>
                <w:szCs w:val="18"/>
              </w:rPr>
            </w:pP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2CB324B"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855570A" w14:textId="1056A6C6" w:rsidR="002949E9" w:rsidRPr="007F6290"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CF8F4C5" w14:textId="77777777" w:rsidR="002949E9" w:rsidRPr="007F6290"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5D3171C"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E2A7C71" w14:textId="77777777" w:rsidR="002949E9" w:rsidRPr="007F6290"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EF4CAC6"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r>
      <w:tr w:rsidR="002949E9" w:rsidRPr="007F6290" w14:paraId="2DC66E12" w14:textId="77777777">
        <w:trPr>
          <w:trHeight w:val="457"/>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83630A6"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2029</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61F538D4" w14:textId="77777777" w:rsidR="002949E9" w:rsidRPr="007F6290" w:rsidRDefault="002949E9">
            <w:pPr>
              <w:widowControl/>
              <w:jc w:val="center"/>
              <w:rPr>
                <w:rFonts w:eastAsia="Times New Roman" w:cs="Times New Roman"/>
                <w:sz w:val="18"/>
                <w:szCs w:val="18"/>
              </w:rPr>
            </w:pPr>
          </w:p>
        </w:tc>
        <w:tc>
          <w:tcPr>
            <w:tcW w:w="4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79205C5" w14:textId="77777777" w:rsidR="002949E9" w:rsidRPr="007F6290" w:rsidRDefault="002949E9">
            <w:pPr>
              <w:widowControl/>
              <w:jc w:val="center"/>
              <w:rPr>
                <w:rFonts w:eastAsia="Times New Roman" w:cs="Times New Roman"/>
                <w:sz w:val="18"/>
                <w:szCs w:val="18"/>
              </w:rPr>
            </w:pP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7F4077E" w14:textId="77777777" w:rsidR="002949E9" w:rsidRPr="007F6290" w:rsidRDefault="002949E9">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7D05E11" w14:textId="281C7EC6"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FB57E3B" w14:textId="6748B81E" w:rsidR="002949E9" w:rsidRPr="007F6290"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0B85EED"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C1E5423" w14:textId="77777777" w:rsidR="002949E9" w:rsidRPr="007F6290"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28E7260"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r>
      <w:tr w:rsidR="002949E9" w:rsidRPr="007F6290" w14:paraId="7B6AF38D" w14:textId="77777777">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0796DED"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2030</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3D7AEF38" w14:textId="77777777" w:rsidR="002949E9" w:rsidRPr="007F6290" w:rsidRDefault="002949E9">
            <w:pPr>
              <w:widowControl/>
              <w:jc w:val="center"/>
              <w:rPr>
                <w:rFonts w:eastAsia="Times New Roman" w:cs="Times New Roman"/>
                <w:sz w:val="18"/>
                <w:szCs w:val="18"/>
              </w:rPr>
            </w:pPr>
          </w:p>
        </w:tc>
        <w:tc>
          <w:tcPr>
            <w:tcW w:w="4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038142E"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26B0492" w14:textId="77777777" w:rsidR="002949E9" w:rsidRPr="007F6290" w:rsidRDefault="002949E9">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E9B4968" w14:textId="77777777" w:rsidR="002949E9" w:rsidRPr="007F6290"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65BD1B3" w14:textId="4DC06FCA"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B88C5B3"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9153FAB"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F383C38"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r>
      <w:tr w:rsidR="002949E9" w:rsidRPr="007F6290" w14:paraId="7C8A1541" w14:textId="77777777">
        <w:trPr>
          <w:trHeight w:val="417"/>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10E65CD"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2031</w:t>
            </w:r>
          </w:p>
        </w:tc>
        <w:tc>
          <w:tcPr>
            <w:tcW w:w="1170" w:type="dxa"/>
            <w:vMerge w:val="restar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06453CC"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3</w:t>
            </w:r>
          </w:p>
        </w:tc>
        <w:tc>
          <w:tcPr>
            <w:tcW w:w="4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3EF8949" w14:textId="77777777" w:rsidR="002949E9" w:rsidRPr="007F6290" w:rsidRDefault="002949E9">
            <w:pPr>
              <w:widowControl/>
              <w:jc w:val="center"/>
              <w:rPr>
                <w:rFonts w:eastAsia="Times New Roman" w:cs="Times New Roman"/>
                <w:sz w:val="18"/>
                <w:szCs w:val="18"/>
              </w:rPr>
            </w:pP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77276A1"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D3DF8C6" w14:textId="77777777" w:rsidR="002949E9" w:rsidRPr="007F6290"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D7D8831" w14:textId="77777777" w:rsidR="002949E9" w:rsidRPr="007F6290"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3DE857D"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AB3BD0A" w14:textId="77777777" w:rsidR="002949E9" w:rsidRPr="007F6290"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C67FE0D"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r>
      <w:tr w:rsidR="002949E9" w:rsidRPr="007F6290" w14:paraId="2DA237EC" w14:textId="77777777">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85E6B54"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2032</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39485427" w14:textId="77777777" w:rsidR="002949E9" w:rsidRPr="007F6290" w:rsidRDefault="002949E9">
            <w:pPr>
              <w:widowControl/>
              <w:jc w:val="center"/>
              <w:rPr>
                <w:rFonts w:eastAsia="Times New Roman" w:cs="Times New Roman"/>
                <w:sz w:val="18"/>
                <w:szCs w:val="18"/>
              </w:rPr>
            </w:pPr>
          </w:p>
        </w:tc>
        <w:tc>
          <w:tcPr>
            <w:tcW w:w="4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6D11F75" w14:textId="77777777" w:rsidR="002949E9" w:rsidRPr="007F6290" w:rsidRDefault="002949E9">
            <w:pPr>
              <w:widowControl/>
              <w:jc w:val="center"/>
              <w:rPr>
                <w:rFonts w:eastAsia="Times New Roman" w:cs="Times New Roman"/>
                <w:sz w:val="18"/>
                <w:szCs w:val="18"/>
              </w:rPr>
            </w:pP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FB08353" w14:textId="77777777" w:rsidR="002949E9" w:rsidRPr="007F6290" w:rsidRDefault="002949E9">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1AAED5A" w14:textId="77777777" w:rsidR="002949E9" w:rsidRPr="007F6290"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5608C9B" w14:textId="77777777" w:rsidR="002949E9" w:rsidRPr="007F6290"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3FEFA57"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7D6A1E4" w14:textId="77777777" w:rsidR="002949E9" w:rsidRPr="007F6290"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00D69D7"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r>
      <w:tr w:rsidR="002949E9" w:rsidRPr="007F6290" w14:paraId="1E233D6D" w14:textId="77777777">
        <w:trPr>
          <w:trHeight w:val="428"/>
        </w:trPr>
        <w:tc>
          <w:tcPr>
            <w:tcW w:w="6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34811E8"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2033</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3EE3BB76" w14:textId="77777777" w:rsidR="002949E9" w:rsidRPr="007F6290" w:rsidRDefault="002949E9">
            <w:pPr>
              <w:widowControl/>
              <w:jc w:val="center"/>
              <w:rPr>
                <w:rFonts w:eastAsia="Times New Roman" w:cs="Times New Roman"/>
                <w:sz w:val="18"/>
                <w:szCs w:val="18"/>
              </w:rPr>
            </w:pPr>
          </w:p>
        </w:tc>
        <w:tc>
          <w:tcPr>
            <w:tcW w:w="4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19B70F7"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11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3497812" w14:textId="77777777" w:rsidR="002949E9" w:rsidRPr="007F6290" w:rsidRDefault="002949E9">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48FF0D4" w14:textId="77777777" w:rsidR="002949E9" w:rsidRPr="007F6290"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116C7E4" w14:textId="77777777" w:rsidR="002949E9" w:rsidRPr="007F6290"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1FF3C43"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7B7A64A"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B733774" w14:textId="77777777" w:rsidR="002949E9" w:rsidRPr="007F6290" w:rsidRDefault="002949E9">
            <w:pPr>
              <w:widowControl/>
              <w:jc w:val="center"/>
              <w:rPr>
                <w:rFonts w:eastAsia="Times New Roman" w:cs="Times New Roman"/>
                <w:sz w:val="18"/>
                <w:szCs w:val="18"/>
              </w:rPr>
            </w:pPr>
            <w:r w:rsidRPr="007F6290">
              <w:rPr>
                <w:rFonts w:eastAsia="Times New Roman" w:cs="Times New Roman"/>
                <w:sz w:val="18"/>
                <w:szCs w:val="18"/>
              </w:rPr>
              <w:t>x</w:t>
            </w:r>
          </w:p>
        </w:tc>
      </w:tr>
    </w:tbl>
    <w:p w14:paraId="48F841BC" w14:textId="1DED1A3F" w:rsidR="002949E9" w:rsidRPr="007F6290" w:rsidRDefault="002949E9" w:rsidP="006107C0">
      <w:pPr>
        <w:jc w:val="both"/>
        <w:rPr>
          <w:sz w:val="16"/>
          <w:szCs w:val="16"/>
        </w:rPr>
      </w:pPr>
      <w:r w:rsidRPr="007F6290">
        <w:rPr>
          <w:sz w:val="16"/>
          <w:szCs w:val="16"/>
        </w:rPr>
        <w:t>*The combined index may be updated every year, depending on the requirements set out in the</w:t>
      </w:r>
      <w:r w:rsidR="00147D00" w:rsidRPr="007F6290">
        <w:rPr>
          <w:sz w:val="16"/>
          <w:szCs w:val="16"/>
        </w:rPr>
        <w:t xml:space="preserve"> Exceptional Circumstances</w:t>
      </w:r>
      <w:r w:rsidR="00B7499D" w:rsidRPr="007F6290">
        <w:rPr>
          <w:sz w:val="16"/>
          <w:szCs w:val="16"/>
        </w:rPr>
        <w:t xml:space="preserve"> Protocol (</w:t>
      </w:r>
      <w:r w:rsidRPr="007F6290">
        <w:rPr>
          <w:sz w:val="16"/>
          <w:szCs w:val="16"/>
        </w:rPr>
        <w:t>ECP</w:t>
      </w:r>
      <w:r w:rsidR="00B7499D" w:rsidRPr="007F6290">
        <w:rPr>
          <w:sz w:val="16"/>
          <w:szCs w:val="16"/>
        </w:rPr>
        <w:t>)</w:t>
      </w:r>
      <w:r w:rsidRPr="007F6290">
        <w:rPr>
          <w:sz w:val="16"/>
          <w:szCs w:val="16"/>
        </w:rPr>
        <w:t>.</w:t>
      </w:r>
    </w:p>
    <w:p w14:paraId="43433B5A" w14:textId="77777777" w:rsidR="00084D8F" w:rsidRPr="007F6290" w:rsidRDefault="00084D8F"/>
    <w:p w14:paraId="5914EED4" w14:textId="77777777" w:rsidR="00845952" w:rsidRPr="007F6290" w:rsidRDefault="00845952"/>
    <w:p w14:paraId="2C2FFF65" w14:textId="77777777" w:rsidR="00845952" w:rsidRPr="007F6290" w:rsidRDefault="00845952"/>
    <w:p w14:paraId="7527A40E" w14:textId="77777777" w:rsidR="00845952" w:rsidRPr="007F6290" w:rsidRDefault="00845952"/>
    <w:p w14:paraId="6F128EE4" w14:textId="77777777" w:rsidR="00845952" w:rsidRPr="007F6290" w:rsidRDefault="00845952"/>
    <w:p w14:paraId="75D2C444" w14:textId="77777777" w:rsidR="00845952" w:rsidRPr="007F6290" w:rsidRDefault="00845952"/>
    <w:p w14:paraId="0B5EDFD3" w14:textId="77777777" w:rsidR="00845952" w:rsidRPr="007F6290" w:rsidRDefault="00845952"/>
    <w:p w14:paraId="4E21F2FD" w14:textId="77777777" w:rsidR="00845952" w:rsidRPr="007F6290" w:rsidRDefault="00845952"/>
    <w:p w14:paraId="5C5DC097" w14:textId="77777777" w:rsidR="00845952" w:rsidRPr="007F6290" w:rsidRDefault="00845952"/>
    <w:p w14:paraId="6E1FABE9" w14:textId="77777777" w:rsidR="00845952" w:rsidRPr="007F6290" w:rsidRDefault="00845952"/>
    <w:p w14:paraId="1C272B93" w14:textId="77777777" w:rsidR="00845952" w:rsidRPr="007F6290" w:rsidRDefault="00845952"/>
    <w:p w14:paraId="176D5433" w14:textId="77777777" w:rsidR="00845952" w:rsidRPr="007F6290" w:rsidRDefault="00845952"/>
    <w:p w14:paraId="0A50913A" w14:textId="77777777" w:rsidR="00845952" w:rsidRPr="007F6290" w:rsidRDefault="00845952"/>
    <w:p w14:paraId="44965D8A" w14:textId="77777777" w:rsidR="00845952" w:rsidRPr="007F6290" w:rsidRDefault="00845952"/>
    <w:p w14:paraId="5DDF4946" w14:textId="77777777" w:rsidR="00845952" w:rsidRPr="007F6290" w:rsidRDefault="00845952"/>
    <w:p w14:paraId="002BB908" w14:textId="77777777" w:rsidR="00845952" w:rsidRPr="007F6290" w:rsidRDefault="00845952"/>
    <w:p w14:paraId="6DBFCC98" w14:textId="77777777" w:rsidR="00845952" w:rsidRPr="007F6290" w:rsidRDefault="00845952"/>
    <w:p w14:paraId="18559AA0" w14:textId="77777777" w:rsidR="00845952" w:rsidRPr="007F6290" w:rsidRDefault="00845952"/>
    <w:p w14:paraId="6840F46C" w14:textId="77777777" w:rsidR="00845952" w:rsidRPr="007F6290" w:rsidRDefault="00845952"/>
    <w:p w14:paraId="103FE727" w14:textId="77777777" w:rsidR="00845952" w:rsidRPr="007F6290" w:rsidRDefault="00845952"/>
    <w:p w14:paraId="36CD4A80" w14:textId="77777777" w:rsidR="00845952" w:rsidRPr="007F6290" w:rsidRDefault="00845952"/>
    <w:p w14:paraId="3D777582" w14:textId="77777777" w:rsidR="00845952" w:rsidRPr="007F6290" w:rsidRDefault="00845952"/>
    <w:p w14:paraId="0102D328" w14:textId="77777777" w:rsidR="00845952" w:rsidRPr="007F6290" w:rsidRDefault="00845952"/>
    <w:p w14:paraId="6B76BF19" w14:textId="77777777" w:rsidR="00845952" w:rsidRPr="007F6290" w:rsidRDefault="00845952"/>
    <w:p w14:paraId="73B5B5A6" w14:textId="77777777" w:rsidR="00845952" w:rsidRPr="007F6290" w:rsidRDefault="00845952"/>
    <w:p w14:paraId="34F46B56" w14:textId="3E8ECEAB" w:rsidR="00845952" w:rsidRPr="007F6290" w:rsidRDefault="00845952" w:rsidP="00845952">
      <w:pPr>
        <w:ind w:right="2"/>
        <w:jc w:val="right"/>
        <w:rPr>
          <w:b/>
          <w:sz w:val="20"/>
          <w:szCs w:val="20"/>
          <w:u w:val="single"/>
        </w:rPr>
      </w:pPr>
      <w:r w:rsidRPr="007F6290">
        <w:rPr>
          <w:b/>
          <w:sz w:val="20"/>
          <w:szCs w:val="20"/>
          <w:u w:val="single"/>
        </w:rPr>
        <w:t xml:space="preserve">Annex </w:t>
      </w:r>
      <w:r w:rsidR="00CC0AD1" w:rsidRPr="007F6290">
        <w:rPr>
          <w:b/>
          <w:sz w:val="20"/>
          <w:szCs w:val="20"/>
          <w:u w:val="single"/>
        </w:rPr>
        <w:t>4</w:t>
      </w:r>
    </w:p>
    <w:p w14:paraId="1FC687DA" w14:textId="77777777" w:rsidR="00845952" w:rsidRPr="007F6290" w:rsidRDefault="00845952" w:rsidP="00845952">
      <w:pPr>
        <w:ind w:right="180"/>
        <w:jc w:val="center"/>
        <w:rPr>
          <w:b/>
          <w:sz w:val="20"/>
          <w:szCs w:val="20"/>
          <w:u w:val="single"/>
        </w:rPr>
      </w:pPr>
      <w:r w:rsidRPr="007F6290">
        <w:rPr>
          <w:b/>
          <w:sz w:val="20"/>
          <w:szCs w:val="20"/>
          <w:u w:val="single"/>
        </w:rPr>
        <w:t xml:space="preserve"> </w:t>
      </w:r>
    </w:p>
    <w:p w14:paraId="1E568639" w14:textId="345B769C" w:rsidR="00845952" w:rsidRPr="007F6290" w:rsidRDefault="0015069F" w:rsidP="00845952">
      <w:pPr>
        <w:ind w:right="-20"/>
        <w:jc w:val="center"/>
        <w:rPr>
          <w:b/>
          <w:sz w:val="20"/>
          <w:szCs w:val="20"/>
          <w:u w:val="single"/>
        </w:rPr>
      </w:pPr>
      <w:r w:rsidRPr="007F6290">
        <w:rPr>
          <w:b/>
          <w:sz w:val="20"/>
          <w:szCs w:val="20"/>
          <w:u w:val="single"/>
        </w:rPr>
        <w:t>Exceptional Circumstances Protocol (ECP) for North Atlantic Swordfish</w:t>
      </w:r>
    </w:p>
    <w:p w14:paraId="2BCBE203" w14:textId="77777777" w:rsidR="00845952" w:rsidRPr="007F6290" w:rsidRDefault="00845952">
      <w:pPr>
        <w:rPr>
          <w:u w:val="single"/>
        </w:rPr>
      </w:pPr>
    </w:p>
    <w:p w14:paraId="3856D171" w14:textId="77777777" w:rsidR="00100497" w:rsidRPr="007F6290" w:rsidRDefault="00100497" w:rsidP="00100497">
      <w:pPr>
        <w:widowControl/>
        <w:jc w:val="center"/>
        <w:rPr>
          <w:rFonts w:eastAsia="Aptos" w:cs="Arial"/>
          <w:b/>
          <w:kern w:val="2"/>
          <w:sz w:val="20"/>
          <w:szCs w:val="20"/>
          <w:u w:val="single"/>
          <w14:ligatures w14:val="standardContextual"/>
        </w:rPr>
      </w:pPr>
    </w:p>
    <w:p w14:paraId="75ADB3F0" w14:textId="77777777" w:rsidR="00100497" w:rsidRPr="007F6290" w:rsidRDefault="00100497" w:rsidP="00100497">
      <w:pPr>
        <w:widowControl/>
        <w:numPr>
          <w:ilvl w:val="0"/>
          <w:numId w:val="3"/>
        </w:numPr>
        <w:spacing w:after="160" w:line="278" w:lineRule="auto"/>
        <w:ind w:left="426" w:right="47" w:hanging="426"/>
        <w:contextualSpacing/>
        <w:jc w:val="both"/>
        <w:rPr>
          <w:rFonts w:eastAsia="Aptos" w:cs="Arial"/>
          <w:b/>
          <w:kern w:val="2"/>
          <w:sz w:val="20"/>
          <w:szCs w:val="20"/>
          <w:u w:val="single"/>
          <w14:ligatures w14:val="standardContextual"/>
        </w:rPr>
      </w:pPr>
      <w:r w:rsidRPr="007F6290">
        <w:rPr>
          <w:rFonts w:eastAsia="Aptos" w:cs="Arial"/>
          <w:b/>
          <w:kern w:val="2"/>
          <w:sz w:val="20"/>
          <w:szCs w:val="20"/>
          <w:u w:val="single"/>
          <w14:ligatures w14:val="standardContextual"/>
        </w:rPr>
        <w:t xml:space="preserve"> Principles of Exceptional Circumstances (ECs)</w:t>
      </w:r>
      <w:r w:rsidRPr="007F6290">
        <w:rPr>
          <w:rFonts w:eastAsia="Aptos" w:cs="Arial"/>
          <w:kern w:val="2"/>
          <w:sz w:val="20"/>
          <w:szCs w:val="20"/>
          <w:u w:val="single"/>
          <w14:ligatures w14:val="standardContextual"/>
        </w:rPr>
        <w:t xml:space="preserve"> </w:t>
      </w:r>
    </w:p>
    <w:p w14:paraId="23DD00DD" w14:textId="77777777" w:rsidR="00100497" w:rsidRPr="007F6290" w:rsidRDefault="00100497" w:rsidP="00100497">
      <w:pPr>
        <w:widowControl/>
        <w:jc w:val="both"/>
        <w:rPr>
          <w:rFonts w:eastAsia="Aptos" w:cs="Arial"/>
          <w:kern w:val="2"/>
          <w:sz w:val="20"/>
          <w:szCs w:val="20"/>
          <w:u w:val="single"/>
          <w14:ligatures w14:val="standardContextual"/>
        </w:rPr>
      </w:pPr>
      <w:r w:rsidRPr="007F6290">
        <w:rPr>
          <w:rFonts w:eastAsia="Aptos" w:cs="Arial"/>
          <w:b/>
          <w:kern w:val="2"/>
          <w:sz w:val="20"/>
          <w:szCs w:val="20"/>
          <w:u w:val="single"/>
          <w14:ligatures w14:val="standardContextual"/>
        </w:rPr>
        <w:t xml:space="preserve"> </w:t>
      </w:r>
    </w:p>
    <w:p w14:paraId="7076EFBB" w14:textId="77777777" w:rsidR="00100497" w:rsidRPr="007F6290" w:rsidRDefault="00100497" w:rsidP="00100497">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The following three general principles should be considered as a signal indicating the possibility that ECs exist: </w:t>
      </w:r>
    </w:p>
    <w:p w14:paraId="1DD7C3C9" w14:textId="77777777" w:rsidR="00100497" w:rsidRPr="007F6290" w:rsidRDefault="00100497" w:rsidP="00100497">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 </w:t>
      </w:r>
    </w:p>
    <w:p w14:paraId="1A467C40" w14:textId="52EB1108" w:rsidR="00A36E3B" w:rsidRPr="007F6290" w:rsidRDefault="00100497" w:rsidP="00A36E3B">
      <w:pPr>
        <w:widowControl/>
        <w:numPr>
          <w:ilvl w:val="0"/>
          <w:numId w:val="4"/>
        </w:numPr>
        <w:ind w:left="851" w:hanging="434"/>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When there is evidence that the stock and/or fishery dynamics are in states (as defined in </w:t>
      </w:r>
      <w:r w:rsidR="00A36E3B" w:rsidRPr="007F6290">
        <w:rPr>
          <w:rFonts w:eastAsia="Aptos" w:cs="Arial"/>
          <w:b/>
          <w:kern w:val="2"/>
          <w:sz w:val="20"/>
          <w:szCs w:val="20"/>
          <w:u w:val="single"/>
          <w14:ligatures w14:val="standardContextual"/>
        </w:rPr>
        <w:t xml:space="preserve">Table 1 </w:t>
      </w:r>
      <w:r w:rsidR="00A36E3B" w:rsidRPr="007F6290">
        <w:rPr>
          <w:rFonts w:eastAsia="Aptos" w:cs="Arial"/>
          <w:kern w:val="2"/>
          <w:sz w:val="20"/>
          <w:szCs w:val="20"/>
          <w:u w:val="single"/>
          <w14:ligatures w14:val="standardContextual"/>
        </w:rPr>
        <w:t xml:space="preserve">a) </w:t>
      </w:r>
      <w:r w:rsidR="00A36E3B" w:rsidRPr="007F6290">
        <w:rPr>
          <w:rFonts w:eastAsia="Aptos" w:cs="Arial"/>
          <w:kern w:val="2"/>
          <w:sz w:val="20"/>
          <w:szCs w:val="20"/>
          <w:u w:val="single"/>
          <w:lang w:val="en-GB"/>
          <w14:ligatures w14:val="standardContextual"/>
        </w:rPr>
        <w:t>outside the range of Management Strategy Evaluation (MSE) Operating Models (OMs)</w:t>
      </w:r>
      <w:r w:rsidR="00A36E3B" w:rsidRPr="007F6290">
        <w:rPr>
          <w:rFonts w:eastAsia="Aptos" w:cs="Arial"/>
          <w:b/>
          <w:bCs/>
          <w:kern w:val="2"/>
          <w:sz w:val="20"/>
          <w:szCs w:val="20"/>
          <w:u w:val="single"/>
          <w:lang w:val="en-GB"/>
          <w14:ligatures w14:val="standardContextual"/>
        </w:rPr>
        <w:t xml:space="preserve"> </w:t>
      </w:r>
      <w:r w:rsidR="00A36E3B" w:rsidRPr="007F6290">
        <w:rPr>
          <w:rFonts w:eastAsia="Aptos" w:cs="Arial"/>
          <w:kern w:val="2"/>
          <w:sz w:val="20"/>
          <w:szCs w:val="20"/>
          <w:u w:val="single"/>
          <w14:ligatures w14:val="standardContextual"/>
        </w:rPr>
        <w:t>and/or are no longer considered to be plausible in the context of the MSE, or when there is evidence that stock states or fishery dynamics included within the O</w:t>
      </w:r>
      <w:r w:rsidR="004938C6" w:rsidRPr="007F6290">
        <w:rPr>
          <w:rFonts w:eastAsia="Aptos" w:cs="Arial"/>
          <w:kern w:val="2"/>
          <w:sz w:val="20"/>
          <w:szCs w:val="20"/>
          <w:u w:val="single"/>
          <w14:ligatures w14:val="standardContextual"/>
        </w:rPr>
        <w:t>M</w:t>
      </w:r>
      <w:r w:rsidR="00A36E3B" w:rsidRPr="007F6290">
        <w:rPr>
          <w:rFonts w:eastAsia="Aptos" w:cs="Arial"/>
          <w:kern w:val="2"/>
          <w:sz w:val="20"/>
          <w:szCs w:val="20"/>
          <w:u w:val="single"/>
          <w14:ligatures w14:val="standardContextual"/>
        </w:rPr>
        <w:t xml:space="preserve">s for the MSE testing are no longer considered plausible. </w:t>
      </w:r>
    </w:p>
    <w:p w14:paraId="1D1951A2" w14:textId="77777777" w:rsidR="00A36E3B" w:rsidRPr="007F6290" w:rsidRDefault="00A36E3B" w:rsidP="00A36E3B">
      <w:pPr>
        <w:widowControl/>
        <w:ind w:left="851" w:hanging="425"/>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 </w:t>
      </w:r>
    </w:p>
    <w:p w14:paraId="6F5D7809" w14:textId="77777777" w:rsidR="00A36E3B" w:rsidRPr="007F6290" w:rsidRDefault="00A36E3B" w:rsidP="00A36E3B">
      <w:pPr>
        <w:widowControl/>
        <w:numPr>
          <w:ilvl w:val="0"/>
          <w:numId w:val="4"/>
        </w:numPr>
        <w:spacing w:after="5" w:line="249" w:lineRule="auto"/>
        <w:ind w:left="851" w:right="47" w:hanging="434"/>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When there is evidence that the data required to apply the Management Procedure (MP) </w:t>
      </w:r>
      <w:proofErr w:type="gramStart"/>
      <w:r w:rsidRPr="007F6290">
        <w:rPr>
          <w:rFonts w:eastAsia="Aptos" w:cs="Arial"/>
          <w:kern w:val="2"/>
          <w:sz w:val="20"/>
          <w:szCs w:val="20"/>
          <w:u w:val="single"/>
          <w14:ligatures w14:val="standardContextual"/>
        </w:rPr>
        <w:t>are</w:t>
      </w:r>
      <w:proofErr w:type="gramEnd"/>
      <w:r w:rsidRPr="007F6290">
        <w:rPr>
          <w:rFonts w:eastAsia="Aptos" w:cs="Arial"/>
          <w:kern w:val="2"/>
          <w:sz w:val="20"/>
          <w:szCs w:val="20"/>
          <w:u w:val="single"/>
          <w14:ligatures w14:val="standardContextual"/>
        </w:rPr>
        <w:t xml:space="preserve"> not available or sufficient, or </w:t>
      </w:r>
      <w:proofErr w:type="gramStart"/>
      <w:r w:rsidRPr="007F6290">
        <w:rPr>
          <w:rFonts w:eastAsia="Aptos" w:cs="Arial"/>
          <w:kern w:val="2"/>
          <w:sz w:val="20"/>
          <w:szCs w:val="20"/>
          <w:u w:val="single"/>
          <w14:ligatures w14:val="standardContextual"/>
        </w:rPr>
        <w:t>are</w:t>
      </w:r>
      <w:proofErr w:type="gramEnd"/>
      <w:r w:rsidRPr="007F6290">
        <w:rPr>
          <w:rFonts w:eastAsia="Aptos" w:cs="Arial"/>
          <w:kern w:val="2"/>
          <w:sz w:val="20"/>
          <w:szCs w:val="20"/>
          <w:u w:val="single"/>
          <w14:ligatures w14:val="standardContextual"/>
        </w:rPr>
        <w:t xml:space="preserve"> no longer appropriate (as defined in </w:t>
      </w:r>
      <w:r w:rsidRPr="007F6290">
        <w:rPr>
          <w:rFonts w:eastAsia="Aptos" w:cs="Arial"/>
          <w:b/>
          <w:kern w:val="2"/>
          <w:sz w:val="20"/>
          <w:szCs w:val="20"/>
          <w:u w:val="single"/>
          <w14:ligatures w14:val="standardContextual"/>
        </w:rPr>
        <w:t xml:space="preserve">Table 1 </w:t>
      </w:r>
      <w:r w:rsidRPr="007F6290">
        <w:rPr>
          <w:rFonts w:eastAsia="Aptos" w:cs="Arial"/>
          <w:kern w:val="2"/>
          <w:sz w:val="20"/>
          <w:szCs w:val="20"/>
          <w:u w:val="single"/>
          <w14:ligatures w14:val="standardContextual"/>
        </w:rPr>
        <w:t xml:space="preserve">b); and/or, </w:t>
      </w:r>
    </w:p>
    <w:p w14:paraId="6FD2D658" w14:textId="77777777" w:rsidR="00A36E3B" w:rsidRPr="007F6290" w:rsidRDefault="00A36E3B" w:rsidP="00A36E3B">
      <w:pPr>
        <w:widowControl/>
        <w:ind w:left="851" w:hanging="425"/>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 </w:t>
      </w:r>
    </w:p>
    <w:p w14:paraId="0675EF86" w14:textId="01608710" w:rsidR="00A36E3B" w:rsidRPr="007F6290" w:rsidRDefault="00A36E3B" w:rsidP="00A36E3B">
      <w:pPr>
        <w:widowControl/>
        <w:numPr>
          <w:ilvl w:val="0"/>
          <w:numId w:val="4"/>
        </w:numPr>
        <w:spacing w:after="5" w:line="249" w:lineRule="auto"/>
        <w:ind w:left="851" w:right="47" w:hanging="434"/>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When there is evidence that total catch is meaningfully </w:t>
      </w:r>
      <w:r w:rsidR="00F67A8E" w:rsidRPr="007F6290">
        <w:rPr>
          <w:rFonts w:eastAsia="Aptos" w:cs="Arial"/>
          <w:kern w:val="2"/>
          <w:sz w:val="20"/>
          <w:szCs w:val="20"/>
          <w:u w:val="single"/>
          <w14:ligatures w14:val="standardContextual"/>
        </w:rPr>
        <w:t xml:space="preserve">(as defined in </w:t>
      </w:r>
      <w:r w:rsidR="00F67A8E" w:rsidRPr="007F6290">
        <w:rPr>
          <w:rFonts w:eastAsia="Aptos" w:cs="Arial"/>
          <w:b/>
          <w:kern w:val="2"/>
          <w:sz w:val="20"/>
          <w:szCs w:val="20"/>
          <w:u w:val="single"/>
          <w14:ligatures w14:val="standardContextual"/>
        </w:rPr>
        <w:t>Table 1</w:t>
      </w:r>
      <w:r w:rsidR="00F67A8E" w:rsidRPr="007F6290">
        <w:rPr>
          <w:rFonts w:eastAsia="Aptos" w:cs="Arial"/>
          <w:kern w:val="2"/>
          <w:sz w:val="20"/>
          <w:szCs w:val="20"/>
          <w:u w:val="single"/>
          <w14:ligatures w14:val="standardContextual"/>
        </w:rPr>
        <w:t xml:space="preserve"> c) </w:t>
      </w:r>
      <w:r w:rsidRPr="007F6290">
        <w:rPr>
          <w:rFonts w:eastAsia="Aptos" w:cs="Arial"/>
          <w:kern w:val="2"/>
          <w:sz w:val="20"/>
          <w:szCs w:val="20"/>
          <w:u w:val="single"/>
          <w14:ligatures w14:val="standardContextual"/>
        </w:rPr>
        <w:t xml:space="preserve">above the Total Allowable Catch (TAC) set using the MP. </w:t>
      </w:r>
    </w:p>
    <w:p w14:paraId="23FB8D11" w14:textId="20BED825" w:rsidR="00907C31" w:rsidRPr="007F6290" w:rsidRDefault="00907C31" w:rsidP="00907C31">
      <w:pPr>
        <w:rPr>
          <w:rFonts w:eastAsia="Aptos" w:cs="Arial"/>
          <w:kern w:val="2"/>
          <w:sz w:val="20"/>
          <w:szCs w:val="20"/>
          <w:u w:val="single"/>
          <w14:ligatures w14:val="standardContextual"/>
        </w:rPr>
      </w:pPr>
    </w:p>
    <w:p w14:paraId="299010E0" w14:textId="5476B891" w:rsidR="00907C31" w:rsidRPr="007F6290" w:rsidRDefault="00907C31" w:rsidP="00B07CD4">
      <w:pPr>
        <w:jc w:val="both"/>
        <w:rPr>
          <w:rFonts w:eastAsia="Aptos" w:cs="Arial"/>
          <w:bCs/>
          <w:kern w:val="2"/>
          <w:sz w:val="20"/>
          <w:szCs w:val="20"/>
          <w:u w:val="single"/>
          <w14:ligatures w14:val="standardContextual"/>
        </w:rPr>
      </w:pPr>
      <w:r w:rsidRPr="007F6290">
        <w:rPr>
          <w:rFonts w:eastAsia="Aptos" w:cs="Arial"/>
          <w:bCs/>
          <w:kern w:val="2"/>
          <w:sz w:val="20"/>
          <w:szCs w:val="20"/>
          <w:u w:val="single"/>
          <w14:ligatures w14:val="standardContextual"/>
        </w:rPr>
        <w:t xml:space="preserve">It is not possible to define all scenarios in which ECs may occur in this protocol. A protocol with general guidance for determining whether ECs exist and whether the implication(s) arising from them is sufficiently severe to warrant revising the advice from the MP is described below. The protocol should not be viewed as a definitive set of criteria/responses. Nor should it be viewed as a mechanism for making small adjustments. A finding of EC requires compelling scientific evidence, and EC actions should be taken only when maintaining the current MP </w:t>
      </w:r>
      <w:proofErr w:type="gramStart"/>
      <w:r w:rsidRPr="007F6290">
        <w:rPr>
          <w:rFonts w:eastAsia="Aptos" w:cs="Arial"/>
          <w:bCs/>
          <w:kern w:val="2"/>
          <w:sz w:val="20"/>
          <w:szCs w:val="20"/>
          <w:u w:val="single"/>
          <w14:ligatures w14:val="standardContextual"/>
        </w:rPr>
        <w:t>is considered to be</w:t>
      </w:r>
      <w:proofErr w:type="gramEnd"/>
      <w:r w:rsidRPr="007F6290">
        <w:rPr>
          <w:rFonts w:eastAsia="Aptos" w:cs="Arial"/>
          <w:bCs/>
          <w:kern w:val="2"/>
          <w:sz w:val="20"/>
          <w:szCs w:val="20"/>
          <w:u w:val="single"/>
          <w14:ligatures w14:val="standardContextual"/>
        </w:rPr>
        <w:t xml:space="preserve"> highly risky or highly inappropriate. </w:t>
      </w:r>
      <w:r w:rsidRPr="007F6290">
        <w:rPr>
          <w:rFonts w:eastAsia="Aptos" w:cs="Arial"/>
          <w:kern w:val="2"/>
          <w:sz w:val="20"/>
          <w:szCs w:val="20"/>
          <w:u w:val="single"/>
          <w14:ligatures w14:val="standardContextual"/>
        </w:rPr>
        <w:t xml:space="preserve"> </w:t>
      </w:r>
    </w:p>
    <w:p w14:paraId="16E42C4E" w14:textId="77777777" w:rsidR="00907C31" w:rsidRPr="007F6290" w:rsidRDefault="00907C31" w:rsidP="00907C31">
      <w:pPr>
        <w:widowControl/>
        <w:rPr>
          <w:rFonts w:eastAsia="Aptos" w:cs="Arial"/>
          <w:kern w:val="2"/>
          <w:sz w:val="20"/>
          <w:szCs w:val="20"/>
          <w:u w:val="single"/>
          <w14:ligatures w14:val="standardContextual"/>
        </w:rPr>
      </w:pPr>
    </w:p>
    <w:p w14:paraId="4A847863" w14:textId="77777777" w:rsidR="00907C31" w:rsidRPr="007F6290" w:rsidRDefault="00907C31" w:rsidP="00907C31">
      <w:pPr>
        <w:widowControl/>
        <w:rPr>
          <w:rFonts w:eastAsia="Aptos" w:cs="Arial"/>
          <w:kern w:val="2"/>
          <w:sz w:val="20"/>
          <w:szCs w:val="20"/>
          <w:u w:val="single"/>
          <w14:ligatures w14:val="standardContextual"/>
        </w:rPr>
      </w:pPr>
    </w:p>
    <w:p w14:paraId="570B55D0" w14:textId="77777777" w:rsidR="00907C31" w:rsidRPr="007F6290" w:rsidRDefault="00907C31" w:rsidP="00907C31">
      <w:pPr>
        <w:widowControl/>
        <w:numPr>
          <w:ilvl w:val="0"/>
          <w:numId w:val="3"/>
        </w:numPr>
        <w:spacing w:after="5" w:line="249" w:lineRule="auto"/>
        <w:ind w:left="426" w:right="47" w:hanging="426"/>
        <w:contextualSpacing/>
        <w:jc w:val="both"/>
        <w:rPr>
          <w:rFonts w:eastAsia="Aptos" w:cs="Arial"/>
          <w:b/>
          <w:bCs/>
          <w:kern w:val="2"/>
          <w:sz w:val="20"/>
          <w:szCs w:val="20"/>
          <w:u w:val="single"/>
          <w14:ligatures w14:val="standardContextual"/>
        </w:rPr>
      </w:pPr>
      <w:r w:rsidRPr="007F6290">
        <w:rPr>
          <w:rFonts w:eastAsia="Aptos" w:cs="Arial"/>
          <w:b/>
          <w:bCs/>
          <w:kern w:val="2"/>
          <w:sz w:val="20"/>
          <w:szCs w:val="20"/>
          <w:u w:val="single"/>
          <w14:ligatures w14:val="standardContextual"/>
        </w:rPr>
        <w:t xml:space="preserve">Indicators for ECs and process to determine if ECs occur </w:t>
      </w:r>
    </w:p>
    <w:p w14:paraId="68E80352" w14:textId="77777777" w:rsidR="00907C31" w:rsidRPr="007F6290" w:rsidRDefault="00907C31" w:rsidP="00907C31">
      <w:pPr>
        <w:widowControl/>
        <w:rPr>
          <w:rFonts w:eastAsia="Aptos" w:cs="Arial"/>
          <w:kern w:val="2"/>
          <w:sz w:val="20"/>
          <w:szCs w:val="20"/>
          <w:u w:val="single"/>
          <w14:ligatures w14:val="standardContextual"/>
        </w:rPr>
      </w:pPr>
      <w:r w:rsidRPr="007F6290">
        <w:rPr>
          <w:rFonts w:eastAsia="Aptos" w:cs="Arial"/>
          <w:b/>
          <w:kern w:val="2"/>
          <w:sz w:val="20"/>
          <w:szCs w:val="20"/>
          <w:u w:val="single"/>
          <w14:ligatures w14:val="standardContextual"/>
        </w:rPr>
        <w:t xml:space="preserve"> </w:t>
      </w:r>
    </w:p>
    <w:p w14:paraId="27D45D2C" w14:textId="77777777" w:rsidR="00907C31" w:rsidRPr="007F6290" w:rsidRDefault="00907C31" w:rsidP="00907C31">
      <w:pPr>
        <w:widowControl/>
        <w:jc w:val="both"/>
        <w:rPr>
          <w:rFonts w:eastAsia="Aptos" w:cs="Arial"/>
          <w:kern w:val="2"/>
          <w:sz w:val="20"/>
          <w:szCs w:val="20"/>
          <w:u w:val="single"/>
          <w14:ligatures w14:val="standardContextual"/>
        </w:rPr>
      </w:pPr>
      <w:proofErr w:type="gramStart"/>
      <w:r w:rsidRPr="007F6290">
        <w:rPr>
          <w:rFonts w:eastAsia="Aptos" w:cs="Arial"/>
          <w:kern w:val="2"/>
          <w:sz w:val="20"/>
          <w:szCs w:val="20"/>
          <w:u w:val="single"/>
          <w14:ligatures w14:val="standardContextual"/>
        </w:rPr>
        <w:t>In light of</w:t>
      </w:r>
      <w:proofErr w:type="gramEnd"/>
      <w:r w:rsidRPr="007F6290">
        <w:rPr>
          <w:rFonts w:eastAsia="Aptos" w:cs="Arial"/>
          <w:kern w:val="2"/>
          <w:sz w:val="20"/>
          <w:szCs w:val="20"/>
          <w:u w:val="single"/>
          <w14:ligatures w14:val="standardContextual"/>
        </w:rPr>
        <w:t xml:space="preserve"> the principles specified in Section 1, the SCRS should use the general guidance provided in </w:t>
      </w:r>
      <w:r w:rsidRPr="007F6290">
        <w:rPr>
          <w:rFonts w:eastAsia="Aptos" w:cs="Arial"/>
          <w:b/>
          <w:kern w:val="2"/>
          <w:sz w:val="20"/>
          <w:szCs w:val="20"/>
          <w:u w:val="single"/>
          <w14:ligatures w14:val="standardContextual"/>
        </w:rPr>
        <w:t>Table 1</w:t>
      </w:r>
      <w:r w:rsidRPr="007F6290">
        <w:rPr>
          <w:rFonts w:eastAsia="Aptos" w:cs="Arial"/>
          <w:kern w:val="2"/>
          <w:sz w:val="20"/>
          <w:szCs w:val="20"/>
          <w:u w:val="single"/>
          <w14:ligatures w14:val="standardContextual"/>
        </w:rPr>
        <w:t xml:space="preserve"> </w:t>
      </w:r>
      <w:r w:rsidRPr="007F6290">
        <w:rPr>
          <w:rFonts w:eastAsia="Aptos" w:cs="Arial"/>
          <w:bCs/>
          <w:kern w:val="2"/>
          <w:sz w:val="20"/>
          <w:szCs w:val="20"/>
          <w:u w:val="single"/>
          <w14:ligatures w14:val="standardContextual"/>
        </w:rPr>
        <w:t>and any other relevant information</w:t>
      </w:r>
      <w:r w:rsidRPr="007F6290">
        <w:rPr>
          <w:rFonts w:eastAsia="Aptos" w:cs="Arial"/>
          <w:kern w:val="2"/>
          <w:sz w:val="20"/>
          <w:szCs w:val="20"/>
          <w:u w:val="single"/>
          <w14:ligatures w14:val="standardContextual"/>
        </w:rPr>
        <w:t xml:space="preserve"> to determine annually whether ECs exist. If the SCRS determines that there is evidence of ECs, the SCRS will consider the direction and severity of the ECs (e.g., the degree to which catch per unit effort (CPUE) values fall outside of their expected range and whether they are higher or lower than expected) and, where possible, examine its potential impacts on the performance of the MP.</w:t>
      </w:r>
    </w:p>
    <w:p w14:paraId="00117454" w14:textId="69936432" w:rsidR="00845952" w:rsidRPr="007F6290" w:rsidRDefault="00845952" w:rsidP="00907C31">
      <w:pPr>
        <w:rPr>
          <w:u w:val="single"/>
        </w:rPr>
      </w:pPr>
    </w:p>
    <w:p w14:paraId="28FD99FB" w14:textId="77777777" w:rsidR="008653EC" w:rsidRPr="007F6290" w:rsidRDefault="008653EC" w:rsidP="008653EC">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Subsequently, the SCRS will inform the Commission of any such occurrence and the appropriate response. Triggering ECs does not immediately result in TAC advice from the MP being rescinded; rather, it means that the SCRS needs to consider the evidence from the indicators in </w:t>
      </w:r>
      <w:r w:rsidRPr="007F6290">
        <w:rPr>
          <w:rFonts w:eastAsia="Aptos" w:cs="Arial"/>
          <w:b/>
          <w:kern w:val="2"/>
          <w:sz w:val="20"/>
          <w:szCs w:val="20"/>
          <w:u w:val="single"/>
          <w14:ligatures w14:val="standardContextual"/>
        </w:rPr>
        <w:t>Table 1</w:t>
      </w:r>
      <w:r w:rsidRPr="007F6290">
        <w:rPr>
          <w:rFonts w:eastAsia="Aptos" w:cs="Arial"/>
          <w:bCs/>
          <w:kern w:val="2"/>
          <w:sz w:val="20"/>
          <w:szCs w:val="20"/>
          <w:u w:val="single"/>
          <w14:ligatures w14:val="standardContextual"/>
        </w:rPr>
        <w:t>,</w:t>
      </w:r>
      <w:r w:rsidRPr="007F6290">
        <w:rPr>
          <w:rFonts w:eastAsia="Aptos" w:cs="Arial"/>
          <w:b/>
          <w:kern w:val="2"/>
          <w:sz w:val="20"/>
          <w:szCs w:val="20"/>
          <w:u w:val="single"/>
          <w14:ligatures w14:val="standardContextual"/>
        </w:rPr>
        <w:t xml:space="preserve"> </w:t>
      </w:r>
      <w:r w:rsidRPr="007F6290">
        <w:rPr>
          <w:rFonts w:eastAsia="Aptos" w:cs="Arial"/>
          <w:bCs/>
          <w:kern w:val="2"/>
          <w:sz w:val="20"/>
          <w:szCs w:val="20"/>
          <w:u w:val="single"/>
          <w14:ligatures w14:val="standardContextual"/>
        </w:rPr>
        <w:t>and any other relevant information, and determine</w:t>
      </w:r>
      <w:r w:rsidRPr="007F6290">
        <w:rPr>
          <w:rFonts w:eastAsia="Aptos" w:cs="Arial"/>
          <w:kern w:val="2"/>
          <w:sz w:val="20"/>
          <w:szCs w:val="20"/>
          <w:u w:val="single"/>
          <w14:ligatures w14:val="standardContextual"/>
        </w:rPr>
        <w:t xml:space="preserve"> if a change in advice is warranted and whether further research work or adjustments to the MSE schedule is required.</w:t>
      </w:r>
    </w:p>
    <w:p w14:paraId="24090CC6" w14:textId="77777777" w:rsidR="008653EC" w:rsidRPr="007F6290" w:rsidRDefault="008653EC" w:rsidP="008653EC">
      <w:pPr>
        <w:widowControl/>
        <w:jc w:val="both"/>
        <w:rPr>
          <w:rFonts w:eastAsia="Aptos" w:cs="Arial"/>
          <w:kern w:val="2"/>
          <w:sz w:val="20"/>
          <w:szCs w:val="20"/>
          <w:u w:val="single"/>
          <w14:ligatures w14:val="standardContextual"/>
        </w:rPr>
      </w:pPr>
    </w:p>
    <w:p w14:paraId="0A3BD290" w14:textId="77777777" w:rsidR="008653EC" w:rsidRPr="007F6290" w:rsidRDefault="008653EC" w:rsidP="008653EC">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With respect to identified ECs, such evidence would need to be sufficiently consequential that it would meaningfully affect TAC advice from the MP.</w:t>
      </w:r>
      <w:r w:rsidRPr="007F6290">
        <w:rPr>
          <w:rFonts w:eastAsia="Aptos" w:cs="Arial"/>
          <w:i/>
          <w:kern w:val="2"/>
          <w:sz w:val="20"/>
          <w:szCs w:val="20"/>
          <w:u w:val="single"/>
          <w14:ligatures w14:val="standardContextual"/>
        </w:rPr>
        <w:t xml:space="preserve"> </w:t>
      </w:r>
      <w:r w:rsidRPr="007F6290" w:rsidDel="00840FA3">
        <w:rPr>
          <w:rFonts w:eastAsia="Aptos" w:cs="Arial"/>
          <w:kern w:val="2"/>
          <w:sz w:val="20"/>
          <w:szCs w:val="20"/>
          <w:u w:val="single"/>
          <w14:ligatures w14:val="standardContextual"/>
        </w:rPr>
        <w:t xml:space="preserve"> </w:t>
      </w:r>
    </w:p>
    <w:p w14:paraId="34098E7E" w14:textId="77777777" w:rsidR="008653EC" w:rsidRPr="007F6290" w:rsidRDefault="008653EC" w:rsidP="008653EC">
      <w:pPr>
        <w:widowControl/>
        <w:jc w:val="both"/>
        <w:rPr>
          <w:rFonts w:eastAsia="Aptos" w:cs="Arial"/>
          <w:b/>
          <w:kern w:val="2"/>
          <w:sz w:val="20"/>
          <w:szCs w:val="20"/>
          <w:u w:val="single"/>
          <w14:ligatures w14:val="standardContextual"/>
        </w:rPr>
      </w:pPr>
    </w:p>
    <w:p w14:paraId="170269C9" w14:textId="77777777" w:rsidR="003451C7" w:rsidRPr="007F6290" w:rsidRDefault="003451C7" w:rsidP="004C361E">
      <w:pPr>
        <w:widowControl/>
        <w:jc w:val="both"/>
        <w:rPr>
          <w:rFonts w:eastAsia="Aptos" w:cs="Arial"/>
          <w:b/>
          <w:kern w:val="2"/>
          <w:sz w:val="20"/>
          <w:szCs w:val="20"/>
          <w:u w:val="single"/>
          <w14:ligatures w14:val="standardContextual"/>
        </w:rPr>
      </w:pPr>
    </w:p>
    <w:p w14:paraId="155CD5A4" w14:textId="77777777" w:rsidR="003451C7" w:rsidRPr="007F6290" w:rsidRDefault="003451C7" w:rsidP="004C361E">
      <w:pPr>
        <w:widowControl/>
        <w:jc w:val="both"/>
        <w:rPr>
          <w:rFonts w:eastAsia="Aptos" w:cs="Arial"/>
          <w:b/>
          <w:kern w:val="2"/>
          <w:sz w:val="20"/>
          <w:szCs w:val="20"/>
          <w:u w:val="single"/>
          <w14:ligatures w14:val="standardContextual"/>
        </w:rPr>
      </w:pPr>
    </w:p>
    <w:p w14:paraId="0388BF2E" w14:textId="77777777" w:rsidR="003451C7" w:rsidRPr="007F6290" w:rsidRDefault="003451C7" w:rsidP="004C361E">
      <w:pPr>
        <w:widowControl/>
        <w:jc w:val="both"/>
        <w:rPr>
          <w:rFonts w:eastAsia="Aptos" w:cs="Arial"/>
          <w:b/>
          <w:kern w:val="2"/>
          <w:sz w:val="20"/>
          <w:szCs w:val="20"/>
          <w:u w:val="single"/>
          <w14:ligatures w14:val="standardContextual"/>
        </w:rPr>
      </w:pPr>
    </w:p>
    <w:p w14:paraId="4CAAE1F6" w14:textId="77777777" w:rsidR="003451C7" w:rsidRPr="007F6290" w:rsidRDefault="003451C7" w:rsidP="004C361E">
      <w:pPr>
        <w:widowControl/>
        <w:jc w:val="both"/>
        <w:rPr>
          <w:rFonts w:eastAsia="Aptos" w:cs="Arial"/>
          <w:b/>
          <w:kern w:val="2"/>
          <w:sz w:val="20"/>
          <w:szCs w:val="20"/>
          <w:u w:val="single"/>
          <w14:ligatures w14:val="standardContextual"/>
        </w:rPr>
      </w:pPr>
    </w:p>
    <w:p w14:paraId="2DC6FA40" w14:textId="77777777" w:rsidR="003451C7" w:rsidRPr="007F6290" w:rsidRDefault="003451C7" w:rsidP="004C361E">
      <w:pPr>
        <w:widowControl/>
        <w:jc w:val="both"/>
        <w:rPr>
          <w:rFonts w:eastAsia="Aptos" w:cs="Arial"/>
          <w:b/>
          <w:kern w:val="2"/>
          <w:sz w:val="20"/>
          <w:szCs w:val="20"/>
          <w:u w:val="single"/>
          <w14:ligatures w14:val="standardContextual"/>
        </w:rPr>
      </w:pPr>
    </w:p>
    <w:p w14:paraId="15B96ACF" w14:textId="77777777" w:rsidR="003451C7" w:rsidRPr="007F6290" w:rsidRDefault="003451C7" w:rsidP="004C361E">
      <w:pPr>
        <w:widowControl/>
        <w:jc w:val="both"/>
        <w:rPr>
          <w:rFonts w:eastAsia="Aptos" w:cs="Arial"/>
          <w:b/>
          <w:kern w:val="2"/>
          <w:sz w:val="20"/>
          <w:szCs w:val="20"/>
          <w:u w:val="single"/>
          <w14:ligatures w14:val="standardContextual"/>
        </w:rPr>
      </w:pPr>
    </w:p>
    <w:p w14:paraId="6D6B8C85" w14:textId="77777777" w:rsidR="003451C7" w:rsidRPr="007F6290" w:rsidRDefault="003451C7" w:rsidP="004C361E">
      <w:pPr>
        <w:widowControl/>
        <w:jc w:val="both"/>
        <w:rPr>
          <w:rFonts w:eastAsia="Aptos" w:cs="Arial"/>
          <w:b/>
          <w:kern w:val="2"/>
          <w:sz w:val="20"/>
          <w:szCs w:val="20"/>
          <w:u w:val="single"/>
          <w14:ligatures w14:val="standardContextual"/>
        </w:rPr>
      </w:pPr>
    </w:p>
    <w:p w14:paraId="3135B80C" w14:textId="77777777" w:rsidR="003451C7" w:rsidRPr="007F6290" w:rsidRDefault="003451C7" w:rsidP="004C361E">
      <w:pPr>
        <w:widowControl/>
        <w:jc w:val="both"/>
        <w:rPr>
          <w:rFonts w:eastAsia="Aptos" w:cs="Arial"/>
          <w:b/>
          <w:kern w:val="2"/>
          <w:sz w:val="20"/>
          <w:szCs w:val="20"/>
          <w:u w:val="single"/>
          <w14:ligatures w14:val="standardContextual"/>
        </w:rPr>
      </w:pPr>
    </w:p>
    <w:p w14:paraId="35A61593" w14:textId="77777777" w:rsidR="003451C7" w:rsidRPr="007F6290" w:rsidRDefault="003451C7" w:rsidP="004C361E">
      <w:pPr>
        <w:widowControl/>
        <w:jc w:val="both"/>
        <w:rPr>
          <w:rFonts w:eastAsia="Aptos" w:cs="Arial"/>
          <w:b/>
          <w:kern w:val="2"/>
          <w:sz w:val="20"/>
          <w:szCs w:val="20"/>
          <w:u w:val="single"/>
          <w14:ligatures w14:val="standardContextual"/>
        </w:rPr>
      </w:pPr>
    </w:p>
    <w:p w14:paraId="5EBFC3EB" w14:textId="77777777" w:rsidR="003451C7" w:rsidRPr="007F6290" w:rsidRDefault="003451C7" w:rsidP="004C361E">
      <w:pPr>
        <w:widowControl/>
        <w:jc w:val="both"/>
        <w:rPr>
          <w:rFonts w:eastAsia="Aptos" w:cs="Arial"/>
          <w:b/>
          <w:kern w:val="2"/>
          <w:sz w:val="20"/>
          <w:szCs w:val="20"/>
          <w:u w:val="single"/>
          <w14:ligatures w14:val="standardContextual"/>
        </w:rPr>
      </w:pPr>
    </w:p>
    <w:p w14:paraId="7C4CB76D" w14:textId="77777777" w:rsidR="003451C7" w:rsidRPr="007F6290" w:rsidRDefault="003451C7" w:rsidP="004C361E">
      <w:pPr>
        <w:widowControl/>
        <w:jc w:val="both"/>
        <w:rPr>
          <w:rFonts w:eastAsia="Aptos" w:cs="Arial"/>
          <w:b/>
          <w:kern w:val="2"/>
          <w:sz w:val="20"/>
          <w:szCs w:val="20"/>
          <w:u w:val="single"/>
          <w14:ligatures w14:val="standardContextual"/>
        </w:rPr>
      </w:pPr>
    </w:p>
    <w:p w14:paraId="5AB80861" w14:textId="590DAA5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b/>
          <w:kern w:val="2"/>
          <w:sz w:val="20"/>
          <w:szCs w:val="20"/>
          <w:u w:val="single"/>
          <w14:ligatures w14:val="standardContextual"/>
        </w:rPr>
        <w:t>Table 1</w:t>
      </w:r>
      <w:r w:rsidRPr="007F6290">
        <w:rPr>
          <w:rFonts w:eastAsia="Aptos" w:cs="Arial"/>
          <w:kern w:val="2"/>
          <w:sz w:val="20"/>
          <w:szCs w:val="20"/>
          <w:u w:val="single"/>
          <w14:ligatures w14:val="standardContextual"/>
        </w:rPr>
        <w:t>. General guidance on indicators for North Atlantic swordfish ECs and timetable for conducting the evaluation.</w:t>
      </w:r>
    </w:p>
    <w:tbl>
      <w:tblPr>
        <w:tblW w:w="0" w:type="auto"/>
        <w:jc w:val="center"/>
        <w:tblCellMar>
          <w:top w:w="39" w:type="dxa"/>
          <w:right w:w="64" w:type="dxa"/>
        </w:tblCellMar>
        <w:tblLook w:val="04A0" w:firstRow="1" w:lastRow="0" w:firstColumn="1" w:lastColumn="0" w:noHBand="0" w:noVBand="1"/>
      </w:tblPr>
      <w:tblGrid>
        <w:gridCol w:w="1838"/>
        <w:gridCol w:w="1275"/>
        <w:gridCol w:w="3669"/>
        <w:gridCol w:w="2280"/>
      </w:tblGrid>
      <w:tr w:rsidR="004C361E" w:rsidRPr="007F6290" w14:paraId="37431D2A" w14:textId="77777777" w:rsidTr="000A738A">
        <w:trPr>
          <w:trHeight w:val="245"/>
          <w:jc w:val="center"/>
        </w:trPr>
        <w:tc>
          <w:tcPr>
            <w:tcW w:w="1838" w:type="dxa"/>
            <w:tcBorders>
              <w:top w:val="single" w:sz="4" w:space="0" w:color="000000"/>
              <w:left w:val="single" w:sz="4" w:space="0" w:color="000000"/>
              <w:bottom w:val="single" w:sz="4" w:space="0" w:color="000000"/>
              <w:right w:val="single" w:sz="4" w:space="0" w:color="000000"/>
            </w:tcBorders>
          </w:tcPr>
          <w:p w14:paraId="612663E0" w14:textId="7777777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 </w:t>
            </w:r>
            <w:r w:rsidRPr="007F6290">
              <w:rPr>
                <w:rFonts w:eastAsia="Aptos" w:cs="Arial"/>
                <w:b/>
                <w:i/>
                <w:kern w:val="2"/>
                <w:sz w:val="20"/>
                <w:szCs w:val="20"/>
                <w:u w:val="single"/>
                <w14:ligatures w14:val="standardContextual"/>
              </w:rPr>
              <w:t xml:space="preserve">Principle </w:t>
            </w:r>
          </w:p>
        </w:tc>
        <w:tc>
          <w:tcPr>
            <w:tcW w:w="1275" w:type="dxa"/>
            <w:tcBorders>
              <w:top w:val="single" w:sz="4" w:space="0" w:color="000000"/>
              <w:left w:val="single" w:sz="4" w:space="0" w:color="000000"/>
              <w:bottom w:val="single" w:sz="4" w:space="0" w:color="000000"/>
              <w:right w:val="single" w:sz="4" w:space="0" w:color="000000"/>
            </w:tcBorders>
          </w:tcPr>
          <w:p w14:paraId="18D28522" w14:textId="7777777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b/>
                <w:i/>
                <w:kern w:val="2"/>
                <w:sz w:val="20"/>
                <w:szCs w:val="20"/>
                <w:u w:val="single"/>
                <w14:ligatures w14:val="standardContextual"/>
              </w:rPr>
              <w:t xml:space="preserve">Indicator </w:t>
            </w:r>
          </w:p>
        </w:tc>
        <w:tc>
          <w:tcPr>
            <w:tcW w:w="0" w:type="auto"/>
            <w:tcBorders>
              <w:top w:val="single" w:sz="4" w:space="0" w:color="000000"/>
              <w:left w:val="single" w:sz="4" w:space="0" w:color="000000"/>
              <w:bottom w:val="single" w:sz="4" w:space="0" w:color="000000"/>
              <w:right w:val="single" w:sz="4" w:space="0" w:color="000000"/>
            </w:tcBorders>
          </w:tcPr>
          <w:p w14:paraId="5F4A2D63" w14:textId="7777777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b/>
                <w:i/>
                <w:kern w:val="2"/>
                <w:sz w:val="20"/>
                <w:szCs w:val="20"/>
                <w:u w:val="single"/>
                <w14:ligatures w14:val="standardContextual"/>
              </w:rPr>
              <w:t xml:space="preserve">Criterion </w:t>
            </w:r>
          </w:p>
        </w:tc>
        <w:tc>
          <w:tcPr>
            <w:tcW w:w="0" w:type="auto"/>
            <w:tcBorders>
              <w:top w:val="single" w:sz="4" w:space="0" w:color="000000"/>
              <w:left w:val="single" w:sz="4" w:space="0" w:color="000000"/>
              <w:bottom w:val="single" w:sz="4" w:space="0" w:color="000000"/>
              <w:right w:val="single" w:sz="4" w:space="0" w:color="000000"/>
            </w:tcBorders>
          </w:tcPr>
          <w:p w14:paraId="3BBC061B" w14:textId="7777777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b/>
                <w:i/>
                <w:kern w:val="2"/>
                <w:sz w:val="20"/>
                <w:szCs w:val="20"/>
                <w:u w:val="single"/>
                <w14:ligatures w14:val="standardContextual"/>
              </w:rPr>
              <w:t xml:space="preserve">Frequency </w:t>
            </w:r>
          </w:p>
        </w:tc>
      </w:tr>
      <w:tr w:rsidR="004C361E" w:rsidRPr="007F6290" w14:paraId="34723EF4" w14:textId="77777777" w:rsidTr="000A738A">
        <w:trPr>
          <w:trHeight w:val="1175"/>
          <w:jc w:val="center"/>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24C2A88E" w14:textId="77777777" w:rsidR="004C361E" w:rsidRPr="007F6290" w:rsidRDefault="004C361E" w:rsidP="004C361E">
            <w:pPr>
              <w:widowControl/>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a) Stock and fishery dynamics </w:t>
            </w:r>
          </w:p>
        </w:tc>
        <w:tc>
          <w:tcPr>
            <w:tcW w:w="1275" w:type="dxa"/>
            <w:tcBorders>
              <w:top w:val="single" w:sz="4" w:space="0" w:color="000000"/>
              <w:left w:val="single" w:sz="4" w:space="0" w:color="000000"/>
              <w:bottom w:val="single" w:sz="4" w:space="0" w:color="000000"/>
              <w:right w:val="single" w:sz="4" w:space="0" w:color="000000"/>
            </w:tcBorders>
            <w:vAlign w:val="center"/>
          </w:tcPr>
          <w:p w14:paraId="5AC91053" w14:textId="7777777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Indices</w:t>
            </w:r>
          </w:p>
        </w:tc>
        <w:tc>
          <w:tcPr>
            <w:tcW w:w="0" w:type="auto"/>
            <w:tcBorders>
              <w:top w:val="single" w:sz="4" w:space="0" w:color="000000"/>
              <w:left w:val="single" w:sz="4" w:space="0" w:color="000000"/>
              <w:bottom w:val="single" w:sz="4" w:space="0" w:color="000000"/>
              <w:right w:val="single" w:sz="4" w:space="0" w:color="000000"/>
            </w:tcBorders>
          </w:tcPr>
          <w:p w14:paraId="6E841797" w14:textId="7777777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If, in any year, the observed combined index values fall outside the range from the 2.5 to 97.5 percentile of the simulated combined index used in the projections for testing the adopted MP.</w:t>
            </w:r>
          </w:p>
        </w:tc>
        <w:tc>
          <w:tcPr>
            <w:tcW w:w="0" w:type="auto"/>
            <w:tcBorders>
              <w:top w:val="single" w:sz="4" w:space="0" w:color="000000"/>
              <w:left w:val="single" w:sz="4" w:space="0" w:color="000000"/>
              <w:bottom w:val="single" w:sz="4" w:space="0" w:color="000000"/>
              <w:right w:val="single" w:sz="4" w:space="0" w:color="000000"/>
            </w:tcBorders>
            <w:vAlign w:val="center"/>
          </w:tcPr>
          <w:p w14:paraId="5C89FB15" w14:textId="7777777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Annually</w:t>
            </w:r>
          </w:p>
        </w:tc>
      </w:tr>
      <w:tr w:rsidR="004C361E" w:rsidRPr="007F6290" w14:paraId="0AA29985" w14:textId="77777777" w:rsidTr="000A738A">
        <w:trPr>
          <w:trHeight w:val="1658"/>
          <w:jc w:val="center"/>
        </w:trPr>
        <w:tc>
          <w:tcPr>
            <w:tcW w:w="1838" w:type="dxa"/>
            <w:vMerge/>
            <w:tcBorders>
              <w:top w:val="nil"/>
              <w:left w:val="single" w:sz="4" w:space="0" w:color="000000"/>
              <w:bottom w:val="single" w:sz="4" w:space="0" w:color="auto"/>
              <w:right w:val="single" w:sz="4" w:space="0" w:color="000000"/>
            </w:tcBorders>
          </w:tcPr>
          <w:p w14:paraId="1DE5E6D1" w14:textId="77777777" w:rsidR="004C361E" w:rsidRPr="007F6290" w:rsidRDefault="004C361E" w:rsidP="004C361E">
            <w:pPr>
              <w:widowControl/>
              <w:jc w:val="both"/>
              <w:rPr>
                <w:rFonts w:eastAsia="Aptos" w:cs="Arial"/>
                <w:kern w:val="2"/>
                <w:sz w:val="20"/>
                <w:szCs w:val="20"/>
                <w:u w:val="single"/>
                <w14:ligatures w14:val="standardContextual"/>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17D4A10B" w14:textId="77777777" w:rsidR="004C361E" w:rsidRPr="007F6290" w:rsidRDefault="004C361E" w:rsidP="004C361E">
            <w:pPr>
              <w:widowControl/>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Abundance, life history and fishery dynamics </w:t>
            </w:r>
          </w:p>
        </w:tc>
        <w:tc>
          <w:tcPr>
            <w:tcW w:w="0" w:type="auto"/>
            <w:tcBorders>
              <w:top w:val="single" w:sz="4" w:space="0" w:color="000000"/>
              <w:left w:val="single" w:sz="4" w:space="0" w:color="000000"/>
              <w:bottom w:val="single" w:sz="4" w:space="0" w:color="auto"/>
              <w:right w:val="single" w:sz="4" w:space="0" w:color="000000"/>
            </w:tcBorders>
          </w:tcPr>
          <w:p w14:paraId="5332D08D" w14:textId="7777777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When there is evidence that the stock and/or fishery dynamics are in states not previously and/or no longer considered to be plausible in the context of the MSE, or when there is evidence that stock states or fishery dynamics included within the OMs for the MSE testing are no longer considered plausible.   </w:t>
            </w:r>
          </w:p>
        </w:tc>
        <w:tc>
          <w:tcPr>
            <w:tcW w:w="0" w:type="auto"/>
            <w:tcBorders>
              <w:top w:val="single" w:sz="4" w:space="0" w:color="000000"/>
              <w:left w:val="single" w:sz="4" w:space="0" w:color="000000"/>
              <w:bottom w:val="single" w:sz="4" w:space="0" w:color="auto"/>
              <w:right w:val="single" w:sz="4" w:space="0" w:color="000000"/>
            </w:tcBorders>
            <w:vAlign w:val="center"/>
          </w:tcPr>
          <w:p w14:paraId="5F779BD8" w14:textId="7777777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Whenever information is available and after completion, presentation, and acceptance by the SCRS of a study as the new reference.</w:t>
            </w:r>
          </w:p>
        </w:tc>
      </w:tr>
      <w:tr w:rsidR="004C361E" w:rsidRPr="007F6290" w14:paraId="50F4BF68" w14:textId="77777777" w:rsidTr="000A738A">
        <w:trPr>
          <w:trHeight w:val="70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AE833F3" w14:textId="77777777" w:rsidR="004C361E" w:rsidRPr="007F6290" w:rsidRDefault="004C361E" w:rsidP="004C361E">
            <w:pPr>
              <w:widowControl/>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b) Data availability for the MP </w:t>
            </w:r>
          </w:p>
        </w:tc>
        <w:tc>
          <w:tcPr>
            <w:tcW w:w="1275" w:type="dxa"/>
            <w:tcBorders>
              <w:top w:val="single" w:sz="4" w:space="0" w:color="auto"/>
              <w:left w:val="single" w:sz="4" w:space="0" w:color="auto"/>
              <w:bottom w:val="single" w:sz="4" w:space="0" w:color="auto"/>
              <w:right w:val="single" w:sz="4" w:space="0" w:color="auto"/>
            </w:tcBorders>
            <w:vAlign w:val="center"/>
          </w:tcPr>
          <w:p w14:paraId="591DA055" w14:textId="77777777" w:rsidR="004C361E" w:rsidRPr="007F6290" w:rsidRDefault="004C361E" w:rsidP="004C361E">
            <w:pPr>
              <w:widowControl/>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Indices</w:t>
            </w:r>
          </w:p>
        </w:tc>
        <w:tc>
          <w:tcPr>
            <w:tcW w:w="0" w:type="auto"/>
            <w:tcBorders>
              <w:top w:val="single" w:sz="4" w:space="0" w:color="auto"/>
              <w:left w:val="single" w:sz="4" w:space="0" w:color="auto"/>
              <w:bottom w:val="single" w:sz="4" w:space="0" w:color="auto"/>
              <w:right w:val="single" w:sz="4" w:space="0" w:color="auto"/>
            </w:tcBorders>
          </w:tcPr>
          <w:p w14:paraId="609CB96A" w14:textId="7777777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If data from two or more influential fleets contributing data to the combined index are missing</w:t>
            </w:r>
            <w:r w:rsidRPr="007F6290">
              <w:rPr>
                <w:rFonts w:eastAsia="Aptos" w:cs="Arial"/>
                <w:kern w:val="2"/>
                <w:sz w:val="20"/>
                <w:szCs w:val="20"/>
                <w:u w:val="single"/>
                <w:vertAlign w:val="superscript"/>
                <w14:ligatures w14:val="standardContextual"/>
              </w:rPr>
              <w:footnoteReference w:id="3"/>
            </w:r>
            <w:r w:rsidRPr="007F6290">
              <w:rPr>
                <w:rFonts w:eastAsia="Aptos" w:cs="Arial"/>
                <w:kern w:val="2"/>
                <w:sz w:val="20"/>
                <w:szCs w:val="20"/>
                <w:u w:val="single"/>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tcPr>
          <w:p w14:paraId="7781FDDB" w14:textId="7777777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Annually </w:t>
            </w:r>
          </w:p>
        </w:tc>
      </w:tr>
      <w:tr w:rsidR="004C361E" w:rsidRPr="007F6290" w14:paraId="5C79EBA9" w14:textId="77777777" w:rsidTr="000A738A">
        <w:trPr>
          <w:trHeight w:val="521"/>
          <w:jc w:val="center"/>
        </w:trPr>
        <w:tc>
          <w:tcPr>
            <w:tcW w:w="1838" w:type="dxa"/>
            <w:tcBorders>
              <w:top w:val="single" w:sz="4" w:space="0" w:color="auto"/>
              <w:left w:val="single" w:sz="4" w:space="0" w:color="auto"/>
              <w:bottom w:val="single" w:sz="4" w:space="0" w:color="auto"/>
              <w:right w:val="single" w:sz="4" w:space="0" w:color="auto"/>
            </w:tcBorders>
            <w:vAlign w:val="center"/>
          </w:tcPr>
          <w:p w14:paraId="585FD491" w14:textId="7777777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c) Implementation </w:t>
            </w:r>
          </w:p>
          <w:p w14:paraId="6F6AAC12" w14:textId="7777777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of the TAC </w:t>
            </w:r>
          </w:p>
        </w:tc>
        <w:tc>
          <w:tcPr>
            <w:tcW w:w="1275" w:type="dxa"/>
            <w:tcBorders>
              <w:top w:val="single" w:sz="4" w:space="0" w:color="auto"/>
              <w:left w:val="single" w:sz="4" w:space="0" w:color="auto"/>
              <w:bottom w:val="single" w:sz="4" w:space="0" w:color="auto"/>
              <w:right w:val="single" w:sz="4" w:space="0" w:color="auto"/>
            </w:tcBorders>
            <w:vAlign w:val="center"/>
          </w:tcPr>
          <w:p w14:paraId="6A580FDE" w14:textId="77777777" w:rsidR="004C361E" w:rsidRPr="007F6290" w:rsidRDefault="004C361E" w:rsidP="004C361E">
            <w:pPr>
              <w:widowControl/>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Catch</w:t>
            </w:r>
          </w:p>
        </w:tc>
        <w:tc>
          <w:tcPr>
            <w:tcW w:w="0" w:type="auto"/>
            <w:tcBorders>
              <w:top w:val="single" w:sz="4" w:space="0" w:color="auto"/>
              <w:left w:val="single" w:sz="4" w:space="0" w:color="auto"/>
              <w:bottom w:val="single" w:sz="4" w:space="0" w:color="auto"/>
              <w:right w:val="single" w:sz="4" w:space="0" w:color="auto"/>
            </w:tcBorders>
          </w:tcPr>
          <w:p w14:paraId="4F65B60D" w14:textId="7777777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If the total catch is 20% or more above the TAC set using the MP</w:t>
            </w:r>
            <w:sdt>
              <w:sdtPr>
                <w:rPr>
                  <w:rFonts w:eastAsia="Aptos" w:cs="Arial"/>
                  <w:kern w:val="2"/>
                  <w:sz w:val="20"/>
                  <w:szCs w:val="20"/>
                  <w:u w:val="single"/>
                  <w14:ligatures w14:val="standardContextual"/>
                </w:rPr>
                <w:tag w:val="goog_rdk_2"/>
                <w:id w:val="-502279903"/>
              </w:sdtPr>
              <w:sdtEndPr/>
              <w:sdtContent/>
            </w:sdt>
            <w:sdt>
              <w:sdtPr>
                <w:rPr>
                  <w:rFonts w:eastAsia="Aptos" w:cs="Arial"/>
                  <w:kern w:val="2"/>
                  <w:sz w:val="20"/>
                  <w:szCs w:val="20"/>
                  <w:u w:val="single"/>
                  <w14:ligatures w14:val="standardContextual"/>
                </w:rPr>
                <w:tag w:val="goog_rdk_5"/>
                <w:id w:val="1390453310"/>
              </w:sdtPr>
              <w:sdtEndPr/>
              <w:sdtContent/>
            </w:sdt>
            <w:r w:rsidRPr="007F6290">
              <w:rPr>
                <w:rFonts w:eastAsia="Aptos" w:cs="Arial"/>
                <w:kern w:val="2"/>
                <w:sz w:val="20"/>
                <w:szCs w:val="20"/>
                <w:u w:val="single"/>
                <w14:ligatures w14:val="standardContextua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0C05FAF9" w14:textId="7777777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Annually </w:t>
            </w:r>
          </w:p>
        </w:tc>
      </w:tr>
    </w:tbl>
    <w:p w14:paraId="4C529DFE" w14:textId="77777777" w:rsidR="004C361E" w:rsidRPr="007F6290" w:rsidRDefault="004C361E" w:rsidP="004C361E">
      <w:pPr>
        <w:widowControl/>
        <w:jc w:val="both"/>
        <w:rPr>
          <w:rFonts w:eastAsia="Aptos" w:cs="Arial"/>
          <w:kern w:val="2"/>
          <w:sz w:val="20"/>
          <w:szCs w:val="20"/>
          <w:u w:val="single"/>
          <w14:ligatures w14:val="standardContextual"/>
        </w:rPr>
      </w:pPr>
    </w:p>
    <w:p w14:paraId="1883ECD2" w14:textId="77777777" w:rsidR="004C361E" w:rsidRPr="007F6290" w:rsidRDefault="004C361E" w:rsidP="004C361E">
      <w:pPr>
        <w:widowControl/>
        <w:jc w:val="both"/>
        <w:rPr>
          <w:rFonts w:eastAsia="Aptos" w:cs="Arial"/>
          <w:kern w:val="2"/>
          <w:sz w:val="20"/>
          <w:szCs w:val="20"/>
          <w:u w:val="single"/>
          <w14:ligatures w14:val="standardContextual"/>
        </w:rPr>
      </w:pPr>
    </w:p>
    <w:p w14:paraId="1820FC13" w14:textId="77777777" w:rsidR="004C361E" w:rsidRPr="007F6290" w:rsidRDefault="004C361E" w:rsidP="004C361E">
      <w:pPr>
        <w:widowControl/>
        <w:numPr>
          <w:ilvl w:val="0"/>
          <w:numId w:val="3"/>
        </w:numPr>
        <w:spacing w:after="5" w:line="249" w:lineRule="auto"/>
        <w:ind w:left="426" w:right="47" w:hanging="426"/>
        <w:contextualSpacing/>
        <w:jc w:val="both"/>
        <w:rPr>
          <w:rFonts w:eastAsia="Aptos" w:cs="Arial"/>
          <w:b/>
          <w:kern w:val="2"/>
          <w:sz w:val="20"/>
          <w:szCs w:val="20"/>
          <w:u w:val="single"/>
          <w14:ligatures w14:val="standardContextual"/>
        </w:rPr>
      </w:pPr>
      <w:r w:rsidRPr="007F6290">
        <w:rPr>
          <w:rFonts w:eastAsia="Aptos" w:cs="Arial"/>
          <w:b/>
          <w:kern w:val="2"/>
          <w:sz w:val="20"/>
          <w:szCs w:val="20"/>
          <w:u w:val="single"/>
          <w14:ligatures w14:val="standardContextual"/>
        </w:rPr>
        <w:t xml:space="preserve">Actions to be taken </w:t>
      </w:r>
      <w:proofErr w:type="gramStart"/>
      <w:r w:rsidRPr="007F6290">
        <w:rPr>
          <w:rFonts w:eastAsia="Aptos" w:cs="Arial"/>
          <w:b/>
          <w:kern w:val="2"/>
          <w:sz w:val="20"/>
          <w:szCs w:val="20"/>
          <w:u w:val="single"/>
          <w14:ligatures w14:val="standardContextual"/>
        </w:rPr>
        <w:t>in light of</w:t>
      </w:r>
      <w:proofErr w:type="gramEnd"/>
      <w:r w:rsidRPr="007F6290">
        <w:rPr>
          <w:rFonts w:eastAsia="Aptos" w:cs="Arial"/>
          <w:b/>
          <w:kern w:val="2"/>
          <w:sz w:val="20"/>
          <w:szCs w:val="20"/>
          <w:u w:val="single"/>
          <w14:ligatures w14:val="standardContextual"/>
        </w:rPr>
        <w:t xml:space="preserve"> ECs </w:t>
      </w:r>
    </w:p>
    <w:p w14:paraId="447318D4" w14:textId="7777777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 </w:t>
      </w:r>
    </w:p>
    <w:p w14:paraId="0E8C5223" w14:textId="77777777" w:rsidR="004C361E" w:rsidRPr="007F6290" w:rsidRDefault="004C361E" w:rsidP="004C361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If the SCRS determines that ECs exist which preclude the application of the MP or make the application of the MP or the implementation of its results inadvisable based on the principles outlined in Section 1, the SCRS shall evaluate the nature of the EC and advise the Commission on: </w:t>
      </w:r>
    </w:p>
    <w:p w14:paraId="13BEE906" w14:textId="77777777" w:rsidR="005F6D3E" w:rsidRPr="007F6290" w:rsidRDefault="005F6D3E" w:rsidP="005F6D3E">
      <w:pPr>
        <w:widowControl/>
        <w:jc w:val="both"/>
        <w:rPr>
          <w:rFonts w:eastAsia="Aptos" w:cs="Arial"/>
          <w:kern w:val="2"/>
          <w:sz w:val="20"/>
          <w:szCs w:val="20"/>
          <w:u w:val="single"/>
          <w14:ligatures w14:val="standardContextual"/>
        </w:rPr>
      </w:pPr>
    </w:p>
    <w:p w14:paraId="1DFE4E65" w14:textId="77777777" w:rsidR="005F6D3E" w:rsidRPr="007F6290" w:rsidRDefault="005F6D3E" w:rsidP="00B07CD4">
      <w:pPr>
        <w:widowControl/>
        <w:numPr>
          <w:ilvl w:val="0"/>
          <w:numId w:val="5"/>
        </w:numPr>
        <w:tabs>
          <w:tab w:val="left" w:pos="851"/>
        </w:tabs>
        <w:spacing w:after="5" w:line="249" w:lineRule="auto"/>
        <w:ind w:left="567" w:right="47"/>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Additional research which may bring more clarity on whether it is necessary to divert from the current MP revision schedule and </w:t>
      </w:r>
      <w:proofErr w:type="gramStart"/>
      <w:r w:rsidRPr="007F6290">
        <w:rPr>
          <w:rFonts w:eastAsia="Aptos" w:cs="Arial"/>
          <w:kern w:val="2"/>
          <w:sz w:val="20"/>
          <w:szCs w:val="20"/>
          <w:u w:val="single"/>
          <w14:ligatures w14:val="standardContextual"/>
        </w:rPr>
        <w:t>TAC;</w:t>
      </w:r>
      <w:proofErr w:type="gramEnd"/>
    </w:p>
    <w:p w14:paraId="4012298C" w14:textId="77777777" w:rsidR="005F6D3E" w:rsidRPr="007F6290" w:rsidRDefault="005F6D3E" w:rsidP="005F6D3E">
      <w:pPr>
        <w:widowControl/>
        <w:ind w:left="567"/>
        <w:jc w:val="both"/>
        <w:rPr>
          <w:rFonts w:eastAsia="Aptos" w:cs="Arial"/>
          <w:kern w:val="2"/>
          <w:sz w:val="20"/>
          <w:szCs w:val="20"/>
          <w:u w:val="single"/>
          <w14:ligatures w14:val="standardContextual"/>
        </w:rPr>
      </w:pPr>
    </w:p>
    <w:p w14:paraId="13D0A3D3" w14:textId="77777777" w:rsidR="005F6D3E" w:rsidRPr="007F6290" w:rsidRDefault="005F6D3E" w:rsidP="00B07CD4">
      <w:pPr>
        <w:widowControl/>
        <w:numPr>
          <w:ilvl w:val="0"/>
          <w:numId w:val="5"/>
        </w:numPr>
        <w:tabs>
          <w:tab w:val="left" w:pos="851"/>
        </w:tabs>
        <w:spacing w:after="5" w:line="249" w:lineRule="auto"/>
        <w:ind w:left="567" w:right="47"/>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Alternative management options for the coming fishing year aimed at ensuring, at a minimum, stability in the stock status, including the implications of: (i) maintaining the TAC advice decided through the MP, (ii) reducing the TAC advice in light of indications of stock decline, (iii) increasing the TAC advice in light of indications of stock increase that was not considered plausible during the MSE testing, and (iv) any other appropriate conservation and management actions;</w:t>
      </w:r>
    </w:p>
    <w:p w14:paraId="46297F76" w14:textId="77777777" w:rsidR="005F6D3E" w:rsidRPr="007F6290" w:rsidRDefault="005F6D3E" w:rsidP="005F6D3E">
      <w:pPr>
        <w:widowControl/>
        <w:spacing w:after="5" w:line="249" w:lineRule="auto"/>
        <w:ind w:left="720" w:right="47" w:hanging="434"/>
        <w:contextualSpacing/>
        <w:jc w:val="both"/>
        <w:rPr>
          <w:rFonts w:eastAsia="Aptos" w:cs="Arial"/>
          <w:kern w:val="2"/>
          <w:sz w:val="20"/>
          <w:szCs w:val="20"/>
          <w:u w:val="single"/>
          <w14:ligatures w14:val="standardContextual"/>
        </w:rPr>
      </w:pPr>
    </w:p>
    <w:p w14:paraId="410BB958" w14:textId="77777777" w:rsidR="005F6D3E" w:rsidRPr="007F6290" w:rsidRDefault="005F6D3E" w:rsidP="00B07CD4">
      <w:pPr>
        <w:widowControl/>
        <w:numPr>
          <w:ilvl w:val="0"/>
          <w:numId w:val="5"/>
        </w:numPr>
        <w:tabs>
          <w:tab w:val="left" w:pos="851"/>
        </w:tabs>
        <w:spacing w:after="5" w:line="249" w:lineRule="auto"/>
        <w:ind w:left="567" w:right="47"/>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Whether the existing MP should be adjusted or whether development of a new MP is required; and </w:t>
      </w:r>
    </w:p>
    <w:p w14:paraId="79D238E3" w14:textId="77777777" w:rsidR="005F6D3E" w:rsidRPr="007F6290" w:rsidRDefault="005F6D3E" w:rsidP="005F6D3E">
      <w:pPr>
        <w:widowControl/>
        <w:spacing w:after="5" w:line="249" w:lineRule="auto"/>
        <w:ind w:left="720" w:right="47" w:hanging="434"/>
        <w:contextualSpacing/>
        <w:jc w:val="both"/>
        <w:rPr>
          <w:rFonts w:eastAsia="Aptos" w:cs="Arial"/>
          <w:kern w:val="2"/>
          <w:sz w:val="20"/>
          <w:szCs w:val="20"/>
          <w:u w:val="single"/>
          <w14:ligatures w14:val="standardContextual"/>
        </w:rPr>
      </w:pPr>
    </w:p>
    <w:p w14:paraId="10DD4717" w14:textId="77777777" w:rsidR="005F6D3E" w:rsidRPr="007F6290" w:rsidRDefault="005F6D3E" w:rsidP="00B07CD4">
      <w:pPr>
        <w:widowControl/>
        <w:numPr>
          <w:ilvl w:val="0"/>
          <w:numId w:val="5"/>
        </w:numPr>
        <w:tabs>
          <w:tab w:val="left" w:pos="851"/>
        </w:tabs>
        <w:spacing w:after="5" w:line="249" w:lineRule="auto"/>
        <w:ind w:left="567" w:right="47"/>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Whether a stock assessment or other SCRS-approved method of determining TACs is needed for providing management advice in the interim while a revised MP is developed. </w:t>
      </w:r>
    </w:p>
    <w:p w14:paraId="13FD031E" w14:textId="77777777" w:rsidR="005F6D3E" w:rsidRPr="007F6290" w:rsidRDefault="005F6D3E" w:rsidP="005F6D3E">
      <w:pPr>
        <w:widowControl/>
        <w:jc w:val="both"/>
        <w:rPr>
          <w:rFonts w:eastAsia="Aptos" w:cs="Arial"/>
          <w:kern w:val="2"/>
          <w:sz w:val="20"/>
          <w:szCs w:val="20"/>
          <w:u w:val="single"/>
          <w14:ligatures w14:val="standardContextual"/>
        </w:rPr>
      </w:pPr>
    </w:p>
    <w:p w14:paraId="6C6D4D7E" w14:textId="2120D269" w:rsidR="005F6D3E" w:rsidRPr="007F6290" w:rsidRDefault="005F6D3E" w:rsidP="005F6D3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Based on the SCRS advice on the above, the Commission shall decide on alternative management action(s). As needed and appropriate, the SCRS shall conduct a new stock assessment and/or provide advice on new candidate MPs as soon as possible. </w:t>
      </w:r>
    </w:p>
    <w:p w14:paraId="3842D26F" w14:textId="77777777" w:rsidR="005F6D3E" w:rsidRPr="007F6290" w:rsidRDefault="005F6D3E" w:rsidP="005F6D3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 </w:t>
      </w:r>
    </w:p>
    <w:p w14:paraId="768FC94F" w14:textId="77777777" w:rsidR="005F6D3E" w:rsidRPr="007F6290" w:rsidRDefault="005F6D3E" w:rsidP="005F6D3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See the flowchart below for a schematic representation of the above process: </w:t>
      </w:r>
    </w:p>
    <w:p w14:paraId="052AC580" w14:textId="77777777" w:rsidR="005F6D3E" w:rsidRPr="007F6290" w:rsidRDefault="005F6D3E" w:rsidP="005F6D3E">
      <w:pPr>
        <w:widowControl/>
        <w:jc w:val="both"/>
        <w:rPr>
          <w:rFonts w:eastAsia="Aptos" w:cs="Arial"/>
          <w:kern w:val="2"/>
          <w:sz w:val="20"/>
          <w:szCs w:val="20"/>
          <w:u w:val="single"/>
          <w14:ligatures w14:val="standardContextual"/>
        </w:rPr>
      </w:pPr>
    </w:p>
    <w:p w14:paraId="54E78542" w14:textId="77777777" w:rsidR="005F6D3E" w:rsidRPr="007F6290" w:rsidRDefault="005F6D3E" w:rsidP="005F6D3E">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The SCRS shall check if ECs exist using the indicators and criteria specified in </w:t>
      </w:r>
      <w:r w:rsidRPr="007F6290">
        <w:rPr>
          <w:rFonts w:eastAsia="Aptos" w:cs="Arial"/>
          <w:b/>
          <w:kern w:val="2"/>
          <w:sz w:val="20"/>
          <w:szCs w:val="20"/>
          <w:u w:val="single"/>
          <w14:ligatures w14:val="standardContextual"/>
        </w:rPr>
        <w:t>Table 1</w:t>
      </w:r>
      <w:r w:rsidRPr="007F6290">
        <w:rPr>
          <w:rFonts w:eastAsia="Aptos" w:cs="Arial"/>
          <w:kern w:val="2"/>
          <w:sz w:val="20"/>
          <w:szCs w:val="20"/>
          <w:u w:val="single"/>
          <w14:ligatures w14:val="standardContextual"/>
        </w:rPr>
        <w:t xml:space="preserve"> and according to the indicated frequency. </w:t>
      </w:r>
    </w:p>
    <w:p w14:paraId="72FC615D" w14:textId="77777777" w:rsidR="00CC0AD1" w:rsidRPr="007F6290" w:rsidRDefault="00CC0AD1" w:rsidP="005F6D3E">
      <w:pPr>
        <w:widowControl/>
        <w:jc w:val="both"/>
        <w:rPr>
          <w:rFonts w:eastAsia="Aptos" w:cs="Arial"/>
          <w:kern w:val="2"/>
          <w:sz w:val="20"/>
          <w:szCs w:val="20"/>
          <w:u w:val="single"/>
          <w14:ligatures w14:val="standardContextual"/>
        </w:rPr>
      </w:pPr>
    </w:p>
    <w:p w14:paraId="431E218C" w14:textId="77777777" w:rsidR="004B415C" w:rsidRPr="007F6290" w:rsidRDefault="004B415C" w:rsidP="005F6D3E">
      <w:pPr>
        <w:widowControl/>
        <w:jc w:val="both"/>
        <w:rPr>
          <w:rFonts w:eastAsia="Aptos" w:cs="Arial"/>
          <w:kern w:val="2"/>
          <w:sz w:val="20"/>
          <w:szCs w:val="20"/>
          <w:u w:val="single"/>
          <w14:ligatures w14:val="standardContextual"/>
        </w:rPr>
      </w:pPr>
    </w:p>
    <w:p w14:paraId="5E155676" w14:textId="77777777" w:rsidR="00B07CD4" w:rsidRPr="007F6290" w:rsidRDefault="00B07CD4" w:rsidP="004B415C">
      <w:pPr>
        <w:rPr>
          <w:rFonts w:eastAsia="Aptos" w:cs="Arial"/>
          <w:kern w:val="2"/>
          <w:sz w:val="20"/>
          <w:szCs w:val="20"/>
          <w:u w:val="single"/>
          <w14:ligatures w14:val="standardContextual"/>
        </w:rPr>
      </w:pPr>
    </w:p>
    <w:p w14:paraId="5DD40D69" w14:textId="77777777" w:rsidR="00B07CD4" w:rsidRPr="007F6290" w:rsidRDefault="004B415C" w:rsidP="004B415C">
      <w:pPr>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Year 1 &amp; 2: </w:t>
      </w:r>
    </w:p>
    <w:p w14:paraId="5BD09A01" w14:textId="3A6207DA" w:rsidR="004B415C" w:rsidRPr="007F6290" w:rsidRDefault="004B415C" w:rsidP="004B415C">
      <w:pPr>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 </w:t>
      </w:r>
    </w:p>
    <w:p w14:paraId="6CB111F8" w14:textId="77777777" w:rsidR="004B415C" w:rsidRPr="007F6290" w:rsidRDefault="004B415C" w:rsidP="004B415C">
      <w:pPr>
        <w:ind w:left="567" w:hanging="283"/>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1.</w:t>
      </w:r>
      <w:r w:rsidRPr="007F6290">
        <w:rPr>
          <w:rFonts w:eastAsia="Aptos" w:cs="Arial"/>
          <w:kern w:val="2"/>
          <w:sz w:val="20"/>
          <w:szCs w:val="20"/>
          <w:u w:val="single"/>
          <w14:ligatures w14:val="standardContextual"/>
        </w:rPr>
        <w:tab/>
        <w:t xml:space="preserve">Update the Combined Index of abundance  </w:t>
      </w:r>
    </w:p>
    <w:p w14:paraId="600B4FBA" w14:textId="77777777" w:rsidR="004B415C" w:rsidRPr="007F6290" w:rsidRDefault="004B415C" w:rsidP="004B415C">
      <w:pPr>
        <w:ind w:left="567" w:hanging="283"/>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2.</w:t>
      </w:r>
      <w:r w:rsidRPr="007F6290">
        <w:rPr>
          <w:rFonts w:eastAsia="Aptos" w:cs="Arial"/>
          <w:kern w:val="2"/>
          <w:sz w:val="20"/>
          <w:szCs w:val="20"/>
          <w:u w:val="single"/>
          <w14:ligatures w14:val="standardContextual"/>
        </w:rPr>
        <w:tab/>
        <w:t xml:space="preserve">Update catch  </w:t>
      </w:r>
    </w:p>
    <w:p w14:paraId="2CFE7D7F" w14:textId="77777777" w:rsidR="004B415C" w:rsidRPr="007F6290" w:rsidRDefault="004B415C" w:rsidP="004B415C">
      <w:pPr>
        <w:ind w:left="567" w:hanging="283"/>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3.</w:t>
      </w:r>
      <w:r w:rsidRPr="007F6290">
        <w:rPr>
          <w:rFonts w:eastAsia="Aptos" w:cs="Arial"/>
          <w:kern w:val="2"/>
          <w:sz w:val="20"/>
          <w:szCs w:val="20"/>
          <w:u w:val="single"/>
          <w14:ligatures w14:val="standardContextual"/>
        </w:rPr>
        <w:tab/>
        <w:t>Consider evidence that stock states and fishery dynamics are in states not previously and/or no longer considered to be plausible in the context of the MSE, or when there is evidence that stock states or fisheries dynamics included within the OMs for the MSE testing are no longer considered plausible, and any other relevant information</w:t>
      </w:r>
    </w:p>
    <w:p w14:paraId="3A212C55" w14:textId="77777777" w:rsidR="004B415C" w:rsidRPr="007F6290" w:rsidRDefault="004B415C" w:rsidP="004B415C">
      <w:pPr>
        <w:ind w:left="567" w:hanging="283"/>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4.</w:t>
      </w:r>
      <w:r w:rsidRPr="007F6290">
        <w:rPr>
          <w:rFonts w:eastAsia="Aptos" w:cs="Arial"/>
          <w:kern w:val="2"/>
          <w:sz w:val="20"/>
          <w:szCs w:val="20"/>
          <w:u w:val="single"/>
          <w14:ligatures w14:val="standardContextual"/>
        </w:rPr>
        <w:tab/>
        <w:t>Consider availability of data to inform the Combined Index</w:t>
      </w:r>
    </w:p>
    <w:p w14:paraId="25AE7F63" w14:textId="77777777" w:rsidR="004B415C" w:rsidRPr="007F6290" w:rsidRDefault="004B415C" w:rsidP="004B415C">
      <w:pPr>
        <w:rPr>
          <w:rFonts w:eastAsia="Aptos" w:cs="Arial"/>
          <w:kern w:val="2"/>
          <w:sz w:val="20"/>
          <w:szCs w:val="20"/>
          <w:u w:val="single"/>
          <w14:ligatures w14:val="standardContextual"/>
        </w:rPr>
      </w:pPr>
    </w:p>
    <w:p w14:paraId="3259CFE2" w14:textId="77777777" w:rsidR="004B415C" w:rsidRPr="007F6290" w:rsidRDefault="004B415C" w:rsidP="004B415C">
      <w:pPr>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Year 3:  </w:t>
      </w:r>
    </w:p>
    <w:p w14:paraId="21424EC5" w14:textId="77777777" w:rsidR="00B07CD4" w:rsidRPr="007F6290" w:rsidRDefault="00B07CD4" w:rsidP="004B415C">
      <w:pPr>
        <w:rPr>
          <w:rFonts w:eastAsia="Aptos" w:cs="Arial"/>
          <w:kern w:val="2"/>
          <w:sz w:val="20"/>
          <w:szCs w:val="20"/>
          <w:u w:val="single"/>
          <w14:ligatures w14:val="standardContextual"/>
        </w:rPr>
      </w:pPr>
    </w:p>
    <w:p w14:paraId="3A88DF8D" w14:textId="77777777" w:rsidR="004B415C" w:rsidRPr="007F6290" w:rsidRDefault="004B415C" w:rsidP="004B415C">
      <w:pPr>
        <w:ind w:left="567" w:hanging="283"/>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1.</w:t>
      </w:r>
      <w:r w:rsidRPr="007F6290">
        <w:rPr>
          <w:rFonts w:eastAsia="Aptos" w:cs="Arial"/>
          <w:kern w:val="2"/>
          <w:sz w:val="20"/>
          <w:szCs w:val="20"/>
          <w:u w:val="single"/>
          <w14:ligatures w14:val="standardContextual"/>
        </w:rPr>
        <w:tab/>
        <w:t xml:space="preserve">Check that all datasets required in running the MP are available  </w:t>
      </w:r>
    </w:p>
    <w:p w14:paraId="2FF504E2" w14:textId="77777777" w:rsidR="004B415C" w:rsidRPr="007F6290" w:rsidRDefault="004B415C" w:rsidP="004B415C">
      <w:pPr>
        <w:ind w:left="567" w:hanging="283"/>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2.</w:t>
      </w:r>
      <w:r w:rsidRPr="007F6290">
        <w:rPr>
          <w:rFonts w:eastAsia="Aptos" w:cs="Arial"/>
          <w:kern w:val="2"/>
          <w:sz w:val="20"/>
          <w:szCs w:val="20"/>
          <w:u w:val="single"/>
          <w14:ligatures w14:val="standardContextual"/>
        </w:rPr>
        <w:tab/>
        <w:t xml:space="preserve">Re-run MP  </w:t>
      </w:r>
    </w:p>
    <w:p w14:paraId="65C911B7" w14:textId="77777777" w:rsidR="004B415C" w:rsidRPr="007F6290" w:rsidRDefault="004B415C" w:rsidP="004B415C">
      <w:pPr>
        <w:ind w:firstLine="284"/>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3.   Same checks as conducted in Years 1 &amp; 2 </w:t>
      </w:r>
    </w:p>
    <w:p w14:paraId="6DB97B7C" w14:textId="77777777" w:rsidR="004B415C" w:rsidRPr="007F6290" w:rsidRDefault="004B415C" w:rsidP="004B415C">
      <w:pPr>
        <w:rPr>
          <w:rFonts w:eastAsia="Aptos" w:cs="Arial"/>
          <w:kern w:val="2"/>
          <w:szCs w:val="20"/>
          <w:u w:val="single"/>
          <w14:ligatures w14:val="standardContextual"/>
        </w:rPr>
      </w:pPr>
    </w:p>
    <w:p w14:paraId="48F062C3" w14:textId="77777777" w:rsidR="003C72F9" w:rsidRPr="007F6290" w:rsidRDefault="003C72F9" w:rsidP="003C72F9">
      <w:pPr>
        <w:widowControl/>
        <w:rPr>
          <w:rFonts w:eastAsia="Aptos" w:cs="Arial"/>
          <w:kern w:val="2"/>
          <w:sz w:val="20"/>
          <w:szCs w:val="20"/>
          <w:u w:val="single"/>
          <w14:ligatures w14:val="standardContextual"/>
        </w:rPr>
      </w:pPr>
    </w:p>
    <w:tbl>
      <w:tblPr>
        <w:tblpPr w:leftFromText="180" w:rightFromText="180" w:vertAnchor="text" w:horzAnchor="page" w:tblpX="1777" w:tblpY="21"/>
        <w:tblW w:w="1805" w:type="dxa"/>
        <w:tblCellMar>
          <w:top w:w="106" w:type="dxa"/>
          <w:left w:w="149" w:type="dxa"/>
          <w:right w:w="115" w:type="dxa"/>
        </w:tblCellMar>
        <w:tblLook w:val="04A0" w:firstRow="1" w:lastRow="0" w:firstColumn="1" w:lastColumn="0" w:noHBand="0" w:noVBand="1"/>
      </w:tblPr>
      <w:tblGrid>
        <w:gridCol w:w="1805"/>
      </w:tblGrid>
      <w:tr w:rsidR="003C72F9" w:rsidRPr="007F6290" w14:paraId="16265EDF" w14:textId="77777777" w:rsidTr="000A738A">
        <w:trPr>
          <w:trHeight w:val="365"/>
        </w:trPr>
        <w:tc>
          <w:tcPr>
            <w:tcW w:w="1805" w:type="dxa"/>
            <w:tcBorders>
              <w:top w:val="single" w:sz="4" w:space="0" w:color="000000"/>
              <w:left w:val="single" w:sz="4" w:space="0" w:color="000000"/>
              <w:bottom w:val="single" w:sz="4" w:space="0" w:color="000000"/>
              <w:right w:val="single" w:sz="4" w:space="0" w:color="000000"/>
            </w:tcBorders>
          </w:tcPr>
          <w:p w14:paraId="4909C063" w14:textId="77777777" w:rsidR="003C72F9" w:rsidRPr="007F6290" w:rsidRDefault="003C72F9" w:rsidP="003C72F9">
            <w:pPr>
              <w:widowControl/>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If no ECs exist </w:t>
            </w:r>
          </w:p>
        </w:tc>
      </w:tr>
    </w:tbl>
    <w:tbl>
      <w:tblPr>
        <w:tblpPr w:leftFromText="180" w:rightFromText="180" w:vertAnchor="text" w:horzAnchor="page" w:tblpX="7861" w:tblpY="-15"/>
        <w:tblW w:w="1362" w:type="dxa"/>
        <w:tblCellMar>
          <w:top w:w="104" w:type="dxa"/>
          <w:left w:w="149" w:type="dxa"/>
          <w:right w:w="115" w:type="dxa"/>
        </w:tblCellMar>
        <w:tblLook w:val="04A0" w:firstRow="1" w:lastRow="0" w:firstColumn="1" w:lastColumn="0" w:noHBand="0" w:noVBand="1"/>
      </w:tblPr>
      <w:tblGrid>
        <w:gridCol w:w="1362"/>
      </w:tblGrid>
      <w:tr w:rsidR="003C72F9" w:rsidRPr="007F6290" w14:paraId="3115F054" w14:textId="77777777" w:rsidTr="000A738A">
        <w:trPr>
          <w:trHeight w:val="398"/>
        </w:trPr>
        <w:tc>
          <w:tcPr>
            <w:tcW w:w="1362" w:type="dxa"/>
            <w:tcBorders>
              <w:top w:val="single" w:sz="4" w:space="0" w:color="000000"/>
              <w:left w:val="single" w:sz="4" w:space="0" w:color="000000"/>
              <w:bottom w:val="single" w:sz="4" w:space="0" w:color="000000"/>
              <w:right w:val="single" w:sz="4" w:space="0" w:color="000000"/>
            </w:tcBorders>
          </w:tcPr>
          <w:p w14:paraId="591260BC" w14:textId="77777777" w:rsidR="003C72F9" w:rsidRPr="007F6290" w:rsidRDefault="003C72F9" w:rsidP="003C72F9">
            <w:pPr>
              <w:widowControl/>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If ECs exist </w:t>
            </w:r>
          </w:p>
        </w:tc>
      </w:tr>
    </w:tbl>
    <w:p w14:paraId="31B18CCD" w14:textId="77777777" w:rsidR="003C72F9" w:rsidRPr="007F6290" w:rsidDel="00FC226A" w:rsidRDefault="003C72F9" w:rsidP="003C72F9">
      <w:pPr>
        <w:widowControl/>
        <w:rPr>
          <w:rFonts w:eastAsia="Aptos" w:cs="Arial"/>
          <w:kern w:val="2"/>
          <w:sz w:val="20"/>
          <w:szCs w:val="20"/>
          <w:u w:val="single"/>
          <w14:ligatures w14:val="standardContextual"/>
        </w:rPr>
      </w:pPr>
      <w:r w:rsidRPr="007F6290">
        <w:rPr>
          <w:rFonts w:eastAsia="Aptos" w:cs="Arial"/>
          <w:noProof/>
          <w:kern w:val="2"/>
          <w:sz w:val="20"/>
          <w:szCs w:val="20"/>
          <w:u w:val="single"/>
          <w:lang w:val="es-ES"/>
          <w14:ligatures w14:val="standardContextual"/>
        </w:rPr>
        <mc:AlternateContent>
          <mc:Choice Requires="wpg">
            <w:drawing>
              <wp:anchor distT="0" distB="0" distL="114300" distR="114300" simplePos="0" relativeHeight="251661312" behindDoc="0" locked="0" layoutInCell="1" allowOverlap="1" wp14:anchorId="726A391F" wp14:editId="701E5EE2">
                <wp:simplePos x="0" y="0"/>
                <wp:positionH relativeFrom="column">
                  <wp:posOffset>3155950</wp:posOffset>
                </wp:positionH>
                <wp:positionV relativeFrom="paragraph">
                  <wp:posOffset>108116</wp:posOffset>
                </wp:positionV>
                <wp:extent cx="857885" cy="380365"/>
                <wp:effectExtent l="19050" t="0" r="18415" b="38735"/>
                <wp:wrapNone/>
                <wp:docPr id="937260055" name="Group 937260055"/>
                <wp:cNvGraphicFramePr/>
                <a:graphic xmlns:a="http://schemas.openxmlformats.org/drawingml/2006/main">
                  <a:graphicData uri="http://schemas.microsoft.com/office/word/2010/wordprocessingGroup">
                    <wpg:wgp>
                      <wpg:cNvGrpSpPr/>
                      <wpg:grpSpPr>
                        <a:xfrm>
                          <a:off x="0" y="0"/>
                          <a:ext cx="857885" cy="380365"/>
                          <a:chOff x="0" y="0"/>
                          <a:chExt cx="857885" cy="380365"/>
                        </a:xfrm>
                      </wpg:grpSpPr>
                      <wps:wsp>
                        <wps:cNvPr id="1000767047" name="Shape 2946"/>
                        <wps:cNvSpPr/>
                        <wps:spPr>
                          <a:xfrm>
                            <a:off x="0" y="0"/>
                            <a:ext cx="857885" cy="380365"/>
                          </a:xfrm>
                          <a:custGeom>
                            <a:avLst/>
                            <a:gdLst/>
                            <a:ahLst/>
                            <a:cxnLst/>
                            <a:rect l="0" t="0" r="0" b="0"/>
                            <a:pathLst>
                              <a:path w="857885" h="380365">
                                <a:moveTo>
                                  <a:pt x="47549" y="0"/>
                                </a:moveTo>
                                <a:lnTo>
                                  <a:pt x="857885" y="0"/>
                                </a:lnTo>
                                <a:lnTo>
                                  <a:pt x="857885" y="95085"/>
                                </a:lnTo>
                                <a:lnTo>
                                  <a:pt x="142634" y="95085"/>
                                </a:lnTo>
                                <a:lnTo>
                                  <a:pt x="142634" y="285267"/>
                                </a:lnTo>
                                <a:lnTo>
                                  <a:pt x="190182" y="285267"/>
                                </a:lnTo>
                                <a:lnTo>
                                  <a:pt x="95085" y="380365"/>
                                </a:lnTo>
                                <a:lnTo>
                                  <a:pt x="0" y="285267"/>
                                </a:lnTo>
                                <a:lnTo>
                                  <a:pt x="47549" y="285267"/>
                                </a:lnTo>
                                <a:lnTo>
                                  <a:pt x="47549" y="0"/>
                                </a:lnTo>
                                <a:close/>
                              </a:path>
                            </a:pathLst>
                          </a:custGeom>
                          <a:solidFill>
                            <a:srgbClr val="4F81BC"/>
                          </a:solidFill>
                          <a:ln w="0" cap="flat">
                            <a:noFill/>
                            <a:round/>
                          </a:ln>
                          <a:effectLst/>
                        </wps:spPr>
                        <wps:bodyPr/>
                      </wps:wsp>
                      <wps:wsp>
                        <wps:cNvPr id="1229611419" name="Shape 2947"/>
                        <wps:cNvSpPr/>
                        <wps:spPr>
                          <a:xfrm>
                            <a:off x="0" y="0"/>
                            <a:ext cx="857885" cy="380365"/>
                          </a:xfrm>
                          <a:custGeom>
                            <a:avLst/>
                            <a:gdLst/>
                            <a:ahLst/>
                            <a:cxnLst/>
                            <a:rect l="0" t="0" r="0" b="0"/>
                            <a:pathLst>
                              <a:path w="857885" h="380365">
                                <a:moveTo>
                                  <a:pt x="857885" y="95085"/>
                                </a:moveTo>
                                <a:lnTo>
                                  <a:pt x="142634" y="95085"/>
                                </a:lnTo>
                                <a:lnTo>
                                  <a:pt x="142634" y="285267"/>
                                </a:lnTo>
                                <a:lnTo>
                                  <a:pt x="190182" y="285267"/>
                                </a:lnTo>
                                <a:lnTo>
                                  <a:pt x="95085" y="380365"/>
                                </a:lnTo>
                                <a:lnTo>
                                  <a:pt x="0" y="285267"/>
                                </a:lnTo>
                                <a:lnTo>
                                  <a:pt x="47549" y="285267"/>
                                </a:lnTo>
                                <a:lnTo>
                                  <a:pt x="47549" y="0"/>
                                </a:lnTo>
                                <a:lnTo>
                                  <a:pt x="857885" y="0"/>
                                </a:lnTo>
                                <a:lnTo>
                                  <a:pt x="857885" y="95085"/>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241FE530" id="Group 937260055" o:spid="_x0000_s1026" style="position:absolute;margin-left:248.5pt;margin-top:8.5pt;width:67.55pt;height:29.95pt;z-index:251661312" coordsize="8578,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">
                <v:shape id="Shape 2946" o:spid="_x0000_s1027"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" path="m47549,l857885,r,95085l142634,95085r,190182l190182,285267,95085,380365,,285267r47549,l47549,xe" fillcolor="#4f81bc" stroked="f" strokeweight="0">
                  <v:path arrowok="t" textboxrect="0,0,857885,380365"/>
                </v:shape>
                <v:shape id="Shape 2947" o:spid="_x0000_s1028"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" path="m857885,95085r-715251,l142634,285267r47548,l95085,380365,,285267r47549,l47549,,857885,r,95085xe" filled="f" strokecolor="#385d89" strokeweight="2pt">
                  <v:stroke miterlimit="66585f" joinstyle="miter"/>
                  <v:path arrowok="t" textboxrect="0,0,857885,380365"/>
                </v:shape>
              </v:group>
            </w:pict>
          </mc:Fallback>
        </mc:AlternateContent>
      </w:r>
    </w:p>
    <w:p w14:paraId="0373567D" w14:textId="77777777" w:rsidR="003C72F9" w:rsidRPr="007F6290" w:rsidDel="00FC226A" w:rsidRDefault="003C72F9" w:rsidP="003C72F9">
      <w:pPr>
        <w:widowControl/>
        <w:rPr>
          <w:rFonts w:eastAsia="Aptos" w:cs="Arial"/>
          <w:kern w:val="2"/>
          <w:sz w:val="20"/>
          <w:szCs w:val="20"/>
          <w:u w:val="single"/>
          <w14:ligatures w14:val="standardContextual"/>
        </w:rPr>
      </w:pPr>
    </w:p>
    <w:p w14:paraId="7AC9ADDB" w14:textId="77777777" w:rsidR="003C72F9" w:rsidRPr="007F6290" w:rsidRDefault="003C72F9" w:rsidP="003C72F9">
      <w:pPr>
        <w:widowControl/>
        <w:rPr>
          <w:rFonts w:eastAsia="Aptos" w:cs="Arial"/>
          <w:kern w:val="2"/>
          <w:sz w:val="20"/>
          <w:szCs w:val="20"/>
          <w:u w:val="single"/>
          <w14:ligatures w14:val="standardContextual"/>
        </w:rPr>
      </w:pPr>
      <w:r w:rsidRPr="007F6290">
        <w:rPr>
          <w:rFonts w:eastAsia="Aptos" w:cs="Arial"/>
          <w:noProof/>
          <w:kern w:val="2"/>
          <w:sz w:val="20"/>
          <w:szCs w:val="20"/>
          <w:u w:val="single"/>
          <w:lang w:val="es-ES"/>
          <w14:ligatures w14:val="standardContextual"/>
        </w:rPr>
        <mc:AlternateContent>
          <mc:Choice Requires="wpg">
            <w:drawing>
              <wp:anchor distT="0" distB="0" distL="114300" distR="114300" simplePos="0" relativeHeight="251660288" behindDoc="0" locked="0" layoutInCell="1" allowOverlap="1" wp14:anchorId="582AF16C" wp14:editId="027C96AD">
                <wp:simplePos x="0" y="0"/>
                <wp:positionH relativeFrom="column">
                  <wp:posOffset>704491</wp:posOffset>
                </wp:positionH>
                <wp:positionV relativeFrom="paragraph">
                  <wp:posOffset>125730</wp:posOffset>
                </wp:positionV>
                <wp:extent cx="260350" cy="152400"/>
                <wp:effectExtent l="19050" t="0" r="25400" b="38100"/>
                <wp:wrapNone/>
                <wp:docPr id="1705696144" name="Group 1705696144"/>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2121470196" name="Shape 2948"/>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792582824" name="Shape 2949"/>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56F5E53E" id="Group 1705696144" o:spid="_x0000_s1026" style="position:absolute;margin-left:55.45pt;margin-top:9.9pt;width:20.5pt;height:12pt;z-index:251660288"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">
                <v:shape id="Shape 2948"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" path="m65088,l195263,r,76200l260350,76200,130175,152400,,76200r65088,l65088,xe" fillcolor="#4f81bc" stroked="f" strokeweight="0">
                  <v:stroke miterlimit="66585f" joinstyle="miter"/>
                  <v:path arrowok="t" textboxrect="0,0,260350,152400"/>
                </v:shape>
                <v:shape id="Shape 2949"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r w:rsidRPr="007F6290">
        <w:rPr>
          <w:rFonts w:eastAsia="Aptos" w:cs="Arial"/>
          <w:noProof/>
          <w:kern w:val="2"/>
          <w:sz w:val="20"/>
          <w:szCs w:val="20"/>
          <w:u w:val="single"/>
          <w:lang w:val="es-ES"/>
          <w14:ligatures w14:val="standardContextual"/>
        </w:rPr>
        <mc:AlternateContent>
          <mc:Choice Requires="wpg">
            <w:drawing>
              <wp:anchor distT="0" distB="0" distL="114300" distR="114300" simplePos="0" relativeHeight="251659264" behindDoc="0" locked="0" layoutInCell="1" allowOverlap="1" wp14:anchorId="00AD278B" wp14:editId="0DD2B7EC">
                <wp:simplePos x="0" y="0"/>
                <wp:positionH relativeFrom="column">
                  <wp:posOffset>4657090</wp:posOffset>
                </wp:positionH>
                <wp:positionV relativeFrom="paragraph">
                  <wp:posOffset>134454</wp:posOffset>
                </wp:positionV>
                <wp:extent cx="260350" cy="152400"/>
                <wp:effectExtent l="19050" t="0" r="25400" b="38100"/>
                <wp:wrapNone/>
                <wp:docPr id="1933944999" name="Group 1933944999"/>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397095103" name="Shape 2894"/>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round/>
                          </a:ln>
                          <a:effectLst/>
                        </wps:spPr>
                        <wps:bodyPr/>
                      </wps:wsp>
                      <wps:wsp>
                        <wps:cNvPr id="375644985" name="Shape 2895"/>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67735710" id="Group 1933944999" o:spid="_x0000_s1026" style="position:absolute;margin-left:366.7pt;margin-top:10.6pt;width:20.5pt;height:12pt;z-index:251659264"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">
                <v:shape id="Shape 2894"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" path="m65088,l195263,r,76200l260350,76200,130175,152400,,76200r65088,l65088,xe" fillcolor="#4f81bc" stroked="f" strokeweight="0">
                  <v:path arrowok="t" textboxrect="0,0,260350,152400"/>
                </v:shape>
                <v:shape id="Shape 2895"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p>
    <w:p w14:paraId="261FB075" w14:textId="77777777" w:rsidR="003C72F9" w:rsidRPr="007F6290" w:rsidRDefault="003C72F9" w:rsidP="003C72F9">
      <w:pPr>
        <w:widowControl/>
        <w:rPr>
          <w:rFonts w:eastAsia="Aptos" w:cs="Arial"/>
          <w:kern w:val="2"/>
          <w:sz w:val="20"/>
          <w:szCs w:val="20"/>
          <w:u w:val="single"/>
          <w14:ligatures w14:val="standardContextual"/>
        </w:rPr>
      </w:pPr>
      <w:r w:rsidRPr="007F6290">
        <w:rPr>
          <w:rFonts w:eastAsia="Aptos" w:cs="Arial"/>
          <w:noProof/>
          <w:kern w:val="2"/>
          <w:sz w:val="20"/>
          <w:szCs w:val="20"/>
          <w:u w:val="single"/>
          <w:lang w:val="es-ES"/>
          <w14:ligatures w14:val="standardContextual"/>
        </w:rPr>
        <mc:AlternateContent>
          <mc:Choice Requires="wpg">
            <w:drawing>
              <wp:anchor distT="0" distB="0" distL="114300" distR="114300" simplePos="0" relativeHeight="251663360" behindDoc="1" locked="0" layoutInCell="1" allowOverlap="1" wp14:anchorId="67E69A97" wp14:editId="14C572F9">
                <wp:simplePos x="0" y="0"/>
                <wp:positionH relativeFrom="column">
                  <wp:posOffset>1687887</wp:posOffset>
                </wp:positionH>
                <wp:positionV relativeFrom="paragraph">
                  <wp:posOffset>508635</wp:posOffset>
                </wp:positionV>
                <wp:extent cx="224790" cy="203835"/>
                <wp:effectExtent l="19050" t="19050" r="22860" b="43815"/>
                <wp:wrapTight wrapText="bothSides">
                  <wp:wrapPolygon edited="0">
                    <wp:start x="3661" y="-2019"/>
                    <wp:lineTo x="-1831" y="0"/>
                    <wp:lineTo x="-1831" y="12112"/>
                    <wp:lineTo x="5492" y="24224"/>
                    <wp:lineTo x="14644" y="24224"/>
                    <wp:lineTo x="21966" y="16150"/>
                    <wp:lineTo x="21966" y="0"/>
                    <wp:lineTo x="14644" y="-2019"/>
                    <wp:lineTo x="3661" y="-2019"/>
                  </wp:wrapPolygon>
                </wp:wrapTight>
                <wp:docPr id="554851927" name="Group 554851927"/>
                <wp:cNvGraphicFramePr/>
                <a:graphic xmlns:a="http://schemas.openxmlformats.org/drawingml/2006/main">
                  <a:graphicData uri="http://schemas.microsoft.com/office/word/2010/wordprocessingGroup">
                    <wpg:wgp>
                      <wpg:cNvGrpSpPr/>
                      <wpg:grpSpPr>
                        <a:xfrm>
                          <a:off x="0" y="0"/>
                          <a:ext cx="224790" cy="203835"/>
                          <a:chOff x="0" y="0"/>
                          <a:chExt cx="224790" cy="203836"/>
                        </a:xfrm>
                      </wpg:grpSpPr>
                      <wps:wsp>
                        <wps:cNvPr id="1285818901" name="Shape 2954"/>
                        <wps:cNvSpPr/>
                        <wps:spPr>
                          <a:xfrm>
                            <a:off x="0" y="0"/>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solidFill>
                            <a:srgbClr val="4F81BC"/>
                          </a:solidFill>
                          <a:ln w="0" cap="flat">
                            <a:noFill/>
                            <a:miter lim="101600"/>
                          </a:ln>
                          <a:effectLst/>
                        </wps:spPr>
                        <wps:bodyPr/>
                      </wps:wsp>
                      <wps:wsp>
                        <wps:cNvPr id="911015466" name="Shape 2955"/>
                        <wps:cNvSpPr/>
                        <wps:spPr>
                          <a:xfrm>
                            <a:off x="0" y="1"/>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47042837" id="Group 554851927" o:spid="_x0000_s1026" style="position:absolute;margin-left:132.9pt;margin-top:40.05pt;width:17.7pt;height:16.05pt;z-index:-251653120;mso-width-relative:margin;mso-height-relative:margin" coordsize="224790,20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">
                <v:shape id="Shape 2954" o:spid="_x0000_s1027" style="position:absolute;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" path="m101917,r,50965l224790,50965r,101918l101917,152883r,50952l,101917,101917,xe" fillcolor="#4f81bc" stroked="f" strokeweight="0">
                  <v:stroke miterlimit="66585f" joinstyle="miter"/>
                  <v:path arrowok="t" textboxrect="0,0,224790,203835"/>
                </v:shape>
                <v:shape id="Shape 2955" o:spid="_x0000_s1028" style="position:absolute;top:1;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" path="m101917,r,50965l224790,50965r,101918l101917,152883r,50952l,101917,101917,xe" filled="f" strokecolor="#385d89" strokeweight="2pt">
                  <v:stroke miterlimit="66585f" joinstyle="miter"/>
                  <v:path arrowok="t" textboxrect="0,0,224790,203835"/>
                </v:shape>
                <w10:wrap type="tight"/>
              </v:group>
            </w:pict>
          </mc:Fallback>
        </mc:AlternateContent>
      </w:r>
      <w:r w:rsidRPr="007F6290">
        <w:rPr>
          <w:rFonts w:eastAsia="Aptos" w:cs="Arial"/>
          <w:kern w:val="2"/>
          <w:sz w:val="20"/>
          <w:szCs w:val="20"/>
          <w:u w:val="single"/>
          <w14:ligatures w14:val="standardContextual"/>
        </w:rPr>
        <w:t xml:space="preserve"> </w:t>
      </w:r>
    </w:p>
    <w:tbl>
      <w:tblPr>
        <w:tblpPr w:leftFromText="180" w:rightFromText="180" w:vertAnchor="text" w:horzAnchor="margin" w:tblpXSpec="right" w:tblpY="64"/>
        <w:tblW w:w="2938" w:type="dxa"/>
        <w:tblCellMar>
          <w:left w:w="149" w:type="dxa"/>
          <w:right w:w="105" w:type="dxa"/>
        </w:tblCellMar>
        <w:tblLook w:val="04A0" w:firstRow="1" w:lastRow="0" w:firstColumn="1" w:lastColumn="0" w:noHBand="0" w:noVBand="1"/>
      </w:tblPr>
      <w:tblGrid>
        <w:gridCol w:w="2938"/>
      </w:tblGrid>
      <w:tr w:rsidR="003C72F9" w:rsidRPr="007F6290" w14:paraId="192AE68B" w14:textId="77777777" w:rsidTr="000A738A">
        <w:trPr>
          <w:trHeight w:val="1589"/>
        </w:trPr>
        <w:tc>
          <w:tcPr>
            <w:tcW w:w="2938" w:type="dxa"/>
            <w:tcBorders>
              <w:top w:val="single" w:sz="4" w:space="0" w:color="000000"/>
              <w:left w:val="single" w:sz="4" w:space="0" w:color="000000"/>
              <w:bottom w:val="single" w:sz="4" w:space="0" w:color="000000"/>
              <w:right w:val="single" w:sz="4" w:space="0" w:color="000000"/>
            </w:tcBorders>
            <w:vAlign w:val="center"/>
          </w:tcPr>
          <w:p w14:paraId="28C142C2" w14:textId="77777777" w:rsidR="003C72F9" w:rsidRPr="007F6290" w:rsidRDefault="003C72F9" w:rsidP="003C72F9">
            <w:pPr>
              <w:widowControl/>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SCRS determines that EC precludes the application of the MP or makes the application of the MP or the implementation of its results (i.e., TAC) unadvisable.  </w:t>
            </w:r>
          </w:p>
        </w:tc>
      </w:tr>
    </w:tbl>
    <w:tbl>
      <w:tblPr>
        <w:tblpPr w:leftFromText="180" w:rightFromText="180" w:vertAnchor="text" w:horzAnchor="margin" w:tblpXSpec="center" w:tblpY="64"/>
        <w:tblW w:w="2790" w:type="dxa"/>
        <w:tblCellMar>
          <w:top w:w="110" w:type="dxa"/>
          <w:left w:w="150" w:type="dxa"/>
          <w:right w:w="105" w:type="dxa"/>
        </w:tblCellMar>
        <w:tblLook w:val="04A0" w:firstRow="1" w:lastRow="0" w:firstColumn="1" w:lastColumn="0" w:noHBand="0" w:noVBand="1"/>
      </w:tblPr>
      <w:tblGrid>
        <w:gridCol w:w="2790"/>
      </w:tblGrid>
      <w:tr w:rsidR="003C72F9" w:rsidRPr="007F6290" w14:paraId="7ACF6D24" w14:textId="77777777" w:rsidTr="000A738A">
        <w:trPr>
          <w:trHeight w:val="1331"/>
        </w:trPr>
        <w:tc>
          <w:tcPr>
            <w:tcW w:w="2790" w:type="dxa"/>
            <w:tcBorders>
              <w:top w:val="single" w:sz="4" w:space="0" w:color="000000"/>
              <w:left w:val="single" w:sz="4" w:space="0" w:color="000000"/>
              <w:bottom w:val="single" w:sz="4" w:space="0" w:color="000000"/>
              <w:right w:val="single" w:sz="4" w:space="0" w:color="000000"/>
            </w:tcBorders>
          </w:tcPr>
          <w:p w14:paraId="1DDB22B6" w14:textId="77777777" w:rsidR="003C72F9" w:rsidRPr="007F6290" w:rsidRDefault="003C72F9" w:rsidP="003C72F9">
            <w:pPr>
              <w:widowControl/>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SCRS determines that ECs do not preclude the application of</w:t>
            </w:r>
            <w:r w:rsidRPr="007F6290">
              <w:rPr>
                <w:rFonts w:eastAsia="Aptos" w:cs="Arial"/>
                <w:b/>
                <w:kern w:val="2"/>
                <w:sz w:val="20"/>
                <w:szCs w:val="20"/>
                <w:u w:val="single"/>
                <w14:ligatures w14:val="standardContextual"/>
              </w:rPr>
              <w:t xml:space="preserve"> </w:t>
            </w:r>
            <w:r w:rsidRPr="007F6290">
              <w:rPr>
                <w:rFonts w:eastAsia="Aptos" w:cs="Arial"/>
                <w:b/>
                <w:kern w:val="2"/>
                <w:sz w:val="20"/>
                <w:szCs w:val="20"/>
                <w:u w:val="single"/>
                <w14:ligatures w14:val="standardContextual"/>
              </w:rPr>
              <w:tab/>
            </w:r>
            <w:r w:rsidRPr="007F6290">
              <w:rPr>
                <w:rFonts w:eastAsia="Aptos" w:cs="Arial"/>
                <w:kern w:val="2"/>
                <w:sz w:val="20"/>
                <w:szCs w:val="20"/>
                <w:u w:val="single"/>
                <w14:ligatures w14:val="standardContextual"/>
              </w:rPr>
              <w:t xml:space="preserve">the </w:t>
            </w:r>
            <w:r w:rsidRPr="007F6290">
              <w:rPr>
                <w:rFonts w:eastAsia="Aptos" w:cs="Arial"/>
                <w:kern w:val="2"/>
                <w:sz w:val="20"/>
                <w:szCs w:val="20"/>
                <w:u w:val="single"/>
                <w14:ligatures w14:val="standardContextual"/>
              </w:rPr>
              <w:tab/>
              <w:t xml:space="preserve">MP </w:t>
            </w:r>
            <w:r w:rsidRPr="007F6290">
              <w:rPr>
                <w:rFonts w:eastAsia="Aptos" w:cs="Arial"/>
                <w:kern w:val="2"/>
                <w:sz w:val="20"/>
                <w:szCs w:val="20"/>
                <w:u w:val="single"/>
                <w14:ligatures w14:val="standardContextual"/>
              </w:rPr>
              <w:tab/>
              <w:t>and implementation of its results</w:t>
            </w:r>
            <w:r w:rsidRPr="007F6290">
              <w:rPr>
                <w:rFonts w:eastAsia="Aptos" w:cs="Arial"/>
                <w:b/>
                <w:kern w:val="2"/>
                <w:sz w:val="20"/>
                <w:szCs w:val="20"/>
                <w:u w:val="single"/>
                <w14:ligatures w14:val="standardContextual"/>
              </w:rPr>
              <w:t xml:space="preserve"> </w:t>
            </w:r>
            <w:r w:rsidRPr="007F6290">
              <w:rPr>
                <w:rFonts w:eastAsia="Aptos" w:cs="Arial"/>
                <w:kern w:val="2"/>
                <w:sz w:val="20"/>
                <w:szCs w:val="20"/>
                <w:u w:val="single"/>
                <w14:ligatures w14:val="standardContextual"/>
              </w:rPr>
              <w:t xml:space="preserve">(i.e., TAC). </w:t>
            </w:r>
          </w:p>
        </w:tc>
      </w:tr>
    </w:tbl>
    <w:tbl>
      <w:tblPr>
        <w:tblpPr w:leftFromText="180" w:rightFromText="180" w:vertAnchor="text" w:horzAnchor="margin" w:tblpY="88"/>
        <w:tblW w:w="2547" w:type="dxa"/>
        <w:tblCellMar>
          <w:left w:w="149" w:type="dxa"/>
          <w:right w:w="115" w:type="dxa"/>
        </w:tblCellMar>
        <w:tblLook w:val="04A0" w:firstRow="1" w:lastRow="0" w:firstColumn="1" w:lastColumn="0" w:noHBand="0" w:noVBand="1"/>
      </w:tblPr>
      <w:tblGrid>
        <w:gridCol w:w="2547"/>
      </w:tblGrid>
      <w:tr w:rsidR="003C72F9" w:rsidRPr="007F6290" w14:paraId="0D877403" w14:textId="77777777" w:rsidTr="000A738A">
        <w:trPr>
          <w:trHeight w:val="1838"/>
        </w:trPr>
        <w:tc>
          <w:tcPr>
            <w:tcW w:w="2547" w:type="dxa"/>
            <w:tcBorders>
              <w:top w:val="single" w:sz="4" w:space="0" w:color="000000"/>
              <w:left w:val="single" w:sz="4" w:space="0" w:color="000000"/>
              <w:bottom w:val="single" w:sz="4" w:space="0" w:color="000000"/>
              <w:right w:val="single" w:sz="4" w:space="0" w:color="000000"/>
            </w:tcBorders>
            <w:vAlign w:val="center"/>
          </w:tcPr>
          <w:p w14:paraId="029AF3CB" w14:textId="77777777" w:rsidR="003C72F9" w:rsidRPr="007F6290" w:rsidRDefault="003C72F9" w:rsidP="003C72F9">
            <w:pPr>
              <w:widowControl/>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The TACs calculated by the MP continues to be valid (in years 1-3) and the MP continues to be applied in year 3 to calculate the TACs for the next three-year management period. </w:t>
            </w:r>
          </w:p>
        </w:tc>
      </w:tr>
    </w:tbl>
    <w:p w14:paraId="207A5296" w14:textId="77777777" w:rsidR="003C72F9" w:rsidRPr="007F6290" w:rsidRDefault="003C72F9" w:rsidP="003C72F9">
      <w:pPr>
        <w:widowControl/>
        <w:rPr>
          <w:rFonts w:eastAsia="Aptos" w:cs="Arial"/>
          <w:kern w:val="2"/>
          <w:sz w:val="20"/>
          <w:szCs w:val="20"/>
          <w:u w:val="single"/>
          <w14:ligatures w14:val="standardContextual"/>
        </w:rPr>
      </w:pPr>
    </w:p>
    <w:p w14:paraId="0FBF1784" w14:textId="77777777" w:rsidR="003C72F9" w:rsidRPr="007F6290" w:rsidRDefault="003C72F9" w:rsidP="003C72F9">
      <w:pPr>
        <w:widowControl/>
        <w:rPr>
          <w:rFonts w:eastAsia="Aptos" w:cs="Arial"/>
          <w:kern w:val="2"/>
          <w:sz w:val="20"/>
          <w:szCs w:val="20"/>
          <w:u w:val="single"/>
          <w14:ligatures w14:val="standardContextual"/>
        </w:rPr>
      </w:pPr>
      <w:r w:rsidRPr="007F6290">
        <w:rPr>
          <w:rFonts w:eastAsia="Aptos" w:cs="Arial"/>
          <w:noProof/>
          <w:kern w:val="2"/>
          <w:sz w:val="20"/>
          <w:szCs w:val="20"/>
          <w:u w:val="single"/>
          <w:lang w:val="es-ES"/>
          <w14:ligatures w14:val="standardContextual"/>
        </w:rPr>
        <mc:AlternateContent>
          <mc:Choice Requires="wpg">
            <w:drawing>
              <wp:anchor distT="0" distB="0" distL="114300" distR="114300" simplePos="0" relativeHeight="251662336" behindDoc="0" locked="0" layoutInCell="1" allowOverlap="1" wp14:anchorId="75D87785" wp14:editId="0C6E2AF2">
                <wp:simplePos x="0" y="0"/>
                <wp:positionH relativeFrom="column">
                  <wp:posOffset>4706075</wp:posOffset>
                </wp:positionH>
                <wp:positionV relativeFrom="paragraph">
                  <wp:posOffset>67491</wp:posOffset>
                </wp:positionV>
                <wp:extent cx="260350" cy="361666"/>
                <wp:effectExtent l="19050" t="0" r="25400" b="38735"/>
                <wp:wrapNone/>
                <wp:docPr id="253633914" name="Group 253633914"/>
                <wp:cNvGraphicFramePr/>
                <a:graphic xmlns:a="http://schemas.openxmlformats.org/drawingml/2006/main">
                  <a:graphicData uri="http://schemas.microsoft.com/office/word/2010/wordprocessingGroup">
                    <wpg:wgp>
                      <wpg:cNvGrpSpPr/>
                      <wpg:grpSpPr>
                        <a:xfrm>
                          <a:off x="0" y="0"/>
                          <a:ext cx="260350" cy="361666"/>
                          <a:chOff x="0" y="0"/>
                          <a:chExt cx="260350" cy="152400"/>
                        </a:xfrm>
                      </wpg:grpSpPr>
                      <wps:wsp>
                        <wps:cNvPr id="1974054369" name="Shape 2950"/>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845551111" name="Shape 2951"/>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2908105C" id="Group 253633914" o:spid="_x0000_s1026" style="position:absolute;margin-left:370.55pt;margin-top:5.3pt;width:20.5pt;height:28.5pt;z-index:251662336;mso-width-relative:margin;mso-height-relative:margin"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">
                <v:shape id="Shape 2950"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" path="m65088,l195263,r,76200l260350,76200,130175,152400,,76200r65088,l65088,xe" fillcolor="#4f81bc" stroked="f" strokeweight="0">
                  <v:stroke miterlimit="66585f" joinstyle="miter"/>
                  <v:path arrowok="t" textboxrect="0,0,260350,152400"/>
                </v:shape>
                <v:shape id="Shape 2951"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" path="m,76200r65088,l65088,,195263,r,76200l260350,76200,130175,152400,,76200xe" filled="f" strokecolor="#385d89" strokeweight="2pt">
                  <v:stroke miterlimit="66585f" joinstyle="miter"/>
                  <v:path arrowok="t" textboxrect="0,0,260350,152400"/>
                </v:shape>
              </v:group>
            </w:pict>
          </mc:Fallback>
        </mc:AlternateContent>
      </w:r>
    </w:p>
    <w:p w14:paraId="30F5E052" w14:textId="77777777" w:rsidR="003C72F9" w:rsidRPr="007F6290" w:rsidRDefault="003C72F9" w:rsidP="003C72F9">
      <w:pPr>
        <w:widowControl/>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 </w:t>
      </w:r>
    </w:p>
    <w:p w14:paraId="63AB7A8F" w14:textId="77777777" w:rsidR="003C72F9" w:rsidRPr="007F6290" w:rsidRDefault="003C72F9" w:rsidP="003C72F9">
      <w:pPr>
        <w:widowControl/>
        <w:jc w:val="both"/>
        <w:rPr>
          <w:rFonts w:eastAsia="Aptos" w:cs="Arial"/>
          <w:kern w:val="2"/>
          <w:sz w:val="20"/>
          <w:szCs w:val="20"/>
          <w:u w:val="single"/>
          <w14:ligatures w14:val="standardContextual"/>
        </w:rPr>
      </w:pPr>
    </w:p>
    <w:p w14:paraId="4489B8CF" w14:textId="77777777" w:rsidR="003C72F9" w:rsidRPr="007F6290" w:rsidRDefault="003C72F9" w:rsidP="003C72F9">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The SCRS shall advise the Commission on: </w:t>
      </w:r>
    </w:p>
    <w:p w14:paraId="7283B683" w14:textId="77777777" w:rsidR="003C72F9" w:rsidRPr="007F6290" w:rsidRDefault="003C72F9" w:rsidP="003C72F9">
      <w:pPr>
        <w:widowControl/>
        <w:jc w:val="both"/>
        <w:rPr>
          <w:rFonts w:eastAsia="Aptos" w:cs="Arial"/>
          <w:kern w:val="2"/>
          <w:sz w:val="20"/>
          <w:szCs w:val="20"/>
          <w:u w:val="single"/>
          <w14:ligatures w14:val="standardContextual"/>
        </w:rPr>
      </w:pPr>
    </w:p>
    <w:p w14:paraId="41FDAD36" w14:textId="77777777" w:rsidR="003C72F9" w:rsidRPr="007F6290" w:rsidRDefault="003C72F9" w:rsidP="00B07CD4">
      <w:pPr>
        <w:widowControl/>
        <w:numPr>
          <w:ilvl w:val="0"/>
          <w:numId w:val="6"/>
        </w:numPr>
        <w:tabs>
          <w:tab w:val="left" w:pos="851"/>
        </w:tabs>
        <w:spacing w:after="5" w:line="249" w:lineRule="auto"/>
        <w:ind w:left="567" w:right="47"/>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Additional research which may bring more clarity on whether it is necessary to divert from the current MP revision schedule and </w:t>
      </w:r>
      <w:proofErr w:type="gramStart"/>
      <w:r w:rsidRPr="007F6290">
        <w:rPr>
          <w:rFonts w:eastAsia="Aptos" w:cs="Arial"/>
          <w:kern w:val="2"/>
          <w:sz w:val="20"/>
          <w:szCs w:val="20"/>
          <w:u w:val="single"/>
          <w14:ligatures w14:val="standardContextual"/>
        </w:rPr>
        <w:t>TAC;</w:t>
      </w:r>
      <w:proofErr w:type="gramEnd"/>
    </w:p>
    <w:p w14:paraId="3BEAC091" w14:textId="77777777" w:rsidR="003C72F9" w:rsidRPr="007F6290" w:rsidRDefault="003C72F9" w:rsidP="003C72F9">
      <w:pPr>
        <w:widowControl/>
        <w:ind w:left="567"/>
        <w:jc w:val="both"/>
        <w:rPr>
          <w:rFonts w:eastAsia="Aptos" w:cs="Arial"/>
          <w:kern w:val="2"/>
          <w:sz w:val="20"/>
          <w:szCs w:val="20"/>
          <w:u w:val="single"/>
          <w14:ligatures w14:val="standardContextual"/>
        </w:rPr>
      </w:pPr>
    </w:p>
    <w:p w14:paraId="37EA4D3F" w14:textId="77777777" w:rsidR="003C72F9" w:rsidRPr="007F6290" w:rsidRDefault="003C72F9" w:rsidP="00B07CD4">
      <w:pPr>
        <w:widowControl/>
        <w:numPr>
          <w:ilvl w:val="0"/>
          <w:numId w:val="6"/>
        </w:numPr>
        <w:tabs>
          <w:tab w:val="left" w:pos="851"/>
        </w:tabs>
        <w:spacing w:after="5" w:line="249" w:lineRule="auto"/>
        <w:ind w:left="567" w:right="47"/>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Alternative management options for the coming fishing year aimed at ensuring, at a minimum, stability in the stock status, including the implications of: (i) maintaining the TAC decided through the MP, (ii) reducing the TAC in light of indications of stock decline, (iii) increasing the TAC in light of indications of stock increase that was not considered plausible during the MSE testing, and (iv) any other appropriate conservation and management actions;</w:t>
      </w:r>
    </w:p>
    <w:p w14:paraId="32A24A2C" w14:textId="77777777" w:rsidR="003C72F9" w:rsidRPr="007F6290" w:rsidRDefault="003C72F9" w:rsidP="003C72F9">
      <w:pPr>
        <w:widowControl/>
        <w:ind w:left="567"/>
        <w:jc w:val="both"/>
        <w:rPr>
          <w:rFonts w:eastAsia="Aptos" w:cs="Arial"/>
          <w:kern w:val="2"/>
          <w:sz w:val="20"/>
          <w:szCs w:val="20"/>
          <w:u w:val="single"/>
          <w14:ligatures w14:val="standardContextual"/>
        </w:rPr>
      </w:pPr>
    </w:p>
    <w:p w14:paraId="17043D1F" w14:textId="77777777" w:rsidR="003C72F9" w:rsidRPr="007F6290" w:rsidRDefault="003C72F9" w:rsidP="00B07CD4">
      <w:pPr>
        <w:widowControl/>
        <w:numPr>
          <w:ilvl w:val="0"/>
          <w:numId w:val="6"/>
        </w:numPr>
        <w:tabs>
          <w:tab w:val="left" w:pos="851"/>
        </w:tabs>
        <w:spacing w:after="5" w:line="249" w:lineRule="auto"/>
        <w:ind w:left="567" w:right="47"/>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Whether the existing MP should be slightly adjusted or whether development of a new MP is required; and </w:t>
      </w:r>
    </w:p>
    <w:p w14:paraId="18A99E83" w14:textId="77777777" w:rsidR="003C72F9" w:rsidRPr="007F6290" w:rsidRDefault="003C72F9" w:rsidP="003C72F9">
      <w:pPr>
        <w:widowControl/>
        <w:ind w:left="567"/>
        <w:jc w:val="both"/>
        <w:rPr>
          <w:rFonts w:eastAsia="Aptos" w:cs="Arial"/>
          <w:kern w:val="2"/>
          <w:sz w:val="20"/>
          <w:szCs w:val="20"/>
          <w:u w:val="single"/>
          <w14:ligatures w14:val="standardContextual"/>
        </w:rPr>
      </w:pPr>
    </w:p>
    <w:p w14:paraId="3E32CFAC" w14:textId="77777777" w:rsidR="003C72F9" w:rsidRPr="007F6290" w:rsidRDefault="003C72F9" w:rsidP="00B07CD4">
      <w:pPr>
        <w:widowControl/>
        <w:numPr>
          <w:ilvl w:val="0"/>
          <w:numId w:val="6"/>
        </w:numPr>
        <w:tabs>
          <w:tab w:val="left" w:pos="851"/>
        </w:tabs>
        <w:spacing w:after="5" w:line="249" w:lineRule="auto"/>
        <w:ind w:left="567" w:right="47"/>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 xml:space="preserve">Whether a stock assessment or other SCRS-approved method of determining TACs is needed for providing management advice in the interim while a revised MP is developed. </w:t>
      </w:r>
    </w:p>
    <w:p w14:paraId="3E55C949" w14:textId="77777777" w:rsidR="003C72F9" w:rsidRPr="007F6290" w:rsidRDefault="003C72F9" w:rsidP="003C72F9">
      <w:pPr>
        <w:widowControl/>
        <w:jc w:val="both"/>
        <w:rPr>
          <w:rFonts w:eastAsia="Aptos" w:cs="Arial"/>
          <w:kern w:val="2"/>
          <w:sz w:val="20"/>
          <w:szCs w:val="20"/>
          <w:u w:val="single"/>
          <w14:ligatures w14:val="standardContextual"/>
        </w:rPr>
      </w:pPr>
    </w:p>
    <w:p w14:paraId="7C17BA27" w14:textId="77777777" w:rsidR="003C72F9" w:rsidRPr="00B07CD4" w:rsidRDefault="003C72F9" w:rsidP="003C72F9">
      <w:pPr>
        <w:widowControl/>
        <w:jc w:val="both"/>
        <w:rPr>
          <w:rFonts w:eastAsia="Aptos" w:cs="Arial"/>
          <w:kern w:val="2"/>
          <w:sz w:val="20"/>
          <w:szCs w:val="20"/>
          <w:u w:val="single"/>
          <w14:ligatures w14:val="standardContextual"/>
        </w:rPr>
      </w:pPr>
      <w:r w:rsidRPr="007F6290">
        <w:rPr>
          <w:rFonts w:eastAsia="Aptos" w:cs="Arial"/>
          <w:kern w:val="2"/>
          <w:sz w:val="20"/>
          <w:szCs w:val="20"/>
          <w:u w:val="single"/>
          <w14:ligatures w14:val="standardContextual"/>
        </w:rPr>
        <w:t>Based on the SCRS advice on the above, the Commission shall decide on alternative management action(s). As needed and appropriate, the SCRS shall conduct a new stock assessment and/or provide advice on new candidate MPs as soon as possible.</w:t>
      </w:r>
    </w:p>
    <w:p w14:paraId="354D52B2" w14:textId="77777777" w:rsidR="003C72F9" w:rsidRPr="00B07CD4" w:rsidRDefault="003C72F9" w:rsidP="003C72F9">
      <w:pPr>
        <w:widowControl/>
        <w:jc w:val="both"/>
        <w:rPr>
          <w:rFonts w:eastAsia="Aptos" w:cs="Arial"/>
          <w:kern w:val="2"/>
          <w:sz w:val="20"/>
          <w:szCs w:val="20"/>
          <w:u w:val="single"/>
          <w14:ligatures w14:val="standardContextual"/>
        </w:rPr>
      </w:pPr>
    </w:p>
    <w:p w14:paraId="76ED8981" w14:textId="77777777" w:rsidR="004B415C" w:rsidRPr="00B07CD4" w:rsidRDefault="004B415C" w:rsidP="005F6D3E">
      <w:pPr>
        <w:widowControl/>
        <w:jc w:val="both"/>
        <w:rPr>
          <w:rFonts w:eastAsia="Aptos" w:cs="Arial"/>
          <w:kern w:val="2"/>
          <w:sz w:val="20"/>
          <w:szCs w:val="20"/>
          <w:u w:val="single"/>
          <w14:ligatures w14:val="standardContextual"/>
        </w:rPr>
      </w:pPr>
    </w:p>
    <w:p w14:paraId="1F5DFE51" w14:textId="77777777" w:rsidR="008653EC" w:rsidRPr="00B07CD4" w:rsidRDefault="008653EC" w:rsidP="00FA3C76">
      <w:pPr>
        <w:rPr>
          <w:bCs/>
          <w:u w:val="single"/>
        </w:rPr>
      </w:pPr>
    </w:p>
    <w:sectPr w:rsidR="008653EC" w:rsidRPr="00B07CD4" w:rsidSect="003F4991">
      <w:headerReference w:type="even" r:id="rId7"/>
      <w:headerReference w:type="default" r:id="rId8"/>
      <w:footerReference w:type="default" r:id="rId9"/>
      <w:headerReference w:type="first" r:id="rId10"/>
      <w:pgSz w:w="11907" w:h="16840" w:code="9"/>
      <w:pgMar w:top="1418" w:right="1417"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96B0" w14:textId="77777777" w:rsidR="004560C8" w:rsidRDefault="004560C8" w:rsidP="002949E9">
      <w:r>
        <w:separator/>
      </w:r>
    </w:p>
  </w:endnote>
  <w:endnote w:type="continuationSeparator" w:id="0">
    <w:p w14:paraId="43DBF366" w14:textId="77777777" w:rsidR="004560C8" w:rsidRDefault="004560C8" w:rsidP="002949E9">
      <w:r>
        <w:continuationSeparator/>
      </w:r>
    </w:p>
  </w:endnote>
  <w:endnote w:type="continuationNotice" w:id="1">
    <w:p w14:paraId="1852CA74" w14:textId="77777777" w:rsidR="004560C8" w:rsidRDefault="00456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28D9" w14:textId="13F70882" w:rsidR="004B4F7E" w:rsidRPr="00B07CD4" w:rsidRDefault="009128D0" w:rsidP="00B07CD4">
    <w:pPr>
      <w:tabs>
        <w:tab w:val="center" w:pos="4535"/>
        <w:tab w:val="center" w:pos="4680"/>
        <w:tab w:val="left" w:pos="6150"/>
        <w:tab w:val="right" w:pos="9360"/>
      </w:tabs>
      <w:jc w:val="center"/>
      <w:rPr>
        <w:rFonts w:eastAsia="Calibri" w:cs="Calibri"/>
      </w:rPr>
    </w:pPr>
    <w:r w:rsidRPr="008703A3">
      <w:rPr>
        <w:rFonts w:eastAsia="Calibri" w:cs="Calibri"/>
        <w:szCs w:val="20"/>
      </w:rPr>
      <w:fldChar w:fldCharType="begin"/>
    </w:r>
    <w:r w:rsidRPr="008703A3">
      <w:rPr>
        <w:rFonts w:eastAsia="Calibri" w:cs="Calibri"/>
        <w:szCs w:val="20"/>
      </w:rPr>
      <w:instrText xml:space="preserve"> PAGE </w:instrText>
    </w:r>
    <w:r w:rsidRPr="008703A3">
      <w:rPr>
        <w:rFonts w:eastAsia="Calibri" w:cs="Calibri"/>
        <w:szCs w:val="20"/>
      </w:rPr>
      <w:fldChar w:fldCharType="separate"/>
    </w:r>
    <w:r>
      <w:rPr>
        <w:rFonts w:eastAsia="Calibri" w:cs="Calibri"/>
        <w:szCs w:val="20"/>
      </w:rPr>
      <w:t>1</w:t>
    </w:r>
    <w:r w:rsidRPr="008703A3">
      <w:rPr>
        <w:rFonts w:eastAsia="Calibri" w:cs="Calibri"/>
        <w:szCs w:val="20"/>
      </w:rPr>
      <w:fldChar w:fldCharType="end"/>
    </w:r>
    <w:r w:rsidRPr="008703A3">
      <w:rPr>
        <w:rFonts w:eastAsia="Calibri" w:cs="Calibri"/>
        <w:szCs w:val="20"/>
      </w:rPr>
      <w:t xml:space="preserve"> / </w:t>
    </w:r>
    <w:r w:rsidRPr="008703A3">
      <w:rPr>
        <w:rFonts w:eastAsia="Calibri" w:cs="Calibri"/>
        <w:szCs w:val="20"/>
      </w:rPr>
      <w:fldChar w:fldCharType="begin"/>
    </w:r>
    <w:r w:rsidRPr="008703A3">
      <w:rPr>
        <w:rFonts w:eastAsia="Calibri" w:cs="Calibri"/>
        <w:szCs w:val="20"/>
      </w:rPr>
      <w:instrText xml:space="preserve"> NUMPAGES  </w:instrText>
    </w:r>
    <w:r w:rsidRPr="008703A3">
      <w:rPr>
        <w:rFonts w:eastAsia="Calibri" w:cs="Calibri"/>
        <w:szCs w:val="20"/>
      </w:rPr>
      <w:fldChar w:fldCharType="separate"/>
    </w:r>
    <w:r>
      <w:rPr>
        <w:rFonts w:eastAsia="Calibri" w:cs="Calibri"/>
        <w:szCs w:val="20"/>
      </w:rPr>
      <w:t>6</w:t>
    </w:r>
    <w:r w:rsidRPr="008703A3">
      <w:rPr>
        <w:rFonts w:eastAsia="Calibri" w:cs="Calibri"/>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78D2" w14:textId="77777777" w:rsidR="004560C8" w:rsidRDefault="004560C8" w:rsidP="002949E9">
      <w:r>
        <w:separator/>
      </w:r>
    </w:p>
  </w:footnote>
  <w:footnote w:type="continuationSeparator" w:id="0">
    <w:p w14:paraId="21038135" w14:textId="77777777" w:rsidR="004560C8" w:rsidRDefault="004560C8" w:rsidP="002949E9">
      <w:r>
        <w:continuationSeparator/>
      </w:r>
    </w:p>
  </w:footnote>
  <w:footnote w:type="continuationNotice" w:id="1">
    <w:p w14:paraId="47FFBAED" w14:textId="77777777" w:rsidR="004560C8" w:rsidRDefault="004560C8"/>
  </w:footnote>
  <w:footnote w:id="2">
    <w:p w14:paraId="1F27DCCA" w14:textId="727385F3" w:rsidR="002949E9" w:rsidRPr="003740C8" w:rsidRDefault="002949E9" w:rsidP="002949E9">
      <w:pPr>
        <w:rPr>
          <w:sz w:val="16"/>
        </w:rPr>
      </w:pPr>
      <w:r w:rsidRPr="003740C8">
        <w:rPr>
          <w:sz w:val="16"/>
          <w:vertAlign w:val="superscript"/>
        </w:rPr>
        <w:footnoteRef/>
      </w:r>
      <w:r w:rsidRPr="003740C8">
        <w:rPr>
          <w:sz w:val="16"/>
        </w:rPr>
        <w:t xml:space="preserve"> </w:t>
      </w:r>
      <w:r w:rsidR="000E3D05" w:rsidRPr="003740C8">
        <w:rPr>
          <w:sz w:val="16"/>
        </w:rPr>
        <w:t>I</w:t>
      </w:r>
      <w:r w:rsidRPr="003740C8">
        <w:rPr>
          <w:sz w:val="16"/>
        </w:rPr>
        <w:t>nterim limit reference point (LRP) used in the MSE was B</w:t>
      </w:r>
      <w:r w:rsidRPr="003740C8">
        <w:rPr>
          <w:sz w:val="16"/>
          <w:vertAlign w:val="subscript"/>
        </w:rPr>
        <w:t>LIM</w:t>
      </w:r>
      <w:r w:rsidRPr="003740C8">
        <w:rPr>
          <w:sz w:val="16"/>
        </w:rPr>
        <w:t xml:space="preserve"> = 0.4*B</w:t>
      </w:r>
      <w:r w:rsidRPr="003740C8">
        <w:rPr>
          <w:sz w:val="16"/>
          <w:vertAlign w:val="subscript"/>
        </w:rPr>
        <w:t>MSY</w:t>
      </w:r>
      <w:r w:rsidR="00A8129E" w:rsidRPr="003740C8">
        <w:rPr>
          <w:sz w:val="16"/>
          <w:vertAlign w:val="subscript"/>
        </w:rPr>
        <w:t>.</w:t>
      </w:r>
    </w:p>
  </w:footnote>
  <w:footnote w:id="3">
    <w:p w14:paraId="3837C961" w14:textId="77777777" w:rsidR="004C361E" w:rsidRPr="0024550F" w:rsidRDefault="004C361E" w:rsidP="004C361E">
      <w:pPr>
        <w:pStyle w:val="FootnoteText"/>
        <w:jc w:val="both"/>
        <w:rPr>
          <w:sz w:val="16"/>
          <w:szCs w:val="16"/>
          <w:u w:val="single"/>
        </w:rPr>
      </w:pPr>
      <w:r w:rsidRPr="003E0952">
        <w:rPr>
          <w:rStyle w:val="FootnoteReference"/>
          <w:sz w:val="16"/>
          <w:szCs w:val="16"/>
          <w:u w:val="single"/>
        </w:rPr>
        <w:footnoteRef/>
      </w:r>
      <w:r w:rsidRPr="003E0952">
        <w:rPr>
          <w:sz w:val="16"/>
          <w:szCs w:val="16"/>
          <w:u w:val="single"/>
        </w:rPr>
        <w:t xml:space="preserve"> </w:t>
      </w:r>
      <w:r w:rsidRPr="003E0952">
        <w:rPr>
          <w:rFonts w:eastAsia="Calibri"/>
          <w:sz w:val="16"/>
          <w:szCs w:val="16"/>
          <w:u w:val="single"/>
        </w:rPr>
        <w:t xml:space="preserve">The influence of data omissions vary by CPC and the impact of the </w:t>
      </w:r>
      <w:proofErr w:type="gramStart"/>
      <w:r w:rsidRPr="003E0952">
        <w:rPr>
          <w:rFonts w:eastAsia="Calibri"/>
          <w:sz w:val="16"/>
          <w:szCs w:val="16"/>
          <w:u w:val="single"/>
        </w:rPr>
        <w:t>particular combination</w:t>
      </w:r>
      <w:proofErr w:type="gramEnd"/>
      <w:r w:rsidRPr="003E0952">
        <w:rPr>
          <w:rFonts w:eastAsia="Calibri"/>
          <w:sz w:val="16"/>
          <w:szCs w:val="16"/>
          <w:u w:val="single"/>
        </w:rPr>
        <w:t xml:space="preserve"> of missing CPC data will be assessed by the SCRS.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6BAD" w14:textId="0FB824D0" w:rsidR="00C26E2D" w:rsidRDefault="00C26E2D">
    <w:pPr>
      <w:pStyle w:val="Header"/>
    </w:pPr>
    <w:r>
      <w:rPr>
        <w:noProof/>
        <w14:ligatures w14:val="standardContextual"/>
      </w:rPr>
      <mc:AlternateContent>
        <mc:Choice Requires="wps">
          <w:drawing>
            <wp:anchor distT="0" distB="0" distL="0" distR="0" simplePos="0" relativeHeight="251659264" behindDoc="0" locked="0" layoutInCell="1" allowOverlap="1" wp14:anchorId="2668E674" wp14:editId="769F0EE7">
              <wp:simplePos x="635" y="635"/>
              <wp:positionH relativeFrom="page">
                <wp:align>right</wp:align>
              </wp:positionH>
              <wp:positionV relativeFrom="page">
                <wp:align>top</wp:align>
              </wp:positionV>
              <wp:extent cx="1917700" cy="376555"/>
              <wp:effectExtent l="0" t="0" r="0" b="4445"/>
              <wp:wrapNone/>
              <wp:docPr id="471533062"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334328BB" w14:textId="327E69DF" w:rsidR="00C26E2D" w:rsidRPr="00C26E2D" w:rsidRDefault="00C26E2D" w:rsidP="00C26E2D">
                          <w:pPr>
                            <w:rPr>
                              <w:rFonts w:ascii="Calibri" w:eastAsia="Calibri" w:hAnsi="Calibri" w:cs="Calibri"/>
                              <w:noProof/>
                              <w:color w:val="000000"/>
                              <w:sz w:val="24"/>
                              <w:szCs w:val="24"/>
                            </w:rPr>
                          </w:pPr>
                          <w:r w:rsidRPr="00C26E2D">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68E674" id="_x0000_t202" coordsize="21600,21600" o:spt="202" path="m,l,21600r21600,l21600,xe">
              <v:stroke joinstyle="miter"/>
              <v:path gradientshapeok="t" o:connecttype="rect"/>
            </v:shapetype>
            <v:shape id="Text Box 2" o:spid="_x0000_s1026" type="#_x0000_t202" alt="Unclassified - Non-Classifié" style="position:absolute;margin-left:99.8pt;margin-top:0;width:151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334328BB" w14:textId="327E69DF" w:rsidR="00C26E2D" w:rsidRPr="00C26E2D" w:rsidRDefault="00C26E2D" w:rsidP="00C26E2D">
                    <w:pPr>
                      <w:rPr>
                        <w:rFonts w:ascii="Calibri" w:eastAsia="Calibri" w:hAnsi="Calibri" w:cs="Calibri"/>
                        <w:noProof/>
                        <w:color w:val="000000"/>
                        <w:sz w:val="24"/>
                        <w:szCs w:val="24"/>
                      </w:rPr>
                    </w:pPr>
                    <w:r w:rsidRPr="00C26E2D">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FF0A" w14:textId="10797771" w:rsidR="002432BD" w:rsidRPr="00BC22D4" w:rsidRDefault="002432BD" w:rsidP="002432BD">
    <w:pPr>
      <w:tabs>
        <w:tab w:val="center" w:pos="4680"/>
        <w:tab w:val="left" w:pos="6520"/>
        <w:tab w:val="right" w:pos="9360"/>
        <w:tab w:val="right" w:pos="14240"/>
      </w:tabs>
      <w:jc w:val="right"/>
      <w:rPr>
        <w:rFonts w:eastAsia="Calibri"/>
        <w:b/>
        <w:bCs/>
        <w:szCs w:val="20"/>
      </w:rPr>
    </w:pPr>
    <w:r w:rsidRPr="00BC22D4">
      <w:rPr>
        <w:rFonts w:eastAsia="Calibri"/>
        <w:b/>
        <w:bCs/>
        <w:szCs w:val="20"/>
      </w:rPr>
      <w:t>PA</w:t>
    </w:r>
    <w:r>
      <w:rPr>
        <w:rFonts w:eastAsia="Calibri"/>
        <w:b/>
        <w:bCs/>
        <w:szCs w:val="20"/>
      </w:rPr>
      <w:t>4</w:t>
    </w:r>
    <w:r w:rsidRPr="00BC22D4">
      <w:rPr>
        <w:rFonts w:eastAsia="Calibri"/>
        <w:b/>
        <w:bCs/>
        <w:szCs w:val="20"/>
      </w:rPr>
      <w:t>_</w:t>
    </w:r>
    <w:r>
      <w:rPr>
        <w:rFonts w:eastAsia="Calibri"/>
        <w:b/>
        <w:bCs/>
        <w:szCs w:val="20"/>
      </w:rPr>
      <w:t>826</w:t>
    </w:r>
    <w:r w:rsidRPr="00BC22D4">
      <w:rPr>
        <w:rFonts w:eastAsia="Calibri"/>
        <w:b/>
        <w:bCs/>
        <w:szCs w:val="20"/>
      </w:rPr>
      <w:t>/2025</w:t>
    </w:r>
  </w:p>
  <w:p w14:paraId="5F6FF4F2" w14:textId="2812F866" w:rsidR="00DB56BB" w:rsidRPr="00DB56BB" w:rsidRDefault="002432BD" w:rsidP="00B07CD4">
    <w:pPr>
      <w:tabs>
        <w:tab w:val="center" w:pos="4513"/>
        <w:tab w:val="right" w:pos="9026"/>
      </w:tabs>
      <w:jc w:val="right"/>
      <w:rPr>
        <w:rFonts w:eastAsia="Calibri" w:cs="Times New Roman"/>
        <w:b/>
        <w:bCs/>
        <w:sz w:val="16"/>
        <w:szCs w:val="16"/>
        <w:lang w:val="es-ES_tradnl"/>
      </w:rPr>
    </w:pPr>
    <w:r w:rsidRPr="00BC22D4">
      <w:rPr>
        <w:rFonts w:eastAsia="Calibri"/>
        <w:b/>
        <w:bCs/>
        <w:sz w:val="16"/>
        <w:szCs w:val="16"/>
        <w:lang w:val="es-ES_tradnl"/>
      </w:rPr>
      <w:fldChar w:fldCharType="begin"/>
    </w:r>
    <w:r w:rsidRPr="00BC22D4">
      <w:rPr>
        <w:rFonts w:eastAsia="Calibri"/>
        <w:b/>
        <w:bCs/>
        <w:sz w:val="16"/>
        <w:szCs w:val="16"/>
        <w:lang w:val="es-ES_tradnl"/>
      </w:rPr>
      <w:instrText xml:space="preserve"> TIME \@ "dd/MM/yyyy H:mm" </w:instrText>
    </w:r>
    <w:r w:rsidRPr="00BC22D4">
      <w:rPr>
        <w:rFonts w:eastAsia="Calibri"/>
        <w:b/>
        <w:bCs/>
        <w:sz w:val="16"/>
        <w:szCs w:val="16"/>
        <w:lang w:val="es-ES_tradnl"/>
      </w:rPr>
      <w:fldChar w:fldCharType="separate"/>
    </w:r>
    <w:r w:rsidR="00CA1C05">
      <w:rPr>
        <w:rFonts w:eastAsia="Calibri"/>
        <w:b/>
        <w:bCs/>
        <w:noProof/>
        <w:sz w:val="16"/>
        <w:szCs w:val="16"/>
        <w:lang w:val="es-ES_tradnl"/>
      </w:rPr>
      <w:t>23/11/2025 12:22</w:t>
    </w:r>
    <w:r w:rsidRPr="00BC22D4">
      <w:rPr>
        <w:rFonts w:eastAsia="Calibri"/>
        <w:b/>
        <w:bCs/>
        <w:sz w:val="16"/>
        <w:szCs w:val="16"/>
        <w:lang w:val="es-ES_tradnl"/>
      </w:rPr>
      <w:fldChar w:fldCharType="end"/>
    </w:r>
    <w:r>
      <w:rPr>
        <w:noProof/>
      </w:rPr>
      <mc:AlternateContent>
        <mc:Choice Requires="wps">
          <w:drawing>
            <wp:anchor distT="0" distB="0" distL="0" distR="0" simplePos="0" relativeHeight="251662336" behindDoc="0" locked="0" layoutInCell="1" allowOverlap="1" wp14:anchorId="2B077367" wp14:editId="57E3083D">
              <wp:simplePos x="898497" y="540689"/>
              <wp:positionH relativeFrom="page">
                <wp:align>right</wp:align>
              </wp:positionH>
              <wp:positionV relativeFrom="page">
                <wp:align>top</wp:align>
              </wp:positionV>
              <wp:extent cx="1917700" cy="376555"/>
              <wp:effectExtent l="0" t="0" r="0" b="4445"/>
              <wp:wrapNone/>
              <wp:docPr id="1153656229" name="Zone de texte 6"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55D8CD79" w14:textId="77777777" w:rsidR="002432BD" w:rsidRPr="000243E9" w:rsidRDefault="002432BD" w:rsidP="002432BD">
                          <w:pPr>
                            <w:rPr>
                              <w:rFonts w:ascii="Calibri" w:eastAsia="Calibri" w:hAnsi="Calibri" w:cs="Calibri"/>
                              <w:noProof/>
                              <w:color w:val="000000"/>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077367" id="_x0000_t202" coordsize="21600,21600" o:spt="202" path="m,l,21600r21600,l21600,xe">
              <v:stroke joinstyle="miter"/>
              <v:path gradientshapeok="t" o:connecttype="rect"/>
            </v:shapetype>
            <v:shape id="Zone de texte 6" o:spid="_x0000_s1027" type="#_x0000_t202" alt="Unclassified - Non-Classifié" style="position:absolute;left:0;text-align:left;margin-left:99.8pt;margin-top:0;width:151pt;height:29.6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55D8CD79" w14:textId="77777777" w:rsidR="002432BD" w:rsidRPr="000243E9" w:rsidRDefault="002432BD" w:rsidP="002432BD">
                    <w:pPr>
                      <w:rPr>
                        <w:rFonts w:ascii="Calibri" w:eastAsia="Calibri" w:hAnsi="Calibri" w:cs="Calibri"/>
                        <w:noProof/>
                        <w:color w:val="00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E3B9" w14:textId="6B2EFCE3" w:rsidR="00C26E2D" w:rsidRDefault="00C26E2D">
    <w:pPr>
      <w:pStyle w:val="Header"/>
    </w:pPr>
    <w:r>
      <w:rPr>
        <w:noProof/>
        <w14:ligatures w14:val="standardContextual"/>
      </w:rPr>
      <mc:AlternateContent>
        <mc:Choice Requires="wps">
          <w:drawing>
            <wp:anchor distT="0" distB="0" distL="0" distR="0" simplePos="0" relativeHeight="251658240" behindDoc="0" locked="0" layoutInCell="1" allowOverlap="1" wp14:anchorId="04A884E8" wp14:editId="26DAF4F6">
              <wp:simplePos x="635" y="635"/>
              <wp:positionH relativeFrom="page">
                <wp:align>right</wp:align>
              </wp:positionH>
              <wp:positionV relativeFrom="page">
                <wp:align>top</wp:align>
              </wp:positionV>
              <wp:extent cx="1917700" cy="376555"/>
              <wp:effectExtent l="0" t="0" r="0" b="4445"/>
              <wp:wrapNone/>
              <wp:docPr id="1661721177"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362E4AE3" w14:textId="28FBC2C7" w:rsidR="00C26E2D" w:rsidRPr="00C26E2D" w:rsidRDefault="00C26E2D" w:rsidP="00C26E2D">
                          <w:pPr>
                            <w:rPr>
                              <w:rFonts w:ascii="Calibri" w:eastAsia="Calibri" w:hAnsi="Calibri" w:cs="Calibri"/>
                              <w:noProof/>
                              <w:color w:val="000000"/>
                              <w:sz w:val="24"/>
                              <w:szCs w:val="24"/>
                            </w:rPr>
                          </w:pPr>
                          <w:r w:rsidRPr="00C26E2D">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A884E8" id="_x0000_t202" coordsize="21600,21600" o:spt="202" path="m,l,21600r21600,l21600,xe">
              <v:stroke joinstyle="miter"/>
              <v:path gradientshapeok="t" o:connecttype="rect"/>
            </v:shapetype>
            <v:shape id="Text Box 1" o:spid="_x0000_s1028" type="#_x0000_t202" alt="Unclassified - Non-Classifié" style="position:absolute;margin-left:99.8pt;margin-top:0;width:151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362E4AE3" w14:textId="28FBC2C7" w:rsidR="00C26E2D" w:rsidRPr="00C26E2D" w:rsidRDefault="00C26E2D" w:rsidP="00C26E2D">
                    <w:pPr>
                      <w:rPr>
                        <w:rFonts w:ascii="Calibri" w:eastAsia="Calibri" w:hAnsi="Calibri" w:cs="Calibri"/>
                        <w:noProof/>
                        <w:color w:val="000000"/>
                        <w:sz w:val="24"/>
                        <w:szCs w:val="24"/>
                      </w:rPr>
                    </w:pPr>
                    <w:r w:rsidRPr="00C26E2D">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8C7"/>
    <w:multiLevelType w:val="multilevel"/>
    <w:tmpl w:val="BF4087FC"/>
    <w:lvl w:ilvl="0">
      <w:start w:val="1"/>
      <w:numFmt w:val="decimal"/>
      <w:lvlText w:val="%1."/>
      <w:lvlJc w:val="left"/>
      <w:pPr>
        <w:ind w:left="544" w:hanging="427"/>
      </w:pPr>
      <w:rPr>
        <w:rFonts w:ascii="Cambria" w:eastAsia="Cambria" w:hAnsi="Cambria" w:cs="Cambria"/>
        <w:b w:val="0"/>
        <w:i w:val="0"/>
        <w:sz w:val="20"/>
        <w:szCs w:val="20"/>
      </w:rPr>
    </w:lvl>
    <w:lvl w:ilvl="1">
      <w:start w:val="1"/>
      <w:numFmt w:val="lowerLetter"/>
      <w:lvlText w:val="%2)"/>
      <w:lvlJc w:val="left"/>
      <w:pPr>
        <w:ind w:left="838" w:hanging="294"/>
      </w:pPr>
      <w:rPr>
        <w:rFonts w:ascii="Cambria" w:eastAsia="Cambria" w:hAnsi="Cambria" w:cs="Cambria"/>
        <w:b w:val="0"/>
        <w:i w:val="0"/>
        <w:sz w:val="20"/>
        <w:szCs w:val="20"/>
      </w:rPr>
    </w:lvl>
    <w:lvl w:ilvl="2">
      <w:numFmt w:val="bullet"/>
      <w:lvlText w:val="•"/>
      <w:lvlJc w:val="left"/>
      <w:pPr>
        <w:ind w:left="1780" w:hanging="294"/>
      </w:pPr>
    </w:lvl>
    <w:lvl w:ilvl="3">
      <w:numFmt w:val="bullet"/>
      <w:lvlText w:val="•"/>
      <w:lvlJc w:val="left"/>
      <w:pPr>
        <w:ind w:left="2721" w:hanging="294"/>
      </w:pPr>
    </w:lvl>
    <w:lvl w:ilvl="4">
      <w:numFmt w:val="bullet"/>
      <w:lvlText w:val="•"/>
      <w:lvlJc w:val="left"/>
      <w:pPr>
        <w:ind w:left="3662" w:hanging="294"/>
      </w:pPr>
    </w:lvl>
    <w:lvl w:ilvl="5">
      <w:numFmt w:val="bullet"/>
      <w:lvlText w:val="•"/>
      <w:lvlJc w:val="left"/>
      <w:pPr>
        <w:ind w:left="4602" w:hanging="294"/>
      </w:pPr>
    </w:lvl>
    <w:lvl w:ilvl="6">
      <w:numFmt w:val="bullet"/>
      <w:lvlText w:val="•"/>
      <w:lvlJc w:val="left"/>
      <w:pPr>
        <w:ind w:left="5543" w:hanging="294"/>
      </w:pPr>
    </w:lvl>
    <w:lvl w:ilvl="7">
      <w:numFmt w:val="bullet"/>
      <w:lvlText w:val="•"/>
      <w:lvlJc w:val="left"/>
      <w:pPr>
        <w:ind w:left="6484" w:hanging="294"/>
      </w:pPr>
    </w:lvl>
    <w:lvl w:ilvl="8">
      <w:numFmt w:val="bullet"/>
      <w:lvlText w:val="•"/>
      <w:lvlJc w:val="left"/>
      <w:pPr>
        <w:ind w:left="7424" w:hanging="294"/>
      </w:pPr>
    </w:lvl>
  </w:abstractNum>
  <w:abstractNum w:abstractNumId="1" w15:restartNumberingAfterBreak="0">
    <w:nsid w:val="1DDF2C2D"/>
    <w:multiLevelType w:val="multilevel"/>
    <w:tmpl w:val="D79882B8"/>
    <w:lvl w:ilvl="0">
      <w:start w:val="1"/>
      <w:numFmt w:val="bullet"/>
      <w:lvlText w:val="−"/>
      <w:lvlJc w:val="left"/>
      <w:pPr>
        <w:ind w:left="904" w:hanging="360"/>
      </w:pPr>
      <w:rPr>
        <w:rFonts w:ascii="Cambria" w:eastAsia="Cambria" w:hAnsi="Cambria" w:cs="Cambria"/>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abstractNum w:abstractNumId="2" w15:restartNumberingAfterBreak="0">
    <w:nsid w:val="2FA46156"/>
    <w:multiLevelType w:val="hybridMultilevel"/>
    <w:tmpl w:val="7E5CFDA2"/>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069CEF1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CCE61C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0005E6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6BAF85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64E9080">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A87C6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48E14C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26054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6B37FBB"/>
    <w:multiLevelType w:val="hybridMultilevel"/>
    <w:tmpl w:val="4EC437E0"/>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0BC4B2B"/>
    <w:multiLevelType w:val="hybridMultilevel"/>
    <w:tmpl w:val="849E1EDC"/>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6AACAF76">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3725A5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0C0DE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4EC0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322B3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FA5F8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D3C4E8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194990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99E07D6"/>
    <w:multiLevelType w:val="hybridMultilevel"/>
    <w:tmpl w:val="73DA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202381">
    <w:abstractNumId w:val="0"/>
  </w:num>
  <w:num w:numId="2" w16cid:durableId="2031569548">
    <w:abstractNumId w:val="1"/>
  </w:num>
  <w:num w:numId="3" w16cid:durableId="1343243559">
    <w:abstractNumId w:val="5"/>
  </w:num>
  <w:num w:numId="4" w16cid:durableId="127482467">
    <w:abstractNumId w:val="4"/>
  </w:num>
  <w:num w:numId="5" w16cid:durableId="699205538">
    <w:abstractNumId w:val="2"/>
  </w:num>
  <w:num w:numId="6" w16cid:durableId="118886681">
    <w:abstractNumId w:val="3"/>
  </w:num>
  <w:num w:numId="7" w16cid:durableId="1362705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E9"/>
    <w:rsid w:val="000061BE"/>
    <w:rsid w:val="00010169"/>
    <w:rsid w:val="000168C0"/>
    <w:rsid w:val="00017B33"/>
    <w:rsid w:val="00030E0F"/>
    <w:rsid w:val="00031C48"/>
    <w:rsid w:val="00033C0B"/>
    <w:rsid w:val="00036147"/>
    <w:rsid w:val="0004537E"/>
    <w:rsid w:val="0005198D"/>
    <w:rsid w:val="00052F57"/>
    <w:rsid w:val="000544B8"/>
    <w:rsid w:val="00055F29"/>
    <w:rsid w:val="00063C53"/>
    <w:rsid w:val="00065C5A"/>
    <w:rsid w:val="000777F2"/>
    <w:rsid w:val="00084D8F"/>
    <w:rsid w:val="00092C59"/>
    <w:rsid w:val="000A3196"/>
    <w:rsid w:val="000A4A23"/>
    <w:rsid w:val="000A7471"/>
    <w:rsid w:val="000B54AA"/>
    <w:rsid w:val="000C600E"/>
    <w:rsid w:val="000C6E9F"/>
    <w:rsid w:val="000D1A9B"/>
    <w:rsid w:val="000E1DE2"/>
    <w:rsid w:val="000E3D05"/>
    <w:rsid w:val="000F2B14"/>
    <w:rsid w:val="000F2BD3"/>
    <w:rsid w:val="000F3A5A"/>
    <w:rsid w:val="000F4804"/>
    <w:rsid w:val="000F7490"/>
    <w:rsid w:val="00100497"/>
    <w:rsid w:val="00102AD9"/>
    <w:rsid w:val="0010333E"/>
    <w:rsid w:val="0010366B"/>
    <w:rsid w:val="001038EB"/>
    <w:rsid w:val="00110C96"/>
    <w:rsid w:val="0011259B"/>
    <w:rsid w:val="00115634"/>
    <w:rsid w:val="00120971"/>
    <w:rsid w:val="001255BB"/>
    <w:rsid w:val="001326F8"/>
    <w:rsid w:val="00134B08"/>
    <w:rsid w:val="00136ACA"/>
    <w:rsid w:val="00136C0D"/>
    <w:rsid w:val="00143933"/>
    <w:rsid w:val="00147D00"/>
    <w:rsid w:val="0015069F"/>
    <w:rsid w:val="00162EF3"/>
    <w:rsid w:val="00165F37"/>
    <w:rsid w:val="00167C83"/>
    <w:rsid w:val="00170D8B"/>
    <w:rsid w:val="0017156E"/>
    <w:rsid w:val="001730BC"/>
    <w:rsid w:val="00177D86"/>
    <w:rsid w:val="00182E86"/>
    <w:rsid w:val="0019053E"/>
    <w:rsid w:val="001942BC"/>
    <w:rsid w:val="00196C0C"/>
    <w:rsid w:val="001A07EA"/>
    <w:rsid w:val="001A28B1"/>
    <w:rsid w:val="001A29BC"/>
    <w:rsid w:val="001A7B97"/>
    <w:rsid w:val="001B23B6"/>
    <w:rsid w:val="001B46AE"/>
    <w:rsid w:val="001B5C7F"/>
    <w:rsid w:val="001C197F"/>
    <w:rsid w:val="001C3366"/>
    <w:rsid w:val="001C3381"/>
    <w:rsid w:val="001C60BA"/>
    <w:rsid w:val="001D144E"/>
    <w:rsid w:val="001D5DE2"/>
    <w:rsid w:val="001E042C"/>
    <w:rsid w:val="001E710C"/>
    <w:rsid w:val="001F3E7E"/>
    <w:rsid w:val="001F49F8"/>
    <w:rsid w:val="00206053"/>
    <w:rsid w:val="002071C0"/>
    <w:rsid w:val="002215CD"/>
    <w:rsid w:val="00230C0A"/>
    <w:rsid w:val="002372EF"/>
    <w:rsid w:val="002432BD"/>
    <w:rsid w:val="0024550F"/>
    <w:rsid w:val="002523A0"/>
    <w:rsid w:val="00256A90"/>
    <w:rsid w:val="002574FC"/>
    <w:rsid w:val="00262734"/>
    <w:rsid w:val="00262FCC"/>
    <w:rsid w:val="00263763"/>
    <w:rsid w:val="00267FFA"/>
    <w:rsid w:val="00272399"/>
    <w:rsid w:val="00273261"/>
    <w:rsid w:val="00281C4D"/>
    <w:rsid w:val="00291098"/>
    <w:rsid w:val="002949E9"/>
    <w:rsid w:val="002A264B"/>
    <w:rsid w:val="002A5FE9"/>
    <w:rsid w:val="002A69B8"/>
    <w:rsid w:val="002B3426"/>
    <w:rsid w:val="002C0B0D"/>
    <w:rsid w:val="002D2EC8"/>
    <w:rsid w:val="002E18AA"/>
    <w:rsid w:val="002E2ED6"/>
    <w:rsid w:val="002F5F8D"/>
    <w:rsid w:val="003062F6"/>
    <w:rsid w:val="0031062E"/>
    <w:rsid w:val="0031241D"/>
    <w:rsid w:val="00326250"/>
    <w:rsid w:val="00344294"/>
    <w:rsid w:val="003451C7"/>
    <w:rsid w:val="00345902"/>
    <w:rsid w:val="003505AD"/>
    <w:rsid w:val="00362E6B"/>
    <w:rsid w:val="00365BCB"/>
    <w:rsid w:val="00365FA7"/>
    <w:rsid w:val="00370D90"/>
    <w:rsid w:val="003740C8"/>
    <w:rsid w:val="00377590"/>
    <w:rsid w:val="00381476"/>
    <w:rsid w:val="00385100"/>
    <w:rsid w:val="003861EA"/>
    <w:rsid w:val="003862A4"/>
    <w:rsid w:val="00392021"/>
    <w:rsid w:val="003A0263"/>
    <w:rsid w:val="003B1767"/>
    <w:rsid w:val="003B2D94"/>
    <w:rsid w:val="003B4E84"/>
    <w:rsid w:val="003B5252"/>
    <w:rsid w:val="003B6391"/>
    <w:rsid w:val="003B7E0F"/>
    <w:rsid w:val="003C2158"/>
    <w:rsid w:val="003C569D"/>
    <w:rsid w:val="003C72F9"/>
    <w:rsid w:val="003D48B5"/>
    <w:rsid w:val="003D6284"/>
    <w:rsid w:val="003E0952"/>
    <w:rsid w:val="003E3A97"/>
    <w:rsid w:val="003E6B15"/>
    <w:rsid w:val="003E7AF9"/>
    <w:rsid w:val="003F4991"/>
    <w:rsid w:val="00406013"/>
    <w:rsid w:val="00410B57"/>
    <w:rsid w:val="0041785C"/>
    <w:rsid w:val="004223DA"/>
    <w:rsid w:val="00436ED2"/>
    <w:rsid w:val="00437B2B"/>
    <w:rsid w:val="00440273"/>
    <w:rsid w:val="0044163A"/>
    <w:rsid w:val="00446E08"/>
    <w:rsid w:val="00446F2A"/>
    <w:rsid w:val="00450190"/>
    <w:rsid w:val="004560C8"/>
    <w:rsid w:val="004561E6"/>
    <w:rsid w:val="00470149"/>
    <w:rsid w:val="00492139"/>
    <w:rsid w:val="004938C6"/>
    <w:rsid w:val="004A4807"/>
    <w:rsid w:val="004A53E6"/>
    <w:rsid w:val="004A7D36"/>
    <w:rsid w:val="004B415C"/>
    <w:rsid w:val="004B4F7E"/>
    <w:rsid w:val="004C361E"/>
    <w:rsid w:val="004D4E5F"/>
    <w:rsid w:val="004D666E"/>
    <w:rsid w:val="004E1A74"/>
    <w:rsid w:val="005057B0"/>
    <w:rsid w:val="005115E8"/>
    <w:rsid w:val="005147F3"/>
    <w:rsid w:val="0052433D"/>
    <w:rsid w:val="00530721"/>
    <w:rsid w:val="005310C0"/>
    <w:rsid w:val="005326CC"/>
    <w:rsid w:val="00533935"/>
    <w:rsid w:val="005412D0"/>
    <w:rsid w:val="00551342"/>
    <w:rsid w:val="00552318"/>
    <w:rsid w:val="005748E2"/>
    <w:rsid w:val="0058274E"/>
    <w:rsid w:val="00583940"/>
    <w:rsid w:val="00596837"/>
    <w:rsid w:val="005A1647"/>
    <w:rsid w:val="005A4E2C"/>
    <w:rsid w:val="005D1EE7"/>
    <w:rsid w:val="005D780A"/>
    <w:rsid w:val="005E3B39"/>
    <w:rsid w:val="005F1578"/>
    <w:rsid w:val="005F6D3E"/>
    <w:rsid w:val="0060635D"/>
    <w:rsid w:val="006107C0"/>
    <w:rsid w:val="00616A12"/>
    <w:rsid w:val="006173FF"/>
    <w:rsid w:val="00625F56"/>
    <w:rsid w:val="006316AD"/>
    <w:rsid w:val="00641369"/>
    <w:rsid w:val="00645E53"/>
    <w:rsid w:val="00646A7B"/>
    <w:rsid w:val="006472DC"/>
    <w:rsid w:val="00647C7C"/>
    <w:rsid w:val="00650213"/>
    <w:rsid w:val="006534EC"/>
    <w:rsid w:val="006568AA"/>
    <w:rsid w:val="006621F3"/>
    <w:rsid w:val="00663B45"/>
    <w:rsid w:val="00666D8E"/>
    <w:rsid w:val="006743EF"/>
    <w:rsid w:val="006808F1"/>
    <w:rsid w:val="00682AF4"/>
    <w:rsid w:val="006861C3"/>
    <w:rsid w:val="00690EB4"/>
    <w:rsid w:val="0069324F"/>
    <w:rsid w:val="006A173A"/>
    <w:rsid w:val="006A4BE9"/>
    <w:rsid w:val="006B2C8D"/>
    <w:rsid w:val="006C755C"/>
    <w:rsid w:val="006C7B0F"/>
    <w:rsid w:val="006D0BEB"/>
    <w:rsid w:val="006D1567"/>
    <w:rsid w:val="006D4092"/>
    <w:rsid w:val="006D59A2"/>
    <w:rsid w:val="006D6DD0"/>
    <w:rsid w:val="006E3DFA"/>
    <w:rsid w:val="006F0FE1"/>
    <w:rsid w:val="006F102C"/>
    <w:rsid w:val="00702624"/>
    <w:rsid w:val="007030E5"/>
    <w:rsid w:val="007033AE"/>
    <w:rsid w:val="00711B46"/>
    <w:rsid w:val="00715F25"/>
    <w:rsid w:val="00722F64"/>
    <w:rsid w:val="0072579F"/>
    <w:rsid w:val="007261BA"/>
    <w:rsid w:val="00744CE7"/>
    <w:rsid w:val="00744E71"/>
    <w:rsid w:val="00756D22"/>
    <w:rsid w:val="00762205"/>
    <w:rsid w:val="0076225E"/>
    <w:rsid w:val="00763EA8"/>
    <w:rsid w:val="0076679D"/>
    <w:rsid w:val="00773A78"/>
    <w:rsid w:val="00775909"/>
    <w:rsid w:val="00776A6E"/>
    <w:rsid w:val="00783A9E"/>
    <w:rsid w:val="00794DA5"/>
    <w:rsid w:val="00795123"/>
    <w:rsid w:val="007A25AB"/>
    <w:rsid w:val="007A57AE"/>
    <w:rsid w:val="007B3AE0"/>
    <w:rsid w:val="007B4A34"/>
    <w:rsid w:val="007B5E18"/>
    <w:rsid w:val="007C057A"/>
    <w:rsid w:val="007C1B7F"/>
    <w:rsid w:val="007C3E0D"/>
    <w:rsid w:val="007C6D09"/>
    <w:rsid w:val="007D0835"/>
    <w:rsid w:val="007D3D69"/>
    <w:rsid w:val="007E1A31"/>
    <w:rsid w:val="007E3A27"/>
    <w:rsid w:val="007E3BF9"/>
    <w:rsid w:val="007F4A5F"/>
    <w:rsid w:val="007F6290"/>
    <w:rsid w:val="007F707F"/>
    <w:rsid w:val="00804BBC"/>
    <w:rsid w:val="00804E20"/>
    <w:rsid w:val="00812C68"/>
    <w:rsid w:val="0081401F"/>
    <w:rsid w:val="00814B1E"/>
    <w:rsid w:val="00814FF2"/>
    <w:rsid w:val="0081609F"/>
    <w:rsid w:val="00821438"/>
    <w:rsid w:val="00827674"/>
    <w:rsid w:val="00830BB6"/>
    <w:rsid w:val="00836109"/>
    <w:rsid w:val="00836783"/>
    <w:rsid w:val="00841CE8"/>
    <w:rsid w:val="00845952"/>
    <w:rsid w:val="00851D22"/>
    <w:rsid w:val="008522A7"/>
    <w:rsid w:val="008528D8"/>
    <w:rsid w:val="00860126"/>
    <w:rsid w:val="00861548"/>
    <w:rsid w:val="008653EC"/>
    <w:rsid w:val="008659C4"/>
    <w:rsid w:val="00875523"/>
    <w:rsid w:val="00877551"/>
    <w:rsid w:val="008804F6"/>
    <w:rsid w:val="00880C5B"/>
    <w:rsid w:val="008828B1"/>
    <w:rsid w:val="00886938"/>
    <w:rsid w:val="0089065E"/>
    <w:rsid w:val="00890774"/>
    <w:rsid w:val="008919CB"/>
    <w:rsid w:val="008932AC"/>
    <w:rsid w:val="00893CF6"/>
    <w:rsid w:val="008A4664"/>
    <w:rsid w:val="008A4C8C"/>
    <w:rsid w:val="008A71FF"/>
    <w:rsid w:val="008B23F6"/>
    <w:rsid w:val="008B5E46"/>
    <w:rsid w:val="008B6B32"/>
    <w:rsid w:val="008B7EC2"/>
    <w:rsid w:val="008D4FC5"/>
    <w:rsid w:val="008F1D1C"/>
    <w:rsid w:val="009031D1"/>
    <w:rsid w:val="00907C31"/>
    <w:rsid w:val="009128D0"/>
    <w:rsid w:val="009137BA"/>
    <w:rsid w:val="00922396"/>
    <w:rsid w:val="0092360E"/>
    <w:rsid w:val="009328A1"/>
    <w:rsid w:val="00932B87"/>
    <w:rsid w:val="00932BB0"/>
    <w:rsid w:val="009363BD"/>
    <w:rsid w:val="009365BE"/>
    <w:rsid w:val="00941F6A"/>
    <w:rsid w:val="00946375"/>
    <w:rsid w:val="00950201"/>
    <w:rsid w:val="00957AF0"/>
    <w:rsid w:val="00962EC5"/>
    <w:rsid w:val="00974D5D"/>
    <w:rsid w:val="00975863"/>
    <w:rsid w:val="009866BB"/>
    <w:rsid w:val="00991BAB"/>
    <w:rsid w:val="009A0311"/>
    <w:rsid w:val="009A1877"/>
    <w:rsid w:val="009A3645"/>
    <w:rsid w:val="009B19D1"/>
    <w:rsid w:val="009B4703"/>
    <w:rsid w:val="009B5C22"/>
    <w:rsid w:val="009C4000"/>
    <w:rsid w:val="009C6E22"/>
    <w:rsid w:val="009D1038"/>
    <w:rsid w:val="009E1F5A"/>
    <w:rsid w:val="009E41BE"/>
    <w:rsid w:val="009E69C9"/>
    <w:rsid w:val="009F66F4"/>
    <w:rsid w:val="00A01A66"/>
    <w:rsid w:val="00A06BEC"/>
    <w:rsid w:val="00A10743"/>
    <w:rsid w:val="00A15A86"/>
    <w:rsid w:val="00A16DAA"/>
    <w:rsid w:val="00A27A9A"/>
    <w:rsid w:val="00A303C3"/>
    <w:rsid w:val="00A36615"/>
    <w:rsid w:val="00A36E3B"/>
    <w:rsid w:val="00A4311F"/>
    <w:rsid w:val="00A45275"/>
    <w:rsid w:val="00A4545F"/>
    <w:rsid w:val="00A524C9"/>
    <w:rsid w:val="00A54621"/>
    <w:rsid w:val="00A8129E"/>
    <w:rsid w:val="00A84C3A"/>
    <w:rsid w:val="00A9376B"/>
    <w:rsid w:val="00A96065"/>
    <w:rsid w:val="00AA0C45"/>
    <w:rsid w:val="00AA5B45"/>
    <w:rsid w:val="00AA7D51"/>
    <w:rsid w:val="00AA7DA8"/>
    <w:rsid w:val="00AB0114"/>
    <w:rsid w:val="00AB0E3E"/>
    <w:rsid w:val="00AB15A4"/>
    <w:rsid w:val="00AB2932"/>
    <w:rsid w:val="00AB33A2"/>
    <w:rsid w:val="00AB4A47"/>
    <w:rsid w:val="00AB5918"/>
    <w:rsid w:val="00AC020E"/>
    <w:rsid w:val="00AC20D5"/>
    <w:rsid w:val="00AC28A8"/>
    <w:rsid w:val="00AC67F1"/>
    <w:rsid w:val="00AD29C6"/>
    <w:rsid w:val="00AD5854"/>
    <w:rsid w:val="00AE0CB3"/>
    <w:rsid w:val="00AE162D"/>
    <w:rsid w:val="00AE7617"/>
    <w:rsid w:val="00AF04FE"/>
    <w:rsid w:val="00AF05BE"/>
    <w:rsid w:val="00B07CD4"/>
    <w:rsid w:val="00B12CB2"/>
    <w:rsid w:val="00B27505"/>
    <w:rsid w:val="00B30F5A"/>
    <w:rsid w:val="00B32C2E"/>
    <w:rsid w:val="00B40304"/>
    <w:rsid w:val="00B41B71"/>
    <w:rsid w:val="00B462DC"/>
    <w:rsid w:val="00B46F37"/>
    <w:rsid w:val="00B5167F"/>
    <w:rsid w:val="00B519E5"/>
    <w:rsid w:val="00B6185C"/>
    <w:rsid w:val="00B61DE2"/>
    <w:rsid w:val="00B6578B"/>
    <w:rsid w:val="00B65950"/>
    <w:rsid w:val="00B7036B"/>
    <w:rsid w:val="00B7467D"/>
    <w:rsid w:val="00B7499D"/>
    <w:rsid w:val="00B80BD3"/>
    <w:rsid w:val="00B81B86"/>
    <w:rsid w:val="00B82502"/>
    <w:rsid w:val="00B83DA4"/>
    <w:rsid w:val="00B84608"/>
    <w:rsid w:val="00B91105"/>
    <w:rsid w:val="00B930AE"/>
    <w:rsid w:val="00BA5CA1"/>
    <w:rsid w:val="00BA7F4B"/>
    <w:rsid w:val="00BB65F9"/>
    <w:rsid w:val="00BC507E"/>
    <w:rsid w:val="00BD16DA"/>
    <w:rsid w:val="00BE0E3F"/>
    <w:rsid w:val="00BE4295"/>
    <w:rsid w:val="00BE56E9"/>
    <w:rsid w:val="00BE6949"/>
    <w:rsid w:val="00BE74F0"/>
    <w:rsid w:val="00BF2D8E"/>
    <w:rsid w:val="00BF5D1E"/>
    <w:rsid w:val="00C02D75"/>
    <w:rsid w:val="00C04B0E"/>
    <w:rsid w:val="00C10020"/>
    <w:rsid w:val="00C11F34"/>
    <w:rsid w:val="00C13D84"/>
    <w:rsid w:val="00C157D9"/>
    <w:rsid w:val="00C21515"/>
    <w:rsid w:val="00C22A85"/>
    <w:rsid w:val="00C247E6"/>
    <w:rsid w:val="00C26E2D"/>
    <w:rsid w:val="00C32AD7"/>
    <w:rsid w:val="00C35557"/>
    <w:rsid w:val="00C35A75"/>
    <w:rsid w:val="00C3654A"/>
    <w:rsid w:val="00C53255"/>
    <w:rsid w:val="00C541F9"/>
    <w:rsid w:val="00C66A6C"/>
    <w:rsid w:val="00C83763"/>
    <w:rsid w:val="00CA1C05"/>
    <w:rsid w:val="00CA4672"/>
    <w:rsid w:val="00CA4EA2"/>
    <w:rsid w:val="00CB0D8E"/>
    <w:rsid w:val="00CB1E6D"/>
    <w:rsid w:val="00CB217A"/>
    <w:rsid w:val="00CB2B0E"/>
    <w:rsid w:val="00CC0AD1"/>
    <w:rsid w:val="00CD2A3D"/>
    <w:rsid w:val="00CD3064"/>
    <w:rsid w:val="00CE7D28"/>
    <w:rsid w:val="00D04D63"/>
    <w:rsid w:val="00D05BCD"/>
    <w:rsid w:val="00D12DA5"/>
    <w:rsid w:val="00D13D4D"/>
    <w:rsid w:val="00D167C8"/>
    <w:rsid w:val="00D171BA"/>
    <w:rsid w:val="00D17408"/>
    <w:rsid w:val="00D2100D"/>
    <w:rsid w:val="00D25840"/>
    <w:rsid w:val="00D27B29"/>
    <w:rsid w:val="00D27E0E"/>
    <w:rsid w:val="00D3439B"/>
    <w:rsid w:val="00D4013B"/>
    <w:rsid w:val="00D42AA0"/>
    <w:rsid w:val="00D46214"/>
    <w:rsid w:val="00D52ED8"/>
    <w:rsid w:val="00D54393"/>
    <w:rsid w:val="00D6016B"/>
    <w:rsid w:val="00D60EA8"/>
    <w:rsid w:val="00D718CC"/>
    <w:rsid w:val="00D71F3B"/>
    <w:rsid w:val="00D7651C"/>
    <w:rsid w:val="00D91B83"/>
    <w:rsid w:val="00D947B8"/>
    <w:rsid w:val="00DA2824"/>
    <w:rsid w:val="00DA6CE5"/>
    <w:rsid w:val="00DB3416"/>
    <w:rsid w:val="00DB56BB"/>
    <w:rsid w:val="00DB7A40"/>
    <w:rsid w:val="00DE197B"/>
    <w:rsid w:val="00DE28DF"/>
    <w:rsid w:val="00DE3C73"/>
    <w:rsid w:val="00E02325"/>
    <w:rsid w:val="00E04792"/>
    <w:rsid w:val="00E056BA"/>
    <w:rsid w:val="00E05786"/>
    <w:rsid w:val="00E15410"/>
    <w:rsid w:val="00E163A3"/>
    <w:rsid w:val="00E26D78"/>
    <w:rsid w:val="00E40E4E"/>
    <w:rsid w:val="00E424DC"/>
    <w:rsid w:val="00E5537B"/>
    <w:rsid w:val="00E5565D"/>
    <w:rsid w:val="00E640CD"/>
    <w:rsid w:val="00E70E9E"/>
    <w:rsid w:val="00E72400"/>
    <w:rsid w:val="00E7736E"/>
    <w:rsid w:val="00E87D2B"/>
    <w:rsid w:val="00E925F4"/>
    <w:rsid w:val="00EA22C6"/>
    <w:rsid w:val="00EA3414"/>
    <w:rsid w:val="00EA6054"/>
    <w:rsid w:val="00EB4D67"/>
    <w:rsid w:val="00EB6AEA"/>
    <w:rsid w:val="00ED4646"/>
    <w:rsid w:val="00ED5DFD"/>
    <w:rsid w:val="00ED6C23"/>
    <w:rsid w:val="00EE3109"/>
    <w:rsid w:val="00EE587F"/>
    <w:rsid w:val="00EE60F2"/>
    <w:rsid w:val="00EF4330"/>
    <w:rsid w:val="00EF4FA8"/>
    <w:rsid w:val="00F00C92"/>
    <w:rsid w:val="00F03E75"/>
    <w:rsid w:val="00F11C05"/>
    <w:rsid w:val="00F16C72"/>
    <w:rsid w:val="00F22E7D"/>
    <w:rsid w:val="00F25D86"/>
    <w:rsid w:val="00F31E23"/>
    <w:rsid w:val="00F352F1"/>
    <w:rsid w:val="00F47841"/>
    <w:rsid w:val="00F51E0E"/>
    <w:rsid w:val="00F66FD8"/>
    <w:rsid w:val="00F67A8E"/>
    <w:rsid w:val="00F67C64"/>
    <w:rsid w:val="00F70024"/>
    <w:rsid w:val="00F73073"/>
    <w:rsid w:val="00F73D9D"/>
    <w:rsid w:val="00F755AB"/>
    <w:rsid w:val="00F90E9C"/>
    <w:rsid w:val="00F94887"/>
    <w:rsid w:val="00F97A32"/>
    <w:rsid w:val="00FA3C76"/>
    <w:rsid w:val="00FA45D2"/>
    <w:rsid w:val="00FA6F92"/>
    <w:rsid w:val="00FB1B3B"/>
    <w:rsid w:val="00FB2161"/>
    <w:rsid w:val="00FB45F6"/>
    <w:rsid w:val="00FB64F7"/>
    <w:rsid w:val="00FB71DF"/>
    <w:rsid w:val="00FC0ABF"/>
    <w:rsid w:val="00FE4A36"/>
    <w:rsid w:val="00FE58D6"/>
    <w:rsid w:val="00FE7157"/>
    <w:rsid w:val="00FF1269"/>
    <w:rsid w:val="00FF1766"/>
    <w:rsid w:val="00FF2D93"/>
    <w:rsid w:val="00FF43BB"/>
    <w:rsid w:val="00FF5A3A"/>
    <w:rsid w:val="00FF683E"/>
    <w:rsid w:val="437D45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BCA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5952"/>
    <w:pPr>
      <w:widowControl w:val="0"/>
      <w:spacing w:after="0" w:line="240" w:lineRule="auto"/>
    </w:pPr>
    <w:rPr>
      <w:rFonts w:ascii="Cambria" w:eastAsia="Cambria" w:hAnsi="Cambria" w:cs="Cambr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949E9"/>
    <w:rPr>
      <w:sz w:val="20"/>
      <w:szCs w:val="20"/>
    </w:rPr>
  </w:style>
  <w:style w:type="character" w:customStyle="1" w:styleId="CommentTextChar">
    <w:name w:val="Comment Text Char"/>
    <w:basedOn w:val="DefaultParagraphFont"/>
    <w:link w:val="CommentText"/>
    <w:uiPriority w:val="99"/>
    <w:rsid w:val="002949E9"/>
    <w:rPr>
      <w:rFonts w:ascii="Cambria" w:eastAsia="Cambria" w:hAnsi="Cambria" w:cs="Cambria"/>
      <w:kern w:val="0"/>
      <w:sz w:val="20"/>
      <w:szCs w:val="20"/>
      <w14:ligatures w14:val="none"/>
    </w:rPr>
  </w:style>
  <w:style w:type="character" w:styleId="CommentReference">
    <w:name w:val="annotation reference"/>
    <w:basedOn w:val="DefaultParagraphFont"/>
    <w:uiPriority w:val="99"/>
    <w:unhideWhenUsed/>
    <w:rsid w:val="002949E9"/>
    <w:rPr>
      <w:sz w:val="16"/>
      <w:szCs w:val="16"/>
    </w:rPr>
  </w:style>
  <w:style w:type="paragraph" w:styleId="ListParagraph">
    <w:name w:val="List Paragraph"/>
    <w:basedOn w:val="Normal"/>
    <w:uiPriority w:val="34"/>
    <w:qFormat/>
    <w:rsid w:val="00D25840"/>
    <w:pPr>
      <w:ind w:left="720"/>
      <w:contextualSpacing/>
    </w:pPr>
  </w:style>
  <w:style w:type="paragraph" w:styleId="Header">
    <w:name w:val="header"/>
    <w:basedOn w:val="Normal"/>
    <w:link w:val="HeaderChar"/>
    <w:uiPriority w:val="99"/>
    <w:unhideWhenUsed/>
    <w:rsid w:val="00E424DC"/>
    <w:pPr>
      <w:tabs>
        <w:tab w:val="center" w:pos="4680"/>
        <w:tab w:val="right" w:pos="9360"/>
      </w:tabs>
    </w:pPr>
  </w:style>
  <w:style w:type="character" w:customStyle="1" w:styleId="HeaderChar">
    <w:name w:val="Header Char"/>
    <w:basedOn w:val="DefaultParagraphFont"/>
    <w:link w:val="Header"/>
    <w:uiPriority w:val="99"/>
    <w:rsid w:val="00E424DC"/>
    <w:rPr>
      <w:rFonts w:ascii="Cambria" w:eastAsia="Cambria" w:hAnsi="Cambria" w:cs="Cambria"/>
      <w:kern w:val="0"/>
      <w14:ligatures w14:val="none"/>
    </w:rPr>
  </w:style>
  <w:style w:type="paragraph" w:styleId="Footer">
    <w:name w:val="footer"/>
    <w:basedOn w:val="Normal"/>
    <w:link w:val="FooterChar"/>
    <w:uiPriority w:val="99"/>
    <w:unhideWhenUsed/>
    <w:rsid w:val="00E424DC"/>
    <w:pPr>
      <w:tabs>
        <w:tab w:val="center" w:pos="4680"/>
        <w:tab w:val="right" w:pos="9360"/>
      </w:tabs>
    </w:pPr>
  </w:style>
  <w:style w:type="character" w:customStyle="1" w:styleId="FooterChar">
    <w:name w:val="Footer Char"/>
    <w:basedOn w:val="DefaultParagraphFont"/>
    <w:link w:val="Footer"/>
    <w:uiPriority w:val="99"/>
    <w:rsid w:val="00E424DC"/>
    <w:rPr>
      <w:rFonts w:ascii="Cambria" w:eastAsia="Cambria" w:hAnsi="Cambria" w:cs="Cambria"/>
      <w:kern w:val="0"/>
      <w14:ligatures w14:val="none"/>
    </w:rPr>
  </w:style>
  <w:style w:type="paragraph" w:styleId="Revision">
    <w:name w:val="Revision"/>
    <w:hidden/>
    <w:uiPriority w:val="99"/>
    <w:semiHidden/>
    <w:rsid w:val="000F2BD3"/>
    <w:pPr>
      <w:spacing w:after="0" w:line="240" w:lineRule="auto"/>
    </w:pPr>
    <w:rPr>
      <w:rFonts w:ascii="Cambria" w:eastAsia="Cambria" w:hAnsi="Cambria" w:cs="Cambria"/>
      <w:kern w:val="0"/>
      <w14:ligatures w14:val="none"/>
    </w:rPr>
  </w:style>
  <w:style w:type="paragraph" w:styleId="CommentSubject">
    <w:name w:val="annotation subject"/>
    <w:basedOn w:val="CommentText"/>
    <w:next w:val="CommentText"/>
    <w:link w:val="CommentSubjectChar"/>
    <w:uiPriority w:val="99"/>
    <w:semiHidden/>
    <w:unhideWhenUsed/>
    <w:rsid w:val="00B46F37"/>
    <w:rPr>
      <w:b/>
      <w:bCs/>
    </w:rPr>
  </w:style>
  <w:style w:type="character" w:customStyle="1" w:styleId="CommentSubjectChar">
    <w:name w:val="Comment Subject Char"/>
    <w:basedOn w:val="CommentTextChar"/>
    <w:link w:val="CommentSubject"/>
    <w:uiPriority w:val="99"/>
    <w:semiHidden/>
    <w:rsid w:val="00B46F37"/>
    <w:rPr>
      <w:rFonts w:ascii="Cambria" w:eastAsia="Cambria" w:hAnsi="Cambria" w:cs="Cambria"/>
      <w:b/>
      <w:bCs/>
      <w:kern w:val="0"/>
      <w:sz w:val="20"/>
      <w:szCs w:val="20"/>
      <w14:ligatures w14:val="none"/>
    </w:rPr>
  </w:style>
  <w:style w:type="paragraph" w:styleId="NormalWeb">
    <w:name w:val="Normal (Web)"/>
    <w:basedOn w:val="Normal"/>
    <w:uiPriority w:val="99"/>
    <w:unhideWhenUsed/>
    <w:rsid w:val="001038EB"/>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C361E"/>
    <w:rPr>
      <w:sz w:val="20"/>
      <w:szCs w:val="20"/>
    </w:rPr>
  </w:style>
  <w:style w:type="character" w:customStyle="1" w:styleId="FootnoteTextChar">
    <w:name w:val="Footnote Text Char"/>
    <w:basedOn w:val="DefaultParagraphFont"/>
    <w:link w:val="FootnoteText"/>
    <w:uiPriority w:val="99"/>
    <w:semiHidden/>
    <w:rsid w:val="004C361E"/>
    <w:rPr>
      <w:rFonts w:ascii="Cambria" w:eastAsia="Cambria" w:hAnsi="Cambria" w:cs="Cambria"/>
      <w:kern w:val="0"/>
      <w:sz w:val="20"/>
      <w:szCs w:val="20"/>
      <w14:ligatures w14:val="none"/>
    </w:rPr>
  </w:style>
  <w:style w:type="character" w:styleId="FootnoteReference">
    <w:name w:val="footnote reference"/>
    <w:uiPriority w:val="99"/>
    <w:rsid w:val="004C36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669396">
      <w:bodyDiv w:val="1"/>
      <w:marLeft w:val="0"/>
      <w:marRight w:val="0"/>
      <w:marTop w:val="0"/>
      <w:marBottom w:val="0"/>
      <w:divBdr>
        <w:top w:val="none" w:sz="0" w:space="0" w:color="auto"/>
        <w:left w:val="none" w:sz="0" w:space="0" w:color="auto"/>
        <w:bottom w:val="none" w:sz="0" w:space="0" w:color="auto"/>
        <w:right w:val="none" w:sz="0" w:space="0" w:color="auto"/>
      </w:divBdr>
    </w:div>
    <w:div w:id="11215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4325</Words>
  <Characters>24654</Characters>
  <Application>Microsoft Office Word</Application>
  <DocSecurity>0</DocSecurity>
  <Lines>205</Lines>
  <Paragraphs>57</Paragraphs>
  <ScaleCrop>false</ScaleCrop>
  <Company/>
  <LinksUpToDate>false</LinksUpToDate>
  <CharactersWithSpaces>28922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2025-11-23T08:36:00Z</dcterms:created>
  <dcterms:modified xsi:type="dcterms:W3CDTF">2025-11-23T11:33:00Z</dcterms:modified>
</cp:coreProperties>
</file>