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AB4" w14:textId="5B005EC3" w:rsidR="00D73049" w:rsidRPr="00402009"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402009">
        <w:rPr>
          <w:rFonts w:ascii="Cambria" w:hAnsi="Cambria"/>
          <w:b/>
          <w:color w:val="000000"/>
          <w:sz w:val="20"/>
        </w:rPr>
        <w:t xml:space="preserve">Original : </w:t>
      </w:r>
      <w:r w:rsidRPr="00402009">
        <w:rPr>
          <w:rFonts w:ascii="Cambria" w:hAnsi="Cambria"/>
          <w:b/>
          <w:bCs/>
          <w:color w:val="000000"/>
          <w:sz w:val="20"/>
        </w:rPr>
        <w:t>anglais</w:t>
      </w:r>
    </w:p>
    <w:p w14:paraId="7B1E4EC8" w14:textId="77777777" w:rsidR="00D73049" w:rsidRPr="00402009" w:rsidRDefault="00D73049" w:rsidP="000C52EC">
      <w:pPr>
        <w:spacing w:after="0" w:line="240" w:lineRule="auto"/>
        <w:contextualSpacing/>
        <w:jc w:val="center"/>
        <w:rPr>
          <w:b/>
          <w:bCs/>
        </w:rPr>
      </w:pPr>
    </w:p>
    <w:p w14:paraId="251E7240" w14:textId="77777777" w:rsidR="00756AEF" w:rsidRPr="00402009" w:rsidRDefault="00F9666B" w:rsidP="000C52EC">
      <w:pPr>
        <w:spacing w:after="0" w:line="240" w:lineRule="auto"/>
        <w:contextualSpacing/>
        <w:jc w:val="center"/>
        <w:rPr>
          <w:rFonts w:ascii="Cambria" w:hAnsi="Cambria"/>
          <w:b/>
          <w:bCs/>
          <w:sz w:val="20"/>
          <w:szCs w:val="20"/>
        </w:rPr>
      </w:pPr>
      <w:r w:rsidRPr="00402009">
        <w:rPr>
          <w:rFonts w:ascii="Cambria" w:hAnsi="Cambria"/>
          <w:b/>
          <w:bCs/>
          <w:sz w:val="20"/>
          <w:szCs w:val="20"/>
          <w:u w:val="single"/>
        </w:rPr>
        <w:t>Amendements</w:t>
      </w:r>
      <w:r w:rsidR="00B8468E" w:rsidRPr="00402009">
        <w:rPr>
          <w:rFonts w:ascii="Cambria" w:hAnsi="Cambria"/>
          <w:b/>
          <w:bCs/>
          <w:sz w:val="20"/>
          <w:szCs w:val="20"/>
          <w:u w:val="single"/>
        </w:rPr>
        <w:t xml:space="preserve"> proposés au</w:t>
      </w:r>
      <w:r w:rsidR="00B8468E" w:rsidRPr="00402009">
        <w:rPr>
          <w:rFonts w:ascii="Cambria" w:hAnsi="Cambria"/>
          <w:b/>
          <w:bCs/>
          <w:sz w:val="20"/>
          <w:szCs w:val="20"/>
        </w:rPr>
        <w:t xml:space="preserve"> </w:t>
      </w:r>
      <w:r w:rsidR="008D1720" w:rsidRPr="00402009">
        <w:rPr>
          <w:rFonts w:ascii="Cambria" w:hAnsi="Cambria"/>
          <w:b/>
          <w:bCs/>
          <w:sz w:val="20"/>
          <w:szCs w:val="20"/>
        </w:rPr>
        <w:t>Projet de Recommandation de l’ICCAT instituant l’obligation de conserver les ailerons naturellement attachés afin d’en empêcher le prélèvement</w:t>
      </w:r>
    </w:p>
    <w:p w14:paraId="559EFE18" w14:textId="77571560" w:rsidR="008D1720" w:rsidRPr="00402009" w:rsidRDefault="00756AEF" w:rsidP="000C52EC">
      <w:pPr>
        <w:spacing w:after="0" w:line="240" w:lineRule="auto"/>
        <w:contextualSpacing/>
        <w:jc w:val="center"/>
        <w:rPr>
          <w:rFonts w:ascii="Cambria" w:hAnsi="Cambria"/>
          <w:i/>
          <w:iCs/>
          <w:sz w:val="20"/>
          <w:szCs w:val="20"/>
        </w:rPr>
      </w:pPr>
      <w:r w:rsidRPr="00402009">
        <w:rPr>
          <w:rFonts w:ascii="Cambria" w:hAnsi="Cambria"/>
          <w:i/>
          <w:iCs/>
          <w:sz w:val="20"/>
          <w:szCs w:val="20"/>
        </w:rPr>
        <w:t>(</w:t>
      </w:r>
      <w:r w:rsidR="00E9008E" w:rsidRPr="00402009">
        <w:rPr>
          <w:rFonts w:ascii="Cambria" w:hAnsi="Cambria"/>
          <w:i/>
          <w:iCs/>
          <w:sz w:val="20"/>
          <w:szCs w:val="20"/>
        </w:rPr>
        <w:t xml:space="preserve">initialement présenté par l’Union européenne sous la cote </w:t>
      </w:r>
      <w:r w:rsidRPr="00402009">
        <w:rPr>
          <w:rFonts w:ascii="Cambria" w:hAnsi="Cambria"/>
          <w:i/>
          <w:iCs/>
          <w:sz w:val="20"/>
          <w:szCs w:val="20"/>
        </w:rPr>
        <w:t>PA4</w:t>
      </w:r>
      <w:r w:rsidR="00E9008E" w:rsidRPr="00402009">
        <w:rPr>
          <w:rFonts w:ascii="Cambria" w:hAnsi="Cambria"/>
          <w:i/>
          <w:iCs/>
          <w:sz w:val="20"/>
          <w:szCs w:val="20"/>
        </w:rPr>
        <w:t>_</w:t>
      </w:r>
      <w:r w:rsidRPr="00402009">
        <w:rPr>
          <w:rFonts w:ascii="Cambria" w:hAnsi="Cambria"/>
          <w:i/>
          <w:iCs/>
          <w:sz w:val="20"/>
          <w:szCs w:val="20"/>
        </w:rPr>
        <w:t>807</w:t>
      </w:r>
      <w:r w:rsidR="00E9008E" w:rsidRPr="00402009">
        <w:rPr>
          <w:rFonts w:ascii="Cambria" w:hAnsi="Cambria"/>
          <w:i/>
          <w:iCs/>
          <w:sz w:val="20"/>
          <w:szCs w:val="20"/>
        </w:rPr>
        <w:t>/2025</w:t>
      </w:r>
      <w:r w:rsidRPr="00402009">
        <w:rPr>
          <w:rFonts w:ascii="Cambria" w:hAnsi="Cambria"/>
          <w:i/>
          <w:iCs/>
          <w:sz w:val="20"/>
          <w:szCs w:val="20"/>
        </w:rPr>
        <w:t>)</w:t>
      </w:r>
    </w:p>
    <w:p w14:paraId="57EAFB96" w14:textId="77777777" w:rsidR="006715ED" w:rsidRPr="00402009" w:rsidRDefault="006715ED" w:rsidP="000C52EC">
      <w:pPr>
        <w:spacing w:after="0" w:line="240" w:lineRule="auto"/>
        <w:contextualSpacing/>
        <w:jc w:val="center"/>
        <w:rPr>
          <w:rFonts w:ascii="Cambria" w:hAnsi="Cambria"/>
          <w:b/>
          <w:bCs/>
          <w:sz w:val="20"/>
          <w:szCs w:val="20"/>
        </w:rPr>
      </w:pPr>
    </w:p>
    <w:p w14:paraId="5C76A0F6" w14:textId="544CA6A7" w:rsidR="00674B89" w:rsidRPr="00402009" w:rsidRDefault="007E7475" w:rsidP="000C52EC">
      <w:pPr>
        <w:spacing w:after="0" w:line="240" w:lineRule="auto"/>
        <w:contextualSpacing/>
        <w:jc w:val="center"/>
        <w:rPr>
          <w:rFonts w:ascii="Cambria" w:eastAsia="Cambria" w:hAnsi="Cambria" w:cs="Cambria"/>
          <w:i/>
          <w:iCs/>
          <w:sz w:val="20"/>
          <w:szCs w:val="20"/>
        </w:rPr>
      </w:pPr>
      <w:r w:rsidRPr="00402009">
        <w:rPr>
          <w:rFonts w:ascii="Cambria" w:hAnsi="Cambria"/>
          <w:i/>
          <w:sz w:val="20"/>
        </w:rPr>
        <w:t xml:space="preserve">(Document présenté par </w:t>
      </w:r>
      <w:r w:rsidR="00756AEF" w:rsidRPr="00402009">
        <w:rPr>
          <w:rFonts w:ascii="Cambria" w:hAnsi="Cambria"/>
          <w:i/>
          <w:sz w:val="20"/>
        </w:rPr>
        <w:t>le Japon)</w:t>
      </w:r>
    </w:p>
    <w:p w14:paraId="676FFA13" w14:textId="77777777" w:rsidR="00032257" w:rsidRPr="00402009" w:rsidRDefault="00032257" w:rsidP="000C52EC">
      <w:pPr>
        <w:spacing w:after="0" w:line="240" w:lineRule="auto"/>
        <w:contextualSpacing/>
        <w:jc w:val="center"/>
        <w:rPr>
          <w:rFonts w:ascii="Cambria" w:eastAsia="Cambria" w:hAnsi="Cambria" w:cs="Cambria"/>
          <w:b/>
          <w:bCs/>
          <w:sz w:val="20"/>
          <w:szCs w:val="20"/>
        </w:rPr>
      </w:pPr>
    </w:p>
    <w:p w14:paraId="3105702A" w14:textId="77777777" w:rsidR="005E0B8D" w:rsidRPr="00402009" w:rsidRDefault="005E0B8D" w:rsidP="000C52EC">
      <w:pPr>
        <w:spacing w:after="0" w:line="240" w:lineRule="auto"/>
        <w:ind w:firstLine="426"/>
        <w:contextualSpacing/>
        <w:jc w:val="both"/>
        <w:rPr>
          <w:rFonts w:ascii="Cambria" w:eastAsia="Cambria" w:hAnsi="Cambria" w:cs="Cambria"/>
          <w:iCs/>
          <w:sz w:val="20"/>
          <w:szCs w:val="20"/>
        </w:rPr>
      </w:pPr>
      <w:r w:rsidRPr="00402009">
        <w:rPr>
          <w:rFonts w:ascii="Cambria" w:hAnsi="Cambria"/>
          <w:i/>
          <w:sz w:val="20"/>
        </w:rPr>
        <w:t xml:space="preserve">CONSCIENTE </w:t>
      </w:r>
      <w:r w:rsidRPr="00402009">
        <w:rPr>
          <w:rFonts w:ascii="Cambria" w:hAnsi="Cambria"/>
          <w:iCs/>
          <w:sz w:val="20"/>
        </w:rPr>
        <w:t>que l’utilisation des ratios du poids ailerons-carcasse n’est pas une méthode adéquate pour s’assurer que les ailerons ne sont pas prélevés sur les requins ;</w:t>
      </w:r>
    </w:p>
    <w:p w14:paraId="0A8C9A6C" w14:textId="77777777" w:rsidR="00D21AA0" w:rsidRPr="00402009" w:rsidRDefault="00D21AA0" w:rsidP="000C52EC">
      <w:pPr>
        <w:spacing w:after="0" w:line="240" w:lineRule="auto"/>
        <w:contextualSpacing/>
        <w:jc w:val="center"/>
        <w:rPr>
          <w:rFonts w:ascii="Cambria" w:eastAsia="Cambria" w:hAnsi="Cambria" w:cs="Cambria"/>
          <w:b/>
          <w:bCs/>
          <w:sz w:val="20"/>
          <w:szCs w:val="20"/>
        </w:rPr>
      </w:pPr>
    </w:p>
    <w:p w14:paraId="7ECD3C47" w14:textId="5F4B9071" w:rsidR="00334D10" w:rsidRPr="00402009" w:rsidRDefault="00334D10" w:rsidP="00334D10">
      <w:pPr>
        <w:ind w:firstLine="426"/>
        <w:jc w:val="both"/>
        <w:rPr>
          <w:rFonts w:ascii="Cambria" w:hAnsi="Cambria" w:cs="Cambria"/>
          <w:sz w:val="20"/>
          <w:szCs w:val="20"/>
          <w:u w:val="single"/>
        </w:rPr>
      </w:pPr>
      <w:r w:rsidRPr="00402009">
        <w:rPr>
          <w:rFonts w:ascii="Cambria" w:hAnsi="Cambria"/>
          <w:i/>
          <w:iCs/>
          <w:sz w:val="20"/>
          <w:u w:val="single"/>
        </w:rPr>
        <w:t>RECONNAISSANT</w:t>
      </w:r>
      <w:r w:rsidRPr="00402009">
        <w:rPr>
          <w:rFonts w:ascii="Cambria" w:hAnsi="Cambria"/>
          <w:sz w:val="20"/>
          <w:u w:val="single"/>
        </w:rPr>
        <w:t xml:space="preserve"> qu’afin de garantir l'interdiction de la pratique du prélèvement des ailerons tout en résolvant les problèmes de sa mise en œuvre pratique, la politique relative aux ailerons naturellement attachés et les mesures alternatives sont mises en œuvre par la CTOI, l’IATTC et la WCPFC</w:t>
      </w:r>
      <w:r w:rsidR="00C84609" w:rsidRPr="00402009">
        <w:rPr>
          <w:rFonts w:ascii="Cambria" w:hAnsi="Cambria"/>
          <w:sz w:val="20"/>
          <w:u w:val="single"/>
        </w:rPr>
        <w:t> ;</w:t>
      </w:r>
    </w:p>
    <w:p w14:paraId="454E4A4E" w14:textId="77777777" w:rsidR="000C52EC" w:rsidRPr="00402009" w:rsidRDefault="000C52EC" w:rsidP="000C52EC">
      <w:pPr>
        <w:spacing w:after="0" w:line="240" w:lineRule="auto"/>
        <w:contextualSpacing/>
        <w:jc w:val="both"/>
        <w:rPr>
          <w:rFonts w:ascii="Cambria" w:hAnsi="Cambria" w:cs="Cambria"/>
          <w:sz w:val="20"/>
          <w:szCs w:val="20"/>
          <w:u w:val="single"/>
          <w:lang w:eastAsia="ja-JP"/>
        </w:rPr>
      </w:pPr>
    </w:p>
    <w:p w14:paraId="745239D5" w14:textId="66116B4D" w:rsidR="000C52EC" w:rsidRPr="00402009" w:rsidRDefault="000C52EC" w:rsidP="000C52EC">
      <w:pPr>
        <w:spacing w:after="0" w:line="240" w:lineRule="auto"/>
        <w:contextualSpacing/>
        <w:jc w:val="both"/>
        <w:rPr>
          <w:rFonts w:ascii="Cambria" w:hAnsi="Cambria" w:cs="Cambria"/>
          <w:i/>
          <w:iCs/>
          <w:sz w:val="20"/>
          <w:szCs w:val="20"/>
          <w:lang w:eastAsia="ja-JP"/>
        </w:rPr>
      </w:pPr>
      <w:r w:rsidRPr="00402009">
        <w:rPr>
          <w:rFonts w:ascii="Cambria" w:hAnsi="Cambria" w:cs="Cambria" w:hint="eastAsia"/>
          <w:sz w:val="20"/>
          <w:szCs w:val="20"/>
          <w:lang w:eastAsia="ja-JP"/>
        </w:rPr>
        <w:t>[</w:t>
      </w:r>
      <w:r w:rsidRPr="00402009">
        <w:rPr>
          <w:rFonts w:ascii="Cambria" w:hAnsi="Cambria" w:cs="Cambria"/>
          <w:sz w:val="20"/>
          <w:szCs w:val="20"/>
          <w:lang w:eastAsia="ja-JP"/>
        </w:rPr>
        <w:t>…</w:t>
      </w:r>
      <w:r w:rsidRPr="00402009">
        <w:rPr>
          <w:rFonts w:ascii="Cambria" w:hAnsi="Cambria" w:cs="Cambria" w:hint="eastAsia"/>
          <w:sz w:val="20"/>
          <w:szCs w:val="20"/>
          <w:lang w:eastAsia="ja-JP"/>
        </w:rPr>
        <w:t>]</w:t>
      </w:r>
    </w:p>
    <w:p w14:paraId="1181A59B" w14:textId="77777777" w:rsidR="000C52EC" w:rsidRPr="00402009" w:rsidRDefault="000C52EC" w:rsidP="000C52EC">
      <w:pPr>
        <w:spacing w:after="0" w:line="240" w:lineRule="auto"/>
        <w:contextualSpacing/>
        <w:jc w:val="both"/>
        <w:rPr>
          <w:rFonts w:ascii="Cambria" w:eastAsia="Cambria" w:hAnsi="Cambria" w:cs="Cambria"/>
          <w:sz w:val="20"/>
          <w:szCs w:val="20"/>
        </w:rPr>
      </w:pPr>
      <w:r w:rsidRPr="00402009">
        <w:rPr>
          <w:rFonts w:ascii="Cambria" w:hAnsi="Cambria" w:cs="Cambria"/>
          <w:sz w:val="20"/>
          <w:szCs w:val="20"/>
          <w:lang w:eastAsia="ja-JP"/>
        </w:rPr>
        <w:t>[…]</w:t>
      </w:r>
    </w:p>
    <w:p w14:paraId="71E270E9" w14:textId="13E8484F" w:rsidR="003660BE" w:rsidRPr="00402009" w:rsidRDefault="00E35683" w:rsidP="000C52EC">
      <w:pPr>
        <w:spacing w:after="0" w:line="240" w:lineRule="auto"/>
        <w:contextualSpacing/>
        <w:jc w:val="center"/>
        <w:rPr>
          <w:rFonts w:ascii="Cambria" w:eastAsia="Cambria" w:hAnsi="Cambria" w:cs="Cambria"/>
          <w:sz w:val="20"/>
          <w:szCs w:val="20"/>
        </w:rPr>
      </w:pPr>
      <w:r w:rsidRPr="00402009">
        <w:rPr>
          <w:rFonts w:ascii="Cambria" w:hAnsi="Cambria"/>
          <w:sz w:val="20"/>
        </w:rPr>
        <w:t>LA COMMISSION INTERNATIONALE POUR LA CONSERVATION</w:t>
      </w:r>
    </w:p>
    <w:p w14:paraId="120156FE" w14:textId="2AEA1989" w:rsidR="00B84EAF" w:rsidRPr="00402009" w:rsidRDefault="00E35683" w:rsidP="000C52EC">
      <w:pPr>
        <w:spacing w:after="0" w:line="240" w:lineRule="auto"/>
        <w:contextualSpacing/>
        <w:jc w:val="center"/>
        <w:rPr>
          <w:rFonts w:ascii="Cambria" w:eastAsia="Cambria" w:hAnsi="Cambria" w:cs="Cambria"/>
          <w:sz w:val="20"/>
          <w:szCs w:val="20"/>
        </w:rPr>
      </w:pPr>
      <w:r w:rsidRPr="00402009">
        <w:rPr>
          <w:rFonts w:ascii="Cambria" w:hAnsi="Cambria"/>
          <w:sz w:val="20"/>
        </w:rPr>
        <w:t>DES THONIDÉS DE L’ATLANTIQUE (ICCAT) RECOMMANDE CE QUI SUIT :</w:t>
      </w:r>
    </w:p>
    <w:p w14:paraId="26BDCD88" w14:textId="77777777" w:rsidR="00D21AA0" w:rsidRPr="00402009" w:rsidRDefault="00D21AA0" w:rsidP="000C52EC">
      <w:pPr>
        <w:spacing w:after="0" w:line="240" w:lineRule="auto"/>
        <w:contextualSpacing/>
        <w:jc w:val="both"/>
        <w:rPr>
          <w:rFonts w:ascii="Cambria" w:eastAsia="Cambria" w:hAnsi="Cambria" w:cs="Cambria"/>
          <w:b/>
          <w:bCs/>
          <w:sz w:val="20"/>
          <w:szCs w:val="20"/>
        </w:rPr>
      </w:pPr>
    </w:p>
    <w:p w14:paraId="7F8FEDBD" w14:textId="5657C12A" w:rsidR="00CE0F2B" w:rsidRPr="00402009" w:rsidRDefault="00A11FB3" w:rsidP="000C52EC">
      <w:pPr>
        <w:pStyle w:val="ListParagraph"/>
        <w:numPr>
          <w:ilvl w:val="0"/>
          <w:numId w:val="43"/>
        </w:numPr>
        <w:spacing w:after="0" w:line="240" w:lineRule="auto"/>
        <w:ind w:left="426" w:hanging="426"/>
        <w:jc w:val="both"/>
        <w:rPr>
          <w:rFonts w:ascii="Cambria" w:eastAsia="Cambria" w:hAnsi="Cambria" w:cs="Cambria"/>
          <w:b/>
          <w:bCs/>
          <w:sz w:val="20"/>
          <w:szCs w:val="20"/>
        </w:rPr>
      </w:pPr>
      <w:r w:rsidRPr="00402009">
        <w:rPr>
          <w:rFonts w:ascii="Cambria" w:hAnsi="Cambria"/>
          <w:sz w:val="20"/>
        </w:rPr>
        <w:t xml:space="preserve">Les CPC devront interdire la pratique du prélèvement des ailerons (c'est-à-dire la pratique consistant à retirer un aileron du corps d'un requin et à rejeter </w:t>
      </w:r>
      <w:r w:rsidR="002E6F85" w:rsidRPr="00402009">
        <w:rPr>
          <w:rFonts w:ascii="Cambria" w:hAnsi="Cambria"/>
          <w:sz w:val="20"/>
        </w:rPr>
        <w:t>le</w:t>
      </w:r>
      <w:r w:rsidRPr="00402009">
        <w:rPr>
          <w:rFonts w:ascii="Cambria" w:hAnsi="Cambria"/>
          <w:sz w:val="20"/>
        </w:rPr>
        <w:t xml:space="preserve"> corps avant le débarquement) et devront exiger que tous les requins soient débarqués avec leurs ailerons naturellement attachés (entièrement ou partiellemen</w:t>
      </w:r>
      <w:r w:rsidRPr="00402009">
        <w:rPr>
          <w:rFonts w:ascii="Cambria" w:hAnsi="Cambria"/>
          <w:sz w:val="20"/>
          <w:u w:val="single"/>
        </w:rPr>
        <w:t>t)</w:t>
      </w:r>
      <w:r w:rsidR="002E081A" w:rsidRPr="00402009">
        <w:rPr>
          <w:rFonts w:ascii="Cambria" w:hAnsi="Cambria"/>
          <w:sz w:val="20"/>
          <w:u w:val="single"/>
        </w:rPr>
        <w:t xml:space="preserve"> </w:t>
      </w:r>
      <w:r w:rsidRPr="00402009">
        <w:rPr>
          <w:rFonts w:ascii="Cambria" w:hAnsi="Cambria"/>
          <w:sz w:val="20"/>
          <w:u w:val="single"/>
        </w:rPr>
        <w:t>a</w:t>
      </w:r>
      <w:r w:rsidRPr="00402009">
        <w:rPr>
          <w:rFonts w:ascii="Cambria" w:hAnsi="Cambria"/>
          <w:sz w:val="20"/>
        </w:rPr>
        <w:t xml:space="preserve">u point de premier débarquement du requin. </w:t>
      </w:r>
    </w:p>
    <w:p w14:paraId="55F84A3E" w14:textId="77777777" w:rsidR="00CE0F2B" w:rsidRPr="00402009" w:rsidRDefault="00CE0F2B" w:rsidP="008D1720">
      <w:pPr>
        <w:pStyle w:val="ListParagraph"/>
        <w:spacing w:after="0" w:line="240" w:lineRule="auto"/>
        <w:ind w:left="426" w:hanging="426"/>
        <w:jc w:val="both"/>
        <w:rPr>
          <w:rFonts w:ascii="Cambria" w:eastAsia="Cambria" w:hAnsi="Cambria" w:cs="Cambria"/>
          <w:b/>
          <w:bCs/>
          <w:sz w:val="20"/>
          <w:szCs w:val="20"/>
        </w:rPr>
      </w:pPr>
    </w:p>
    <w:p w14:paraId="074566AF" w14:textId="77777777"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Nonobstant le paragraphe 1, les CPC peuvent autoriser leurs navires à mettre en œuvre l'une des mesures alternatives énumérées ci-dessous afin de se conformer au paragraphe 1. Les CPC devront mettre en œuvre des efforts de surveillance renforcés à bord de leurs navires autorisés à mettre en œuvre les alternatives.</w:t>
      </w:r>
    </w:p>
    <w:p w14:paraId="0C810EFC" w14:textId="77777777" w:rsidR="000132BD" w:rsidRPr="00402009" w:rsidRDefault="000132BD" w:rsidP="000132BD">
      <w:pPr>
        <w:pStyle w:val="ListParagraph"/>
        <w:ind w:left="0"/>
        <w:jc w:val="both"/>
        <w:rPr>
          <w:rFonts w:ascii="Cambria" w:hAnsi="Cambria"/>
          <w:sz w:val="20"/>
          <w:szCs w:val="20"/>
          <w:u w:val="single"/>
        </w:rPr>
      </w:pPr>
    </w:p>
    <w:p w14:paraId="4E2890FE" w14:textId="77777777" w:rsidR="000132BD" w:rsidRPr="00402009" w:rsidRDefault="000132BD" w:rsidP="00793937">
      <w:pPr>
        <w:pStyle w:val="ListParagraph"/>
        <w:ind w:left="426"/>
        <w:jc w:val="both"/>
        <w:rPr>
          <w:rFonts w:ascii="Cambria" w:hAnsi="Cambria"/>
          <w:sz w:val="20"/>
          <w:szCs w:val="20"/>
          <w:u w:val="single"/>
        </w:rPr>
      </w:pPr>
      <w:r w:rsidRPr="00402009">
        <w:rPr>
          <w:rFonts w:ascii="Cambria" w:hAnsi="Cambria"/>
          <w:sz w:val="20"/>
          <w:u w:val="single"/>
        </w:rPr>
        <w:t>Afin de garantir que les carcasses de requins et leurs ailerons correspondants puissent être facilement identifiées par les inspecteurs présents à bord du navire à tout moment, ces alternatives devront être appliquées dès que possible avant que les requins ne soient stockés dans les cales à poisson.</w:t>
      </w:r>
    </w:p>
    <w:p w14:paraId="79CB8D09" w14:textId="77777777" w:rsidR="002D0AE1" w:rsidRPr="00402009" w:rsidRDefault="002D0AE1" w:rsidP="002D0AE1">
      <w:pPr>
        <w:pStyle w:val="ListParagraph"/>
        <w:widowControl w:val="0"/>
        <w:autoSpaceDE w:val="0"/>
        <w:autoSpaceDN w:val="0"/>
        <w:spacing w:after="0" w:line="240" w:lineRule="auto"/>
        <w:contextualSpacing w:val="0"/>
        <w:jc w:val="both"/>
        <w:rPr>
          <w:rFonts w:ascii="Cambria" w:hAnsi="Cambria"/>
          <w:sz w:val="20"/>
          <w:szCs w:val="20"/>
          <w:u w:val="single"/>
        </w:rPr>
      </w:pPr>
    </w:p>
    <w:p w14:paraId="4DD6A0CA" w14:textId="32115819" w:rsidR="000132BD" w:rsidRPr="00402009" w:rsidRDefault="000132BD" w:rsidP="002D0AE1">
      <w:pPr>
        <w:pStyle w:val="ListParagraph"/>
        <w:widowControl w:val="0"/>
        <w:numPr>
          <w:ilvl w:val="0"/>
          <w:numId w:val="44"/>
        </w:numPr>
        <w:autoSpaceDE w:val="0"/>
        <w:autoSpaceDN w:val="0"/>
        <w:spacing w:after="0" w:line="240" w:lineRule="auto"/>
        <w:ind w:left="851" w:hanging="425"/>
        <w:contextualSpacing w:val="0"/>
        <w:jc w:val="both"/>
        <w:rPr>
          <w:rFonts w:ascii="Cambria" w:hAnsi="Cambria"/>
          <w:sz w:val="20"/>
          <w:szCs w:val="20"/>
          <w:u w:val="single"/>
        </w:rPr>
      </w:pPr>
      <w:r w:rsidRPr="00402009">
        <w:rPr>
          <w:rFonts w:ascii="Cambria" w:hAnsi="Cambria"/>
          <w:sz w:val="20"/>
          <w:u w:val="single"/>
        </w:rPr>
        <w:t xml:space="preserve">Chaque carcasse de requin est attachée aux ailerons correspondants à l'aide d'une corde ou d'un </w:t>
      </w:r>
      <w:r w:rsidR="00A50283" w:rsidRPr="00402009">
        <w:rPr>
          <w:rFonts w:ascii="Cambria" w:hAnsi="Cambria"/>
          <w:sz w:val="20"/>
          <w:u w:val="single"/>
        </w:rPr>
        <w:t>câble</w:t>
      </w:r>
      <w:r w:rsidR="002D0AE1" w:rsidRPr="00402009">
        <w:rPr>
          <w:rFonts w:ascii="Cambria" w:hAnsi="Cambria"/>
          <w:sz w:val="20"/>
          <w:u w:val="single"/>
        </w:rPr>
        <w:t xml:space="preserve"> ; </w:t>
      </w:r>
      <w:r w:rsidRPr="00402009">
        <w:rPr>
          <w:rFonts w:ascii="Cambria" w:hAnsi="Cambria"/>
          <w:sz w:val="20"/>
          <w:u w:val="single"/>
        </w:rPr>
        <w:t>ou</w:t>
      </w:r>
    </w:p>
    <w:p w14:paraId="3DE34777" w14:textId="77777777" w:rsidR="000132BD" w:rsidRPr="00402009" w:rsidRDefault="000132BD" w:rsidP="002D0AE1">
      <w:pPr>
        <w:pStyle w:val="ListParagraph"/>
        <w:ind w:left="851" w:hanging="425"/>
        <w:jc w:val="both"/>
        <w:rPr>
          <w:rFonts w:ascii="Cambria" w:hAnsi="Cambria"/>
          <w:sz w:val="20"/>
          <w:szCs w:val="20"/>
          <w:u w:val="single"/>
        </w:rPr>
      </w:pPr>
    </w:p>
    <w:p w14:paraId="53397127" w14:textId="77777777" w:rsidR="000132BD" w:rsidRPr="00402009" w:rsidRDefault="000132BD" w:rsidP="002D0AE1">
      <w:pPr>
        <w:pStyle w:val="ListParagraph"/>
        <w:widowControl w:val="0"/>
        <w:numPr>
          <w:ilvl w:val="0"/>
          <w:numId w:val="44"/>
        </w:numPr>
        <w:autoSpaceDE w:val="0"/>
        <w:autoSpaceDN w:val="0"/>
        <w:spacing w:after="0" w:line="240" w:lineRule="auto"/>
        <w:ind w:left="851" w:hanging="425"/>
        <w:contextualSpacing w:val="0"/>
        <w:jc w:val="both"/>
        <w:rPr>
          <w:rFonts w:ascii="Cambria" w:hAnsi="Cambria"/>
          <w:sz w:val="20"/>
          <w:szCs w:val="20"/>
          <w:u w:val="single"/>
        </w:rPr>
      </w:pPr>
      <w:r w:rsidRPr="00402009">
        <w:rPr>
          <w:rFonts w:ascii="Cambria" w:hAnsi="Cambria"/>
          <w:sz w:val="20"/>
          <w:u w:val="single"/>
        </w:rPr>
        <w:t xml:space="preserve">Des marques identiques et numérotées de manière unique sont attachées à chaque carcasse de requin et à ses ailerons correspondants </w:t>
      </w:r>
      <w:proofErr w:type="gramStart"/>
      <w:r w:rsidRPr="00402009">
        <w:rPr>
          <w:rFonts w:ascii="Cambria" w:hAnsi="Cambria"/>
          <w:sz w:val="20"/>
          <w:u w:val="single"/>
        </w:rPr>
        <w:t>de manière à ce</w:t>
      </w:r>
      <w:proofErr w:type="gramEnd"/>
      <w:r w:rsidRPr="00402009">
        <w:rPr>
          <w:rFonts w:ascii="Cambria" w:hAnsi="Cambria"/>
          <w:sz w:val="20"/>
          <w:u w:val="single"/>
        </w:rPr>
        <w:t xml:space="preserve"> que les inspecteurs puissent facilement identifier la correspondance entre la carcasse et les ailerons à tout moment. Les carcasses et les ailerons devront être stockés à bord dans la même cale.</w:t>
      </w:r>
    </w:p>
    <w:p w14:paraId="5DB6C599" w14:textId="77777777" w:rsidR="000132BD" w:rsidRPr="00402009" w:rsidRDefault="000132BD" w:rsidP="000132BD">
      <w:pPr>
        <w:pStyle w:val="ListParagraph"/>
        <w:ind w:left="360"/>
        <w:jc w:val="both"/>
        <w:rPr>
          <w:rFonts w:ascii="Cambria" w:hAnsi="Cambria"/>
          <w:sz w:val="20"/>
          <w:szCs w:val="20"/>
          <w:u w:val="single"/>
        </w:rPr>
      </w:pPr>
    </w:p>
    <w:p w14:paraId="47C77604" w14:textId="77777777"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Toutes les CPC devront inclure dans leur rapport annuel des informations sur la mise en œuvre des mesures visées aux paragraphes 1 et 2, selon le cas, y compris : 1) comment les navires autorisés ont renforcé leurs efforts de surveillance ; 2) combien de navires ont utilisé les mesures alternatives au cours de l'année précédente ; 3) comment l’application est assurée en mer et au port, y compris comment les incidents éventuels de nombre disproportionné d’ailerons, de pratique d’écrémage et de substitution d'espèces ont été traités ; 4) une explication de la raison pour laquelle la flottille a adopté sa pratique de manipulation des ailerons et 5) toute autre information que le PWG pourrait juger nécessaire.</w:t>
      </w:r>
    </w:p>
    <w:p w14:paraId="4A0765D2" w14:textId="77777777" w:rsidR="000132BD" w:rsidRPr="00402009" w:rsidRDefault="000132BD" w:rsidP="000132BD">
      <w:pPr>
        <w:pStyle w:val="ListParagraph"/>
        <w:ind w:left="360"/>
        <w:jc w:val="both"/>
        <w:rPr>
          <w:rFonts w:ascii="Cambria" w:hAnsi="Cambria"/>
          <w:sz w:val="20"/>
          <w:szCs w:val="20"/>
          <w:u w:val="single"/>
        </w:rPr>
      </w:pPr>
    </w:p>
    <w:p w14:paraId="18DA187C" w14:textId="2D49652E"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 xml:space="preserve">Les CPC devront fournir des informations au PWG sur toute difficulté d'application rencontrée dans le cas des mesures alternatives, à partir des rapports des observateurs, de </w:t>
      </w:r>
      <w:r w:rsidR="00534F98" w:rsidRPr="00402009">
        <w:rPr>
          <w:rFonts w:ascii="Cambria" w:hAnsi="Cambria"/>
          <w:sz w:val="20"/>
          <w:u w:val="single"/>
        </w:rPr>
        <w:t>surveillance</w:t>
      </w:r>
      <w:r w:rsidRPr="00402009">
        <w:rPr>
          <w:rFonts w:ascii="Cambria" w:hAnsi="Cambria"/>
          <w:sz w:val="20"/>
          <w:u w:val="single"/>
        </w:rPr>
        <w:t xml:space="preserve"> électronique et d'inspection des débarquements.</w:t>
      </w:r>
    </w:p>
    <w:p w14:paraId="01EA15CE" w14:textId="77777777" w:rsidR="000132BD" w:rsidRPr="00402009" w:rsidRDefault="000132BD" w:rsidP="000132BD">
      <w:pPr>
        <w:pStyle w:val="ListParagraph"/>
        <w:ind w:left="360"/>
        <w:jc w:val="both"/>
        <w:rPr>
          <w:rFonts w:ascii="Cambria" w:hAnsi="Cambria"/>
          <w:sz w:val="20"/>
          <w:szCs w:val="20"/>
          <w:u w:val="single"/>
        </w:rPr>
      </w:pPr>
    </w:p>
    <w:p w14:paraId="04744C06" w14:textId="0207C4D1" w:rsidR="002D0AE1" w:rsidRPr="00402009" w:rsidRDefault="000132BD" w:rsidP="00725CF9">
      <w:pPr>
        <w:pStyle w:val="ListParagraph"/>
        <w:widowControl w:val="0"/>
        <w:numPr>
          <w:ilvl w:val="0"/>
          <w:numId w:val="43"/>
        </w:numPr>
        <w:spacing w:after="0" w:line="240" w:lineRule="auto"/>
        <w:ind w:left="426" w:hanging="426"/>
        <w:jc w:val="both"/>
        <w:rPr>
          <w:rFonts w:ascii="Cambria" w:hAnsi="Cambria"/>
          <w:sz w:val="20"/>
          <w:u w:val="single"/>
        </w:rPr>
      </w:pPr>
      <w:r w:rsidRPr="00402009">
        <w:rPr>
          <w:rFonts w:ascii="Cambria" w:hAnsi="Cambria"/>
          <w:sz w:val="20"/>
          <w:u w:val="single"/>
        </w:rPr>
        <w:t>Le Secrétariat de l'ICCAT devra compiler les informations fournies par les CPC en ce qui concerne les paragraphes 1 et 2, chaque année, et les mettre à la disposition du PWG.</w:t>
      </w:r>
      <w:r w:rsidR="002D0AE1" w:rsidRPr="00402009">
        <w:rPr>
          <w:rFonts w:ascii="Cambria" w:hAnsi="Cambria"/>
          <w:sz w:val="20"/>
          <w:u w:val="single"/>
        </w:rPr>
        <w:br w:type="page"/>
      </w:r>
    </w:p>
    <w:p w14:paraId="0F42FECD" w14:textId="59B6F0A6" w:rsidR="000132BD" w:rsidRPr="00402009" w:rsidRDefault="000132BD" w:rsidP="000132BD">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lastRenderedPageBreak/>
        <w:t xml:space="preserve">Le PWG devra examiner les </w:t>
      </w:r>
      <w:r w:rsidR="00EA5CAA" w:rsidRPr="00402009">
        <w:rPr>
          <w:rFonts w:ascii="Cambria" w:hAnsi="Cambria"/>
          <w:sz w:val="20"/>
          <w:u w:val="single"/>
        </w:rPr>
        <w:t>informations</w:t>
      </w:r>
      <w:r w:rsidRPr="00402009">
        <w:rPr>
          <w:rFonts w:ascii="Cambria" w:hAnsi="Cambria"/>
          <w:sz w:val="20"/>
          <w:u w:val="single"/>
        </w:rPr>
        <w:t xml:space="preserve"> présenté</w:t>
      </w:r>
      <w:r w:rsidR="00EA5CAA" w:rsidRPr="00402009">
        <w:rPr>
          <w:rFonts w:ascii="Cambria" w:hAnsi="Cambria"/>
          <w:sz w:val="20"/>
          <w:u w:val="single"/>
        </w:rPr>
        <w:t>e</w:t>
      </w:r>
      <w:r w:rsidRPr="00402009">
        <w:rPr>
          <w:rFonts w:ascii="Cambria" w:hAnsi="Cambria"/>
          <w:sz w:val="20"/>
          <w:u w:val="single"/>
        </w:rPr>
        <w:t>s conformément aux paragraphes 3 et 4</w:t>
      </w:r>
      <w:r w:rsidR="00AD1D2F" w:rsidRPr="00402009">
        <w:rPr>
          <w:rFonts w:ascii="Cambria" w:hAnsi="Cambria"/>
          <w:sz w:val="20"/>
          <w:u w:val="single"/>
        </w:rPr>
        <w:t xml:space="preserve"> et en discuter.</w:t>
      </w:r>
      <w:r w:rsidRPr="00402009">
        <w:rPr>
          <w:rFonts w:ascii="Cambria" w:hAnsi="Cambria"/>
          <w:sz w:val="20"/>
          <w:u w:val="single"/>
        </w:rPr>
        <w:t xml:space="preserve"> Si une CPC qui a </w:t>
      </w:r>
      <w:r w:rsidR="000953E0" w:rsidRPr="00402009">
        <w:rPr>
          <w:rFonts w:ascii="Cambria" w:hAnsi="Cambria"/>
          <w:sz w:val="20"/>
          <w:u w:val="single"/>
        </w:rPr>
        <w:t>appliqué</w:t>
      </w:r>
      <w:r w:rsidRPr="00402009">
        <w:rPr>
          <w:rFonts w:ascii="Cambria" w:hAnsi="Cambria"/>
          <w:sz w:val="20"/>
          <w:u w:val="single"/>
        </w:rPr>
        <w:t xml:space="preserve"> les mesures alternatives ne fournit pas d'informations conformément au paragraphe 3 afin de garantir l'efficacité des mesures alternatives énoncées au paragraphe 2, le paragraphe 2 ne sera pas applicable au cours des années suivantes pour cette CPC </w:t>
      </w:r>
      <w:r w:rsidR="00F02EE7" w:rsidRPr="00402009">
        <w:rPr>
          <w:rFonts w:ascii="Cambria" w:hAnsi="Cambria"/>
          <w:sz w:val="20"/>
          <w:u w:val="single"/>
        </w:rPr>
        <w:t xml:space="preserve">tant que </w:t>
      </w:r>
      <w:r w:rsidRPr="00402009">
        <w:rPr>
          <w:rFonts w:ascii="Cambria" w:hAnsi="Cambria"/>
          <w:sz w:val="20"/>
          <w:u w:val="single"/>
        </w:rPr>
        <w:t xml:space="preserve">la CPC </w:t>
      </w:r>
      <w:r w:rsidR="00553895" w:rsidRPr="00402009">
        <w:rPr>
          <w:rFonts w:ascii="Cambria" w:hAnsi="Cambria"/>
          <w:sz w:val="20"/>
          <w:u w:val="single"/>
        </w:rPr>
        <w:t xml:space="preserve">n’aura pas </w:t>
      </w:r>
      <w:r w:rsidRPr="00402009">
        <w:rPr>
          <w:rFonts w:ascii="Cambria" w:hAnsi="Cambria"/>
          <w:sz w:val="20"/>
          <w:u w:val="single"/>
        </w:rPr>
        <w:t>fourni</w:t>
      </w:r>
      <w:r w:rsidR="00553895" w:rsidRPr="00402009">
        <w:rPr>
          <w:rFonts w:ascii="Cambria" w:hAnsi="Cambria"/>
          <w:sz w:val="20"/>
          <w:u w:val="single"/>
        </w:rPr>
        <w:t xml:space="preserve"> </w:t>
      </w:r>
      <w:r w:rsidRPr="00402009">
        <w:rPr>
          <w:rFonts w:ascii="Cambria" w:hAnsi="Cambria"/>
          <w:sz w:val="20"/>
          <w:u w:val="single"/>
        </w:rPr>
        <w:t>ces informations au PWG.</w:t>
      </w:r>
    </w:p>
    <w:p w14:paraId="59FCFDD9" w14:textId="77777777" w:rsidR="00280596" w:rsidRPr="00402009" w:rsidRDefault="00280596" w:rsidP="008D1720">
      <w:pPr>
        <w:pStyle w:val="ListParagraph"/>
        <w:spacing w:after="0" w:line="240" w:lineRule="auto"/>
        <w:ind w:left="426" w:hanging="426"/>
        <w:jc w:val="both"/>
        <w:rPr>
          <w:rFonts w:ascii="Cambria" w:eastAsia="Cambria" w:hAnsi="Cambria" w:cs="Cambria"/>
          <w:b/>
          <w:bCs/>
          <w:sz w:val="20"/>
          <w:szCs w:val="20"/>
        </w:rPr>
      </w:pPr>
    </w:p>
    <w:p w14:paraId="08FCBFC2" w14:textId="2997A29B" w:rsidR="00280596" w:rsidRPr="00402009" w:rsidRDefault="00280596" w:rsidP="00280596">
      <w:pPr>
        <w:pStyle w:val="ListParagraph"/>
        <w:numPr>
          <w:ilvl w:val="0"/>
          <w:numId w:val="43"/>
        </w:numPr>
        <w:spacing w:after="0" w:line="240" w:lineRule="auto"/>
        <w:ind w:left="426" w:hanging="426"/>
        <w:jc w:val="both"/>
        <w:rPr>
          <w:rFonts w:ascii="Cambria" w:eastAsia="Cambria" w:hAnsi="Cambria" w:cs="Cambria"/>
          <w:b/>
          <w:bCs/>
          <w:sz w:val="20"/>
          <w:szCs w:val="20"/>
        </w:rPr>
      </w:pPr>
      <w:r w:rsidRPr="00402009">
        <w:rPr>
          <w:rFonts w:ascii="Cambria" w:hAnsi="Cambria"/>
          <w:sz w:val="20"/>
        </w:rPr>
        <w:t xml:space="preserve">Les CPC devront interdire aux navires </w:t>
      </w:r>
      <w:r w:rsidR="00B023EA" w:rsidRPr="00402009">
        <w:rPr>
          <w:rFonts w:ascii="Cambria" w:hAnsi="Cambria"/>
          <w:sz w:val="20"/>
          <w:u w:val="single"/>
        </w:rPr>
        <w:t xml:space="preserve">battant leur pavillon </w:t>
      </w:r>
      <w:r w:rsidRPr="00402009">
        <w:rPr>
          <w:rFonts w:ascii="Cambria" w:hAnsi="Cambria"/>
          <w:sz w:val="20"/>
        </w:rPr>
        <w:t>de retenir à bord</w:t>
      </w:r>
      <w:r w:rsidR="00B023EA" w:rsidRPr="00402009">
        <w:rPr>
          <w:rFonts w:ascii="Cambria" w:hAnsi="Cambria"/>
          <w:sz w:val="20"/>
        </w:rPr>
        <w:t xml:space="preserve"> </w:t>
      </w:r>
      <w:r w:rsidR="00552974" w:rsidRPr="00402009">
        <w:rPr>
          <w:rFonts w:ascii="Cambria" w:hAnsi="Cambria"/>
          <w:sz w:val="20"/>
          <w:u w:val="single"/>
        </w:rPr>
        <w:t>(y compris pour la consommation de l'équipage)</w:t>
      </w:r>
      <w:r w:rsidRPr="00402009">
        <w:rPr>
          <w:rFonts w:ascii="Cambria" w:hAnsi="Cambria"/>
          <w:sz w:val="20"/>
        </w:rPr>
        <w:t xml:space="preserve">, </w:t>
      </w:r>
      <w:r w:rsidR="00552974" w:rsidRPr="00402009">
        <w:rPr>
          <w:rFonts w:ascii="Cambria" w:hAnsi="Cambria"/>
          <w:sz w:val="20"/>
        </w:rPr>
        <w:t xml:space="preserve">de </w:t>
      </w:r>
      <w:r w:rsidRPr="00402009">
        <w:rPr>
          <w:rFonts w:ascii="Cambria" w:hAnsi="Cambria"/>
          <w:sz w:val="20"/>
        </w:rPr>
        <w:t xml:space="preserve">transborder ou </w:t>
      </w:r>
      <w:r w:rsidR="00552974" w:rsidRPr="00402009">
        <w:rPr>
          <w:rFonts w:ascii="Cambria" w:hAnsi="Cambria"/>
          <w:sz w:val="20"/>
        </w:rPr>
        <w:t xml:space="preserve">de </w:t>
      </w:r>
      <w:r w:rsidRPr="00402009">
        <w:rPr>
          <w:rFonts w:ascii="Cambria" w:hAnsi="Cambria"/>
          <w:sz w:val="20"/>
        </w:rPr>
        <w:t xml:space="preserve">débarquer </w:t>
      </w:r>
      <w:r w:rsidR="004161FE" w:rsidRPr="00402009">
        <w:rPr>
          <w:rFonts w:ascii="Cambria" w:hAnsi="Cambria"/>
          <w:sz w:val="20"/>
          <w:u w:val="single"/>
        </w:rPr>
        <w:t>tout</w:t>
      </w:r>
      <w:r w:rsidR="004161FE" w:rsidRPr="00402009">
        <w:rPr>
          <w:rFonts w:ascii="Cambria" w:hAnsi="Cambria"/>
          <w:sz w:val="20"/>
        </w:rPr>
        <w:t xml:space="preserve"> aileron de requin prélevé</w:t>
      </w:r>
      <w:r w:rsidRPr="00402009">
        <w:rPr>
          <w:rFonts w:ascii="Cambria" w:hAnsi="Cambria"/>
          <w:sz w:val="20"/>
        </w:rPr>
        <w:t xml:space="preserve"> à l’encontre de la </w:t>
      </w:r>
      <w:r w:rsidR="009B047A" w:rsidRPr="00402009">
        <w:rPr>
          <w:rFonts w:ascii="Cambria" w:hAnsi="Cambria"/>
          <w:sz w:val="20"/>
          <w:u w:val="single"/>
        </w:rPr>
        <w:t>présente Recommandation</w:t>
      </w:r>
      <w:r w:rsidRPr="00402009">
        <w:rPr>
          <w:rFonts w:ascii="Cambria" w:hAnsi="Cambria"/>
          <w:sz w:val="20"/>
        </w:rPr>
        <w:t>.</w:t>
      </w:r>
    </w:p>
    <w:p w14:paraId="6B5A11C3" w14:textId="77777777" w:rsidR="005713F8" w:rsidRPr="00402009" w:rsidRDefault="005713F8" w:rsidP="000132BD">
      <w:pPr>
        <w:pStyle w:val="ListParagraph"/>
        <w:spacing w:after="0" w:line="240" w:lineRule="auto"/>
        <w:ind w:left="426"/>
        <w:jc w:val="both"/>
        <w:rPr>
          <w:rFonts w:ascii="Cambria" w:eastAsia="Cambria" w:hAnsi="Cambria" w:cs="Cambria"/>
          <w:b/>
          <w:bCs/>
          <w:sz w:val="20"/>
          <w:szCs w:val="20"/>
        </w:rPr>
      </w:pPr>
    </w:p>
    <w:p w14:paraId="4967985D" w14:textId="77777777" w:rsidR="005713F8" w:rsidRPr="00402009" w:rsidRDefault="005713F8" w:rsidP="005713F8">
      <w:pPr>
        <w:pStyle w:val="ListParagraph"/>
        <w:widowControl w:val="0"/>
        <w:numPr>
          <w:ilvl w:val="0"/>
          <w:numId w:val="43"/>
        </w:numPr>
        <w:spacing w:after="0" w:line="240" w:lineRule="auto"/>
        <w:ind w:left="426" w:hanging="426"/>
        <w:jc w:val="both"/>
        <w:rPr>
          <w:rFonts w:ascii="Cambria" w:hAnsi="Cambria"/>
          <w:sz w:val="20"/>
          <w:szCs w:val="20"/>
          <w:u w:val="single"/>
        </w:rPr>
      </w:pPr>
      <w:r w:rsidRPr="00402009">
        <w:rPr>
          <w:rFonts w:ascii="Cambria" w:hAnsi="Cambria"/>
          <w:sz w:val="20"/>
          <w:u w:val="single"/>
        </w:rPr>
        <w:t>Les CPC devront prendre les mesures nécessaires pour s'assurer que les carcasses et leurs ailerons correspondants sont débarqués, de manière à permettre aux inspecteurs/observateurs de vérifier la correspondance entre une carcasse individuelle et ses ailerons lorsqu'ils sont débarqués ou transbordés.</w:t>
      </w:r>
    </w:p>
    <w:sectPr w:rsidR="005713F8" w:rsidRPr="00402009" w:rsidSect="002D0AE1">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3FBA" w14:textId="77777777" w:rsidR="00D97AB6" w:rsidRDefault="00D97AB6" w:rsidP="00B84EAF">
      <w:pPr>
        <w:spacing w:after="0" w:line="240" w:lineRule="auto"/>
      </w:pPr>
      <w:r>
        <w:separator/>
      </w:r>
    </w:p>
  </w:endnote>
  <w:endnote w:type="continuationSeparator" w:id="0">
    <w:p w14:paraId="334CA9D6" w14:textId="77777777" w:rsidR="00D97AB6" w:rsidRDefault="00D97AB6"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543A" w14:textId="77777777" w:rsidR="00D97AB6" w:rsidRDefault="00D97AB6" w:rsidP="00B84EAF">
      <w:pPr>
        <w:spacing w:after="0" w:line="240" w:lineRule="auto"/>
      </w:pPr>
      <w:r>
        <w:separator/>
      </w:r>
    </w:p>
  </w:footnote>
  <w:footnote w:type="continuationSeparator" w:id="0">
    <w:p w14:paraId="6F1F390A" w14:textId="77777777" w:rsidR="00D97AB6" w:rsidRDefault="00D97AB6"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09DC94A7"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_</w:t>
    </w:r>
    <w:r w:rsidR="004F5907">
      <w:rPr>
        <w:rFonts w:ascii="Cambria" w:hAnsi="Cambria"/>
        <w:b/>
        <w:sz w:val="20"/>
      </w:rPr>
      <w:t>822</w:t>
    </w:r>
    <w:r w:rsidR="007E4DC7">
      <w:rPr>
        <w:rFonts w:ascii="Cambria" w:hAnsi="Cambria"/>
        <w:b/>
        <w:sz w:val="20"/>
      </w:rPr>
      <w:t>/</w:t>
    </w:r>
    <w:r>
      <w:rPr>
        <w:rFonts w:ascii="Cambria" w:hAnsi="Cambria"/>
        <w:b/>
        <w:sz w:val="20"/>
      </w:rPr>
      <w:t>2025</w:t>
    </w:r>
  </w:p>
  <w:p w14:paraId="0045E2C1" w14:textId="4375D4A4"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A67015">
      <w:rPr>
        <w:rFonts w:ascii="Cambria" w:eastAsia="Calibri" w:hAnsi="Cambria" w:cs="Times New Roman"/>
        <w:b/>
        <w:noProof/>
        <w:sz w:val="16"/>
      </w:rPr>
      <w:t>21/11/2025 8:43</w:t>
    </w:r>
    <w:r w:rsidRPr="00D21AA0">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3"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 w:numId="44" w16cid:durableId="11555618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2BD"/>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2804"/>
    <w:rsid w:val="00066593"/>
    <w:rsid w:val="00074F72"/>
    <w:rsid w:val="00086384"/>
    <w:rsid w:val="000874E2"/>
    <w:rsid w:val="000953E0"/>
    <w:rsid w:val="0009C300"/>
    <w:rsid w:val="000A0D8D"/>
    <w:rsid w:val="000A1E4B"/>
    <w:rsid w:val="000A4132"/>
    <w:rsid w:val="000A454B"/>
    <w:rsid w:val="000A7AEF"/>
    <w:rsid w:val="000B3C7A"/>
    <w:rsid w:val="000B43C5"/>
    <w:rsid w:val="000B64BB"/>
    <w:rsid w:val="000C44E1"/>
    <w:rsid w:val="000C4E9F"/>
    <w:rsid w:val="000C52EC"/>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1D3"/>
    <w:rsid w:val="00143ABD"/>
    <w:rsid w:val="00144AA9"/>
    <w:rsid w:val="00145B3C"/>
    <w:rsid w:val="00146519"/>
    <w:rsid w:val="00150856"/>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E123A"/>
    <w:rsid w:val="001E42DA"/>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70135"/>
    <w:rsid w:val="00280344"/>
    <w:rsid w:val="00280596"/>
    <w:rsid w:val="002813C9"/>
    <w:rsid w:val="002857CD"/>
    <w:rsid w:val="00292CEF"/>
    <w:rsid w:val="002A588A"/>
    <w:rsid w:val="002B0ACF"/>
    <w:rsid w:val="002B3671"/>
    <w:rsid w:val="002B460F"/>
    <w:rsid w:val="002C0CE6"/>
    <w:rsid w:val="002C7BBD"/>
    <w:rsid w:val="002D01C6"/>
    <w:rsid w:val="002D0AE1"/>
    <w:rsid w:val="002D1BE7"/>
    <w:rsid w:val="002D639D"/>
    <w:rsid w:val="002D6FA9"/>
    <w:rsid w:val="002E081A"/>
    <w:rsid w:val="002E3C9C"/>
    <w:rsid w:val="002E593B"/>
    <w:rsid w:val="002E6F85"/>
    <w:rsid w:val="002F07DB"/>
    <w:rsid w:val="002F4742"/>
    <w:rsid w:val="0030241C"/>
    <w:rsid w:val="003126E0"/>
    <w:rsid w:val="003216A6"/>
    <w:rsid w:val="0033305B"/>
    <w:rsid w:val="00334D10"/>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17C"/>
    <w:rsid w:val="003E7C99"/>
    <w:rsid w:val="003F18B5"/>
    <w:rsid w:val="003F1A29"/>
    <w:rsid w:val="003F69A5"/>
    <w:rsid w:val="003F7970"/>
    <w:rsid w:val="00402009"/>
    <w:rsid w:val="00402953"/>
    <w:rsid w:val="004161FE"/>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5907"/>
    <w:rsid w:val="004F6D24"/>
    <w:rsid w:val="00511A34"/>
    <w:rsid w:val="00512425"/>
    <w:rsid w:val="0051375E"/>
    <w:rsid w:val="005139E6"/>
    <w:rsid w:val="00515F5E"/>
    <w:rsid w:val="0051710C"/>
    <w:rsid w:val="00520511"/>
    <w:rsid w:val="00522917"/>
    <w:rsid w:val="00527795"/>
    <w:rsid w:val="00534F98"/>
    <w:rsid w:val="005371CF"/>
    <w:rsid w:val="00550092"/>
    <w:rsid w:val="00552974"/>
    <w:rsid w:val="00553895"/>
    <w:rsid w:val="005547CF"/>
    <w:rsid w:val="00554B65"/>
    <w:rsid w:val="00562F83"/>
    <w:rsid w:val="005651AA"/>
    <w:rsid w:val="005667F3"/>
    <w:rsid w:val="005713F8"/>
    <w:rsid w:val="005849AF"/>
    <w:rsid w:val="005957CD"/>
    <w:rsid w:val="005A2475"/>
    <w:rsid w:val="005A4BFE"/>
    <w:rsid w:val="005A731F"/>
    <w:rsid w:val="005B2EAD"/>
    <w:rsid w:val="005C02DC"/>
    <w:rsid w:val="005C2233"/>
    <w:rsid w:val="005C3F1B"/>
    <w:rsid w:val="005C4175"/>
    <w:rsid w:val="005D1FC9"/>
    <w:rsid w:val="005D2812"/>
    <w:rsid w:val="005D4DE0"/>
    <w:rsid w:val="005D5465"/>
    <w:rsid w:val="005D5E24"/>
    <w:rsid w:val="005E0B8D"/>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6BE8"/>
    <w:rsid w:val="006775A5"/>
    <w:rsid w:val="006923DD"/>
    <w:rsid w:val="006A1F00"/>
    <w:rsid w:val="006A2BC7"/>
    <w:rsid w:val="006A68ED"/>
    <w:rsid w:val="006C0303"/>
    <w:rsid w:val="006C42EC"/>
    <w:rsid w:val="006E5713"/>
    <w:rsid w:val="006E5BA3"/>
    <w:rsid w:val="0070090C"/>
    <w:rsid w:val="007013A6"/>
    <w:rsid w:val="00702087"/>
    <w:rsid w:val="007159B5"/>
    <w:rsid w:val="00716ADF"/>
    <w:rsid w:val="007247D6"/>
    <w:rsid w:val="00737087"/>
    <w:rsid w:val="00740034"/>
    <w:rsid w:val="007454C9"/>
    <w:rsid w:val="00747BE4"/>
    <w:rsid w:val="007556C1"/>
    <w:rsid w:val="00756AEF"/>
    <w:rsid w:val="0076552C"/>
    <w:rsid w:val="00765BD8"/>
    <w:rsid w:val="00770932"/>
    <w:rsid w:val="0077218C"/>
    <w:rsid w:val="00786CC7"/>
    <w:rsid w:val="00793937"/>
    <w:rsid w:val="007A3DF9"/>
    <w:rsid w:val="007A4B8D"/>
    <w:rsid w:val="007A57BB"/>
    <w:rsid w:val="007B12D5"/>
    <w:rsid w:val="007B1BD7"/>
    <w:rsid w:val="007B1CEC"/>
    <w:rsid w:val="007B1FC6"/>
    <w:rsid w:val="007B52C0"/>
    <w:rsid w:val="007B6458"/>
    <w:rsid w:val="007C657D"/>
    <w:rsid w:val="007C65A0"/>
    <w:rsid w:val="007E1F39"/>
    <w:rsid w:val="007E345E"/>
    <w:rsid w:val="007E4DC7"/>
    <w:rsid w:val="007E53EF"/>
    <w:rsid w:val="007E596A"/>
    <w:rsid w:val="007E7475"/>
    <w:rsid w:val="007F02FA"/>
    <w:rsid w:val="007F0FEF"/>
    <w:rsid w:val="007F1630"/>
    <w:rsid w:val="008003EA"/>
    <w:rsid w:val="00802CDF"/>
    <w:rsid w:val="008246AA"/>
    <w:rsid w:val="008309DE"/>
    <w:rsid w:val="00834108"/>
    <w:rsid w:val="00834E35"/>
    <w:rsid w:val="00842955"/>
    <w:rsid w:val="008507B5"/>
    <w:rsid w:val="00857537"/>
    <w:rsid w:val="0086617C"/>
    <w:rsid w:val="00867033"/>
    <w:rsid w:val="0086705B"/>
    <w:rsid w:val="00871065"/>
    <w:rsid w:val="0087547A"/>
    <w:rsid w:val="008758E5"/>
    <w:rsid w:val="00877DF6"/>
    <w:rsid w:val="00883234"/>
    <w:rsid w:val="00883E9F"/>
    <w:rsid w:val="0089361E"/>
    <w:rsid w:val="008B7983"/>
    <w:rsid w:val="008C13C2"/>
    <w:rsid w:val="008C1C1A"/>
    <w:rsid w:val="008C268F"/>
    <w:rsid w:val="008D1720"/>
    <w:rsid w:val="008D1F98"/>
    <w:rsid w:val="008D3EC6"/>
    <w:rsid w:val="008E2FDB"/>
    <w:rsid w:val="008E3EA2"/>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047A"/>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283"/>
    <w:rsid w:val="00A50D78"/>
    <w:rsid w:val="00A51D6B"/>
    <w:rsid w:val="00A541D4"/>
    <w:rsid w:val="00A54696"/>
    <w:rsid w:val="00A56029"/>
    <w:rsid w:val="00A60EC4"/>
    <w:rsid w:val="00A6518D"/>
    <w:rsid w:val="00A67015"/>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1D2F"/>
    <w:rsid w:val="00AD23C9"/>
    <w:rsid w:val="00AD4CCF"/>
    <w:rsid w:val="00AE7E22"/>
    <w:rsid w:val="00AF6224"/>
    <w:rsid w:val="00B01F1C"/>
    <w:rsid w:val="00B023EA"/>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8E"/>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4609"/>
    <w:rsid w:val="00C87A76"/>
    <w:rsid w:val="00C92795"/>
    <w:rsid w:val="00C933AB"/>
    <w:rsid w:val="00C971C4"/>
    <w:rsid w:val="00CA4E5C"/>
    <w:rsid w:val="00CA506E"/>
    <w:rsid w:val="00CB11A8"/>
    <w:rsid w:val="00CC6760"/>
    <w:rsid w:val="00CD6783"/>
    <w:rsid w:val="00CE0E3C"/>
    <w:rsid w:val="00CE0F2B"/>
    <w:rsid w:val="00CF3783"/>
    <w:rsid w:val="00CF61DA"/>
    <w:rsid w:val="00CF6B03"/>
    <w:rsid w:val="00CF7605"/>
    <w:rsid w:val="00D027FD"/>
    <w:rsid w:val="00D03D75"/>
    <w:rsid w:val="00D06112"/>
    <w:rsid w:val="00D14F05"/>
    <w:rsid w:val="00D20A6A"/>
    <w:rsid w:val="00D218B6"/>
    <w:rsid w:val="00D21AA0"/>
    <w:rsid w:val="00D26F1D"/>
    <w:rsid w:val="00D33653"/>
    <w:rsid w:val="00D342CE"/>
    <w:rsid w:val="00D37422"/>
    <w:rsid w:val="00D4110B"/>
    <w:rsid w:val="00D53FB6"/>
    <w:rsid w:val="00D55309"/>
    <w:rsid w:val="00D56A04"/>
    <w:rsid w:val="00D63E2B"/>
    <w:rsid w:val="00D7101A"/>
    <w:rsid w:val="00D7143B"/>
    <w:rsid w:val="00D73049"/>
    <w:rsid w:val="00D73145"/>
    <w:rsid w:val="00D80F6A"/>
    <w:rsid w:val="00D857A0"/>
    <w:rsid w:val="00D95290"/>
    <w:rsid w:val="00D976A6"/>
    <w:rsid w:val="00D97AB6"/>
    <w:rsid w:val="00DA3528"/>
    <w:rsid w:val="00DB1898"/>
    <w:rsid w:val="00DB5286"/>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08E"/>
    <w:rsid w:val="00E9069E"/>
    <w:rsid w:val="00E97279"/>
    <w:rsid w:val="00EA1EF7"/>
    <w:rsid w:val="00EA338D"/>
    <w:rsid w:val="00EA4703"/>
    <w:rsid w:val="00EA5470"/>
    <w:rsid w:val="00EA5CAA"/>
    <w:rsid w:val="00EA7519"/>
    <w:rsid w:val="00EB0F10"/>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02EE7"/>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3868"/>
    <w:rsid w:val="00F85606"/>
    <w:rsid w:val="00F92333"/>
    <w:rsid w:val="00F933B2"/>
    <w:rsid w:val="00F9666B"/>
    <w:rsid w:val="00F97884"/>
    <w:rsid w:val="00F97D27"/>
    <w:rsid w:val="00FA197A"/>
    <w:rsid w:val="00FA27BF"/>
    <w:rsid w:val="00FA2FA8"/>
    <w:rsid w:val="00FB064C"/>
    <w:rsid w:val="00FB194E"/>
    <w:rsid w:val="00FB1D56"/>
    <w:rsid w:val="00FB7595"/>
    <w:rsid w:val="00FC6203"/>
    <w:rsid w:val="00FD291B"/>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2.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3.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2025-11-19T16:18:00Z</dcterms:created>
  <dcterms:modified xsi:type="dcterms:W3CDTF">2025-11-21T07:43:00Z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