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F9C" w14:textId="6B181A4F" w:rsidR="00F7283E" w:rsidRPr="00713DA0" w:rsidRDefault="00F7283E" w:rsidP="00480769">
      <w:pPr>
        <w:pBdr>
          <w:top w:val="nil"/>
          <w:left w:val="nil"/>
          <w:bottom w:val="nil"/>
          <w:right w:val="nil"/>
          <w:between w:val="nil"/>
        </w:pBdr>
        <w:tabs>
          <w:tab w:val="left" w:pos="646"/>
        </w:tabs>
        <w:spacing w:after="0" w:line="240" w:lineRule="auto"/>
        <w:ind w:left="425"/>
        <w:jc w:val="center"/>
        <w:rPr>
          <w:b/>
          <w:spacing w:val="-2"/>
          <w:szCs w:val="20"/>
        </w:rPr>
      </w:pPr>
      <w:r w:rsidRPr="00713DA0">
        <w:rPr>
          <w:b/>
        </w:rPr>
        <w:t>Page de garde accompagnant les nouvelles propositions</w:t>
      </w:r>
    </w:p>
    <w:p w14:paraId="04E0A7D8" w14:textId="77777777" w:rsidR="00DE4F86" w:rsidRPr="00713DA0" w:rsidRDefault="00DE4F86" w:rsidP="00DE4F86">
      <w:pPr>
        <w:jc w:val="center"/>
        <w:rPr>
          <w:i/>
          <w:iCs/>
          <w:szCs w:val="20"/>
        </w:rPr>
      </w:pPr>
      <w:bookmarkStart w:id="0" w:name="_Hlk213764607"/>
      <w:r w:rsidRPr="00713DA0">
        <w:rPr>
          <w:i/>
        </w:rPr>
        <w:t>(Document soumis par le Canada)</w:t>
      </w:r>
    </w:p>
    <w:p w14:paraId="650D08BC" w14:textId="77777777" w:rsidR="00480769" w:rsidRPr="00713DA0" w:rsidRDefault="00480769" w:rsidP="00F7283E">
      <w:pPr>
        <w:widowControl w:val="0"/>
        <w:spacing w:after="0" w:line="240" w:lineRule="auto"/>
        <w:jc w:val="center"/>
        <w:rPr>
          <w:i/>
          <w:szCs w:val="20"/>
        </w:rPr>
      </w:pPr>
    </w:p>
    <w:bookmarkEnd w:id="0"/>
    <w:p w14:paraId="68F0F663" w14:textId="77777777" w:rsidR="00F7283E" w:rsidRPr="00713DA0" w:rsidRDefault="00F7283E" w:rsidP="00F7283E">
      <w:pPr>
        <w:widowControl w:val="0"/>
        <w:autoSpaceDE w:val="0"/>
        <w:autoSpaceDN w:val="0"/>
        <w:spacing w:after="0" w:line="240" w:lineRule="auto"/>
        <w:jc w:val="center"/>
        <w:rPr>
          <w:b/>
          <w:bCs/>
          <w:szCs w:val="20"/>
        </w:rPr>
      </w:pPr>
    </w:p>
    <w:p w14:paraId="40B1D77A" w14:textId="5726FA2E" w:rsidR="009F4D5F" w:rsidRPr="00713DA0" w:rsidRDefault="00F7283E" w:rsidP="001074ED">
      <w:pPr>
        <w:widowControl w:val="0"/>
        <w:autoSpaceDE w:val="0"/>
        <w:autoSpaceDN w:val="0"/>
        <w:ind w:left="0" w:firstLine="2"/>
        <w:rPr>
          <w:b/>
          <w:bCs/>
          <w:color w:val="EE0000"/>
          <w:szCs w:val="20"/>
        </w:rPr>
      </w:pPr>
      <w:r w:rsidRPr="00713DA0">
        <w:rPr>
          <w:b/>
        </w:rPr>
        <w:t xml:space="preserve">Titre de la proposition de projet de Recommandation/Résolution : </w:t>
      </w:r>
      <w:r w:rsidRPr="00713DA0">
        <w:rPr>
          <w:color w:val="EE0000"/>
        </w:rPr>
        <w:t>Projet de Recommandation de l’ICCAT concernant un protocole de circonstances exceptionnelles (ECP) pour l'espadon de l'Atlantique Nord</w:t>
      </w:r>
    </w:p>
    <w:p w14:paraId="7F292FF8" w14:textId="01A44029" w:rsidR="00F7283E" w:rsidRPr="00713DA0" w:rsidRDefault="00F7283E" w:rsidP="00BA1512">
      <w:pPr>
        <w:widowControl w:val="0"/>
        <w:autoSpaceDE w:val="0"/>
        <w:autoSpaceDN w:val="0"/>
        <w:spacing w:after="0" w:line="240" w:lineRule="auto"/>
        <w:ind w:left="0" w:firstLine="0"/>
        <w:rPr>
          <w:b/>
          <w:bCs/>
          <w:szCs w:val="20"/>
        </w:rPr>
      </w:pPr>
    </w:p>
    <w:p w14:paraId="3C6017E9" w14:textId="04F4A3B7" w:rsidR="00F7283E" w:rsidRPr="00713DA0" w:rsidRDefault="00F7283E" w:rsidP="00BA1512">
      <w:pPr>
        <w:widowControl w:val="0"/>
        <w:autoSpaceDE w:val="0"/>
        <w:autoSpaceDN w:val="0"/>
        <w:spacing w:after="0" w:line="240" w:lineRule="auto"/>
        <w:ind w:left="0" w:firstLine="0"/>
        <w:rPr>
          <w:i/>
          <w:iCs/>
          <w:color w:val="EE0000"/>
          <w:szCs w:val="20"/>
        </w:rPr>
      </w:pPr>
      <w:r w:rsidRPr="00713DA0">
        <w:rPr>
          <w:b/>
        </w:rPr>
        <w:t xml:space="preserve">Titre de la ou des Recommandations ou Résolutions en vigueur traitant des mêmes questions ou de questions connexes : </w:t>
      </w:r>
      <w:hyperlink r:id="rId8" w:history="1">
        <w:r w:rsidRPr="00713DA0">
          <w:rPr>
            <w:rStyle w:val="Hyperlink"/>
            <w:i/>
            <w:iCs/>
            <w:color w:val="EE0000"/>
            <w:u w:val="none"/>
          </w:rPr>
          <w:t>Recommandation de l'ICCAT sur des mesures de conservation et de gestion, incluant une procédure de gestion, pour l’espadon de l'Atlantique Nord</w:t>
        </w:r>
        <w:r w:rsidRPr="00713DA0">
          <w:rPr>
            <w:rStyle w:val="Hyperlink"/>
            <w:color w:val="EE0000"/>
            <w:u w:val="none"/>
          </w:rPr>
          <w:t xml:space="preserve"> (Rec. 24-10)</w:t>
        </w:r>
      </w:hyperlink>
    </w:p>
    <w:p w14:paraId="4D820CD3" w14:textId="77777777" w:rsidR="00F7283E" w:rsidRPr="00713DA0" w:rsidRDefault="00F7283E" w:rsidP="00BA1512">
      <w:pPr>
        <w:widowControl w:val="0"/>
        <w:autoSpaceDE w:val="0"/>
        <w:autoSpaceDN w:val="0"/>
        <w:spacing w:after="0" w:line="240" w:lineRule="auto"/>
        <w:ind w:left="0" w:firstLine="0"/>
        <w:rPr>
          <w:szCs w:val="20"/>
        </w:rPr>
      </w:pPr>
    </w:p>
    <w:p w14:paraId="6944D275" w14:textId="77777777" w:rsidR="00F7283E" w:rsidRPr="00713DA0" w:rsidRDefault="00F7283E" w:rsidP="00D356B4">
      <w:pPr>
        <w:widowControl w:val="0"/>
        <w:numPr>
          <w:ilvl w:val="0"/>
          <w:numId w:val="22"/>
        </w:numPr>
        <w:tabs>
          <w:tab w:val="left" w:pos="426"/>
        </w:tabs>
        <w:autoSpaceDE w:val="0"/>
        <w:autoSpaceDN w:val="0"/>
        <w:spacing w:after="0" w:line="240" w:lineRule="auto"/>
        <w:ind w:left="0" w:firstLine="0"/>
        <w:rPr>
          <w:color w:val="FF0000"/>
          <w:szCs w:val="20"/>
        </w:rPr>
      </w:pPr>
      <w:r w:rsidRPr="00713DA0">
        <w:t xml:space="preserve">Cela crée-t-il de nouvelles </w:t>
      </w:r>
      <w:r w:rsidRPr="00713DA0">
        <w:rPr>
          <w:b/>
        </w:rPr>
        <w:t xml:space="preserve">obligations de déclaration </w:t>
      </w:r>
      <w:r w:rsidRPr="00713DA0">
        <w:t xml:space="preserve">pour les CPC ?     Oui </w:t>
      </w:r>
      <w:r w:rsidRPr="00713DA0">
        <w:tab/>
      </w:r>
      <w:r w:rsidRPr="00713DA0">
        <w:rPr>
          <w:rFonts w:ascii="Wingdings" w:hAnsi="Wingdings"/>
        </w:rPr>
        <w:t>¨</w:t>
      </w:r>
      <w:r w:rsidRPr="00713DA0">
        <w:tab/>
      </w:r>
      <w:r w:rsidRPr="00713DA0">
        <w:rPr>
          <w:color w:val="FF0000"/>
        </w:rPr>
        <w:t xml:space="preserve">Non </w:t>
      </w:r>
      <w:r w:rsidRPr="00713DA0">
        <w:rPr>
          <w:rFonts w:ascii="Wingdings" w:hAnsi="Wingdings"/>
          <w:color w:val="FF0000"/>
        </w:rPr>
        <w:t>x</w:t>
      </w:r>
    </w:p>
    <w:p w14:paraId="104AB689" w14:textId="77777777" w:rsidR="00F7283E" w:rsidRPr="00713DA0" w:rsidRDefault="00F7283E" w:rsidP="00BA1512">
      <w:pPr>
        <w:widowControl w:val="0"/>
        <w:autoSpaceDE w:val="0"/>
        <w:autoSpaceDN w:val="0"/>
        <w:spacing w:after="0" w:line="240" w:lineRule="auto"/>
        <w:ind w:left="0" w:firstLine="0"/>
        <w:rPr>
          <w:szCs w:val="20"/>
        </w:rPr>
      </w:pPr>
    </w:p>
    <w:p w14:paraId="1D496C0E" w14:textId="5E6CDC54" w:rsidR="00F7283E" w:rsidRPr="00713DA0" w:rsidRDefault="00713DA0" w:rsidP="00713DA0">
      <w:pPr>
        <w:widowControl w:val="0"/>
        <w:tabs>
          <w:tab w:val="left" w:pos="426"/>
        </w:tabs>
        <w:autoSpaceDE w:val="0"/>
        <w:autoSpaceDN w:val="0"/>
        <w:spacing w:after="0" w:line="240" w:lineRule="auto"/>
        <w:ind w:left="0" w:firstLine="0"/>
        <w:rPr>
          <w:szCs w:val="20"/>
        </w:rPr>
      </w:pPr>
      <w:r>
        <w:tab/>
      </w:r>
      <w:r w:rsidR="00F7283E" w:rsidRPr="00713DA0">
        <w:t>Brève description de la ou des nouvelle(s) obligation(s) de déclaration :</w:t>
      </w:r>
    </w:p>
    <w:p w14:paraId="24C3171A" w14:textId="77777777" w:rsidR="00F7283E" w:rsidRPr="00713DA0" w:rsidRDefault="00F7283E" w:rsidP="00BA1512">
      <w:pPr>
        <w:widowControl w:val="0"/>
        <w:autoSpaceDE w:val="0"/>
        <w:autoSpaceDN w:val="0"/>
        <w:spacing w:after="0" w:line="240" w:lineRule="auto"/>
        <w:ind w:left="0" w:firstLine="0"/>
        <w:rPr>
          <w:szCs w:val="20"/>
        </w:rPr>
      </w:pPr>
    </w:p>
    <w:p w14:paraId="6B59F4E5" w14:textId="77777777" w:rsidR="00F7283E" w:rsidRPr="00713DA0" w:rsidRDefault="00F7283E" w:rsidP="00BA1512">
      <w:pPr>
        <w:widowControl w:val="0"/>
        <w:autoSpaceDE w:val="0"/>
        <w:autoSpaceDN w:val="0"/>
        <w:spacing w:after="0" w:line="240" w:lineRule="auto"/>
        <w:ind w:left="0" w:firstLine="0"/>
        <w:rPr>
          <w:szCs w:val="20"/>
        </w:rPr>
      </w:pPr>
    </w:p>
    <w:p w14:paraId="464B6403" w14:textId="5626CD00" w:rsidR="00C109B0" w:rsidRPr="00713DA0" w:rsidRDefault="00F7283E" w:rsidP="00C109B0">
      <w:pPr>
        <w:widowControl w:val="0"/>
        <w:numPr>
          <w:ilvl w:val="0"/>
          <w:numId w:val="22"/>
        </w:numPr>
        <w:tabs>
          <w:tab w:val="left" w:pos="426"/>
        </w:tabs>
        <w:autoSpaceDE w:val="0"/>
        <w:autoSpaceDN w:val="0"/>
        <w:spacing w:after="0" w:line="240" w:lineRule="auto"/>
        <w:ind w:left="0" w:firstLine="0"/>
        <w:rPr>
          <w:color w:val="FF0000"/>
          <w:szCs w:val="20"/>
        </w:rPr>
      </w:pPr>
      <w:r w:rsidRPr="00713DA0">
        <w:t>Cela nécessite-t-il une contribution ou un travail supplémentaire de la part du SCRS ?  Ou</w:t>
      </w:r>
      <w:r w:rsidR="00713DA0">
        <w:t xml:space="preserve">i </w:t>
      </w:r>
      <w:r w:rsidRPr="00713DA0">
        <w:rPr>
          <w:color w:val="FF0000"/>
        </w:rPr>
        <w:t xml:space="preserve">Non </w:t>
      </w:r>
      <w:r w:rsidRPr="00713DA0">
        <w:rPr>
          <w:rFonts w:ascii="Wingdings" w:hAnsi="Wingdings"/>
          <w:color w:val="FF0000"/>
        </w:rPr>
        <w:t>x</w:t>
      </w:r>
    </w:p>
    <w:p w14:paraId="3B31ADD3" w14:textId="77777777" w:rsidR="00F7283E" w:rsidRPr="00713DA0" w:rsidRDefault="00F7283E" w:rsidP="00BA1512">
      <w:pPr>
        <w:widowControl w:val="0"/>
        <w:autoSpaceDE w:val="0"/>
        <w:autoSpaceDN w:val="0"/>
        <w:spacing w:after="0" w:line="240" w:lineRule="auto"/>
        <w:ind w:left="0" w:firstLine="0"/>
        <w:rPr>
          <w:szCs w:val="20"/>
        </w:rPr>
      </w:pPr>
    </w:p>
    <w:p w14:paraId="7BE651CA" w14:textId="7A0CBF67" w:rsidR="00F7283E" w:rsidRPr="00713DA0" w:rsidRDefault="00713DA0" w:rsidP="00713DA0">
      <w:pPr>
        <w:widowControl w:val="0"/>
        <w:tabs>
          <w:tab w:val="left" w:pos="426"/>
        </w:tabs>
        <w:autoSpaceDE w:val="0"/>
        <w:autoSpaceDN w:val="0"/>
        <w:spacing w:after="0" w:line="240" w:lineRule="auto"/>
        <w:ind w:left="0" w:firstLine="0"/>
        <w:rPr>
          <w:color w:val="FF0000"/>
          <w:szCs w:val="20"/>
        </w:rPr>
      </w:pPr>
      <w:r>
        <w:tab/>
      </w:r>
      <w:r w:rsidR="00F7283E" w:rsidRPr="00713DA0">
        <w:t xml:space="preserve">Ce travail est-il déjà inclus dans le plan de travail actuel du SCRS ?     Oui </w:t>
      </w:r>
      <w:r w:rsidR="00F7283E" w:rsidRPr="00713DA0">
        <w:rPr>
          <w:rFonts w:ascii="Wingdings" w:hAnsi="Wingdings"/>
        </w:rPr>
        <w:t>¨</w:t>
      </w:r>
      <w:r w:rsidR="00F7283E" w:rsidRPr="00713DA0">
        <w:tab/>
        <w:t xml:space="preserve">Non </w:t>
      </w:r>
      <w:r w:rsidR="00F7283E" w:rsidRPr="00713DA0">
        <w:rPr>
          <w:rFonts w:ascii="Wingdings" w:hAnsi="Wingdings"/>
        </w:rPr>
        <w:t>¨</w:t>
      </w:r>
      <w:r w:rsidR="00F7283E" w:rsidRPr="00713DA0">
        <w:rPr>
          <w:color w:val="FF0000"/>
        </w:rPr>
        <w:t xml:space="preserve"> </w:t>
      </w:r>
    </w:p>
    <w:p w14:paraId="4DDC9FED" w14:textId="77777777" w:rsidR="00F7283E" w:rsidRPr="00713DA0" w:rsidRDefault="00F7283E" w:rsidP="00BA1512">
      <w:pPr>
        <w:widowControl w:val="0"/>
        <w:autoSpaceDE w:val="0"/>
        <w:autoSpaceDN w:val="0"/>
        <w:spacing w:after="0" w:line="240" w:lineRule="auto"/>
        <w:ind w:left="0" w:firstLine="0"/>
        <w:rPr>
          <w:szCs w:val="20"/>
        </w:rPr>
      </w:pPr>
      <w:r w:rsidRPr="00713DA0">
        <w:t xml:space="preserve"> </w:t>
      </w:r>
    </w:p>
    <w:p w14:paraId="23F03685" w14:textId="77777777" w:rsidR="00F7283E" w:rsidRPr="00713DA0" w:rsidRDefault="00F7283E" w:rsidP="00713DA0">
      <w:pPr>
        <w:widowControl w:val="0"/>
        <w:autoSpaceDE w:val="0"/>
        <w:autoSpaceDN w:val="0"/>
        <w:spacing w:after="0" w:line="240" w:lineRule="auto"/>
        <w:ind w:firstLine="0"/>
        <w:rPr>
          <w:szCs w:val="20"/>
        </w:rPr>
      </w:pPr>
      <w:r w:rsidRPr="00713DA0">
        <w:t>Brève description des nouveaux travaux scientifiques requis (évaluation des stocks, analyse, consultant externe) :</w:t>
      </w:r>
    </w:p>
    <w:p w14:paraId="5168439D" w14:textId="77777777" w:rsidR="00F7283E" w:rsidRPr="00713DA0" w:rsidRDefault="00F7283E" w:rsidP="00BA1512">
      <w:pPr>
        <w:widowControl w:val="0"/>
        <w:autoSpaceDE w:val="0"/>
        <w:autoSpaceDN w:val="0"/>
        <w:spacing w:after="0" w:line="240" w:lineRule="auto"/>
        <w:ind w:left="0" w:firstLine="0"/>
        <w:rPr>
          <w:szCs w:val="20"/>
        </w:rPr>
      </w:pPr>
    </w:p>
    <w:p w14:paraId="27F6B9D3" w14:textId="13F2F4FE" w:rsidR="00F7283E" w:rsidRPr="00713DA0" w:rsidRDefault="00821832" w:rsidP="00713DA0">
      <w:pPr>
        <w:widowControl w:val="0"/>
        <w:autoSpaceDE w:val="0"/>
        <w:autoSpaceDN w:val="0"/>
        <w:spacing w:after="0" w:line="240" w:lineRule="auto"/>
        <w:ind w:left="0" w:firstLine="436"/>
        <w:rPr>
          <w:color w:val="FF0000"/>
          <w:szCs w:val="20"/>
        </w:rPr>
      </w:pPr>
      <w:r w:rsidRPr="00713DA0">
        <w:rPr>
          <w:color w:val="FF0000"/>
        </w:rPr>
        <w:t>NA</w:t>
      </w:r>
    </w:p>
    <w:p w14:paraId="3F439AAF" w14:textId="77777777" w:rsidR="00F7283E" w:rsidRPr="00713DA0" w:rsidRDefault="00F7283E" w:rsidP="00BA1512">
      <w:pPr>
        <w:widowControl w:val="0"/>
        <w:autoSpaceDE w:val="0"/>
        <w:autoSpaceDN w:val="0"/>
        <w:spacing w:after="0" w:line="240" w:lineRule="auto"/>
        <w:ind w:left="0" w:firstLine="0"/>
        <w:rPr>
          <w:i/>
          <w:iCs/>
          <w:color w:val="FF0000"/>
          <w:szCs w:val="20"/>
        </w:rPr>
      </w:pPr>
    </w:p>
    <w:p w14:paraId="3880EB74" w14:textId="77777777" w:rsidR="00EC5E05" w:rsidRPr="00713DA0" w:rsidRDefault="00EC5E05" w:rsidP="00BA1512">
      <w:pPr>
        <w:widowControl w:val="0"/>
        <w:autoSpaceDE w:val="0"/>
        <w:autoSpaceDN w:val="0"/>
        <w:spacing w:after="0" w:line="240" w:lineRule="auto"/>
        <w:ind w:left="0" w:firstLine="0"/>
        <w:rPr>
          <w:i/>
          <w:iCs/>
          <w:color w:val="FF0000"/>
          <w:szCs w:val="20"/>
        </w:rPr>
      </w:pPr>
    </w:p>
    <w:p w14:paraId="150BA633" w14:textId="77777777" w:rsidR="00713DA0" w:rsidRPr="00713DA0"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713DA0">
        <w:t xml:space="preserve">Cela implique-t-il la création d'un </w:t>
      </w:r>
      <w:r w:rsidRPr="00713DA0">
        <w:rPr>
          <w:b/>
        </w:rPr>
        <w:t xml:space="preserve">nouveau groupe de travail ou d'un processus intersessions </w:t>
      </w:r>
      <w:r w:rsidRPr="00713DA0">
        <w:t xml:space="preserve">?    </w:t>
      </w:r>
    </w:p>
    <w:p w14:paraId="7E47C70B" w14:textId="77777777" w:rsidR="00713DA0" w:rsidRDefault="00713DA0" w:rsidP="00713DA0">
      <w:pPr>
        <w:widowControl w:val="0"/>
        <w:tabs>
          <w:tab w:val="left" w:pos="426"/>
        </w:tabs>
        <w:autoSpaceDE w:val="0"/>
        <w:autoSpaceDN w:val="0"/>
        <w:spacing w:after="0" w:line="240" w:lineRule="auto"/>
        <w:ind w:left="0" w:firstLine="0"/>
      </w:pPr>
      <w:r>
        <w:tab/>
      </w:r>
    </w:p>
    <w:p w14:paraId="1F920CE9" w14:textId="22ABDB2C" w:rsidR="00F7283E" w:rsidRPr="00713DA0" w:rsidRDefault="00713DA0" w:rsidP="00713DA0">
      <w:pPr>
        <w:widowControl w:val="0"/>
        <w:tabs>
          <w:tab w:val="left" w:pos="426"/>
        </w:tabs>
        <w:autoSpaceDE w:val="0"/>
        <w:autoSpaceDN w:val="0"/>
        <w:spacing w:after="0" w:line="240" w:lineRule="auto"/>
        <w:ind w:left="0" w:firstLine="0"/>
        <w:rPr>
          <w:szCs w:val="20"/>
        </w:rPr>
      </w:pPr>
      <w:r>
        <w:tab/>
      </w:r>
      <w:r w:rsidR="00F7283E" w:rsidRPr="00713DA0">
        <w:t xml:space="preserve">Oui </w:t>
      </w:r>
      <w:r w:rsidR="00F7283E" w:rsidRPr="00713DA0">
        <w:rPr>
          <w:rFonts w:ascii="Wingdings" w:hAnsi="Wingdings"/>
        </w:rPr>
        <w:t>¨</w:t>
      </w:r>
      <w:r w:rsidR="00F7283E" w:rsidRPr="00713DA0">
        <w:t xml:space="preserve">     </w:t>
      </w:r>
      <w:r w:rsidR="00F7283E" w:rsidRPr="00713DA0">
        <w:rPr>
          <w:color w:val="FF0000"/>
        </w:rPr>
        <w:t xml:space="preserve"> Non  </w:t>
      </w:r>
      <w:r w:rsidR="00F7283E" w:rsidRPr="00713DA0">
        <w:rPr>
          <w:rFonts w:ascii="Wingdings" w:hAnsi="Wingdings"/>
          <w:color w:val="FF0000"/>
        </w:rPr>
        <w:t>x</w:t>
      </w:r>
    </w:p>
    <w:p w14:paraId="4105F83F" w14:textId="77777777" w:rsidR="00F7283E" w:rsidRPr="00713DA0" w:rsidRDefault="00F7283E" w:rsidP="00BA1512">
      <w:pPr>
        <w:widowControl w:val="0"/>
        <w:autoSpaceDE w:val="0"/>
        <w:autoSpaceDN w:val="0"/>
        <w:spacing w:after="0" w:line="240" w:lineRule="auto"/>
        <w:ind w:left="0" w:firstLine="0"/>
        <w:rPr>
          <w:szCs w:val="20"/>
        </w:rPr>
      </w:pPr>
    </w:p>
    <w:p w14:paraId="1D116C2B" w14:textId="77777777" w:rsidR="00F7283E" w:rsidRPr="00713DA0" w:rsidRDefault="00F7283E" w:rsidP="00BA1512">
      <w:pPr>
        <w:widowControl w:val="0"/>
        <w:autoSpaceDE w:val="0"/>
        <w:autoSpaceDN w:val="0"/>
        <w:spacing w:after="0" w:line="240" w:lineRule="auto"/>
        <w:ind w:left="0" w:firstLine="0"/>
        <w:rPr>
          <w:szCs w:val="20"/>
        </w:rPr>
      </w:pPr>
    </w:p>
    <w:p w14:paraId="406F7AF3" w14:textId="77777777" w:rsidR="00F7283E" w:rsidRPr="00713DA0"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713DA0">
        <w:t xml:space="preserve">Cela nécessite-t-il un nouveau </w:t>
      </w:r>
      <w:r w:rsidRPr="00713DA0">
        <w:rPr>
          <w:b/>
        </w:rPr>
        <w:t xml:space="preserve">programme ou des activités supplémentaires à gérer par le Secrétariat </w:t>
      </w:r>
      <w:r w:rsidRPr="00713DA0">
        <w:t xml:space="preserve">?  </w:t>
      </w:r>
    </w:p>
    <w:p w14:paraId="0FCC8124" w14:textId="77777777" w:rsidR="00F7283E" w:rsidRPr="00713DA0" w:rsidRDefault="00F7283E" w:rsidP="00BA1512">
      <w:pPr>
        <w:widowControl w:val="0"/>
        <w:autoSpaceDE w:val="0"/>
        <w:autoSpaceDN w:val="0"/>
        <w:spacing w:after="0" w:line="240" w:lineRule="auto"/>
        <w:ind w:left="0" w:firstLine="0"/>
        <w:rPr>
          <w:spacing w:val="-2"/>
          <w:szCs w:val="20"/>
        </w:rPr>
      </w:pPr>
    </w:p>
    <w:p w14:paraId="67DFA4B0" w14:textId="3603E94C" w:rsidR="00BE193D" w:rsidRPr="00713DA0" w:rsidRDefault="00713DA0" w:rsidP="00BE193D">
      <w:pPr>
        <w:widowControl w:val="0"/>
        <w:tabs>
          <w:tab w:val="left" w:pos="426"/>
        </w:tabs>
        <w:autoSpaceDE w:val="0"/>
        <w:autoSpaceDN w:val="0"/>
        <w:spacing w:after="0" w:line="240" w:lineRule="auto"/>
        <w:ind w:left="0" w:firstLine="0"/>
        <w:rPr>
          <w:szCs w:val="20"/>
        </w:rPr>
      </w:pPr>
      <w:r>
        <w:tab/>
      </w:r>
      <w:r w:rsidR="00BE193D" w:rsidRPr="00713DA0">
        <w:t xml:space="preserve">Oui </w:t>
      </w:r>
      <w:r w:rsidR="00BE193D" w:rsidRPr="00713DA0">
        <w:rPr>
          <w:rFonts w:ascii="Wingdings" w:hAnsi="Wingdings"/>
        </w:rPr>
        <w:t>¨</w:t>
      </w:r>
      <w:r w:rsidR="00BE193D" w:rsidRPr="00713DA0">
        <w:tab/>
      </w:r>
      <w:r w:rsidR="00BE193D" w:rsidRPr="00713DA0">
        <w:rPr>
          <w:color w:val="FF0000"/>
        </w:rPr>
        <w:t xml:space="preserve">Non  </w:t>
      </w:r>
      <w:r w:rsidR="00BE193D" w:rsidRPr="00713DA0">
        <w:rPr>
          <w:rFonts w:ascii="Wingdings" w:hAnsi="Wingdings"/>
          <w:color w:val="FF0000"/>
        </w:rPr>
        <w:t>x</w:t>
      </w:r>
    </w:p>
    <w:p w14:paraId="3382F2C8" w14:textId="09BDF0B2" w:rsidR="00F7283E" w:rsidRPr="00713DA0" w:rsidRDefault="00F7283E" w:rsidP="00BA1512">
      <w:pPr>
        <w:widowControl w:val="0"/>
        <w:autoSpaceDE w:val="0"/>
        <w:autoSpaceDN w:val="0"/>
        <w:spacing w:after="0" w:line="240" w:lineRule="auto"/>
        <w:ind w:left="0" w:firstLine="0"/>
        <w:rPr>
          <w:color w:val="auto"/>
          <w:szCs w:val="20"/>
        </w:rPr>
      </w:pPr>
    </w:p>
    <w:p w14:paraId="41A8BF0B" w14:textId="77777777" w:rsidR="00F7283E" w:rsidRPr="00713DA0" w:rsidRDefault="00F7283E" w:rsidP="00BA1512">
      <w:pPr>
        <w:widowControl w:val="0"/>
        <w:autoSpaceDE w:val="0"/>
        <w:autoSpaceDN w:val="0"/>
        <w:spacing w:after="0" w:line="240" w:lineRule="auto"/>
        <w:ind w:left="0" w:firstLine="0"/>
        <w:rPr>
          <w:szCs w:val="20"/>
        </w:rPr>
      </w:pPr>
    </w:p>
    <w:p w14:paraId="01B5E16A" w14:textId="77777777" w:rsidR="00F7283E" w:rsidRPr="00713DA0" w:rsidRDefault="00F7283E" w:rsidP="00713DA0">
      <w:pPr>
        <w:widowControl w:val="0"/>
        <w:autoSpaceDE w:val="0"/>
        <w:autoSpaceDN w:val="0"/>
        <w:spacing w:after="0" w:line="240" w:lineRule="auto"/>
        <w:ind w:firstLine="0"/>
        <w:rPr>
          <w:spacing w:val="-2"/>
          <w:szCs w:val="20"/>
        </w:rPr>
      </w:pPr>
      <w:r w:rsidRPr="00713DA0">
        <w:t>Brève description du nouveau travail requis pour le Secrétariat :</w:t>
      </w:r>
    </w:p>
    <w:p w14:paraId="39955FDF" w14:textId="77777777" w:rsidR="00F7283E" w:rsidRPr="00713DA0" w:rsidRDefault="00F7283E" w:rsidP="00BA1512">
      <w:pPr>
        <w:widowControl w:val="0"/>
        <w:autoSpaceDE w:val="0"/>
        <w:autoSpaceDN w:val="0"/>
        <w:spacing w:after="0" w:line="240" w:lineRule="auto"/>
        <w:ind w:left="0" w:firstLine="0"/>
        <w:rPr>
          <w:color w:val="EE0000"/>
          <w:spacing w:val="-2"/>
          <w:szCs w:val="20"/>
        </w:rPr>
      </w:pPr>
    </w:p>
    <w:p w14:paraId="328BC8FA" w14:textId="24A67800" w:rsidR="00F7283E" w:rsidRPr="00713DA0" w:rsidRDefault="00BE4751" w:rsidP="00713DA0">
      <w:pPr>
        <w:widowControl w:val="0"/>
        <w:autoSpaceDE w:val="0"/>
        <w:autoSpaceDN w:val="0"/>
        <w:spacing w:after="0" w:line="240" w:lineRule="auto"/>
        <w:ind w:left="0" w:firstLine="426"/>
        <w:rPr>
          <w:color w:val="EE0000"/>
          <w:spacing w:val="-2"/>
          <w:szCs w:val="20"/>
        </w:rPr>
      </w:pPr>
      <w:r w:rsidRPr="00713DA0">
        <w:rPr>
          <w:color w:val="EE0000"/>
        </w:rPr>
        <w:t>NA</w:t>
      </w:r>
    </w:p>
    <w:p w14:paraId="37A9FCEE" w14:textId="77777777" w:rsidR="00F7283E" w:rsidRPr="00713DA0" w:rsidRDefault="00F7283E" w:rsidP="00BA1512">
      <w:pPr>
        <w:widowControl w:val="0"/>
        <w:autoSpaceDE w:val="0"/>
        <w:autoSpaceDN w:val="0"/>
        <w:spacing w:after="0" w:line="240" w:lineRule="auto"/>
        <w:ind w:left="0" w:firstLine="0"/>
        <w:rPr>
          <w:spacing w:val="-2"/>
          <w:szCs w:val="20"/>
        </w:rPr>
      </w:pPr>
    </w:p>
    <w:p w14:paraId="79B52CC1" w14:textId="77777777" w:rsidR="002E0A76" w:rsidRPr="00713DA0" w:rsidRDefault="002E0A76" w:rsidP="00BA1512">
      <w:pPr>
        <w:widowControl w:val="0"/>
        <w:autoSpaceDE w:val="0"/>
        <w:autoSpaceDN w:val="0"/>
        <w:spacing w:after="0" w:line="240" w:lineRule="auto"/>
        <w:ind w:left="0" w:firstLine="0"/>
        <w:rPr>
          <w:spacing w:val="-2"/>
          <w:szCs w:val="20"/>
        </w:rPr>
      </w:pPr>
    </w:p>
    <w:p w14:paraId="0F5915B3" w14:textId="07628390" w:rsidR="00F7283E" w:rsidRPr="00713DA0"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713DA0">
        <w:t>Quel est le calendrier proposé pour la mise en œuvre, et existe-t-il des calendriers spécifiques différents pour certaines CPC, pêcheries, régions, etc. ?</w:t>
      </w:r>
    </w:p>
    <w:p w14:paraId="67A22255" w14:textId="77777777" w:rsidR="00F7283E" w:rsidRPr="00713DA0" w:rsidRDefault="00F7283E" w:rsidP="00BA1512">
      <w:pPr>
        <w:widowControl w:val="0"/>
        <w:autoSpaceDE w:val="0"/>
        <w:autoSpaceDN w:val="0"/>
        <w:spacing w:after="0" w:line="240" w:lineRule="auto"/>
        <w:ind w:left="0" w:firstLine="0"/>
        <w:rPr>
          <w:spacing w:val="-2"/>
          <w:szCs w:val="20"/>
        </w:rPr>
      </w:pPr>
    </w:p>
    <w:p w14:paraId="309443B4" w14:textId="77777777" w:rsidR="00F7283E" w:rsidRPr="00713DA0" w:rsidRDefault="00F7283E" w:rsidP="00BA1512">
      <w:pPr>
        <w:widowControl w:val="0"/>
        <w:autoSpaceDE w:val="0"/>
        <w:autoSpaceDN w:val="0"/>
        <w:spacing w:after="0" w:line="240" w:lineRule="auto"/>
        <w:ind w:left="0" w:firstLine="0"/>
        <w:rPr>
          <w:spacing w:val="-2"/>
          <w:szCs w:val="20"/>
        </w:rPr>
      </w:pPr>
    </w:p>
    <w:p w14:paraId="10A0DE62" w14:textId="77777777" w:rsidR="002E0A76" w:rsidRPr="00713DA0" w:rsidRDefault="002E0A76" w:rsidP="00BA1512">
      <w:pPr>
        <w:widowControl w:val="0"/>
        <w:autoSpaceDE w:val="0"/>
        <w:autoSpaceDN w:val="0"/>
        <w:spacing w:after="0" w:line="240" w:lineRule="auto"/>
        <w:ind w:left="0" w:firstLine="0"/>
        <w:rPr>
          <w:spacing w:val="-2"/>
          <w:szCs w:val="20"/>
        </w:rPr>
      </w:pPr>
    </w:p>
    <w:p w14:paraId="42F62B21" w14:textId="71E55717" w:rsidR="00F7283E" w:rsidRPr="00713DA0"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713DA0">
        <w:t>Existe-t-il d'autres informations pertinentes concernant les implications de la proposition en termes de ressources et de charge de travail ?</w:t>
      </w:r>
    </w:p>
    <w:p w14:paraId="78E1698D" w14:textId="77777777" w:rsidR="00F7283E" w:rsidRPr="00713DA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7A9B3AE2" w14:textId="77777777" w:rsidR="00F7283E" w:rsidRPr="00713DA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302EE943" w14:textId="77777777" w:rsidR="00F7283E" w:rsidRPr="00713DA0"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12B77E3E" w14:textId="77777777" w:rsidR="00F7283E" w:rsidRPr="00713DA0" w:rsidRDefault="00F7283E" w:rsidP="00BA1512">
      <w:pPr>
        <w:ind w:left="0" w:firstLine="0"/>
        <w:rPr>
          <w:rFonts w:eastAsia="Yu Mincho"/>
          <w:b/>
          <w:bCs/>
          <w:szCs w:val="20"/>
        </w:rPr>
      </w:pPr>
      <w:r w:rsidRPr="00713DA0">
        <w:br w:type="page"/>
      </w:r>
    </w:p>
    <w:p w14:paraId="44540E6A" w14:textId="30957CCE" w:rsidR="003677F4" w:rsidRPr="00713DA0" w:rsidRDefault="003677F4" w:rsidP="003677F4">
      <w:pPr>
        <w:jc w:val="right"/>
        <w:rPr>
          <w:b/>
          <w:szCs w:val="20"/>
        </w:rPr>
      </w:pPr>
      <w:r w:rsidRPr="00713DA0">
        <w:rPr>
          <w:b/>
          <w:bCs/>
        </w:rPr>
        <w:lastRenderedPageBreak/>
        <w:t>Original :</w:t>
      </w:r>
      <w:r w:rsidRPr="00713DA0">
        <w:rPr>
          <w:b/>
        </w:rPr>
        <w:t xml:space="preserve"> </w:t>
      </w:r>
      <w:r w:rsidRPr="00713DA0">
        <w:rPr>
          <w:b/>
          <w:bCs/>
        </w:rPr>
        <w:t>anglais</w:t>
      </w:r>
    </w:p>
    <w:p w14:paraId="7B4BE926" w14:textId="77777777" w:rsidR="003677F4" w:rsidRPr="00713DA0" w:rsidRDefault="003677F4" w:rsidP="00DE4F86">
      <w:pPr>
        <w:jc w:val="center"/>
        <w:rPr>
          <w:b/>
          <w:szCs w:val="20"/>
        </w:rPr>
      </w:pPr>
    </w:p>
    <w:p w14:paraId="514F1C8C" w14:textId="73C0BE5E" w:rsidR="00797325" w:rsidRPr="00713DA0" w:rsidRDefault="00797325" w:rsidP="00DE4F86">
      <w:pPr>
        <w:jc w:val="center"/>
        <w:rPr>
          <w:b/>
          <w:szCs w:val="20"/>
        </w:rPr>
      </w:pPr>
      <w:r w:rsidRPr="00713DA0">
        <w:rPr>
          <w:b/>
        </w:rPr>
        <w:t xml:space="preserve">Note explicative concernant le Projet de Recommandation de l’ICCAT concernant un protocole de circonstances exceptionnelles (ECP) pour l'espadon de l'Atlantique Nord </w:t>
      </w:r>
    </w:p>
    <w:p w14:paraId="1D215292" w14:textId="0461634E" w:rsidR="00DE4F86" w:rsidRPr="00713DA0" w:rsidRDefault="00DE4F86" w:rsidP="00DE4F86">
      <w:pPr>
        <w:jc w:val="center"/>
        <w:rPr>
          <w:b/>
          <w:szCs w:val="20"/>
        </w:rPr>
      </w:pPr>
    </w:p>
    <w:p w14:paraId="6E531BE4" w14:textId="157D07E4" w:rsidR="00F7283E" w:rsidRPr="00713DA0" w:rsidRDefault="00F7283E" w:rsidP="00F7283E">
      <w:pPr>
        <w:jc w:val="center"/>
        <w:rPr>
          <w:i/>
          <w:iCs/>
          <w:szCs w:val="20"/>
        </w:rPr>
      </w:pPr>
      <w:r w:rsidRPr="00713DA0">
        <w:rPr>
          <w:i/>
        </w:rPr>
        <w:t>(Document soumis par le Canada)</w:t>
      </w:r>
    </w:p>
    <w:p w14:paraId="5CE65350" w14:textId="77777777" w:rsidR="00F806A5" w:rsidRPr="00713DA0" w:rsidRDefault="00F806A5" w:rsidP="00391C58">
      <w:pPr>
        <w:tabs>
          <w:tab w:val="center" w:pos="3942"/>
          <w:tab w:val="center" w:pos="4663"/>
          <w:tab w:val="center" w:pos="5383"/>
          <w:tab w:val="center" w:pos="6103"/>
          <w:tab w:val="center" w:pos="6823"/>
          <w:tab w:val="right" w:pos="9120"/>
        </w:tabs>
        <w:spacing w:after="0" w:line="259" w:lineRule="auto"/>
        <w:ind w:left="0" w:right="0" w:firstLine="0"/>
        <w:jc w:val="left"/>
        <w:rPr>
          <w:rFonts w:ascii="Calibri" w:hAnsi="Calibri"/>
          <w:sz w:val="22"/>
        </w:rPr>
      </w:pPr>
    </w:p>
    <w:p w14:paraId="2425A120" w14:textId="1F046090" w:rsidR="00E5492E" w:rsidRPr="00713DA0" w:rsidRDefault="00E5492E" w:rsidP="00797325">
      <w:pPr>
        <w:spacing w:after="0" w:line="240" w:lineRule="auto"/>
        <w:ind w:left="0" w:right="0" w:firstLine="0"/>
        <w:rPr>
          <w:rFonts w:eastAsia="Aptos" w:cs="Arial"/>
          <w:b/>
          <w:color w:val="auto"/>
          <w:kern w:val="2"/>
          <w:szCs w:val="20"/>
          <w14:ligatures w14:val="standardContextual"/>
        </w:rPr>
      </w:pPr>
      <w:r w:rsidRPr="00713DA0">
        <w:t>Conformément au paragraphe 21 de la</w:t>
      </w:r>
      <w:r w:rsidRPr="00713DA0">
        <w:rPr>
          <w:color w:val="auto"/>
        </w:rPr>
        <w:t xml:space="preserve"> </w:t>
      </w:r>
      <w:hyperlink r:id="rId9" w:history="1">
        <w:r w:rsidRPr="00713DA0">
          <w:rPr>
            <w:rStyle w:val="Hyperlink"/>
            <w:i/>
            <w:iCs/>
            <w:u w:val="none"/>
          </w:rPr>
          <w:t>Recommandation de l'ICCAT sur des mesures de conservation et de gestion, incluant une procédure de gestion, pour l’espadon de l'Atlantique Nord</w:t>
        </w:r>
        <w:r w:rsidRPr="00713DA0">
          <w:rPr>
            <w:rStyle w:val="Hyperlink"/>
            <w:u w:val="none"/>
          </w:rPr>
          <w:t xml:space="preserve"> (Rec. 24-10)</w:t>
        </w:r>
        <w:r w:rsidRPr="00713DA0">
          <w:rPr>
            <w:rStyle w:val="Hyperlink"/>
            <w:color w:val="auto"/>
            <w:u w:val="none"/>
          </w:rPr>
          <w:t>,</w:t>
        </w:r>
      </w:hyperlink>
      <w:r w:rsidRPr="00713DA0">
        <w:rPr>
          <w:color w:val="auto"/>
        </w:rPr>
        <w:t xml:space="preserve">, le Canada présente ce projet de protocole de circonstances exceptionnelles (ECP) pour l'espadon de l'Atlantique Nord. </w:t>
      </w:r>
      <w:r w:rsidRPr="00713DA0">
        <w:t xml:space="preserve">Une fois approuvé par la Commission, le présent ECP devra être inclus dans la </w:t>
      </w:r>
      <w:hyperlink r:id="rId10" w:history="1">
        <w:r w:rsidRPr="00713DA0">
          <w:rPr>
            <w:rStyle w:val="Hyperlink"/>
            <w:u w:val="none"/>
          </w:rPr>
          <w:t>Rec. 24-10</w:t>
        </w:r>
      </w:hyperlink>
      <w:r w:rsidRPr="00713DA0">
        <w:rPr>
          <w:color w:val="auto"/>
        </w:rPr>
        <w:t xml:space="preserve">, </w:t>
      </w:r>
      <w:r w:rsidRPr="00713DA0">
        <w:t>en tant qu'annexe</w:t>
      </w:r>
      <w:r w:rsidR="00713DA0">
        <w:t> </w:t>
      </w:r>
      <w:r w:rsidRPr="00713DA0">
        <w:t>4.</w:t>
      </w:r>
      <w:r w:rsidRPr="00713DA0">
        <w:rPr>
          <w:color w:val="auto"/>
        </w:rPr>
        <w:t xml:space="preserve"> </w:t>
      </w:r>
      <w:r w:rsidRPr="00713DA0">
        <w:rPr>
          <w:color w:val="auto"/>
        </w:rPr>
        <w:br w:type="page"/>
      </w:r>
    </w:p>
    <w:p w14:paraId="7DC3F531" w14:textId="77777777" w:rsidR="00825AD0" w:rsidRPr="00713DA0" w:rsidRDefault="007D1CBB" w:rsidP="007D1CBB">
      <w:pPr>
        <w:jc w:val="center"/>
        <w:rPr>
          <w:b/>
          <w:szCs w:val="20"/>
        </w:rPr>
      </w:pPr>
      <w:r w:rsidRPr="00713DA0">
        <w:rPr>
          <w:b/>
        </w:rPr>
        <w:lastRenderedPageBreak/>
        <w:t>Projet de Recommandation de l’ICCAT concernant un protocole de circonstances exceptionnelles (ECP) pour l'espadon de l'Atlantique Nord</w:t>
      </w:r>
    </w:p>
    <w:p w14:paraId="3D7903F9" w14:textId="605C3E8A" w:rsidR="007D1CBB" w:rsidRPr="00713DA0" w:rsidRDefault="007D1CBB" w:rsidP="007D1CBB">
      <w:pPr>
        <w:jc w:val="center"/>
        <w:rPr>
          <w:b/>
          <w:szCs w:val="20"/>
        </w:rPr>
      </w:pPr>
    </w:p>
    <w:p w14:paraId="7DF19DD5" w14:textId="0A8253A0" w:rsidR="00E5492E" w:rsidRPr="00713DA0" w:rsidRDefault="00637482" w:rsidP="00E5492E">
      <w:pPr>
        <w:spacing w:after="0" w:line="240" w:lineRule="auto"/>
        <w:ind w:left="0" w:right="0" w:firstLine="0"/>
        <w:jc w:val="center"/>
        <w:rPr>
          <w:i/>
          <w:iCs/>
          <w:szCs w:val="20"/>
        </w:rPr>
      </w:pPr>
      <w:r w:rsidRPr="00713DA0">
        <w:rPr>
          <w:i/>
        </w:rPr>
        <w:t>(Document soumis par le Canada)</w:t>
      </w:r>
    </w:p>
    <w:p w14:paraId="53887FEA" w14:textId="77777777" w:rsidR="00825AD0" w:rsidRPr="00713DA0" w:rsidRDefault="00825AD0" w:rsidP="00E5492E">
      <w:pPr>
        <w:spacing w:after="0" w:line="240" w:lineRule="auto"/>
        <w:ind w:left="0" w:right="0" w:firstLine="0"/>
        <w:jc w:val="center"/>
        <w:rPr>
          <w:i/>
          <w:iCs/>
          <w:szCs w:val="20"/>
        </w:rPr>
      </w:pPr>
    </w:p>
    <w:p w14:paraId="3953808F" w14:textId="77777777" w:rsidR="00825AD0" w:rsidRPr="00713DA0" w:rsidRDefault="00825AD0" w:rsidP="00E5492E">
      <w:pPr>
        <w:spacing w:after="0" w:line="240" w:lineRule="auto"/>
        <w:ind w:left="0" w:right="0" w:firstLine="0"/>
        <w:jc w:val="center"/>
        <w:rPr>
          <w:rFonts w:eastAsia="Aptos" w:cs="Arial"/>
          <w:b/>
          <w:color w:val="auto"/>
          <w:kern w:val="2"/>
          <w:szCs w:val="20"/>
          <w:lang w:eastAsia="en-US"/>
          <w14:ligatures w14:val="standardContextual"/>
        </w:rPr>
      </w:pPr>
    </w:p>
    <w:p w14:paraId="3940E718" w14:textId="275500FB" w:rsidR="00E5492E" w:rsidRPr="00713DA0" w:rsidRDefault="00E5492E" w:rsidP="00E5492E">
      <w:pPr>
        <w:numPr>
          <w:ilvl w:val="0"/>
          <w:numId w:val="27"/>
        </w:numPr>
        <w:spacing w:after="160" w:line="278" w:lineRule="auto"/>
        <w:ind w:left="426" w:right="0" w:hanging="426"/>
        <w:contextualSpacing/>
        <w:jc w:val="left"/>
        <w:rPr>
          <w:rFonts w:eastAsia="Aptos" w:cs="Arial"/>
          <w:b/>
          <w:color w:val="auto"/>
          <w:kern w:val="2"/>
          <w:szCs w:val="20"/>
          <w14:ligatures w14:val="standardContextual"/>
        </w:rPr>
      </w:pPr>
      <w:r w:rsidRPr="00713DA0">
        <w:rPr>
          <w:b/>
          <w:color w:val="auto"/>
        </w:rPr>
        <w:t>Principes de circonstances exceptionnelles (EC)</w:t>
      </w:r>
      <w:r w:rsidRPr="00713DA0">
        <w:rPr>
          <w:color w:val="auto"/>
        </w:rPr>
        <w:t xml:space="preserve"> </w:t>
      </w:r>
    </w:p>
    <w:p w14:paraId="09EE6128" w14:textId="031356E2" w:rsidR="00E5492E" w:rsidRPr="00713DA0" w:rsidRDefault="00E5492E" w:rsidP="00E5492E">
      <w:pPr>
        <w:spacing w:after="0" w:line="240" w:lineRule="auto"/>
        <w:ind w:left="0" w:right="0" w:firstLine="0"/>
        <w:rPr>
          <w:rFonts w:eastAsia="Aptos" w:cs="Arial"/>
          <w:color w:val="auto"/>
          <w:kern w:val="2"/>
          <w:szCs w:val="20"/>
          <w14:ligatures w14:val="standardContextual"/>
        </w:rPr>
      </w:pPr>
    </w:p>
    <w:p w14:paraId="1912026B" w14:textId="290E5EBB"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Les trois principes généraux suivants devraient être considérés comme un signal indiquant qu’il est possible que des EC existent</w:t>
      </w:r>
      <w:r w:rsidR="00713DA0">
        <w:rPr>
          <w:color w:val="auto"/>
        </w:rPr>
        <w:t> :</w:t>
      </w:r>
    </w:p>
    <w:p w14:paraId="62F36FE7" w14:textId="17F8CA56" w:rsidR="00E5492E" w:rsidRPr="00713DA0" w:rsidRDefault="00E5492E" w:rsidP="00037E3E">
      <w:pPr>
        <w:spacing w:after="0" w:line="240" w:lineRule="auto"/>
        <w:ind w:left="0" w:right="0" w:firstLine="0"/>
        <w:rPr>
          <w:rFonts w:eastAsia="Aptos" w:cs="Arial"/>
          <w:color w:val="auto"/>
          <w:kern w:val="2"/>
          <w:szCs w:val="20"/>
          <w14:ligatures w14:val="standardContextual"/>
        </w:rPr>
      </w:pPr>
    </w:p>
    <w:p w14:paraId="3018D121" w14:textId="75BE7436" w:rsidR="00E5492E" w:rsidRPr="00E26207"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E26207">
        <w:rPr>
          <w:color w:val="auto"/>
        </w:rPr>
        <w:t>Lorsqu'il existe des preuves que le stock et/ou la dynamique de la pêcherie se trouvent dans des états (tels que définis au</w:t>
      </w:r>
      <w:r w:rsidRPr="00E26207">
        <w:rPr>
          <w:b/>
          <w:bCs/>
          <w:color w:val="auto"/>
        </w:rPr>
        <w:t xml:space="preserve"> tableau 1</w:t>
      </w:r>
      <w:r w:rsidRPr="00E26207">
        <w:rPr>
          <w:color w:val="auto"/>
        </w:rPr>
        <w:t xml:space="preserve"> a) </w:t>
      </w:r>
      <w:r w:rsidR="009260CA" w:rsidRPr="00E26207">
        <w:rPr>
          <w:color w:val="auto"/>
          <w:u w:val="single"/>
        </w:rPr>
        <w:t>en dehors d</w:t>
      </w:r>
      <w:r w:rsidR="00457DEA" w:rsidRPr="00E26207">
        <w:rPr>
          <w:color w:val="auto"/>
          <w:u w:val="single"/>
        </w:rPr>
        <w:t>e la</w:t>
      </w:r>
      <w:r w:rsidR="009260CA" w:rsidRPr="00E26207">
        <w:rPr>
          <w:color w:val="auto"/>
          <w:u w:val="single"/>
        </w:rPr>
        <w:t xml:space="preserve"> </w:t>
      </w:r>
      <w:r w:rsidR="00457DEA" w:rsidRPr="00E26207">
        <w:rPr>
          <w:color w:val="auto"/>
          <w:u w:val="single"/>
        </w:rPr>
        <w:t>gamme</w:t>
      </w:r>
      <w:r w:rsidR="009260CA" w:rsidRPr="00E26207">
        <w:rPr>
          <w:color w:val="auto"/>
          <w:u w:val="single"/>
        </w:rPr>
        <w:t xml:space="preserve"> des modèles opérationnels (</w:t>
      </w:r>
      <w:r w:rsidR="001C4A89" w:rsidRPr="00E26207">
        <w:rPr>
          <w:color w:val="auto"/>
          <w:u w:val="single"/>
        </w:rPr>
        <w:t>OM</w:t>
      </w:r>
      <w:r w:rsidR="009260CA" w:rsidRPr="00E26207">
        <w:rPr>
          <w:color w:val="auto"/>
          <w:u w:val="single"/>
        </w:rPr>
        <w:t xml:space="preserve">) </w:t>
      </w:r>
      <w:r w:rsidR="009E0980" w:rsidRPr="00E26207">
        <w:rPr>
          <w:color w:val="auto"/>
          <w:u w:val="single"/>
        </w:rPr>
        <w:t>de l’</w:t>
      </w:r>
      <w:r w:rsidR="009260CA" w:rsidRPr="00E26207">
        <w:rPr>
          <w:color w:val="auto"/>
          <w:u w:val="single"/>
        </w:rPr>
        <w:t xml:space="preserve">évaluation de </w:t>
      </w:r>
      <w:r w:rsidR="009E0980" w:rsidRPr="00E26207">
        <w:rPr>
          <w:color w:val="auto"/>
          <w:u w:val="single"/>
        </w:rPr>
        <w:t xml:space="preserve">la </w:t>
      </w:r>
      <w:r w:rsidR="009260CA" w:rsidRPr="00E26207">
        <w:rPr>
          <w:color w:val="auto"/>
          <w:u w:val="single"/>
        </w:rPr>
        <w:t>stratégie de gestion (MSE)</w:t>
      </w:r>
      <w:r w:rsidRPr="00E26207">
        <w:rPr>
          <w:color w:val="auto"/>
        </w:rPr>
        <w:t xml:space="preserve"> et/ou ne sont plus considérés comme plausibles dans le contexte de </w:t>
      </w:r>
      <w:r w:rsidR="009E0980" w:rsidRPr="00E26207">
        <w:rPr>
          <w:color w:val="auto"/>
        </w:rPr>
        <w:t>la</w:t>
      </w:r>
      <w:r w:rsidRPr="00E26207">
        <w:rPr>
          <w:color w:val="auto"/>
        </w:rPr>
        <w:t xml:space="preserve"> MSE</w:t>
      </w:r>
      <w:r w:rsidR="009E0980" w:rsidRPr="00E26207">
        <w:rPr>
          <w:color w:val="auto"/>
        </w:rPr>
        <w:t xml:space="preserve"> </w:t>
      </w:r>
      <w:r w:rsidRPr="00E26207">
        <w:rPr>
          <w:color w:val="auto"/>
        </w:rPr>
        <w:t>ou lorsqu'il existe des preuves que les états du stock ou de la dynamique de la pêcherie inclus dans les</w:t>
      </w:r>
      <w:r w:rsidR="009E0980" w:rsidRPr="00E26207">
        <w:rPr>
          <w:color w:val="auto"/>
        </w:rPr>
        <w:t xml:space="preserve"> </w:t>
      </w:r>
      <w:r w:rsidRPr="00E26207">
        <w:rPr>
          <w:color w:val="auto"/>
        </w:rPr>
        <w:t xml:space="preserve">OM pour tester la MSE ne sont plus considérés comme plausibles. </w:t>
      </w:r>
    </w:p>
    <w:p w14:paraId="431B9B28" w14:textId="77777777" w:rsidR="00E5492E" w:rsidRPr="00713DA0" w:rsidRDefault="00E5492E" w:rsidP="00037E3E">
      <w:pPr>
        <w:spacing w:after="0" w:line="240" w:lineRule="auto"/>
        <w:ind w:left="851" w:right="0" w:hanging="425"/>
        <w:rPr>
          <w:rFonts w:eastAsia="Aptos" w:cs="Arial"/>
          <w:color w:val="auto"/>
          <w:kern w:val="2"/>
          <w:szCs w:val="20"/>
          <w14:ligatures w14:val="standardContextual"/>
        </w:rPr>
      </w:pPr>
      <w:r w:rsidRPr="00713DA0">
        <w:rPr>
          <w:color w:val="auto"/>
        </w:rPr>
        <w:t xml:space="preserve"> </w:t>
      </w:r>
    </w:p>
    <w:p w14:paraId="151C21E7" w14:textId="03AB89BC" w:rsidR="00E5492E" w:rsidRPr="00713DA0"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713DA0">
        <w:rPr>
          <w:color w:val="auto"/>
        </w:rPr>
        <w:t xml:space="preserve">Lorsqu'il existe des preuves que les données requises pour appliquer la procédure de gestion (MP) ne sont pas disponibles ou suffisantes ou ne sont plus appropriées (comme défini dans le </w:t>
      </w:r>
      <w:r w:rsidRPr="00713DA0">
        <w:rPr>
          <w:b/>
          <w:bCs/>
          <w:color w:val="auto"/>
        </w:rPr>
        <w:t>tableau 1</w:t>
      </w:r>
      <w:r w:rsidRPr="00713DA0">
        <w:rPr>
          <w:color w:val="auto"/>
        </w:rPr>
        <w:t xml:space="preserve"> b) ; et/ou </w:t>
      </w:r>
    </w:p>
    <w:p w14:paraId="734D629F" w14:textId="77777777" w:rsidR="00E5492E" w:rsidRPr="00713DA0" w:rsidRDefault="00E5492E" w:rsidP="00037E3E">
      <w:pPr>
        <w:spacing w:after="0" w:line="240" w:lineRule="auto"/>
        <w:ind w:left="851" w:right="0" w:hanging="425"/>
        <w:rPr>
          <w:rFonts w:eastAsia="Aptos" w:cs="Arial"/>
          <w:color w:val="auto"/>
          <w:kern w:val="2"/>
          <w:szCs w:val="20"/>
          <w14:ligatures w14:val="standardContextual"/>
        </w:rPr>
      </w:pPr>
      <w:r w:rsidRPr="00713DA0">
        <w:rPr>
          <w:color w:val="auto"/>
        </w:rPr>
        <w:t xml:space="preserve"> </w:t>
      </w:r>
    </w:p>
    <w:p w14:paraId="7ACD6771" w14:textId="790DEC11" w:rsidR="00E5492E" w:rsidRPr="00713DA0" w:rsidRDefault="00E5492E" w:rsidP="00037E3E">
      <w:pPr>
        <w:numPr>
          <w:ilvl w:val="0"/>
          <w:numId w:val="24"/>
        </w:numPr>
        <w:spacing w:after="0" w:line="240" w:lineRule="auto"/>
        <w:ind w:left="851" w:right="0"/>
        <w:rPr>
          <w:rFonts w:eastAsia="Aptos" w:cs="Arial"/>
          <w:color w:val="auto"/>
          <w:kern w:val="2"/>
          <w:szCs w:val="20"/>
          <w14:ligatures w14:val="standardContextual"/>
        </w:rPr>
      </w:pPr>
      <w:r w:rsidRPr="00713DA0">
        <w:rPr>
          <w:color w:val="auto"/>
        </w:rPr>
        <w:t xml:space="preserve">Lorsqu'il existe des preuves que le total des captures </w:t>
      </w:r>
      <w:r w:rsidR="004926B4">
        <w:rPr>
          <w:color w:val="auto"/>
        </w:rPr>
        <w:t xml:space="preserve"> </w:t>
      </w:r>
      <w:r w:rsidRPr="00713DA0">
        <w:rPr>
          <w:color w:val="auto"/>
        </w:rPr>
        <w:t xml:space="preserve">est nettement supérieur </w:t>
      </w:r>
      <w:r w:rsidR="004926B4" w:rsidRPr="00D615CE">
        <w:rPr>
          <w:color w:val="auto"/>
          <w:u w:val="single"/>
        </w:rPr>
        <w:t>(tel que défini au</w:t>
      </w:r>
      <w:r w:rsidR="004926B4" w:rsidRPr="00D615CE">
        <w:rPr>
          <w:b/>
          <w:bCs/>
          <w:color w:val="auto"/>
          <w:u w:val="single"/>
        </w:rPr>
        <w:t xml:space="preserve"> tableau 1</w:t>
      </w:r>
      <w:r w:rsidR="004926B4" w:rsidRPr="00D615CE">
        <w:rPr>
          <w:color w:val="auto"/>
          <w:u w:val="single"/>
        </w:rPr>
        <w:t xml:space="preserve"> </w:t>
      </w:r>
      <w:r w:rsidR="00F923C9">
        <w:rPr>
          <w:color w:val="auto"/>
          <w:u w:val="single"/>
        </w:rPr>
        <w:t>c</w:t>
      </w:r>
      <w:r w:rsidR="004926B4" w:rsidRPr="00D615CE">
        <w:rPr>
          <w:color w:val="auto"/>
          <w:u w:val="single"/>
        </w:rPr>
        <w:t>)</w:t>
      </w:r>
      <w:r w:rsidR="00D615CE">
        <w:rPr>
          <w:color w:val="auto"/>
        </w:rPr>
        <w:t xml:space="preserve"> </w:t>
      </w:r>
      <w:r w:rsidRPr="00713DA0">
        <w:rPr>
          <w:color w:val="auto"/>
        </w:rPr>
        <w:t>au total admissible de captures (TAC) fixé au moyen de la M</w:t>
      </w:r>
      <w:r w:rsidRPr="00E05956">
        <w:rPr>
          <w:color w:val="auto"/>
          <w:u w:val="single"/>
        </w:rPr>
        <w:t>P</w:t>
      </w:r>
      <w:r w:rsidR="00E05956" w:rsidRPr="00E05956">
        <w:rPr>
          <w:color w:val="auto"/>
          <w:u w:val="single"/>
        </w:rPr>
        <w:t>.</w:t>
      </w:r>
      <w:r w:rsidRPr="00E05956">
        <w:rPr>
          <w:color w:val="auto"/>
          <w:u w:val="single"/>
        </w:rPr>
        <w:t xml:space="preserve"> </w:t>
      </w:r>
    </w:p>
    <w:p w14:paraId="350659A8" w14:textId="77777777" w:rsidR="00E5492E" w:rsidRPr="00713DA0" w:rsidRDefault="00E5492E" w:rsidP="00825AD0">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 </w:t>
      </w:r>
    </w:p>
    <w:p w14:paraId="4FAA4265" w14:textId="77777777" w:rsidR="00E5492E" w:rsidRPr="00713DA0" w:rsidRDefault="00E5492E" w:rsidP="00825AD0">
      <w:pPr>
        <w:spacing w:after="0" w:line="240" w:lineRule="auto"/>
        <w:ind w:left="0" w:right="0" w:firstLine="0"/>
        <w:rPr>
          <w:rFonts w:eastAsia="Aptos" w:cs="Arial"/>
          <w:bCs/>
          <w:color w:val="auto"/>
          <w:kern w:val="2"/>
          <w:szCs w:val="20"/>
          <w14:ligatures w14:val="standardContextual"/>
        </w:rPr>
      </w:pPr>
      <w:r w:rsidRPr="00713DA0">
        <w:rPr>
          <w:color w:val="auto"/>
        </w:rPr>
        <w:t xml:space="preserve">Il n'est pas possible de définir dans le présent protocole tous les scénarios dans lesquels les EC peuvent se produire. Un protocole contenant des orientations générales pour déterminer s'il existe des EC et si les implications qui en découlent sont suffisamment graves pour justifier la révision de l'avis de la MP est décrit ci-dessous. Le protocole ne doit pas être considéré comme un ensemble définitif de critères/réponses. Il ne doit pas non plus être considéré comme un mécanisme permettant de procéder à de petits ajustements. La détection de EC doit s’accompagner de preuves scientifiques irréfutables, et les actions à prendre découlant des EC ne devraient être prises que lorsque le maintien de la MP actuelle est considéré comme très risqué ou très inapproprié.  </w:t>
      </w:r>
    </w:p>
    <w:p w14:paraId="51C1F7A7" w14:textId="77777777" w:rsidR="00E5492E" w:rsidRPr="00713DA0" w:rsidRDefault="00E5492E" w:rsidP="00825AD0">
      <w:pPr>
        <w:spacing w:after="0" w:line="240" w:lineRule="auto"/>
        <w:ind w:left="0" w:right="0" w:firstLine="0"/>
        <w:jc w:val="left"/>
        <w:rPr>
          <w:rFonts w:eastAsia="Aptos" w:cs="Arial"/>
          <w:color w:val="auto"/>
          <w:kern w:val="2"/>
          <w:szCs w:val="20"/>
          <w:lang w:eastAsia="en-US"/>
          <w14:ligatures w14:val="standardContextual"/>
        </w:rPr>
      </w:pPr>
    </w:p>
    <w:p w14:paraId="1946AF24" w14:textId="77777777" w:rsidR="00E5492E" w:rsidRPr="00713DA0" w:rsidRDefault="00E5492E" w:rsidP="00825AD0">
      <w:pPr>
        <w:spacing w:after="0" w:line="240" w:lineRule="auto"/>
        <w:ind w:left="0" w:right="0" w:firstLine="0"/>
        <w:jc w:val="left"/>
        <w:rPr>
          <w:rFonts w:eastAsia="Aptos" w:cs="Arial"/>
          <w:color w:val="auto"/>
          <w:kern w:val="2"/>
          <w:szCs w:val="20"/>
          <w:lang w:eastAsia="en-US"/>
          <w14:ligatures w14:val="standardContextual"/>
        </w:rPr>
      </w:pPr>
    </w:p>
    <w:p w14:paraId="47B9BA04" w14:textId="77777777" w:rsidR="00E5492E" w:rsidRPr="00713DA0" w:rsidRDefault="00E5492E" w:rsidP="00825AD0">
      <w:pPr>
        <w:numPr>
          <w:ilvl w:val="0"/>
          <w:numId w:val="27"/>
        </w:numPr>
        <w:spacing w:after="0" w:line="240" w:lineRule="auto"/>
        <w:ind w:left="426" w:right="0" w:hanging="426"/>
        <w:contextualSpacing/>
        <w:jc w:val="left"/>
        <w:rPr>
          <w:rFonts w:eastAsia="Aptos" w:cs="Arial"/>
          <w:b/>
          <w:bCs/>
          <w:color w:val="auto"/>
          <w:kern w:val="2"/>
          <w:szCs w:val="20"/>
          <w14:ligatures w14:val="standardContextual"/>
        </w:rPr>
      </w:pPr>
      <w:r w:rsidRPr="00713DA0">
        <w:rPr>
          <w:b/>
          <w:color w:val="auto"/>
        </w:rPr>
        <w:t xml:space="preserve">Indicateurs pour les EC et processus visant à déterminer si des EC se produisent </w:t>
      </w:r>
    </w:p>
    <w:p w14:paraId="3B21FF4C" w14:textId="77777777" w:rsidR="00E5492E" w:rsidRPr="00713DA0" w:rsidRDefault="00E5492E" w:rsidP="00825AD0">
      <w:pPr>
        <w:spacing w:after="0" w:line="240" w:lineRule="auto"/>
        <w:ind w:left="0" w:right="0" w:firstLine="0"/>
        <w:jc w:val="left"/>
        <w:rPr>
          <w:rFonts w:eastAsia="Aptos" w:cs="Arial"/>
          <w:color w:val="auto"/>
          <w:kern w:val="2"/>
          <w:szCs w:val="20"/>
          <w14:ligatures w14:val="standardContextual"/>
        </w:rPr>
      </w:pPr>
      <w:r w:rsidRPr="00713DA0">
        <w:rPr>
          <w:b/>
          <w:color w:val="auto"/>
        </w:rPr>
        <w:t xml:space="preserve"> </w:t>
      </w:r>
    </w:p>
    <w:p w14:paraId="224BEA44" w14:textId="75F5FC1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À la lumière des principes énoncés à la section 1, le SCRS devrait utiliser les orientations générales fournies dans le </w:t>
      </w:r>
      <w:r w:rsidRPr="00713DA0">
        <w:rPr>
          <w:b/>
          <w:bCs/>
          <w:color w:val="auto"/>
        </w:rPr>
        <w:t xml:space="preserve">tableau 1 </w:t>
      </w:r>
      <w:r w:rsidRPr="00713DA0">
        <w:rPr>
          <w:color w:val="auto"/>
        </w:rPr>
        <w:t>et toute autre information pertinente pour déterminer annuellement l'existence d’EC. Si le SCRS détermine qu'il existe des preuves de l'existence de EC, il examinera la direction et la gravité des EC (par exemple, la mesure dans laquelle les valeurs de la prise par unité d’effort (CPUE) se situent en dehors de la fourchette prévue et si elles sont plus élevées ou plus basses que prévu) et, si possible, examinera ses impacts potentiels sur la performance de la MP.</w:t>
      </w:r>
    </w:p>
    <w:p w14:paraId="5566FC82" w14:textId="77777777" w:rsidR="00E5492E" w:rsidRPr="00713DA0" w:rsidRDefault="00E5492E" w:rsidP="00825AD0">
      <w:pPr>
        <w:spacing w:after="0" w:line="240" w:lineRule="auto"/>
        <w:ind w:left="0" w:right="0" w:firstLine="0"/>
        <w:rPr>
          <w:rFonts w:eastAsia="Aptos" w:cs="Arial"/>
          <w:color w:val="auto"/>
          <w:kern w:val="2"/>
          <w:szCs w:val="20"/>
          <w:lang w:eastAsia="en-US"/>
          <w14:ligatures w14:val="standardContextual"/>
        </w:rPr>
      </w:pPr>
    </w:p>
    <w:p w14:paraId="6AF1DDD7"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Le SCRS informera ensuite la Commission si ce cas se produit et lui indiquera la réponse la plus appropriée. Le déclenchement de EC n'entraîne pas immédiatement l'annulation de l'avis du TAC de la MP; cela signifie plutôt que le SCRS doit examiner les preuves fournies par les indicateurs du </w:t>
      </w:r>
      <w:r w:rsidRPr="00713DA0">
        <w:rPr>
          <w:b/>
          <w:bCs/>
          <w:color w:val="auto"/>
        </w:rPr>
        <w:t>tableau 1</w:t>
      </w:r>
      <w:r w:rsidRPr="00713DA0">
        <w:rPr>
          <w:color w:val="auto"/>
        </w:rPr>
        <w:t>, ainsi que toute autre information pertinente, et déterminer si une modification de l'avis est justifiée et si des travaux de recherche supplémentaires ou des ajustements du calendrier de la MSE sont nécessaires.</w:t>
      </w:r>
    </w:p>
    <w:p w14:paraId="5BD88068" w14:textId="77777777" w:rsidR="00E5492E" w:rsidRPr="00713DA0" w:rsidRDefault="00E5492E" w:rsidP="00825AD0">
      <w:pPr>
        <w:spacing w:after="0" w:line="240" w:lineRule="auto"/>
        <w:ind w:left="0" w:right="0" w:firstLine="0"/>
        <w:rPr>
          <w:rFonts w:eastAsia="Aptos" w:cs="Arial"/>
          <w:color w:val="auto"/>
          <w:kern w:val="2"/>
          <w:szCs w:val="20"/>
          <w:lang w:eastAsia="en-US"/>
          <w14:ligatures w14:val="standardContextual"/>
        </w:rPr>
      </w:pPr>
    </w:p>
    <w:p w14:paraId="1BC30700"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En ce qui concerne les EC identifiées, ces preuves devraient être suffisamment importantes pour affecter de manière significative l'avis du TAC provenant de la MP.</w:t>
      </w:r>
      <w:r w:rsidRPr="00713DA0">
        <w:rPr>
          <w:i/>
          <w:color w:val="auto"/>
        </w:rPr>
        <w:t xml:space="preserve"> </w:t>
      </w:r>
      <w:r w:rsidRPr="00713DA0">
        <w:rPr>
          <w:color w:val="auto"/>
        </w:rPr>
        <w:t xml:space="preserve"> </w:t>
      </w:r>
    </w:p>
    <w:p w14:paraId="23F05016" w14:textId="77777777" w:rsidR="00E5492E" w:rsidRPr="00713DA0" w:rsidRDefault="00E5492E" w:rsidP="00825AD0">
      <w:pPr>
        <w:spacing w:after="0" w:line="240" w:lineRule="auto"/>
        <w:ind w:left="0" w:right="0" w:firstLine="0"/>
        <w:rPr>
          <w:rFonts w:eastAsia="Aptos" w:cs="Arial"/>
          <w:b/>
          <w:color w:val="auto"/>
          <w:kern w:val="2"/>
          <w:szCs w:val="20"/>
          <w:lang w:eastAsia="en-US"/>
          <w14:ligatures w14:val="standardContextual"/>
        </w:rPr>
      </w:pPr>
    </w:p>
    <w:p w14:paraId="0CAF6495" w14:textId="77777777" w:rsidR="00C23A5D" w:rsidRPr="00713DA0" w:rsidRDefault="00C23A5D">
      <w:pPr>
        <w:spacing w:after="160" w:line="259" w:lineRule="auto"/>
        <w:ind w:left="0" w:right="0" w:firstLine="0"/>
        <w:jc w:val="left"/>
        <w:rPr>
          <w:rFonts w:eastAsia="Aptos" w:cs="Arial"/>
          <w:b/>
          <w:color w:val="auto"/>
          <w:kern w:val="2"/>
          <w:szCs w:val="20"/>
          <w14:ligatures w14:val="standardContextual"/>
        </w:rPr>
      </w:pPr>
      <w:r w:rsidRPr="00713DA0">
        <w:br w:type="page"/>
      </w:r>
    </w:p>
    <w:p w14:paraId="553D2199" w14:textId="682C75C8"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b/>
          <w:color w:val="auto"/>
        </w:rPr>
        <w:lastRenderedPageBreak/>
        <w:t>Tableau 1</w:t>
      </w:r>
      <w:r w:rsidRPr="00713DA0">
        <w:rPr>
          <w:color w:val="auto"/>
        </w:rPr>
        <w:t>. Orientation générale sur les indicateurs pour les EC de l'espadon de l'Atlantique Nord et calendrier pour la réalisation de l'évaluation.</w:t>
      </w:r>
    </w:p>
    <w:tbl>
      <w:tblPr>
        <w:tblW w:w="0" w:type="auto"/>
        <w:jc w:val="center"/>
        <w:tblCellMar>
          <w:top w:w="39" w:type="dxa"/>
          <w:right w:w="64" w:type="dxa"/>
        </w:tblCellMar>
        <w:tblLook w:val="04A0" w:firstRow="1" w:lastRow="0" w:firstColumn="1" w:lastColumn="0" w:noHBand="0" w:noVBand="1"/>
      </w:tblPr>
      <w:tblGrid>
        <w:gridCol w:w="1838"/>
        <w:gridCol w:w="1275"/>
        <w:gridCol w:w="3672"/>
        <w:gridCol w:w="2275"/>
      </w:tblGrid>
      <w:tr w:rsidR="00E5492E" w:rsidRPr="00713DA0" w14:paraId="0A806634" w14:textId="77777777" w:rsidTr="00C23A5D">
        <w:trPr>
          <w:trHeight w:val="245"/>
          <w:jc w:val="center"/>
        </w:trPr>
        <w:tc>
          <w:tcPr>
            <w:tcW w:w="1838" w:type="dxa"/>
            <w:tcBorders>
              <w:top w:val="single" w:sz="4" w:space="0" w:color="000000"/>
              <w:left w:val="single" w:sz="4" w:space="0" w:color="000000"/>
              <w:bottom w:val="single" w:sz="4" w:space="0" w:color="000000"/>
              <w:right w:val="single" w:sz="4" w:space="0" w:color="000000"/>
            </w:tcBorders>
          </w:tcPr>
          <w:p w14:paraId="253EE0F8"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 </w:t>
            </w:r>
            <w:r w:rsidRPr="00713DA0">
              <w:rPr>
                <w:b/>
                <w:i/>
                <w:color w:val="auto"/>
              </w:rPr>
              <w:t xml:space="preserve">Principe </w:t>
            </w:r>
          </w:p>
        </w:tc>
        <w:tc>
          <w:tcPr>
            <w:tcW w:w="1275" w:type="dxa"/>
            <w:tcBorders>
              <w:top w:val="single" w:sz="4" w:space="0" w:color="000000"/>
              <w:left w:val="single" w:sz="4" w:space="0" w:color="000000"/>
              <w:bottom w:val="single" w:sz="4" w:space="0" w:color="000000"/>
              <w:right w:val="single" w:sz="4" w:space="0" w:color="000000"/>
            </w:tcBorders>
          </w:tcPr>
          <w:p w14:paraId="784963A1"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b/>
                <w:i/>
                <w:color w:val="auto"/>
              </w:rPr>
              <w:t xml:space="preserve">Indicateur </w:t>
            </w:r>
          </w:p>
        </w:tc>
        <w:tc>
          <w:tcPr>
            <w:tcW w:w="0" w:type="auto"/>
            <w:tcBorders>
              <w:top w:val="single" w:sz="4" w:space="0" w:color="000000"/>
              <w:left w:val="single" w:sz="4" w:space="0" w:color="000000"/>
              <w:bottom w:val="single" w:sz="4" w:space="0" w:color="000000"/>
              <w:right w:val="single" w:sz="4" w:space="0" w:color="000000"/>
            </w:tcBorders>
          </w:tcPr>
          <w:p w14:paraId="32801A04"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b/>
                <w:i/>
                <w:color w:val="auto"/>
              </w:rPr>
              <w:t xml:space="preserve">Critère </w:t>
            </w:r>
          </w:p>
        </w:tc>
        <w:tc>
          <w:tcPr>
            <w:tcW w:w="0" w:type="auto"/>
            <w:tcBorders>
              <w:top w:val="single" w:sz="4" w:space="0" w:color="000000"/>
              <w:left w:val="single" w:sz="4" w:space="0" w:color="000000"/>
              <w:bottom w:val="single" w:sz="4" w:space="0" w:color="000000"/>
              <w:right w:val="single" w:sz="4" w:space="0" w:color="000000"/>
            </w:tcBorders>
          </w:tcPr>
          <w:p w14:paraId="7772CF1C"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b/>
                <w:i/>
                <w:color w:val="auto"/>
              </w:rPr>
              <w:t xml:space="preserve">Fréquence </w:t>
            </w:r>
          </w:p>
        </w:tc>
      </w:tr>
      <w:tr w:rsidR="00E5492E" w:rsidRPr="00713DA0" w14:paraId="2E1FB15F" w14:textId="77777777" w:rsidTr="00FA7F10">
        <w:trPr>
          <w:trHeight w:val="1175"/>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7ADD8445" w14:textId="77777777" w:rsidR="00E5492E" w:rsidRPr="00713DA0" w:rsidRDefault="00E5492E" w:rsidP="00C23A5D">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a) Stock et dynamique de la pêcherie </w:t>
            </w:r>
          </w:p>
        </w:tc>
        <w:tc>
          <w:tcPr>
            <w:tcW w:w="1275" w:type="dxa"/>
            <w:tcBorders>
              <w:top w:val="single" w:sz="4" w:space="0" w:color="000000"/>
              <w:left w:val="single" w:sz="4" w:space="0" w:color="000000"/>
              <w:bottom w:val="single" w:sz="4" w:space="0" w:color="000000"/>
              <w:right w:val="single" w:sz="4" w:space="0" w:color="000000"/>
            </w:tcBorders>
            <w:vAlign w:val="center"/>
          </w:tcPr>
          <w:p w14:paraId="1F2851CA"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Indices</w:t>
            </w:r>
          </w:p>
        </w:tc>
        <w:tc>
          <w:tcPr>
            <w:tcW w:w="0" w:type="auto"/>
            <w:tcBorders>
              <w:top w:val="single" w:sz="4" w:space="0" w:color="000000"/>
              <w:left w:val="single" w:sz="4" w:space="0" w:color="000000"/>
              <w:bottom w:val="single" w:sz="4" w:space="0" w:color="000000"/>
              <w:right w:val="single" w:sz="4" w:space="0" w:color="000000"/>
            </w:tcBorders>
          </w:tcPr>
          <w:p w14:paraId="68D67CA2"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Si, pour une année donnée, les valeurs observées de l'indice combiné se situent en dehors de la fourchette allant du percentile 2,5 au percentile 97,5 de l'indice combiné simulé utilisé dans les projections pour tester la MP adoptée.</w:t>
            </w:r>
          </w:p>
        </w:tc>
        <w:tc>
          <w:tcPr>
            <w:tcW w:w="0" w:type="auto"/>
            <w:tcBorders>
              <w:top w:val="single" w:sz="4" w:space="0" w:color="000000"/>
              <w:left w:val="single" w:sz="4" w:space="0" w:color="000000"/>
              <w:bottom w:val="single" w:sz="4" w:space="0" w:color="000000"/>
              <w:right w:val="single" w:sz="4" w:space="0" w:color="000000"/>
            </w:tcBorders>
            <w:vAlign w:val="center"/>
          </w:tcPr>
          <w:p w14:paraId="07785348"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Annuellement</w:t>
            </w:r>
          </w:p>
        </w:tc>
      </w:tr>
      <w:tr w:rsidR="00E5492E" w:rsidRPr="00713DA0" w14:paraId="6992C526" w14:textId="77777777" w:rsidTr="00C23A5D">
        <w:trPr>
          <w:trHeight w:val="1658"/>
          <w:jc w:val="center"/>
        </w:trPr>
        <w:tc>
          <w:tcPr>
            <w:tcW w:w="1838" w:type="dxa"/>
            <w:vMerge/>
            <w:tcBorders>
              <w:top w:val="nil"/>
              <w:left w:val="single" w:sz="4" w:space="0" w:color="000000"/>
              <w:bottom w:val="single" w:sz="4" w:space="0" w:color="auto"/>
              <w:right w:val="single" w:sz="4" w:space="0" w:color="000000"/>
            </w:tcBorders>
          </w:tcPr>
          <w:p w14:paraId="10E4568B" w14:textId="77777777" w:rsidR="00E5492E" w:rsidRPr="00713DA0" w:rsidRDefault="00E5492E" w:rsidP="00825AD0">
            <w:pPr>
              <w:spacing w:after="0" w:line="240" w:lineRule="auto"/>
              <w:ind w:left="0" w:right="0" w:firstLine="0"/>
              <w:rPr>
                <w:rFonts w:eastAsia="Aptos" w:cs="Arial"/>
                <w:color w:val="auto"/>
                <w:kern w:val="2"/>
                <w:szCs w:val="20"/>
                <w:lang w:val="en-US" w:eastAsia="en-US"/>
                <w14:ligatures w14:val="standardContextual"/>
              </w:rPr>
            </w:pPr>
          </w:p>
        </w:tc>
        <w:tc>
          <w:tcPr>
            <w:tcW w:w="1275" w:type="dxa"/>
            <w:tcBorders>
              <w:top w:val="single" w:sz="4" w:space="0" w:color="000000"/>
              <w:left w:val="single" w:sz="4" w:space="0" w:color="000000"/>
              <w:bottom w:val="single" w:sz="4" w:space="0" w:color="auto"/>
              <w:right w:val="single" w:sz="4" w:space="0" w:color="000000"/>
            </w:tcBorders>
            <w:vAlign w:val="center"/>
          </w:tcPr>
          <w:p w14:paraId="22D8BB7C" w14:textId="77777777" w:rsidR="00E5492E" w:rsidRPr="00713DA0" w:rsidRDefault="00E5492E" w:rsidP="00825AD0">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Abondance, cycle vital et dynamique de la pêcherie </w:t>
            </w:r>
          </w:p>
        </w:tc>
        <w:tc>
          <w:tcPr>
            <w:tcW w:w="0" w:type="auto"/>
            <w:tcBorders>
              <w:top w:val="single" w:sz="4" w:space="0" w:color="000000"/>
              <w:left w:val="single" w:sz="4" w:space="0" w:color="000000"/>
              <w:bottom w:val="single" w:sz="4" w:space="0" w:color="auto"/>
              <w:right w:val="single" w:sz="4" w:space="0" w:color="000000"/>
            </w:tcBorders>
          </w:tcPr>
          <w:p w14:paraId="6F9D453B" w14:textId="5E9699A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Lorsqu'il existe des preuves que le stocks et/ou la dynamique de la pêcherie se trouvent dans des états qui n'étaient pas auparavant et/ou ne sont plus considérés comme plausibles dans le contexte de la MSE ou lorsqu'il existe des preuves que les états du stock ou la dynamique de la pêcherie inclus dans les OM pour tester la MSE ne sont plus considérés comme plausibles.   </w:t>
            </w:r>
          </w:p>
        </w:tc>
        <w:tc>
          <w:tcPr>
            <w:tcW w:w="0" w:type="auto"/>
            <w:tcBorders>
              <w:top w:val="single" w:sz="4" w:space="0" w:color="000000"/>
              <w:left w:val="single" w:sz="4" w:space="0" w:color="000000"/>
              <w:bottom w:val="single" w:sz="4" w:space="0" w:color="auto"/>
              <w:right w:val="single" w:sz="4" w:space="0" w:color="000000"/>
            </w:tcBorders>
            <w:vAlign w:val="center"/>
          </w:tcPr>
          <w:p w14:paraId="7F75E9AE" w14:textId="0B2D2D2E"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Dès que les informations sont disponibles et après achèvement, présentation et acceptation par le SCRS d'une étude comme nouvelle référence.</w:t>
            </w:r>
          </w:p>
        </w:tc>
      </w:tr>
      <w:tr w:rsidR="00E5492E" w:rsidRPr="00713DA0" w14:paraId="3636AC79" w14:textId="77777777" w:rsidTr="00FA7F10">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A23645" w14:textId="77777777" w:rsidR="00E5492E" w:rsidRPr="00713DA0" w:rsidRDefault="00E5492E" w:rsidP="00C23A5D">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b) Disponibilité des données pour la MP </w:t>
            </w:r>
          </w:p>
        </w:tc>
        <w:tc>
          <w:tcPr>
            <w:tcW w:w="1275" w:type="dxa"/>
            <w:tcBorders>
              <w:top w:val="single" w:sz="4" w:space="0" w:color="auto"/>
              <w:left w:val="single" w:sz="4" w:space="0" w:color="auto"/>
              <w:bottom w:val="single" w:sz="4" w:space="0" w:color="auto"/>
              <w:right w:val="single" w:sz="4" w:space="0" w:color="auto"/>
            </w:tcBorders>
            <w:vAlign w:val="center"/>
          </w:tcPr>
          <w:p w14:paraId="7008CB62" w14:textId="77777777" w:rsidR="00E5492E" w:rsidRPr="00713DA0" w:rsidRDefault="00E5492E" w:rsidP="00825AD0">
            <w:pPr>
              <w:spacing w:after="0" w:line="240" w:lineRule="auto"/>
              <w:ind w:left="0" w:right="0" w:firstLine="0"/>
              <w:jc w:val="left"/>
              <w:rPr>
                <w:rFonts w:eastAsia="Aptos" w:cs="Arial"/>
                <w:color w:val="auto"/>
                <w:kern w:val="2"/>
                <w:szCs w:val="20"/>
                <w14:ligatures w14:val="standardContextual"/>
              </w:rPr>
            </w:pPr>
            <w:r w:rsidRPr="00713DA0">
              <w:rPr>
                <w:color w:val="auto"/>
              </w:rPr>
              <w:t>Indices</w:t>
            </w:r>
          </w:p>
        </w:tc>
        <w:tc>
          <w:tcPr>
            <w:tcW w:w="0" w:type="auto"/>
            <w:tcBorders>
              <w:top w:val="single" w:sz="4" w:space="0" w:color="auto"/>
              <w:left w:val="single" w:sz="4" w:space="0" w:color="auto"/>
              <w:bottom w:val="single" w:sz="4" w:space="0" w:color="auto"/>
              <w:right w:val="single" w:sz="4" w:space="0" w:color="auto"/>
            </w:tcBorders>
          </w:tcPr>
          <w:p w14:paraId="1C6F5209" w14:textId="0B42764D" w:rsidR="00E5492E" w:rsidRPr="00713DA0" w:rsidRDefault="00C23A5D" w:rsidP="00825AD0">
            <w:pPr>
              <w:spacing w:after="0" w:line="240" w:lineRule="auto"/>
              <w:ind w:left="0" w:right="0" w:firstLine="0"/>
              <w:rPr>
                <w:rFonts w:eastAsia="Aptos" w:cs="Arial"/>
                <w:color w:val="auto"/>
                <w:kern w:val="2"/>
                <w:szCs w:val="20"/>
                <w14:ligatures w14:val="standardContextual"/>
              </w:rPr>
            </w:pPr>
            <w:r w:rsidRPr="00713DA0">
              <w:rPr>
                <w:color w:val="auto"/>
              </w:rPr>
              <w:t>Si des données de deux flottilles influentes ou plus contribuant à l'indice combiné manquent</w:t>
            </w:r>
            <w:r w:rsidR="00E5492E" w:rsidRPr="00713DA0">
              <w:rPr>
                <w:rFonts w:eastAsia="Aptos" w:cs="Arial"/>
                <w:color w:val="auto"/>
                <w:kern w:val="2"/>
                <w:szCs w:val="20"/>
                <w:vertAlign w:val="superscript"/>
                <w:lang w:val="en-US" w:eastAsia="en-US"/>
              </w:rPr>
              <w:footnoteReference w:id="2"/>
            </w:r>
            <w:r w:rsidRPr="00713DA0">
              <w:rPr>
                <w:color w:val="auto"/>
              </w:rPr>
              <w:t>.</w:t>
            </w:r>
          </w:p>
        </w:tc>
        <w:tc>
          <w:tcPr>
            <w:tcW w:w="0" w:type="auto"/>
            <w:tcBorders>
              <w:top w:val="single" w:sz="4" w:space="0" w:color="auto"/>
              <w:left w:val="single" w:sz="4" w:space="0" w:color="auto"/>
              <w:bottom w:val="single" w:sz="4" w:space="0" w:color="auto"/>
              <w:right w:val="single" w:sz="4" w:space="0" w:color="auto"/>
            </w:tcBorders>
            <w:vAlign w:val="center"/>
          </w:tcPr>
          <w:p w14:paraId="75AAD83E"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Annuellement </w:t>
            </w:r>
          </w:p>
        </w:tc>
      </w:tr>
      <w:tr w:rsidR="00E5492E" w:rsidRPr="00713DA0" w14:paraId="1DBEC45A" w14:textId="77777777" w:rsidTr="00FA7F10">
        <w:trPr>
          <w:trHeight w:val="521"/>
          <w:jc w:val="center"/>
        </w:trPr>
        <w:tc>
          <w:tcPr>
            <w:tcW w:w="1838" w:type="dxa"/>
            <w:tcBorders>
              <w:top w:val="single" w:sz="4" w:space="0" w:color="auto"/>
              <w:left w:val="single" w:sz="4" w:space="0" w:color="auto"/>
              <w:bottom w:val="single" w:sz="4" w:space="0" w:color="auto"/>
              <w:right w:val="single" w:sz="4" w:space="0" w:color="auto"/>
            </w:tcBorders>
            <w:vAlign w:val="center"/>
          </w:tcPr>
          <w:p w14:paraId="6A8371CD"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c) Mise en œuvre du TAC </w:t>
            </w:r>
          </w:p>
          <w:p w14:paraId="4FB1A920"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 </w:t>
            </w:r>
          </w:p>
        </w:tc>
        <w:tc>
          <w:tcPr>
            <w:tcW w:w="1275" w:type="dxa"/>
            <w:tcBorders>
              <w:top w:val="single" w:sz="4" w:space="0" w:color="auto"/>
              <w:left w:val="single" w:sz="4" w:space="0" w:color="auto"/>
              <w:bottom w:val="single" w:sz="4" w:space="0" w:color="auto"/>
              <w:right w:val="single" w:sz="4" w:space="0" w:color="auto"/>
            </w:tcBorders>
            <w:vAlign w:val="center"/>
          </w:tcPr>
          <w:p w14:paraId="6DB220CA" w14:textId="77777777" w:rsidR="00E5492E" w:rsidRPr="00713DA0" w:rsidRDefault="00E5492E" w:rsidP="00825AD0">
            <w:pPr>
              <w:spacing w:after="0" w:line="240" w:lineRule="auto"/>
              <w:ind w:left="0" w:right="0" w:firstLine="0"/>
              <w:jc w:val="left"/>
              <w:rPr>
                <w:rFonts w:eastAsia="Aptos" w:cs="Arial"/>
                <w:color w:val="auto"/>
                <w:kern w:val="2"/>
                <w:szCs w:val="20"/>
                <w14:ligatures w14:val="standardContextual"/>
              </w:rPr>
            </w:pPr>
            <w:r w:rsidRPr="00713DA0">
              <w:rPr>
                <w:color w:val="auto"/>
              </w:rPr>
              <w:t>Capture</w:t>
            </w:r>
          </w:p>
        </w:tc>
        <w:tc>
          <w:tcPr>
            <w:tcW w:w="0" w:type="auto"/>
            <w:tcBorders>
              <w:top w:val="single" w:sz="4" w:space="0" w:color="auto"/>
              <w:left w:val="single" w:sz="4" w:space="0" w:color="auto"/>
              <w:bottom w:val="single" w:sz="4" w:space="0" w:color="auto"/>
              <w:right w:val="single" w:sz="4" w:space="0" w:color="auto"/>
            </w:tcBorders>
          </w:tcPr>
          <w:p w14:paraId="65A0E25C"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t>Si la prise totale dépasse de 20% ou plus le TAC établi au moyen de la MP</w:t>
            </w:r>
            <w:sdt>
              <w:sdtPr>
                <w:rPr>
                  <w:rFonts w:eastAsia="Aptos" w:cs="Arial"/>
                  <w:color w:val="auto"/>
                  <w:kern w:val="2"/>
                  <w:szCs w:val="20"/>
                  <w14:ligatures w14:val="standardContextual"/>
                </w:rPr>
                <w:tag w:val="goog_rdk_2"/>
                <w:id w:val="-502279903"/>
              </w:sdtPr>
              <w:sdtEndPr/>
              <w:sdtContent/>
            </w:sdt>
            <w:sdt>
              <w:sdtPr>
                <w:rPr>
                  <w:rFonts w:eastAsia="Aptos" w:cs="Arial"/>
                  <w:color w:val="auto"/>
                  <w:kern w:val="2"/>
                  <w:szCs w:val="20"/>
                  <w14:ligatures w14:val="standardContextual"/>
                </w:rPr>
                <w:tag w:val="goog_rdk_5"/>
                <w:id w:val="1390453310"/>
              </w:sdtPr>
              <w:sdtEndPr/>
              <w:sdtContent/>
            </w:sdt>
            <w:r w:rsidRPr="00713DA0">
              <w:rPr>
                <w:color w:val="auto"/>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6818E2B9"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Annuellement </w:t>
            </w:r>
          </w:p>
        </w:tc>
      </w:tr>
    </w:tbl>
    <w:p w14:paraId="3A7F6ED0" w14:textId="77777777" w:rsidR="00E5492E" w:rsidRPr="00713DA0"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45CAEB4B" w14:textId="77777777" w:rsidR="00E5492E" w:rsidRPr="00713DA0" w:rsidRDefault="00E5492E" w:rsidP="00825AD0">
      <w:pPr>
        <w:spacing w:after="0" w:line="240" w:lineRule="auto"/>
        <w:ind w:left="0" w:right="0" w:firstLine="0"/>
        <w:rPr>
          <w:rFonts w:eastAsia="Aptos" w:cs="Arial"/>
          <w:color w:val="auto"/>
          <w:kern w:val="2"/>
          <w:szCs w:val="20"/>
          <w:lang w:val="en-US" w:eastAsia="en-US"/>
          <w14:ligatures w14:val="standardContextual"/>
        </w:rPr>
      </w:pPr>
    </w:p>
    <w:p w14:paraId="14B16BE6" w14:textId="77777777" w:rsidR="00E5492E" w:rsidRPr="00713DA0" w:rsidRDefault="00E5492E" w:rsidP="00825AD0">
      <w:pPr>
        <w:numPr>
          <w:ilvl w:val="0"/>
          <w:numId w:val="27"/>
        </w:numPr>
        <w:spacing w:after="0" w:line="240" w:lineRule="auto"/>
        <w:ind w:left="426" w:right="0" w:hanging="426"/>
        <w:contextualSpacing/>
        <w:jc w:val="left"/>
        <w:rPr>
          <w:rFonts w:eastAsia="Aptos" w:cs="Arial"/>
          <w:b/>
          <w:color w:val="auto"/>
          <w:kern w:val="2"/>
          <w:szCs w:val="20"/>
          <w14:ligatures w14:val="standardContextual"/>
        </w:rPr>
      </w:pPr>
      <w:r w:rsidRPr="00713DA0">
        <w:rPr>
          <w:b/>
          <w:color w:val="auto"/>
        </w:rPr>
        <w:t xml:space="preserve">Mesures à prendre en cas de EC </w:t>
      </w:r>
    </w:p>
    <w:p w14:paraId="75850D40"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 </w:t>
      </w:r>
    </w:p>
    <w:p w14:paraId="0C5A4105"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Si le SCRS détermine que des EC empêchent l'application de la MP ou rendent l'application de la MP ou la mise en œuvre de ses résultats déconseillée sur la base des principes décrits dans la section 1, le SCRS devra évaluer la nature des EC et conseiller la Commission en ce qui concerne : </w:t>
      </w:r>
    </w:p>
    <w:p w14:paraId="7D7D1E86"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 </w:t>
      </w:r>
    </w:p>
    <w:p w14:paraId="44090659" w14:textId="77777777" w:rsidR="00E5492E" w:rsidRPr="00713DA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713DA0">
        <w:rPr>
          <w:color w:val="auto"/>
        </w:rPr>
        <w:t>Des recherches supplémentaires qui pourraient apporter plus de clarté sur la nécessité de s'écarter du calendrier actuel de révision de la MP et du TAC.</w:t>
      </w:r>
    </w:p>
    <w:p w14:paraId="3F1C80EE" w14:textId="77777777" w:rsidR="00FA7F10" w:rsidRPr="00713DA0" w:rsidRDefault="00FA7F10" w:rsidP="00FA7F10">
      <w:pPr>
        <w:spacing w:after="0" w:line="240" w:lineRule="auto"/>
        <w:ind w:left="567" w:right="0" w:firstLine="0"/>
        <w:rPr>
          <w:rFonts w:eastAsia="Aptos" w:cs="Arial"/>
          <w:color w:val="auto"/>
          <w:kern w:val="2"/>
          <w:szCs w:val="20"/>
          <w:lang w:eastAsia="en-US"/>
          <w14:ligatures w14:val="standardContextual"/>
        </w:rPr>
      </w:pPr>
    </w:p>
    <w:p w14:paraId="29454DFD" w14:textId="77777777" w:rsidR="00E5492E" w:rsidRPr="00713DA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713DA0">
        <w:rPr>
          <w:color w:val="auto"/>
        </w:rPr>
        <w:t>Options de gestion alternatives pour la prochaine année de pêche visant à assurer, au minimum, la stabilité de l'état du stock, y compris les implications : (i) le maintien de l’avis sur le TAC établi dans le cadre de la MP, (ii) la réduction de l’avis sur le TAC à la lumière des indications de déclin du stock, (iii) l'augmentation de l’avis sur le TAC à la lumière des indications d'augmentation du stock qui n'ont pas été jugées plausibles au cours des tests de la MSE, et (iv) toute autre mesure de conservation et de gestion appropriée ;</w:t>
      </w:r>
    </w:p>
    <w:p w14:paraId="74A7DED5" w14:textId="77777777" w:rsidR="00FA7F10" w:rsidRPr="00713DA0" w:rsidRDefault="00FA7F10" w:rsidP="00FA7F10">
      <w:pPr>
        <w:pStyle w:val="ListParagraph"/>
        <w:rPr>
          <w:rFonts w:eastAsia="Aptos" w:cs="Arial"/>
          <w:color w:val="auto"/>
          <w:kern w:val="2"/>
          <w:szCs w:val="20"/>
          <w:lang w:eastAsia="en-US"/>
          <w14:ligatures w14:val="standardContextual"/>
        </w:rPr>
      </w:pPr>
    </w:p>
    <w:p w14:paraId="62CDAB97" w14:textId="77777777" w:rsidR="00E5492E" w:rsidRPr="00713DA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713DA0">
        <w:rPr>
          <w:color w:val="auto"/>
        </w:rPr>
        <w:t xml:space="preserve">La question de savoir si la MP existante devrait être ajustée ou si une nouvelle MP doit être développée ; et </w:t>
      </w:r>
    </w:p>
    <w:p w14:paraId="5D18B38D" w14:textId="77777777" w:rsidR="00FA7F10" w:rsidRPr="00713DA0" w:rsidRDefault="00FA7F10" w:rsidP="00FA7F10">
      <w:pPr>
        <w:pStyle w:val="ListParagraph"/>
        <w:rPr>
          <w:rFonts w:eastAsia="Aptos" w:cs="Arial"/>
          <w:color w:val="auto"/>
          <w:kern w:val="2"/>
          <w:szCs w:val="20"/>
          <w:lang w:eastAsia="en-US"/>
          <w14:ligatures w14:val="standardContextual"/>
        </w:rPr>
      </w:pPr>
    </w:p>
    <w:p w14:paraId="073CA10B" w14:textId="77777777" w:rsidR="00E5492E" w:rsidRPr="00713DA0" w:rsidRDefault="00E5492E" w:rsidP="00FA7F10">
      <w:pPr>
        <w:numPr>
          <w:ilvl w:val="0"/>
          <w:numId w:val="25"/>
        </w:numPr>
        <w:spacing w:after="0" w:line="240" w:lineRule="auto"/>
        <w:ind w:left="567" w:right="0"/>
        <w:rPr>
          <w:rFonts w:eastAsia="Aptos" w:cs="Arial"/>
          <w:color w:val="auto"/>
          <w:kern w:val="2"/>
          <w:szCs w:val="20"/>
          <w14:ligatures w14:val="standardContextual"/>
        </w:rPr>
      </w:pPr>
      <w:r w:rsidRPr="00713DA0">
        <w:rPr>
          <w:color w:val="auto"/>
        </w:rPr>
        <w:t xml:space="preserve">Si une évaluation du stock ou une autre méthode approuvée par le SCRS pour déterminer les TAC est nécessaire pour fournir un avis de gestion dans l'intervalle, pendant qu'une MP révisée est élaborée. </w:t>
      </w:r>
    </w:p>
    <w:p w14:paraId="0D6AF080" w14:textId="77777777" w:rsidR="00FA7F10" w:rsidRPr="00713DA0" w:rsidRDefault="00FA7F10" w:rsidP="00FA7F10">
      <w:pPr>
        <w:spacing w:after="0" w:line="240" w:lineRule="auto"/>
        <w:ind w:left="0" w:right="0" w:firstLine="0"/>
        <w:rPr>
          <w:rFonts w:eastAsia="Aptos" w:cs="Arial"/>
          <w:color w:val="auto"/>
          <w:kern w:val="2"/>
          <w:szCs w:val="20"/>
          <w:lang w:eastAsia="en-US"/>
          <w14:ligatures w14:val="standardContextual"/>
        </w:rPr>
      </w:pPr>
    </w:p>
    <w:p w14:paraId="3BFAC6AA" w14:textId="5F2AF0F6" w:rsidR="00E5492E" w:rsidRPr="00713DA0" w:rsidRDefault="00E5492E" w:rsidP="00FA7F10">
      <w:pPr>
        <w:spacing w:after="0" w:line="240" w:lineRule="auto"/>
        <w:ind w:left="0" w:right="0" w:firstLine="0"/>
        <w:rPr>
          <w:rFonts w:eastAsia="Aptos" w:cs="Arial"/>
          <w:color w:val="auto"/>
          <w:kern w:val="2"/>
          <w:szCs w:val="20"/>
          <w14:ligatures w14:val="standardContextual"/>
        </w:rPr>
      </w:pPr>
      <w:r w:rsidRPr="00713DA0">
        <w:rPr>
          <w:color w:val="auto"/>
        </w:rPr>
        <w:t xml:space="preserve">Sur la base de l'avis du SCRS sur ce qui précède, la Commission devra décider de la ou des mesures de gestion alternatives à prendre. Si nécessaire et approprié, le SCRS devra réaliser une nouvelle évaluation du stock et/ou formuler un avis sur les nouvelles MP potentielles, dès que possible. </w:t>
      </w:r>
    </w:p>
    <w:p w14:paraId="1EA42CEB"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 </w:t>
      </w:r>
    </w:p>
    <w:p w14:paraId="1B5BFFF3"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t xml:space="preserve">Voir le diagramme ci-dessous pour une représentation schématique du processus ci-dessus : </w:t>
      </w:r>
    </w:p>
    <w:p w14:paraId="3376D92E" w14:textId="77777777" w:rsidR="00E5492E" w:rsidRPr="00713DA0" w:rsidRDefault="00E5492E" w:rsidP="00825AD0">
      <w:pPr>
        <w:spacing w:after="0" w:line="240" w:lineRule="auto"/>
        <w:ind w:left="0" w:right="0" w:firstLine="0"/>
        <w:rPr>
          <w:rFonts w:eastAsia="Aptos" w:cs="Arial"/>
          <w:color w:val="auto"/>
          <w:kern w:val="2"/>
          <w:szCs w:val="20"/>
          <w:lang w:eastAsia="en-US"/>
          <w14:ligatures w14:val="standardContextual"/>
        </w:rPr>
      </w:pPr>
    </w:p>
    <w:p w14:paraId="7176939F" w14:textId="77777777" w:rsidR="00E5492E" w:rsidRPr="00713DA0" w:rsidRDefault="00E5492E" w:rsidP="00825AD0">
      <w:pPr>
        <w:spacing w:after="0" w:line="240" w:lineRule="auto"/>
        <w:ind w:left="0" w:right="0" w:firstLine="0"/>
        <w:rPr>
          <w:rFonts w:eastAsia="Aptos" w:cs="Arial"/>
          <w:color w:val="auto"/>
          <w:kern w:val="2"/>
          <w:szCs w:val="20"/>
          <w14:ligatures w14:val="standardContextual"/>
        </w:rPr>
      </w:pPr>
      <w:r w:rsidRPr="00713DA0">
        <w:rPr>
          <w:color w:val="auto"/>
        </w:rPr>
        <w:lastRenderedPageBreak/>
        <w:t xml:space="preserve">Le SCRS devra vérifier l'existence des EC à l'aide des indicateurs et des critères spécifiés au </w:t>
      </w:r>
      <w:r w:rsidRPr="00713DA0">
        <w:rPr>
          <w:b/>
          <w:bCs/>
          <w:color w:val="auto"/>
        </w:rPr>
        <w:t>tableau 1</w:t>
      </w:r>
      <w:r w:rsidRPr="00713DA0">
        <w:rPr>
          <w:color w:val="auto"/>
        </w:rPr>
        <w:t xml:space="preserve"> et selon la fréquence indiquée. </w:t>
      </w:r>
    </w:p>
    <w:p w14:paraId="7DE8E755" w14:textId="77777777" w:rsidR="00D14C01" w:rsidRPr="00713DA0" w:rsidRDefault="00D14C01" w:rsidP="00E5492E">
      <w:pPr>
        <w:spacing w:after="0" w:line="240" w:lineRule="auto"/>
        <w:ind w:left="0" w:right="0" w:firstLine="0"/>
        <w:jc w:val="left"/>
        <w:rPr>
          <w:rFonts w:eastAsia="Aptos" w:cs="Arial"/>
          <w:color w:val="auto"/>
          <w:kern w:val="2"/>
          <w:szCs w:val="20"/>
          <w:lang w:eastAsia="en-US"/>
          <w14:ligatures w14:val="standardContextual"/>
        </w:rPr>
      </w:pPr>
    </w:p>
    <w:p w14:paraId="3C56E98C" w14:textId="63EC5E42"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Années 1 et 2 :  </w:t>
      </w:r>
    </w:p>
    <w:p w14:paraId="6D4A7580" w14:textId="77777777" w:rsidR="00E5492E" w:rsidRPr="00713DA0" w:rsidRDefault="00E5492E" w:rsidP="00E5492E">
      <w:pPr>
        <w:spacing w:after="0" w:line="240" w:lineRule="auto"/>
        <w:ind w:left="567" w:right="0" w:hanging="283"/>
        <w:jc w:val="left"/>
        <w:rPr>
          <w:rFonts w:eastAsia="Aptos" w:cs="Arial"/>
          <w:color w:val="auto"/>
          <w:kern w:val="2"/>
          <w:szCs w:val="20"/>
          <w14:ligatures w14:val="standardContextual"/>
        </w:rPr>
      </w:pPr>
      <w:r w:rsidRPr="00713DA0">
        <w:rPr>
          <w:color w:val="auto"/>
        </w:rPr>
        <w:t>1.</w:t>
      </w:r>
      <w:r w:rsidRPr="00713DA0">
        <w:rPr>
          <w:color w:val="auto"/>
        </w:rPr>
        <w:tab/>
        <w:t xml:space="preserve">Mettre à jour de l'indice d'abondance combiné  </w:t>
      </w:r>
    </w:p>
    <w:p w14:paraId="5C8AA0F1" w14:textId="77777777" w:rsidR="00E5492E" w:rsidRPr="00713DA0" w:rsidRDefault="00E5492E" w:rsidP="00E5492E">
      <w:pPr>
        <w:spacing w:after="0" w:line="240" w:lineRule="auto"/>
        <w:ind w:left="567" w:right="0" w:hanging="283"/>
        <w:jc w:val="left"/>
        <w:rPr>
          <w:rFonts w:eastAsia="Aptos" w:cs="Arial"/>
          <w:color w:val="auto"/>
          <w:kern w:val="2"/>
          <w:szCs w:val="20"/>
          <w14:ligatures w14:val="standardContextual"/>
        </w:rPr>
      </w:pPr>
      <w:r w:rsidRPr="00713DA0">
        <w:rPr>
          <w:color w:val="auto"/>
        </w:rPr>
        <w:t>2.</w:t>
      </w:r>
      <w:r w:rsidRPr="00713DA0">
        <w:rPr>
          <w:color w:val="auto"/>
        </w:rPr>
        <w:tab/>
        <w:t xml:space="preserve">Mettre à jour la capture.  </w:t>
      </w:r>
    </w:p>
    <w:p w14:paraId="4D4D17B0" w14:textId="471D67E0" w:rsidR="00E5492E" w:rsidRPr="00713DA0" w:rsidRDefault="00E5492E" w:rsidP="00796AA6">
      <w:pPr>
        <w:spacing w:after="0" w:line="240" w:lineRule="auto"/>
        <w:ind w:left="567" w:right="0" w:hanging="283"/>
        <w:rPr>
          <w:rFonts w:eastAsia="Aptos" w:cs="Arial"/>
          <w:color w:val="auto"/>
          <w:kern w:val="2"/>
          <w:szCs w:val="20"/>
          <w14:ligatures w14:val="standardContextual"/>
        </w:rPr>
      </w:pPr>
      <w:r w:rsidRPr="00713DA0">
        <w:rPr>
          <w:color w:val="auto"/>
        </w:rPr>
        <w:t>3.</w:t>
      </w:r>
      <w:r w:rsidRPr="00713DA0">
        <w:rPr>
          <w:color w:val="auto"/>
        </w:rPr>
        <w:tab/>
        <w:t xml:space="preserve">Examiner les preuves que le stock et/ou la dynamique de la pêcherie se trouvent dans des états qui n'étaient pas auparavant et/ou ne sont plus considérés comme plausibles dans le contexte de la MSE ou lorsqu'il existe des preuves que les états </w:t>
      </w:r>
      <w:r w:rsidR="00B62DAB" w:rsidRPr="00713DA0">
        <w:rPr>
          <w:color w:val="auto"/>
        </w:rPr>
        <w:t>du stock</w:t>
      </w:r>
      <w:r w:rsidRPr="00713DA0">
        <w:rPr>
          <w:color w:val="auto"/>
        </w:rPr>
        <w:t xml:space="preserve"> ou de la dynamique de</w:t>
      </w:r>
      <w:r w:rsidR="00F80A1D">
        <w:rPr>
          <w:color w:val="auto"/>
        </w:rPr>
        <w:t xml:space="preserve"> la</w:t>
      </w:r>
      <w:r w:rsidRPr="00713DA0">
        <w:rPr>
          <w:color w:val="auto"/>
        </w:rPr>
        <w:t xml:space="preserve"> pêcherie inclus dans les OM pour tester la MSE ne sont plus considérés comme plausibles, et toute autre information pertinente.</w:t>
      </w:r>
    </w:p>
    <w:p w14:paraId="2192A87C" w14:textId="77777777" w:rsidR="00E5492E" w:rsidRPr="00713DA0" w:rsidRDefault="00E5492E" w:rsidP="00E5492E">
      <w:pPr>
        <w:spacing w:after="0" w:line="240" w:lineRule="auto"/>
        <w:ind w:left="567" w:right="0" w:hanging="283"/>
        <w:jc w:val="left"/>
        <w:rPr>
          <w:rFonts w:eastAsia="Aptos" w:cs="Arial"/>
          <w:color w:val="auto"/>
          <w:kern w:val="2"/>
          <w:szCs w:val="20"/>
          <w14:ligatures w14:val="standardContextual"/>
        </w:rPr>
      </w:pPr>
      <w:r w:rsidRPr="00713DA0">
        <w:rPr>
          <w:color w:val="auto"/>
        </w:rPr>
        <w:t>4.</w:t>
      </w:r>
      <w:r w:rsidRPr="00713DA0">
        <w:rPr>
          <w:color w:val="auto"/>
        </w:rPr>
        <w:tab/>
        <w:t>Tenir compte de la disponibilité des données pour étayer l'indice combiné</w:t>
      </w:r>
    </w:p>
    <w:p w14:paraId="125665F5" w14:textId="77777777" w:rsidR="00E5492E" w:rsidRPr="00713DA0" w:rsidRDefault="00E5492E" w:rsidP="00E5492E">
      <w:pPr>
        <w:spacing w:after="0" w:line="240" w:lineRule="auto"/>
        <w:ind w:left="0" w:right="0" w:firstLine="0"/>
        <w:jc w:val="left"/>
        <w:rPr>
          <w:rFonts w:eastAsia="Aptos" w:cs="Arial"/>
          <w:color w:val="auto"/>
          <w:kern w:val="2"/>
          <w:szCs w:val="20"/>
          <w:lang w:eastAsia="en-US"/>
          <w14:ligatures w14:val="standardContextual"/>
        </w:rPr>
      </w:pPr>
    </w:p>
    <w:p w14:paraId="1792115E"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Année 3 :  </w:t>
      </w:r>
    </w:p>
    <w:p w14:paraId="59B100D0" w14:textId="77777777" w:rsidR="00E5492E" w:rsidRPr="00713DA0" w:rsidRDefault="00E5492E" w:rsidP="00E5492E">
      <w:pPr>
        <w:spacing w:after="0" w:line="240" w:lineRule="auto"/>
        <w:ind w:left="567" w:right="0" w:hanging="283"/>
        <w:jc w:val="left"/>
        <w:rPr>
          <w:rFonts w:eastAsia="Aptos" w:cs="Arial"/>
          <w:color w:val="auto"/>
          <w:kern w:val="2"/>
          <w:szCs w:val="20"/>
          <w14:ligatures w14:val="standardContextual"/>
        </w:rPr>
      </w:pPr>
      <w:r w:rsidRPr="00713DA0">
        <w:rPr>
          <w:color w:val="auto"/>
        </w:rPr>
        <w:t>1.</w:t>
      </w:r>
      <w:r w:rsidRPr="00713DA0">
        <w:rPr>
          <w:color w:val="auto"/>
        </w:rPr>
        <w:tab/>
        <w:t xml:space="preserve">Vérifier que tous les jeux de données nécessaires à l’exécution de la MP sont disponibles  </w:t>
      </w:r>
    </w:p>
    <w:p w14:paraId="76791835" w14:textId="77777777" w:rsidR="00E5492E" w:rsidRPr="00713DA0" w:rsidRDefault="00E5492E" w:rsidP="00E5492E">
      <w:pPr>
        <w:spacing w:after="0" w:line="240" w:lineRule="auto"/>
        <w:ind w:left="567" w:right="0" w:hanging="283"/>
        <w:jc w:val="left"/>
        <w:rPr>
          <w:rFonts w:eastAsia="Aptos" w:cs="Arial"/>
          <w:color w:val="auto"/>
          <w:kern w:val="2"/>
          <w:szCs w:val="20"/>
          <w14:ligatures w14:val="standardContextual"/>
        </w:rPr>
      </w:pPr>
      <w:r w:rsidRPr="00713DA0">
        <w:rPr>
          <w:color w:val="auto"/>
        </w:rPr>
        <w:t>2.</w:t>
      </w:r>
      <w:r w:rsidRPr="00713DA0">
        <w:rPr>
          <w:color w:val="auto"/>
        </w:rPr>
        <w:tab/>
        <w:t xml:space="preserve">Ré-exécuter la MP  </w:t>
      </w:r>
    </w:p>
    <w:p w14:paraId="1EA291A2" w14:textId="77777777" w:rsidR="00E5492E" w:rsidRPr="00713DA0" w:rsidRDefault="00E5492E" w:rsidP="00E5492E">
      <w:pPr>
        <w:spacing w:after="0" w:line="240" w:lineRule="auto"/>
        <w:ind w:left="0" w:right="0" w:firstLine="284"/>
        <w:jc w:val="left"/>
        <w:rPr>
          <w:rFonts w:eastAsia="Aptos" w:cs="Arial"/>
          <w:color w:val="auto"/>
          <w:kern w:val="2"/>
          <w:szCs w:val="20"/>
          <w14:ligatures w14:val="standardContextual"/>
        </w:rPr>
      </w:pPr>
      <w:r w:rsidRPr="00713DA0">
        <w:rPr>
          <w:color w:val="auto"/>
        </w:rPr>
        <w:t xml:space="preserve">3.   Mêmes contrôles que ceux effectués au cours des années 1 et 2 </w:t>
      </w:r>
    </w:p>
    <w:p w14:paraId="5DB9A860" w14:textId="77777777" w:rsidR="00E5492E" w:rsidRPr="00713DA0" w:rsidRDefault="00E5492E" w:rsidP="00E5492E">
      <w:pPr>
        <w:spacing w:after="0" w:line="240" w:lineRule="auto"/>
        <w:ind w:left="0" w:right="0" w:firstLine="0"/>
        <w:jc w:val="left"/>
        <w:rPr>
          <w:rFonts w:eastAsia="Aptos" w:cs="Arial"/>
          <w:color w:val="auto"/>
          <w:kern w:val="2"/>
          <w:szCs w:val="20"/>
          <w:lang w:eastAsia="en-US"/>
          <w14:ligatures w14:val="standardContextual"/>
        </w:rPr>
      </w:pPr>
    </w:p>
    <w:tbl>
      <w:tblPr>
        <w:tblpPr w:leftFromText="180" w:rightFromText="180" w:vertAnchor="text" w:horzAnchor="page" w:tblpX="1777" w:tblpY="21"/>
        <w:tblW w:w="1805" w:type="dxa"/>
        <w:tblCellMar>
          <w:top w:w="106" w:type="dxa"/>
          <w:left w:w="149" w:type="dxa"/>
          <w:right w:w="115" w:type="dxa"/>
        </w:tblCellMar>
        <w:tblLook w:val="04A0" w:firstRow="1" w:lastRow="0" w:firstColumn="1" w:lastColumn="0" w:noHBand="0" w:noVBand="1"/>
      </w:tblPr>
      <w:tblGrid>
        <w:gridCol w:w="1805"/>
      </w:tblGrid>
      <w:tr w:rsidR="00E5492E" w:rsidRPr="00713DA0" w14:paraId="00A7BC4D" w14:textId="77777777" w:rsidTr="003F2C19">
        <w:trPr>
          <w:trHeight w:val="365"/>
        </w:trPr>
        <w:tc>
          <w:tcPr>
            <w:tcW w:w="1805" w:type="dxa"/>
            <w:tcBorders>
              <w:top w:val="single" w:sz="4" w:space="0" w:color="000000"/>
              <w:left w:val="single" w:sz="4" w:space="0" w:color="000000"/>
              <w:bottom w:val="single" w:sz="4" w:space="0" w:color="000000"/>
              <w:right w:val="single" w:sz="4" w:space="0" w:color="000000"/>
            </w:tcBorders>
          </w:tcPr>
          <w:p w14:paraId="367D5161"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S'il n'existe pas d’EC </w:t>
            </w:r>
          </w:p>
        </w:tc>
      </w:tr>
    </w:tbl>
    <w:tbl>
      <w:tblPr>
        <w:tblpPr w:leftFromText="180" w:rightFromText="180" w:vertAnchor="text" w:horzAnchor="page" w:tblpX="7861" w:tblpY="-15"/>
        <w:tblW w:w="1362" w:type="dxa"/>
        <w:tblCellMar>
          <w:top w:w="104" w:type="dxa"/>
          <w:left w:w="149" w:type="dxa"/>
          <w:right w:w="115" w:type="dxa"/>
        </w:tblCellMar>
        <w:tblLook w:val="04A0" w:firstRow="1" w:lastRow="0" w:firstColumn="1" w:lastColumn="0" w:noHBand="0" w:noVBand="1"/>
      </w:tblPr>
      <w:tblGrid>
        <w:gridCol w:w="1362"/>
      </w:tblGrid>
      <w:tr w:rsidR="00E5492E" w:rsidRPr="00713DA0" w14:paraId="28847D72" w14:textId="77777777" w:rsidTr="003F2C19">
        <w:trPr>
          <w:trHeight w:val="398"/>
        </w:trPr>
        <w:tc>
          <w:tcPr>
            <w:tcW w:w="1362" w:type="dxa"/>
            <w:tcBorders>
              <w:top w:val="single" w:sz="4" w:space="0" w:color="000000"/>
              <w:left w:val="single" w:sz="4" w:space="0" w:color="000000"/>
              <w:bottom w:val="single" w:sz="4" w:space="0" w:color="000000"/>
              <w:right w:val="single" w:sz="4" w:space="0" w:color="000000"/>
            </w:tcBorders>
          </w:tcPr>
          <w:p w14:paraId="3DEF8314"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Si des EC existent </w:t>
            </w:r>
          </w:p>
        </w:tc>
      </w:tr>
    </w:tbl>
    <w:p w14:paraId="7DCD41EC" w14:textId="77777777" w:rsidR="00E5492E" w:rsidRPr="00713DA0" w:rsidDel="00FC226A"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noProof/>
          <w:color w:val="auto"/>
        </w:rPr>
        <mc:AlternateContent>
          <mc:Choice Requires="wpg">
            <w:drawing>
              <wp:anchor distT="0" distB="0" distL="114300" distR="114300" simplePos="0" relativeHeight="251661312" behindDoc="0" locked="0" layoutInCell="1" allowOverlap="1" wp14:anchorId="39035786" wp14:editId="50417104">
                <wp:simplePos x="0" y="0"/>
                <wp:positionH relativeFrom="column">
                  <wp:posOffset>3155950</wp:posOffset>
                </wp:positionH>
                <wp:positionV relativeFrom="paragraph">
                  <wp:posOffset>108116</wp:posOffset>
                </wp:positionV>
                <wp:extent cx="857885" cy="380365"/>
                <wp:effectExtent l="19050" t="0" r="18415" b="38735"/>
                <wp:wrapNone/>
                <wp:docPr id="937260055" name="Group 937260055"/>
                <wp:cNvGraphicFramePr/>
                <a:graphic xmlns:a="http://schemas.openxmlformats.org/drawingml/2006/main">
                  <a:graphicData uri="http://schemas.microsoft.com/office/word/2010/wordprocessingGroup">
                    <wpg:wgp>
                      <wpg:cNvGrpSpPr/>
                      <wpg:grpSpPr>
                        <a:xfrm>
                          <a:off x="0" y="0"/>
                          <a:ext cx="857885" cy="380365"/>
                          <a:chOff x="0" y="0"/>
                          <a:chExt cx="857885" cy="380365"/>
                        </a:xfrm>
                      </wpg:grpSpPr>
                      <wps:wsp>
                        <wps:cNvPr id="1000767047" name="Shape 2946"/>
                        <wps:cNvSpPr/>
                        <wps:spPr>
                          <a:xfrm>
                            <a:off x="0" y="0"/>
                            <a:ext cx="857885" cy="380365"/>
                          </a:xfrm>
                          <a:custGeom>
                            <a:avLst/>
                            <a:gdLst/>
                            <a:ahLst/>
                            <a:cxnLst/>
                            <a:rect l="0" t="0" r="0" b="0"/>
                            <a:pathLst>
                              <a:path w="857885" h="380365">
                                <a:moveTo>
                                  <a:pt x="47549" y="0"/>
                                </a:moveTo>
                                <a:lnTo>
                                  <a:pt x="857885" y="0"/>
                                </a:lnTo>
                                <a:lnTo>
                                  <a:pt x="857885" y="95085"/>
                                </a:lnTo>
                                <a:lnTo>
                                  <a:pt x="142634" y="95085"/>
                                </a:lnTo>
                                <a:lnTo>
                                  <a:pt x="142634" y="285267"/>
                                </a:lnTo>
                                <a:lnTo>
                                  <a:pt x="190182" y="285267"/>
                                </a:lnTo>
                                <a:lnTo>
                                  <a:pt x="95085" y="380365"/>
                                </a:lnTo>
                                <a:lnTo>
                                  <a:pt x="0" y="285267"/>
                                </a:lnTo>
                                <a:lnTo>
                                  <a:pt x="47549" y="285267"/>
                                </a:lnTo>
                                <a:lnTo>
                                  <a:pt x="47549" y="0"/>
                                </a:lnTo>
                                <a:close/>
                              </a:path>
                            </a:pathLst>
                          </a:custGeom>
                          <a:solidFill>
                            <a:srgbClr val="4F81BC"/>
                          </a:solidFill>
                          <a:ln w="0" cap="flat">
                            <a:noFill/>
                            <a:round/>
                          </a:ln>
                          <a:effectLst/>
                        </wps:spPr>
                        <wps:bodyPr/>
                      </wps:wsp>
                      <wps:wsp>
                        <wps:cNvPr id="1229611419" name="Shape 2947"/>
                        <wps:cNvSpPr/>
                        <wps:spPr>
                          <a:xfrm>
                            <a:off x="0" y="0"/>
                            <a:ext cx="857885" cy="380365"/>
                          </a:xfrm>
                          <a:custGeom>
                            <a:avLst/>
                            <a:gdLst/>
                            <a:ahLst/>
                            <a:cxnLst/>
                            <a:rect l="0" t="0" r="0" b="0"/>
                            <a:pathLst>
                              <a:path w="857885" h="380365">
                                <a:moveTo>
                                  <a:pt x="857885" y="95085"/>
                                </a:moveTo>
                                <a:lnTo>
                                  <a:pt x="142634" y="95085"/>
                                </a:lnTo>
                                <a:lnTo>
                                  <a:pt x="142634" y="285267"/>
                                </a:lnTo>
                                <a:lnTo>
                                  <a:pt x="190182" y="285267"/>
                                </a:lnTo>
                                <a:lnTo>
                                  <a:pt x="95085" y="380365"/>
                                </a:lnTo>
                                <a:lnTo>
                                  <a:pt x="0" y="285267"/>
                                </a:lnTo>
                                <a:lnTo>
                                  <a:pt x="47549" y="285267"/>
                                </a:lnTo>
                                <a:lnTo>
                                  <a:pt x="47549" y="0"/>
                                </a:lnTo>
                                <a:lnTo>
                                  <a:pt x="857885" y="0"/>
                                </a:lnTo>
                                <a:lnTo>
                                  <a:pt x="857885" y="95085"/>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6E3FECD7" id="Group 937260055" o:spid="_x0000_s1026" style="position:absolute;margin-left:248.5pt;margin-top:8.5pt;width:67.55pt;height:29.95pt;z-index:251661312" coordsize="8578,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">
                <v:shape id="Shape 2946" o:spid="_x0000_s1027"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" path="m47549,l857885,r,95085l142634,95085r,190182l190182,285267,95085,380365,,285267r47549,l47549,xe" fillcolor="#4f81bc" stroked="f" strokeweight="0">
                  <v:path arrowok="t" textboxrect="0,0,857885,380365"/>
                </v:shape>
                <v:shape id="Shape 2947" o:spid="_x0000_s1028" style="position:absolute;width:8578;height:3803;visibility:visible;mso-wrap-style:square;v-text-anchor:top" coordsize="857885,380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" path="m857885,95085r-715251,l142634,285267r47548,l95085,380365,,285267r47549,l47549,,857885,r,95085xe" filled="f" strokecolor="#385d89" strokeweight="2pt">
                  <v:stroke miterlimit="66585f" joinstyle="miter"/>
                  <v:path arrowok="t" textboxrect="0,0,857885,380365"/>
                </v:shape>
              </v:group>
            </w:pict>
          </mc:Fallback>
        </mc:AlternateContent>
      </w:r>
    </w:p>
    <w:p w14:paraId="4666EDD3" w14:textId="77777777" w:rsidR="00E5492E" w:rsidRPr="00713DA0" w:rsidDel="00FC226A" w:rsidRDefault="00E5492E" w:rsidP="00E5492E">
      <w:pPr>
        <w:spacing w:after="0" w:line="240" w:lineRule="auto"/>
        <w:ind w:left="0" w:right="0" w:firstLine="0"/>
        <w:jc w:val="left"/>
        <w:rPr>
          <w:rFonts w:eastAsia="Aptos" w:cs="Arial"/>
          <w:color w:val="auto"/>
          <w:kern w:val="2"/>
          <w:szCs w:val="20"/>
          <w:lang w:val="en-US" w:eastAsia="en-US"/>
          <w14:ligatures w14:val="standardContextual"/>
        </w:rPr>
      </w:pPr>
    </w:p>
    <w:p w14:paraId="75BE917D"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noProof/>
          <w:color w:val="auto"/>
        </w:rPr>
        <mc:AlternateContent>
          <mc:Choice Requires="wpg">
            <w:drawing>
              <wp:anchor distT="0" distB="0" distL="114300" distR="114300" simplePos="0" relativeHeight="251660288" behindDoc="0" locked="0" layoutInCell="1" allowOverlap="1" wp14:anchorId="79998F46" wp14:editId="131A750E">
                <wp:simplePos x="0" y="0"/>
                <wp:positionH relativeFrom="column">
                  <wp:posOffset>704491</wp:posOffset>
                </wp:positionH>
                <wp:positionV relativeFrom="paragraph">
                  <wp:posOffset>125730</wp:posOffset>
                </wp:positionV>
                <wp:extent cx="260350" cy="152400"/>
                <wp:effectExtent l="19050" t="0" r="25400" b="38100"/>
                <wp:wrapNone/>
                <wp:docPr id="1705696144" name="Group 1705696144"/>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2121470196" name="Shape 2948"/>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792582824" name="Shape 2949"/>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56E1CD01" id="Group 1705696144" o:spid="_x0000_s1026" style="position:absolute;margin-left:55.45pt;margin-top:9.9pt;width:20.5pt;height:12pt;z-index:251660288"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">
                <v:shape id="Shape 2948"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" path="m65088,l195263,r,76200l260350,76200,130175,152400,,76200r65088,l65088,xe" fillcolor="#4f81bc" stroked="f" strokeweight="0">
                  <v:stroke miterlimit="66585f" joinstyle="miter"/>
                  <v:path arrowok="t" textboxrect="0,0,260350,152400"/>
                </v:shape>
                <v:shape id="Shape 2949"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r w:rsidRPr="00713DA0">
        <w:rPr>
          <w:noProof/>
          <w:color w:val="auto"/>
        </w:rPr>
        <mc:AlternateContent>
          <mc:Choice Requires="wpg">
            <w:drawing>
              <wp:anchor distT="0" distB="0" distL="114300" distR="114300" simplePos="0" relativeHeight="251659264" behindDoc="0" locked="0" layoutInCell="1" allowOverlap="1" wp14:anchorId="7909610A" wp14:editId="77DCBD5B">
                <wp:simplePos x="0" y="0"/>
                <wp:positionH relativeFrom="column">
                  <wp:posOffset>4657090</wp:posOffset>
                </wp:positionH>
                <wp:positionV relativeFrom="paragraph">
                  <wp:posOffset>134454</wp:posOffset>
                </wp:positionV>
                <wp:extent cx="260350" cy="152400"/>
                <wp:effectExtent l="19050" t="0" r="25400" b="38100"/>
                <wp:wrapNone/>
                <wp:docPr id="1933944999" name="Group 1933944999"/>
                <wp:cNvGraphicFramePr/>
                <a:graphic xmlns:a="http://schemas.openxmlformats.org/drawingml/2006/main">
                  <a:graphicData uri="http://schemas.microsoft.com/office/word/2010/wordprocessingGroup">
                    <wpg:wgp>
                      <wpg:cNvGrpSpPr/>
                      <wpg:grpSpPr>
                        <a:xfrm>
                          <a:off x="0" y="0"/>
                          <a:ext cx="260350" cy="152400"/>
                          <a:chOff x="0" y="0"/>
                          <a:chExt cx="260350" cy="152400"/>
                        </a:xfrm>
                      </wpg:grpSpPr>
                      <wps:wsp>
                        <wps:cNvPr id="397095103" name="Shape 2894"/>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round/>
                          </a:ln>
                          <a:effectLst/>
                        </wps:spPr>
                        <wps:bodyPr/>
                      </wps:wsp>
                      <wps:wsp>
                        <wps:cNvPr id="375644985" name="Shape 2895"/>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anchor>
            </w:drawing>
          </mc:Choice>
          <mc:Fallback>
            <w:pict>
              <v:group w14:anchorId="721EE153" id="Group 1933944999" o:spid="_x0000_s1026" style="position:absolute;margin-left:366.7pt;margin-top:10.6pt;width:20.5pt;height:12pt;z-index:251659264"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">
                <v:shape id="Shape 2894"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" path="m65088,l195263,r,76200l260350,76200,130175,152400,,76200r65088,l65088,xe" fillcolor="#4f81bc" stroked="f" strokeweight="0">
                  <v:path arrowok="t" textboxrect="0,0,260350,152400"/>
                </v:shape>
                <v:shape id="Shape 2895"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" path="m,76200r65088,l65088,,195263,r,76200l260350,76200,130175,152400,,76200xe" filled="f" strokecolor="#385d89" strokeweight="2pt">
                  <v:stroke miterlimit="66585f" joinstyle="miter"/>
                  <v:path arrowok="t" textboxrect="0,0,260350,152400"/>
                </v:shape>
              </v:group>
            </w:pict>
          </mc:Fallback>
        </mc:AlternateContent>
      </w:r>
    </w:p>
    <w:p w14:paraId="2AE06072"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noProof/>
          <w:color w:val="auto"/>
        </w:rPr>
        <mc:AlternateContent>
          <mc:Choice Requires="wpg">
            <w:drawing>
              <wp:anchor distT="0" distB="0" distL="114300" distR="114300" simplePos="0" relativeHeight="251663360" behindDoc="1" locked="0" layoutInCell="1" allowOverlap="1" wp14:anchorId="6A594EA8" wp14:editId="7F2B73F2">
                <wp:simplePos x="0" y="0"/>
                <wp:positionH relativeFrom="column">
                  <wp:posOffset>1687887</wp:posOffset>
                </wp:positionH>
                <wp:positionV relativeFrom="paragraph">
                  <wp:posOffset>508635</wp:posOffset>
                </wp:positionV>
                <wp:extent cx="224790" cy="203835"/>
                <wp:effectExtent l="19050" t="19050" r="22860" b="43815"/>
                <wp:wrapTight wrapText="bothSides">
                  <wp:wrapPolygon edited="0">
                    <wp:start x="3661" y="-2019"/>
                    <wp:lineTo x="-1831" y="0"/>
                    <wp:lineTo x="-1831" y="12112"/>
                    <wp:lineTo x="5492" y="24224"/>
                    <wp:lineTo x="14644" y="24224"/>
                    <wp:lineTo x="21966" y="16150"/>
                    <wp:lineTo x="21966" y="0"/>
                    <wp:lineTo x="14644" y="-2019"/>
                    <wp:lineTo x="3661" y="-2019"/>
                  </wp:wrapPolygon>
                </wp:wrapTight>
                <wp:docPr id="554851927" name="Group 554851927"/>
                <wp:cNvGraphicFramePr/>
                <a:graphic xmlns:a="http://schemas.openxmlformats.org/drawingml/2006/main">
                  <a:graphicData uri="http://schemas.microsoft.com/office/word/2010/wordprocessingGroup">
                    <wpg:wgp>
                      <wpg:cNvGrpSpPr/>
                      <wpg:grpSpPr>
                        <a:xfrm>
                          <a:off x="0" y="0"/>
                          <a:ext cx="224790" cy="203835"/>
                          <a:chOff x="0" y="0"/>
                          <a:chExt cx="224790" cy="203836"/>
                        </a:xfrm>
                      </wpg:grpSpPr>
                      <wps:wsp>
                        <wps:cNvPr id="1285818901" name="Shape 2954"/>
                        <wps:cNvSpPr/>
                        <wps:spPr>
                          <a:xfrm>
                            <a:off x="0" y="0"/>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solidFill>
                            <a:srgbClr val="4F81BC"/>
                          </a:solidFill>
                          <a:ln w="0" cap="flat">
                            <a:noFill/>
                            <a:miter lim="101600"/>
                          </a:ln>
                          <a:effectLst/>
                        </wps:spPr>
                        <wps:bodyPr/>
                      </wps:wsp>
                      <wps:wsp>
                        <wps:cNvPr id="911015466" name="Shape 2955"/>
                        <wps:cNvSpPr/>
                        <wps:spPr>
                          <a:xfrm>
                            <a:off x="0" y="1"/>
                            <a:ext cx="224790" cy="203835"/>
                          </a:xfrm>
                          <a:custGeom>
                            <a:avLst/>
                            <a:gdLst/>
                            <a:ahLst/>
                            <a:cxnLst/>
                            <a:rect l="0" t="0" r="0" b="0"/>
                            <a:pathLst>
                              <a:path w="224790" h="203835">
                                <a:moveTo>
                                  <a:pt x="101917" y="0"/>
                                </a:moveTo>
                                <a:lnTo>
                                  <a:pt x="101917" y="50965"/>
                                </a:lnTo>
                                <a:lnTo>
                                  <a:pt x="224790" y="50965"/>
                                </a:lnTo>
                                <a:lnTo>
                                  <a:pt x="224790" y="152883"/>
                                </a:lnTo>
                                <a:lnTo>
                                  <a:pt x="101917" y="152883"/>
                                </a:lnTo>
                                <a:lnTo>
                                  <a:pt x="101917" y="203835"/>
                                </a:lnTo>
                                <a:lnTo>
                                  <a:pt x="0" y="101917"/>
                                </a:lnTo>
                                <a:lnTo>
                                  <a:pt x="101917" y="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702EB9E5" id="Group 554851927" o:spid="_x0000_s1026" style="position:absolute;margin-left:132.9pt;margin-top:40.05pt;width:17.7pt;height:16.05pt;z-index:-251653120;mso-width-relative:margin;mso-height-relative:margin" coordsize="224790,203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">
                <v:shape id="Shape 2954" o:spid="_x0000_s1027" style="position:absolute;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" path="m101917,r,50965l224790,50965r,101918l101917,152883r,50952l,101917,101917,xe" fillcolor="#4f81bc" stroked="f" strokeweight="0">
                  <v:stroke miterlimit="66585f" joinstyle="miter"/>
                  <v:path arrowok="t" textboxrect="0,0,224790,203835"/>
                </v:shape>
                <v:shape id="Shape 2955" o:spid="_x0000_s1028" style="position:absolute;top:1;width:224790;height:203835;visibility:visible;mso-wrap-style:square;v-text-anchor:top" coordsize="224790,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" path="m101917,r,50965l224790,50965r,101918l101917,152883r,50952l,101917,101917,xe" filled="f" strokecolor="#385d89" strokeweight="2pt">
                  <v:stroke miterlimit="66585f" joinstyle="miter"/>
                  <v:path arrowok="t" textboxrect="0,0,224790,203835"/>
                </v:shape>
                <w10:wrap type="tight"/>
              </v:group>
            </w:pict>
          </mc:Fallback>
        </mc:AlternateContent>
      </w:r>
      <w:r w:rsidRPr="00713DA0">
        <w:rPr>
          <w:color w:val="auto"/>
        </w:rPr>
        <w:t xml:space="preserve"> </w:t>
      </w:r>
    </w:p>
    <w:tbl>
      <w:tblPr>
        <w:tblpPr w:leftFromText="180" w:rightFromText="180" w:vertAnchor="text" w:horzAnchor="margin" w:tblpXSpec="right" w:tblpY="64"/>
        <w:tblW w:w="2938" w:type="dxa"/>
        <w:tblCellMar>
          <w:left w:w="149" w:type="dxa"/>
          <w:right w:w="105" w:type="dxa"/>
        </w:tblCellMar>
        <w:tblLook w:val="04A0" w:firstRow="1" w:lastRow="0" w:firstColumn="1" w:lastColumn="0" w:noHBand="0" w:noVBand="1"/>
      </w:tblPr>
      <w:tblGrid>
        <w:gridCol w:w="2938"/>
      </w:tblGrid>
      <w:tr w:rsidR="00E5492E" w:rsidRPr="00713DA0" w14:paraId="577042CD" w14:textId="77777777" w:rsidTr="003F2C19">
        <w:trPr>
          <w:trHeight w:val="1589"/>
        </w:trPr>
        <w:tc>
          <w:tcPr>
            <w:tcW w:w="2938" w:type="dxa"/>
            <w:tcBorders>
              <w:top w:val="single" w:sz="4" w:space="0" w:color="000000"/>
              <w:left w:val="single" w:sz="4" w:space="0" w:color="000000"/>
              <w:bottom w:val="single" w:sz="4" w:space="0" w:color="000000"/>
              <w:right w:val="single" w:sz="4" w:space="0" w:color="000000"/>
            </w:tcBorders>
            <w:vAlign w:val="center"/>
          </w:tcPr>
          <w:p w14:paraId="7CE0CEF3"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Le SCRS détermine que les EC empêchent l'application de la MP ou rendent l'application de la MP ou la mise en œuvre de ses résultats (c'est-à-dire le TAC) déconseillée.  </w:t>
            </w:r>
          </w:p>
        </w:tc>
      </w:tr>
    </w:tbl>
    <w:tbl>
      <w:tblPr>
        <w:tblpPr w:leftFromText="180" w:rightFromText="180" w:vertAnchor="text" w:horzAnchor="margin" w:tblpXSpec="center" w:tblpY="64"/>
        <w:tblW w:w="2790" w:type="dxa"/>
        <w:tblCellMar>
          <w:top w:w="110" w:type="dxa"/>
          <w:left w:w="150" w:type="dxa"/>
          <w:right w:w="105" w:type="dxa"/>
        </w:tblCellMar>
        <w:tblLook w:val="04A0" w:firstRow="1" w:lastRow="0" w:firstColumn="1" w:lastColumn="0" w:noHBand="0" w:noVBand="1"/>
      </w:tblPr>
      <w:tblGrid>
        <w:gridCol w:w="2790"/>
      </w:tblGrid>
      <w:tr w:rsidR="00E5492E" w:rsidRPr="00713DA0" w14:paraId="39E38ECD" w14:textId="77777777" w:rsidTr="003F2C19">
        <w:trPr>
          <w:trHeight w:val="1331"/>
        </w:trPr>
        <w:tc>
          <w:tcPr>
            <w:tcW w:w="2790" w:type="dxa"/>
            <w:tcBorders>
              <w:top w:val="single" w:sz="4" w:space="0" w:color="000000"/>
              <w:left w:val="single" w:sz="4" w:space="0" w:color="000000"/>
              <w:bottom w:val="single" w:sz="4" w:space="0" w:color="000000"/>
              <w:right w:val="single" w:sz="4" w:space="0" w:color="000000"/>
            </w:tcBorders>
          </w:tcPr>
          <w:p w14:paraId="08BF9C80"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Le SCRS détermine que les EC n'empêchent pas l'application de la MP et la mise en œuvre de ses résultats (c'est-à-dire le TAC). </w:t>
            </w:r>
          </w:p>
        </w:tc>
      </w:tr>
    </w:tbl>
    <w:tbl>
      <w:tblPr>
        <w:tblpPr w:leftFromText="180" w:rightFromText="180" w:vertAnchor="text" w:horzAnchor="margin" w:tblpY="88"/>
        <w:tblW w:w="2547" w:type="dxa"/>
        <w:tblCellMar>
          <w:left w:w="149" w:type="dxa"/>
          <w:right w:w="115" w:type="dxa"/>
        </w:tblCellMar>
        <w:tblLook w:val="04A0" w:firstRow="1" w:lastRow="0" w:firstColumn="1" w:lastColumn="0" w:noHBand="0" w:noVBand="1"/>
      </w:tblPr>
      <w:tblGrid>
        <w:gridCol w:w="2547"/>
      </w:tblGrid>
      <w:tr w:rsidR="00E5492E" w:rsidRPr="00713DA0" w14:paraId="55DD24F6" w14:textId="77777777" w:rsidTr="003F2C19">
        <w:trPr>
          <w:trHeight w:val="1838"/>
        </w:trPr>
        <w:tc>
          <w:tcPr>
            <w:tcW w:w="2547" w:type="dxa"/>
            <w:tcBorders>
              <w:top w:val="single" w:sz="4" w:space="0" w:color="000000"/>
              <w:left w:val="single" w:sz="4" w:space="0" w:color="000000"/>
              <w:bottom w:val="single" w:sz="4" w:space="0" w:color="000000"/>
              <w:right w:val="single" w:sz="4" w:space="0" w:color="000000"/>
            </w:tcBorders>
            <w:vAlign w:val="center"/>
          </w:tcPr>
          <w:p w14:paraId="69EA2011" w14:textId="77777777"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Les TAC calculés par la MP restent valides (dans les années 1 -3) et la MP continue d'être appliquée dans l’année 3 pour calculer les TAC pour la prochaine période de gestion de trois ans. </w:t>
            </w:r>
          </w:p>
        </w:tc>
      </w:tr>
    </w:tbl>
    <w:p w14:paraId="1FDFC3B7" w14:textId="77777777" w:rsidR="00E5492E" w:rsidRPr="00713DA0" w:rsidRDefault="00E5492E" w:rsidP="00E5492E">
      <w:pPr>
        <w:spacing w:after="0" w:line="240" w:lineRule="auto"/>
        <w:ind w:left="0" w:right="0" w:firstLine="0"/>
        <w:jc w:val="left"/>
        <w:rPr>
          <w:rFonts w:eastAsia="Aptos" w:cs="Arial"/>
          <w:color w:val="auto"/>
          <w:kern w:val="2"/>
          <w:szCs w:val="20"/>
          <w:lang w:eastAsia="en-US"/>
          <w14:ligatures w14:val="standardContextual"/>
        </w:rPr>
      </w:pPr>
    </w:p>
    <w:p w14:paraId="66640EDB" w14:textId="1A3BFB50" w:rsidR="00E5492E" w:rsidRPr="00713DA0" w:rsidRDefault="00D42B1E" w:rsidP="00E5492E">
      <w:pPr>
        <w:spacing w:after="0" w:line="240" w:lineRule="auto"/>
        <w:ind w:left="0" w:right="0" w:firstLine="0"/>
        <w:jc w:val="left"/>
        <w:rPr>
          <w:rFonts w:eastAsia="Aptos" w:cs="Arial"/>
          <w:color w:val="auto"/>
          <w:kern w:val="2"/>
          <w:szCs w:val="20"/>
          <w14:ligatures w14:val="standardContextual"/>
        </w:rPr>
      </w:pPr>
      <w:r w:rsidRPr="00713DA0">
        <w:rPr>
          <w:noProof/>
          <w:color w:val="auto"/>
        </w:rPr>
        <mc:AlternateContent>
          <mc:Choice Requires="wpg">
            <w:drawing>
              <wp:anchor distT="0" distB="0" distL="114300" distR="114300" simplePos="0" relativeHeight="251662336" behindDoc="0" locked="0" layoutInCell="1" allowOverlap="1" wp14:anchorId="410C00DA" wp14:editId="33A57B19">
                <wp:simplePos x="0" y="0"/>
                <wp:positionH relativeFrom="column">
                  <wp:posOffset>4706075</wp:posOffset>
                </wp:positionH>
                <wp:positionV relativeFrom="paragraph">
                  <wp:posOffset>67491</wp:posOffset>
                </wp:positionV>
                <wp:extent cx="260350" cy="361666"/>
                <wp:effectExtent l="19050" t="0" r="25400" b="38735"/>
                <wp:wrapNone/>
                <wp:docPr id="253633914" name="Group 253633914"/>
                <wp:cNvGraphicFramePr/>
                <a:graphic xmlns:a="http://schemas.openxmlformats.org/drawingml/2006/main">
                  <a:graphicData uri="http://schemas.microsoft.com/office/word/2010/wordprocessingGroup">
                    <wpg:wgp>
                      <wpg:cNvGrpSpPr/>
                      <wpg:grpSpPr>
                        <a:xfrm>
                          <a:off x="0" y="0"/>
                          <a:ext cx="260350" cy="361666"/>
                          <a:chOff x="0" y="0"/>
                          <a:chExt cx="260350" cy="152400"/>
                        </a:xfrm>
                      </wpg:grpSpPr>
                      <wps:wsp>
                        <wps:cNvPr id="1974054369" name="Shape 2950"/>
                        <wps:cNvSpPr/>
                        <wps:spPr>
                          <a:xfrm>
                            <a:off x="0" y="0"/>
                            <a:ext cx="260350" cy="152400"/>
                          </a:xfrm>
                          <a:custGeom>
                            <a:avLst/>
                            <a:gdLst/>
                            <a:ahLst/>
                            <a:cxnLst/>
                            <a:rect l="0" t="0" r="0" b="0"/>
                            <a:pathLst>
                              <a:path w="260350" h="152400">
                                <a:moveTo>
                                  <a:pt x="65088" y="0"/>
                                </a:moveTo>
                                <a:lnTo>
                                  <a:pt x="195263" y="0"/>
                                </a:lnTo>
                                <a:lnTo>
                                  <a:pt x="195263" y="76200"/>
                                </a:lnTo>
                                <a:lnTo>
                                  <a:pt x="260350" y="76200"/>
                                </a:lnTo>
                                <a:lnTo>
                                  <a:pt x="130175" y="152400"/>
                                </a:lnTo>
                                <a:lnTo>
                                  <a:pt x="0" y="76200"/>
                                </a:lnTo>
                                <a:lnTo>
                                  <a:pt x="65088" y="76200"/>
                                </a:lnTo>
                                <a:lnTo>
                                  <a:pt x="65088" y="0"/>
                                </a:lnTo>
                                <a:close/>
                              </a:path>
                            </a:pathLst>
                          </a:custGeom>
                          <a:solidFill>
                            <a:srgbClr val="4F81BC"/>
                          </a:solidFill>
                          <a:ln w="0" cap="flat">
                            <a:noFill/>
                            <a:miter lim="101600"/>
                          </a:ln>
                          <a:effectLst/>
                        </wps:spPr>
                        <wps:bodyPr/>
                      </wps:wsp>
                      <wps:wsp>
                        <wps:cNvPr id="845551111" name="Shape 2951"/>
                        <wps:cNvSpPr/>
                        <wps:spPr>
                          <a:xfrm>
                            <a:off x="0" y="0"/>
                            <a:ext cx="260350" cy="152400"/>
                          </a:xfrm>
                          <a:custGeom>
                            <a:avLst/>
                            <a:gdLst/>
                            <a:ahLst/>
                            <a:cxnLst/>
                            <a:rect l="0" t="0" r="0" b="0"/>
                            <a:pathLst>
                              <a:path w="260350" h="152400">
                                <a:moveTo>
                                  <a:pt x="0" y="76200"/>
                                </a:moveTo>
                                <a:lnTo>
                                  <a:pt x="65088" y="76200"/>
                                </a:lnTo>
                                <a:lnTo>
                                  <a:pt x="65088" y="0"/>
                                </a:lnTo>
                                <a:lnTo>
                                  <a:pt x="195263" y="0"/>
                                </a:lnTo>
                                <a:lnTo>
                                  <a:pt x="195263" y="76200"/>
                                </a:lnTo>
                                <a:lnTo>
                                  <a:pt x="260350" y="76200"/>
                                </a:lnTo>
                                <a:lnTo>
                                  <a:pt x="130175" y="152400"/>
                                </a:lnTo>
                                <a:lnTo>
                                  <a:pt x="0" y="76200"/>
                                </a:lnTo>
                                <a:close/>
                              </a:path>
                            </a:pathLst>
                          </a:custGeom>
                          <a:noFill/>
                          <a:ln w="25400" cap="flat" cmpd="sng" algn="ctr">
                            <a:solidFill>
                              <a:srgbClr val="385D89"/>
                            </a:solidFill>
                            <a:prstDash val="solid"/>
                            <a:miter lim="101600"/>
                          </a:ln>
                          <a:effectLst/>
                        </wps:spPr>
                        <wps:bodyPr/>
                      </wps:wsp>
                    </wpg:wgp>
                  </a:graphicData>
                </a:graphic>
                <wp14:sizeRelH relativeFrom="margin">
                  <wp14:pctWidth>0</wp14:pctWidth>
                </wp14:sizeRelH>
                <wp14:sizeRelV relativeFrom="margin">
                  <wp14:pctHeight>0</wp14:pctHeight>
                </wp14:sizeRelV>
              </wp:anchor>
            </w:drawing>
          </mc:Choice>
          <mc:Fallback>
            <w:pict>
              <v:group w14:anchorId="0B9FD00C" id="Group 253633914" o:spid="_x0000_s1026" style="position:absolute;margin-left:370.55pt;margin-top:5.3pt;width:20.5pt;height:28.5pt;z-index:251662336;mso-width-relative:margin;mso-height-relative:margin" coordsize="2603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">
                <v:shape id="Shape 2950" o:spid="_x0000_s1027"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" path="m65088,l195263,r,76200l260350,76200,130175,152400,,76200r65088,l65088,xe" fillcolor="#4f81bc" stroked="f" strokeweight="0">
                  <v:stroke miterlimit="66585f" joinstyle="miter"/>
                  <v:path arrowok="t" textboxrect="0,0,260350,152400"/>
                </v:shape>
                <v:shape id="Shape 2951" o:spid="_x0000_s1028" style="position:absolute;width:260350;height:152400;visibility:visible;mso-wrap-style:square;v-text-anchor:top" coordsize="2603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" path="m,76200r65088,l65088,,195263,r,76200l260350,76200,130175,152400,,76200xe" filled="f" strokecolor="#385d89" strokeweight="2pt">
                  <v:stroke miterlimit="66585f" joinstyle="miter"/>
                  <v:path arrowok="t" textboxrect="0,0,260350,152400"/>
                </v:shape>
              </v:group>
            </w:pict>
          </mc:Fallback>
        </mc:AlternateContent>
      </w:r>
    </w:p>
    <w:p w14:paraId="279ADD6C" w14:textId="116B5C98" w:rsidR="00E5492E" w:rsidRPr="00713DA0" w:rsidRDefault="00E5492E" w:rsidP="00E5492E">
      <w:pPr>
        <w:spacing w:after="0" w:line="240" w:lineRule="auto"/>
        <w:ind w:left="0" w:right="0" w:firstLine="0"/>
        <w:jc w:val="left"/>
        <w:rPr>
          <w:rFonts w:eastAsia="Aptos" w:cs="Arial"/>
          <w:color w:val="auto"/>
          <w:kern w:val="2"/>
          <w:szCs w:val="20"/>
          <w14:ligatures w14:val="standardContextual"/>
        </w:rPr>
      </w:pPr>
      <w:r w:rsidRPr="00713DA0">
        <w:rPr>
          <w:color w:val="auto"/>
        </w:rPr>
        <w:t xml:space="preserve"> </w:t>
      </w:r>
    </w:p>
    <w:p w14:paraId="7B2D475B" w14:textId="1DA3AE6D" w:rsidR="00E5492E" w:rsidRPr="00713DA0" w:rsidRDefault="00E5492E" w:rsidP="00E5492E">
      <w:pPr>
        <w:spacing w:after="0" w:line="240" w:lineRule="auto"/>
        <w:ind w:left="0" w:right="0" w:firstLine="0"/>
        <w:rPr>
          <w:rFonts w:eastAsia="Aptos" w:cs="Arial"/>
          <w:color w:val="auto"/>
          <w:kern w:val="2"/>
          <w:szCs w:val="20"/>
          <w:lang w:eastAsia="en-US"/>
          <w14:ligatures w14:val="standardContextual"/>
        </w:rPr>
      </w:pPr>
    </w:p>
    <w:p w14:paraId="5CADD52D" w14:textId="77777777" w:rsidR="00E5492E" w:rsidRPr="00713DA0" w:rsidRDefault="00E5492E" w:rsidP="00E5492E">
      <w:pPr>
        <w:spacing w:after="0" w:line="240" w:lineRule="auto"/>
        <w:ind w:left="0" w:right="0" w:firstLine="0"/>
        <w:rPr>
          <w:rFonts w:eastAsia="Aptos" w:cs="Arial"/>
          <w:color w:val="auto"/>
          <w:kern w:val="2"/>
          <w:szCs w:val="20"/>
          <w14:ligatures w14:val="standardContextual"/>
        </w:rPr>
      </w:pPr>
      <w:r w:rsidRPr="00713DA0">
        <w:rPr>
          <w:color w:val="auto"/>
        </w:rPr>
        <w:t xml:space="preserve">Le SCRS devra conseiller la Commission sur : </w:t>
      </w:r>
    </w:p>
    <w:p w14:paraId="13D7FD63" w14:textId="77777777" w:rsidR="00E5492E" w:rsidRPr="00713DA0" w:rsidRDefault="00E5492E" w:rsidP="00E5492E">
      <w:pPr>
        <w:spacing w:after="0" w:line="240" w:lineRule="auto"/>
        <w:ind w:left="0" w:right="0" w:firstLine="0"/>
        <w:rPr>
          <w:rFonts w:eastAsia="Aptos" w:cs="Arial"/>
          <w:color w:val="auto"/>
          <w:kern w:val="2"/>
          <w:szCs w:val="20"/>
          <w:lang w:eastAsia="en-US"/>
          <w14:ligatures w14:val="standardContextual"/>
        </w:rPr>
      </w:pPr>
    </w:p>
    <w:p w14:paraId="602070DE" w14:textId="77777777" w:rsidR="00E5492E" w:rsidRPr="00713DA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713DA0">
        <w:rPr>
          <w:color w:val="auto"/>
        </w:rPr>
        <w:t>Des recherches supplémentaires qui pourraient apporter plus de clarté sur la nécessité de s'écarter du calendrier actuel de révision de la MP et du TAC.</w:t>
      </w:r>
    </w:p>
    <w:p w14:paraId="5796CD70" w14:textId="77777777" w:rsidR="00E5492E" w:rsidRPr="00713DA0" w:rsidRDefault="00E5492E" w:rsidP="00C415A1">
      <w:pPr>
        <w:spacing w:after="0" w:line="240" w:lineRule="auto"/>
        <w:ind w:left="567" w:right="0" w:firstLine="0"/>
        <w:rPr>
          <w:rFonts w:eastAsia="Aptos" w:cs="Arial"/>
          <w:color w:val="auto"/>
          <w:kern w:val="2"/>
          <w:szCs w:val="20"/>
          <w:lang w:eastAsia="en-US"/>
          <w14:ligatures w14:val="standardContextual"/>
        </w:rPr>
      </w:pPr>
    </w:p>
    <w:p w14:paraId="4F5424E4" w14:textId="77777777" w:rsidR="00E5492E" w:rsidRPr="00713DA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713DA0">
        <w:rPr>
          <w:color w:val="auto"/>
        </w:rPr>
        <w:t>Options de gestion alternatives pour la prochaine année de pêche visant à assurer, au minimum, la stabilité de l'état des stocks, y compris les implications : (i) le maintien du TAC établi dans le cadre de la MP, (ii) la réduction du TAC à la lumière des indications de déclin du stock, (iii) l'augmentation du TAC à la lumière des indications d'augmentation du stock qui n'ont pas été jugées plausibles au cours des tests de la MSE, et (iv) toute autre mesure de conservation et de gestion appropriée ;</w:t>
      </w:r>
    </w:p>
    <w:p w14:paraId="6A182B8C" w14:textId="77777777" w:rsidR="00E5492E" w:rsidRPr="00713DA0" w:rsidRDefault="00E5492E" w:rsidP="00C415A1">
      <w:pPr>
        <w:spacing w:after="0" w:line="240" w:lineRule="auto"/>
        <w:ind w:left="567" w:right="0" w:firstLine="0"/>
        <w:rPr>
          <w:rFonts w:eastAsia="Aptos" w:cs="Arial"/>
          <w:color w:val="auto"/>
          <w:kern w:val="2"/>
          <w:szCs w:val="20"/>
          <w:lang w:eastAsia="en-US"/>
          <w14:ligatures w14:val="standardContextual"/>
        </w:rPr>
      </w:pPr>
    </w:p>
    <w:p w14:paraId="3C4B8934" w14:textId="448B1BC8" w:rsidR="00E5492E" w:rsidRPr="00713DA0" w:rsidRDefault="005A6ECF" w:rsidP="00C415A1">
      <w:pPr>
        <w:numPr>
          <w:ilvl w:val="0"/>
          <w:numId w:val="26"/>
        </w:numPr>
        <w:spacing w:after="0" w:line="240" w:lineRule="auto"/>
        <w:ind w:left="567" w:right="0"/>
        <w:rPr>
          <w:rFonts w:eastAsia="Aptos" w:cs="Arial"/>
          <w:color w:val="auto"/>
          <w:kern w:val="2"/>
          <w:szCs w:val="20"/>
          <w14:ligatures w14:val="standardContextual"/>
        </w:rPr>
      </w:pPr>
      <w:r w:rsidRPr="00713DA0">
        <w:rPr>
          <w:color w:val="auto"/>
        </w:rPr>
        <w:t xml:space="preserve">La </w:t>
      </w:r>
      <w:r w:rsidR="00E5492E" w:rsidRPr="00713DA0">
        <w:rPr>
          <w:color w:val="auto"/>
        </w:rPr>
        <w:t xml:space="preserve">question de savoir si la MP existante devrait être légèrement ajustée ou si une nouvelle MP doit être développée ; et </w:t>
      </w:r>
    </w:p>
    <w:p w14:paraId="38DB6695" w14:textId="77777777" w:rsidR="00E5492E" w:rsidRPr="00713DA0" w:rsidRDefault="00E5492E" w:rsidP="00C415A1">
      <w:pPr>
        <w:spacing w:after="0" w:line="240" w:lineRule="auto"/>
        <w:ind w:left="567" w:right="0" w:firstLine="0"/>
        <w:rPr>
          <w:rFonts w:eastAsia="Aptos" w:cs="Arial"/>
          <w:color w:val="auto"/>
          <w:kern w:val="2"/>
          <w:szCs w:val="20"/>
          <w:lang w:eastAsia="en-US"/>
          <w14:ligatures w14:val="standardContextual"/>
        </w:rPr>
      </w:pPr>
    </w:p>
    <w:p w14:paraId="53FB4209" w14:textId="77777777" w:rsidR="00E5492E" w:rsidRPr="00713DA0" w:rsidRDefault="00E5492E" w:rsidP="00C415A1">
      <w:pPr>
        <w:numPr>
          <w:ilvl w:val="0"/>
          <w:numId w:val="26"/>
        </w:numPr>
        <w:spacing w:after="0" w:line="240" w:lineRule="auto"/>
        <w:ind w:left="567" w:right="0"/>
        <w:rPr>
          <w:rFonts w:eastAsia="Aptos" w:cs="Arial"/>
          <w:color w:val="auto"/>
          <w:kern w:val="2"/>
          <w:szCs w:val="20"/>
          <w14:ligatures w14:val="standardContextual"/>
        </w:rPr>
      </w:pPr>
      <w:r w:rsidRPr="00713DA0">
        <w:rPr>
          <w:color w:val="auto"/>
        </w:rPr>
        <w:t xml:space="preserve">Si une évaluation du stock ou une autre méthode approuvée par le SCRS pour déterminer les TAC est nécessaire pour fournir un avis de gestion dans l'intervalle, pendant qu'une MP révisée est élaborée. </w:t>
      </w:r>
    </w:p>
    <w:p w14:paraId="6921404A" w14:textId="77777777" w:rsidR="00E5492E" w:rsidRPr="00713DA0" w:rsidRDefault="00E5492E" w:rsidP="00C415A1">
      <w:pPr>
        <w:spacing w:after="0" w:line="240" w:lineRule="auto"/>
        <w:ind w:left="0" w:right="0" w:firstLine="0"/>
        <w:rPr>
          <w:rFonts w:eastAsia="Aptos" w:cs="Arial"/>
          <w:color w:val="auto"/>
          <w:kern w:val="2"/>
          <w:szCs w:val="20"/>
          <w:lang w:eastAsia="en-US"/>
          <w14:ligatures w14:val="standardContextual"/>
        </w:rPr>
      </w:pPr>
    </w:p>
    <w:p w14:paraId="3BAC3BBD" w14:textId="77777777" w:rsidR="00E5492E" w:rsidRDefault="00E5492E" w:rsidP="00C415A1">
      <w:pPr>
        <w:spacing w:after="0" w:line="240" w:lineRule="auto"/>
        <w:ind w:left="0" w:right="0" w:firstLine="0"/>
        <w:rPr>
          <w:color w:val="auto"/>
        </w:rPr>
      </w:pPr>
      <w:r w:rsidRPr="00713DA0">
        <w:rPr>
          <w:color w:val="auto"/>
        </w:rPr>
        <w:t>Sur la base de l'avis du SCRS sur ce qui précède, la Commission devra décider de la ou des mesures de gestion alternatives à prendre. Si nécessaire et approprié, le SCRS devra réaliser une nouvelle évaluation du stock et/ou formuler un avis sur les nouvelles MP potentielles, dès que possible.</w:t>
      </w:r>
    </w:p>
    <w:p w14:paraId="7B6F146C" w14:textId="77777777" w:rsidR="005A6ECF" w:rsidRPr="00E5492E" w:rsidRDefault="005A6ECF" w:rsidP="00C415A1">
      <w:pPr>
        <w:spacing w:after="0" w:line="240" w:lineRule="auto"/>
        <w:ind w:left="0" w:right="0" w:firstLine="0"/>
        <w:rPr>
          <w:rFonts w:eastAsia="Aptos" w:cs="Arial"/>
          <w:color w:val="auto"/>
          <w:kern w:val="2"/>
          <w:szCs w:val="20"/>
          <w14:ligatures w14:val="standardContextual"/>
        </w:rPr>
      </w:pPr>
    </w:p>
    <w:sectPr w:rsidR="005A6ECF" w:rsidRPr="00E5492E" w:rsidSect="0004400B">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99B4" w14:textId="77777777" w:rsidR="001B0427" w:rsidRDefault="001B0427">
      <w:pPr>
        <w:spacing w:after="0" w:line="240" w:lineRule="auto"/>
      </w:pPr>
      <w:r>
        <w:separator/>
      </w:r>
    </w:p>
  </w:endnote>
  <w:endnote w:type="continuationSeparator" w:id="0">
    <w:p w14:paraId="383BC506" w14:textId="77777777" w:rsidR="001B0427" w:rsidRDefault="001B0427">
      <w:pPr>
        <w:spacing w:after="0" w:line="240" w:lineRule="auto"/>
      </w:pPr>
      <w:r>
        <w:continuationSeparator/>
      </w:r>
    </w:p>
  </w:endnote>
  <w:endnote w:type="continuationNotice" w:id="1">
    <w:p w14:paraId="39391D87" w14:textId="77777777" w:rsidR="001B0427" w:rsidRDefault="001B0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D3D"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hAnsi="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0A4B" w14:textId="3D5E0F68" w:rsidR="00B83FAD" w:rsidRPr="00B37BC7" w:rsidRDefault="00B37BC7" w:rsidP="00B37BC7">
    <w:pPr>
      <w:tabs>
        <w:tab w:val="center" w:pos="4535"/>
        <w:tab w:val="center" w:pos="4680"/>
        <w:tab w:val="left" w:pos="6150"/>
        <w:tab w:val="right" w:pos="9360"/>
      </w:tabs>
      <w:jc w:val="center"/>
    </w:pPr>
    <w:r w:rsidRPr="00644E91">
      <w:fldChar w:fldCharType="begin"/>
    </w:r>
    <w:r w:rsidRPr="00644E91">
      <w:instrText xml:space="preserve"> PAGE </w:instrText>
    </w:r>
    <w:r w:rsidRPr="00644E91">
      <w:fldChar w:fldCharType="separate"/>
    </w:r>
    <w:r>
      <w:t>1</w:t>
    </w:r>
    <w:r w:rsidRPr="00644E91">
      <w:fldChar w:fldCharType="end"/>
    </w:r>
    <w:r>
      <w:t xml:space="preserve"> / </w:t>
    </w:r>
    <w:fldSimple w:instr=" NUMPAGES  ">
      <w:r>
        <w:t>16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426"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30956" w14:textId="77777777" w:rsidR="001B0427" w:rsidRDefault="001B0427" w:rsidP="005A0EEE">
      <w:pPr>
        <w:spacing w:after="0" w:line="259" w:lineRule="auto"/>
        <w:ind w:left="2" w:right="0" w:firstLine="0"/>
        <w:jc w:val="left"/>
      </w:pPr>
      <w:r>
        <w:separator/>
      </w:r>
    </w:p>
  </w:footnote>
  <w:footnote w:type="continuationSeparator" w:id="0">
    <w:p w14:paraId="03825F9C" w14:textId="77777777" w:rsidR="001B0427" w:rsidRDefault="001B0427" w:rsidP="005A0EEE">
      <w:pPr>
        <w:spacing w:after="0" w:line="259" w:lineRule="auto"/>
        <w:ind w:left="2" w:right="0" w:firstLine="0"/>
        <w:jc w:val="left"/>
      </w:pPr>
      <w:r>
        <w:continuationSeparator/>
      </w:r>
    </w:p>
  </w:footnote>
  <w:footnote w:type="continuationNotice" w:id="1">
    <w:p w14:paraId="361B0DAA" w14:textId="77777777" w:rsidR="001B0427" w:rsidRDefault="001B0427">
      <w:pPr>
        <w:spacing w:after="0" w:line="240" w:lineRule="auto"/>
      </w:pPr>
    </w:p>
  </w:footnote>
  <w:footnote w:id="2">
    <w:p w14:paraId="2A378227" w14:textId="77777777" w:rsidR="00E5492E" w:rsidRPr="001D47F9" w:rsidRDefault="00E5492E" w:rsidP="00C415A1">
      <w:pPr>
        <w:pStyle w:val="FootnoteText"/>
        <w:jc w:val="both"/>
        <w:rPr>
          <w:rFonts w:ascii="Cambria" w:hAnsi="Cambria"/>
          <w:sz w:val="16"/>
          <w:szCs w:val="16"/>
        </w:rPr>
      </w:pPr>
      <w:r w:rsidRPr="001D47F9">
        <w:rPr>
          <w:rStyle w:val="FootnoteReference"/>
          <w:rFonts w:ascii="Cambria" w:hAnsi="Cambria"/>
          <w:sz w:val="16"/>
          <w:szCs w:val="16"/>
        </w:rPr>
        <w:footnoteRef/>
      </w:r>
      <w:r w:rsidRPr="001D47F9">
        <w:rPr>
          <w:rFonts w:ascii="Cambria" w:hAnsi="Cambria"/>
          <w:sz w:val="16"/>
          <w:szCs w:val="16"/>
        </w:rPr>
        <w:t xml:space="preserve"> L'influence des omissions de données varie selon les CPC et l'impact de la combinaison particulière de données manquantes sur les CPC sera évalué par le SCRS.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14F" w14:textId="77777777" w:rsidR="009B5527" w:rsidRDefault="002242FD">
    <w:pPr>
      <w:spacing w:after="23" w:line="259" w:lineRule="auto"/>
      <w:ind w:left="0" w:right="51" w:firstLine="0"/>
      <w:jc w:val="right"/>
    </w:pPr>
    <w:r>
      <w:rPr>
        <w:b/>
      </w:rPr>
      <w:t xml:space="preserve">PA4_804_SPONS_1/2022 </w:t>
    </w:r>
  </w:p>
  <w:p w14:paraId="51E48EB5" w14:textId="77777777" w:rsidR="009B5527" w:rsidRDefault="002242FD" w:rsidP="005A0EEE">
    <w:pPr>
      <w:spacing w:after="0" w:line="259" w:lineRule="auto"/>
      <w:ind w:left="0" w:firstLine="0"/>
      <w:jc w:val="right"/>
    </w:pPr>
    <w:r>
      <w:rPr>
        <w:b/>
        <w:sz w:val="16"/>
      </w:rPr>
      <w:t>10/11/2022 08:52</w:t>
    </w:r>
    <w:r>
      <w:rPr>
        <w:rFonts w:ascii="Calibri" w:hAnsi="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625" w14:textId="054ECEC7" w:rsidR="00BA1512" w:rsidRPr="00F41445" w:rsidRDefault="00BA1512" w:rsidP="00BA1512">
    <w:pPr>
      <w:tabs>
        <w:tab w:val="center" w:pos="4680"/>
        <w:tab w:val="left" w:pos="6520"/>
        <w:tab w:val="right" w:pos="9360"/>
        <w:tab w:val="right" w:pos="14240"/>
      </w:tabs>
      <w:jc w:val="right"/>
      <w:rPr>
        <w:rFonts w:cs="Times New Roman"/>
        <w:b/>
        <w:bCs/>
        <w:szCs w:val="20"/>
      </w:rPr>
    </w:pPr>
    <w:r>
      <w:rPr>
        <w:b/>
      </w:rPr>
      <w:t>PA</w:t>
    </w:r>
    <w:bookmarkStart w:id="1" w:name="_Hlk107908354"/>
    <w:bookmarkStart w:id="2" w:name="_Hlk107908355"/>
    <w:bookmarkStart w:id="3" w:name="_Hlk107908359"/>
    <w:bookmarkStart w:id="4" w:name="_Hlk107908360"/>
    <w:bookmarkStart w:id="5" w:name="_Hlk107908361"/>
    <w:bookmarkStart w:id="6" w:name="_Hlk107908362"/>
    <w:r>
      <w:rPr>
        <w:b/>
      </w:rPr>
      <w:t>4_81</w:t>
    </w:r>
    <w:r w:rsidR="001541D2">
      <w:rPr>
        <w:b/>
      </w:rPr>
      <w:t>6</w:t>
    </w:r>
    <w:r w:rsidR="00EB1755">
      <w:rPr>
        <w:b/>
      </w:rPr>
      <w:t>A</w:t>
    </w:r>
    <w:r>
      <w:rPr>
        <w:b/>
      </w:rPr>
      <w:t>/2025</w:t>
    </w:r>
  </w:p>
  <w:p w14:paraId="4726F091" w14:textId="7FA90206" w:rsidR="009B5527" w:rsidRPr="0021156E" w:rsidRDefault="00BA1512" w:rsidP="00BA1512">
    <w:pPr>
      <w:tabs>
        <w:tab w:val="left" w:pos="7320"/>
      </w:tabs>
      <w:spacing w:line="240" w:lineRule="exact"/>
      <w:jc w:val="right"/>
    </w:pPr>
    <w:r w:rsidRPr="00F41445">
      <w:rPr>
        <w:rFonts w:cs="Times New Roman"/>
        <w:b/>
        <w:sz w:val="16"/>
      </w:rPr>
      <w:fldChar w:fldCharType="begin"/>
    </w:r>
    <w:r w:rsidRPr="00F41445">
      <w:rPr>
        <w:rFonts w:cs="Times New Roman"/>
        <w:b/>
        <w:sz w:val="16"/>
      </w:rPr>
      <w:instrText xml:space="preserve"> TIME \@ "dd/MM/yyyy H:mm" </w:instrText>
    </w:r>
    <w:r w:rsidRPr="00F41445">
      <w:rPr>
        <w:rFonts w:cs="Times New Roman"/>
        <w:b/>
        <w:sz w:val="16"/>
      </w:rPr>
      <w:fldChar w:fldCharType="separate"/>
    </w:r>
    <w:r w:rsidR="00E26207">
      <w:rPr>
        <w:rFonts w:cs="Times New Roman"/>
        <w:b/>
        <w:noProof/>
        <w:sz w:val="16"/>
      </w:rPr>
      <w:t>21/11/2025 20:39</w:t>
    </w:r>
    <w:r w:rsidRPr="00F41445">
      <w:rPr>
        <w:rFonts w:cs="Times New Roman"/>
        <w:b/>
        <w:bCs/>
        <w:sz w:val="16"/>
        <w:szCs w:val="16"/>
        <w:lang w:val="es-ES_tradnl"/>
      </w:rPr>
      <w:fldChar w:fldCharType="end"/>
    </w:r>
    <w:bookmarkEnd w:id="1"/>
    <w:bookmarkEnd w:id="2"/>
    <w:bookmarkEnd w:id="3"/>
    <w:bookmarkEnd w:id="4"/>
    <w:bookmarkEnd w:id="5"/>
    <w:bookmarkEnd w:id="6"/>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7BCB" w14:textId="77777777" w:rsidR="009B5527" w:rsidRDefault="002242FD">
    <w:pPr>
      <w:spacing w:after="23" w:line="259" w:lineRule="auto"/>
      <w:ind w:left="0" w:right="51" w:firstLine="0"/>
      <w:jc w:val="right"/>
    </w:pPr>
    <w:r>
      <w:rPr>
        <w:b/>
      </w:rPr>
      <w:t xml:space="preserve">PA4_804_SPONS_1/2022 </w:t>
    </w:r>
  </w:p>
  <w:p w14:paraId="7D39237D" w14:textId="77777777" w:rsidR="009B5527" w:rsidRDefault="002242FD" w:rsidP="005A0EEE">
    <w:pPr>
      <w:spacing w:after="0" w:line="259" w:lineRule="auto"/>
      <w:ind w:left="0" w:firstLine="0"/>
      <w:jc w:val="right"/>
    </w:pPr>
    <w:r>
      <w:rPr>
        <w:b/>
        <w:sz w:val="16"/>
      </w:rPr>
      <w:t>10/11/2022 08:52</w:t>
    </w:r>
    <w:r>
      <w:rPr>
        <w:rFonts w:ascii="Calibri" w:hAnsi="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3E"/>
    <w:multiLevelType w:val="hybridMultilevel"/>
    <w:tmpl w:val="7004B548"/>
    <w:lvl w:ilvl="0" w:tplc="0490428E">
      <w:start w:val="9"/>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985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84B96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463C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907E6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6C36E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7264F4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DA09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2EF3E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FA46156"/>
    <w:multiLevelType w:val="hybridMultilevel"/>
    <w:tmpl w:val="7E5CFDA2"/>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069CEF1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7CCE61C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0005E6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6BAF85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64E9080">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A87C68">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48E14CE">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26054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5617A"/>
    <w:multiLevelType w:val="hybridMultilevel"/>
    <w:tmpl w:val="ABF2DB6E"/>
    <w:lvl w:ilvl="0" w:tplc="8508253A">
      <w:start w:val="24"/>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5A9D5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6A20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84BD6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DC82C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84F5A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F872B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C3B2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0426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B37FBB"/>
    <w:multiLevelType w:val="hybridMultilevel"/>
    <w:tmpl w:val="4EC437E0"/>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76D69C7"/>
    <w:multiLevelType w:val="hybridMultilevel"/>
    <w:tmpl w:val="807CB618"/>
    <w:lvl w:ilvl="0" w:tplc="3A762456">
      <w:start w:val="2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444A76">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B44D22">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7A2EDE4">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1C359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621E8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9C46B2">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701D78">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64552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C25659C"/>
    <w:multiLevelType w:val="hybridMultilevel"/>
    <w:tmpl w:val="CC8CCD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88A65E8">
      <w:start w:val="8"/>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37790"/>
    <w:multiLevelType w:val="hybridMultilevel"/>
    <w:tmpl w:val="9154A5A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0BC4B2B"/>
    <w:multiLevelType w:val="hybridMultilevel"/>
    <w:tmpl w:val="849E1EDC"/>
    <w:lvl w:ilvl="0" w:tplc="04090017">
      <w:start w:val="1"/>
      <w:numFmt w:val="lowerLetter"/>
      <w:lvlText w:val="%1)"/>
      <w:lvlJc w:val="left"/>
      <w:pPr>
        <w:ind w:left="741"/>
      </w:pPr>
      <w:rPr>
        <w:b w:val="0"/>
        <w:i w:val="0"/>
        <w:strike w:val="0"/>
        <w:dstrike w:val="0"/>
        <w:color w:val="000000"/>
        <w:sz w:val="20"/>
        <w:szCs w:val="20"/>
        <w:u w:val="none" w:color="000000"/>
        <w:bdr w:val="none" w:sz="0" w:space="0" w:color="auto"/>
        <w:shd w:val="clear" w:color="auto" w:fill="auto"/>
        <w:vertAlign w:val="baseline"/>
      </w:rPr>
    </w:lvl>
    <w:lvl w:ilvl="1" w:tplc="6AACAF76">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3725A5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0C0DE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4EC0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322B3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BFA5F8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D3C4E8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194990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3" w15:restartNumberingAfterBreak="0">
    <w:nsid w:val="75242AF0"/>
    <w:multiLevelType w:val="hybridMultilevel"/>
    <w:tmpl w:val="DE9ECC82"/>
    <w:lvl w:ilvl="0" w:tplc="29FE54EA">
      <w:start w:val="15"/>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D03A9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1AEAA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1AA1B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228FF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C60B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A87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3EE0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863E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99E07D6"/>
    <w:multiLevelType w:val="hybridMultilevel"/>
    <w:tmpl w:val="73DAE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26"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599992839">
    <w:abstractNumId w:val="18"/>
  </w:num>
  <w:num w:numId="2" w16cid:durableId="571743881">
    <w:abstractNumId w:val="4"/>
  </w:num>
  <w:num w:numId="3" w16cid:durableId="1283657228">
    <w:abstractNumId w:val="0"/>
  </w:num>
  <w:num w:numId="4" w16cid:durableId="1612667897">
    <w:abstractNumId w:val="23"/>
  </w:num>
  <w:num w:numId="5" w16cid:durableId="1589969666">
    <w:abstractNumId w:val="21"/>
  </w:num>
  <w:num w:numId="6" w16cid:durableId="1753502874">
    <w:abstractNumId w:val="14"/>
  </w:num>
  <w:num w:numId="7" w16cid:durableId="1804304172">
    <w:abstractNumId w:val="11"/>
  </w:num>
  <w:num w:numId="8" w16cid:durableId="1592203645">
    <w:abstractNumId w:val="3"/>
  </w:num>
  <w:num w:numId="9" w16cid:durableId="1823698213">
    <w:abstractNumId w:val="16"/>
  </w:num>
  <w:num w:numId="10" w16cid:durableId="246114005">
    <w:abstractNumId w:val="8"/>
  </w:num>
  <w:num w:numId="11" w16cid:durableId="1940722250">
    <w:abstractNumId w:val="6"/>
  </w:num>
  <w:num w:numId="12" w16cid:durableId="550507385">
    <w:abstractNumId w:val="12"/>
  </w:num>
  <w:num w:numId="13" w16cid:durableId="1208837023">
    <w:abstractNumId w:val="1"/>
  </w:num>
  <w:num w:numId="14" w16cid:durableId="1289898899">
    <w:abstractNumId w:val="7"/>
  </w:num>
  <w:num w:numId="15" w16cid:durableId="1480223152">
    <w:abstractNumId w:val="20"/>
  </w:num>
  <w:num w:numId="16" w16cid:durableId="24261470">
    <w:abstractNumId w:val="15"/>
  </w:num>
  <w:num w:numId="17" w16cid:durableId="425813368">
    <w:abstractNumId w:val="2"/>
  </w:num>
  <w:num w:numId="18" w16cid:durableId="925000585">
    <w:abstractNumId w:val="10"/>
  </w:num>
  <w:num w:numId="19" w16cid:durableId="1340742037">
    <w:abstractNumId w:val="17"/>
  </w:num>
  <w:num w:numId="20" w16cid:durableId="1264414906">
    <w:abstractNumId w:val="5"/>
  </w:num>
  <w:num w:numId="21" w16cid:durableId="1273632214">
    <w:abstractNumId w:val="26"/>
  </w:num>
  <w:num w:numId="22" w16cid:durableId="6799646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419">
    <w:abstractNumId w:val="22"/>
  </w:num>
  <w:num w:numId="24" w16cid:durableId="127482467">
    <w:abstractNumId w:val="19"/>
  </w:num>
  <w:num w:numId="25" w16cid:durableId="699205538">
    <w:abstractNumId w:val="9"/>
  </w:num>
  <w:num w:numId="26" w16cid:durableId="118886681">
    <w:abstractNumId w:val="13"/>
  </w:num>
  <w:num w:numId="27" w16cid:durableId="13432435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5527"/>
    <w:rsid w:val="00006843"/>
    <w:rsid w:val="00016A36"/>
    <w:rsid w:val="00017122"/>
    <w:rsid w:val="00023815"/>
    <w:rsid w:val="00023C03"/>
    <w:rsid w:val="00023F2C"/>
    <w:rsid w:val="00024F4B"/>
    <w:rsid w:val="00031108"/>
    <w:rsid w:val="000315E2"/>
    <w:rsid w:val="00037AAC"/>
    <w:rsid w:val="00037E3E"/>
    <w:rsid w:val="0004400B"/>
    <w:rsid w:val="000445BA"/>
    <w:rsid w:val="00045224"/>
    <w:rsid w:val="000458AD"/>
    <w:rsid w:val="0005652D"/>
    <w:rsid w:val="0005755F"/>
    <w:rsid w:val="000619E4"/>
    <w:rsid w:val="00067720"/>
    <w:rsid w:val="00080498"/>
    <w:rsid w:val="00081DEB"/>
    <w:rsid w:val="00083606"/>
    <w:rsid w:val="00085953"/>
    <w:rsid w:val="00086B68"/>
    <w:rsid w:val="000872CF"/>
    <w:rsid w:val="00090536"/>
    <w:rsid w:val="00094075"/>
    <w:rsid w:val="00095C0A"/>
    <w:rsid w:val="00097C6D"/>
    <w:rsid w:val="000A0690"/>
    <w:rsid w:val="000A2DF4"/>
    <w:rsid w:val="000A36B3"/>
    <w:rsid w:val="000A3FE5"/>
    <w:rsid w:val="000A4B2F"/>
    <w:rsid w:val="000A5706"/>
    <w:rsid w:val="000A6F4B"/>
    <w:rsid w:val="000B105B"/>
    <w:rsid w:val="000C3BAC"/>
    <w:rsid w:val="000C42B2"/>
    <w:rsid w:val="000D2FC6"/>
    <w:rsid w:val="000D435A"/>
    <w:rsid w:val="000D56BC"/>
    <w:rsid w:val="000D59D2"/>
    <w:rsid w:val="000D7B89"/>
    <w:rsid w:val="000E7941"/>
    <w:rsid w:val="000F29FC"/>
    <w:rsid w:val="000F4040"/>
    <w:rsid w:val="000F5BC8"/>
    <w:rsid w:val="00102D83"/>
    <w:rsid w:val="00102DA4"/>
    <w:rsid w:val="001074ED"/>
    <w:rsid w:val="00117125"/>
    <w:rsid w:val="0011731F"/>
    <w:rsid w:val="00122D05"/>
    <w:rsid w:val="0012353D"/>
    <w:rsid w:val="00131F33"/>
    <w:rsid w:val="00140435"/>
    <w:rsid w:val="00140F08"/>
    <w:rsid w:val="00142ECE"/>
    <w:rsid w:val="00145D10"/>
    <w:rsid w:val="0015109B"/>
    <w:rsid w:val="001541D2"/>
    <w:rsid w:val="00160424"/>
    <w:rsid w:val="00164346"/>
    <w:rsid w:val="00165C13"/>
    <w:rsid w:val="0016648B"/>
    <w:rsid w:val="001671F5"/>
    <w:rsid w:val="0016799B"/>
    <w:rsid w:val="00180440"/>
    <w:rsid w:val="00181186"/>
    <w:rsid w:val="00183947"/>
    <w:rsid w:val="00183FDA"/>
    <w:rsid w:val="00184853"/>
    <w:rsid w:val="00184E32"/>
    <w:rsid w:val="0019011D"/>
    <w:rsid w:val="00196729"/>
    <w:rsid w:val="00197D81"/>
    <w:rsid w:val="001A2EAD"/>
    <w:rsid w:val="001B0211"/>
    <w:rsid w:val="001B0427"/>
    <w:rsid w:val="001B0A73"/>
    <w:rsid w:val="001B1133"/>
    <w:rsid w:val="001C49E2"/>
    <w:rsid w:val="001C4A89"/>
    <w:rsid w:val="001C4B1E"/>
    <w:rsid w:val="001C5BA7"/>
    <w:rsid w:val="001D18B1"/>
    <w:rsid w:val="001D39D3"/>
    <w:rsid w:val="001D3B30"/>
    <w:rsid w:val="001D47F9"/>
    <w:rsid w:val="001E4543"/>
    <w:rsid w:val="0020354E"/>
    <w:rsid w:val="0021156E"/>
    <w:rsid w:val="00211ADD"/>
    <w:rsid w:val="00215A73"/>
    <w:rsid w:val="00216778"/>
    <w:rsid w:val="002205B9"/>
    <w:rsid w:val="002231EC"/>
    <w:rsid w:val="002242FD"/>
    <w:rsid w:val="00225A82"/>
    <w:rsid w:val="002266E0"/>
    <w:rsid w:val="00230AA0"/>
    <w:rsid w:val="00232AE5"/>
    <w:rsid w:val="00236150"/>
    <w:rsid w:val="00237573"/>
    <w:rsid w:val="00240187"/>
    <w:rsid w:val="00247B47"/>
    <w:rsid w:val="00251E4D"/>
    <w:rsid w:val="0025496B"/>
    <w:rsid w:val="002559B4"/>
    <w:rsid w:val="00256436"/>
    <w:rsid w:val="00265C81"/>
    <w:rsid w:val="002723B1"/>
    <w:rsid w:val="0028286C"/>
    <w:rsid w:val="00283CB2"/>
    <w:rsid w:val="00290CCB"/>
    <w:rsid w:val="00291CEE"/>
    <w:rsid w:val="002A4CB0"/>
    <w:rsid w:val="002B0C6C"/>
    <w:rsid w:val="002B1FD4"/>
    <w:rsid w:val="002B5A93"/>
    <w:rsid w:val="002B6384"/>
    <w:rsid w:val="002B79B3"/>
    <w:rsid w:val="002B7F2D"/>
    <w:rsid w:val="002C3A55"/>
    <w:rsid w:val="002C6027"/>
    <w:rsid w:val="002D2BB4"/>
    <w:rsid w:val="002D778A"/>
    <w:rsid w:val="002E0A76"/>
    <w:rsid w:val="002E5875"/>
    <w:rsid w:val="002E5C19"/>
    <w:rsid w:val="002F29E9"/>
    <w:rsid w:val="002F67A7"/>
    <w:rsid w:val="002F6975"/>
    <w:rsid w:val="003027F9"/>
    <w:rsid w:val="003040DA"/>
    <w:rsid w:val="00312B6A"/>
    <w:rsid w:val="0031729E"/>
    <w:rsid w:val="003172A6"/>
    <w:rsid w:val="0032634D"/>
    <w:rsid w:val="00327FC1"/>
    <w:rsid w:val="003342BB"/>
    <w:rsid w:val="00336E6E"/>
    <w:rsid w:val="00341522"/>
    <w:rsid w:val="00345071"/>
    <w:rsid w:val="00346B84"/>
    <w:rsid w:val="003513C5"/>
    <w:rsid w:val="00353F94"/>
    <w:rsid w:val="003564EF"/>
    <w:rsid w:val="003641B7"/>
    <w:rsid w:val="003651C2"/>
    <w:rsid w:val="003677F4"/>
    <w:rsid w:val="00376D97"/>
    <w:rsid w:val="003779DF"/>
    <w:rsid w:val="003809F6"/>
    <w:rsid w:val="00390264"/>
    <w:rsid w:val="00391C58"/>
    <w:rsid w:val="003941F4"/>
    <w:rsid w:val="003A63B4"/>
    <w:rsid w:val="003A6C87"/>
    <w:rsid w:val="003A7917"/>
    <w:rsid w:val="003B77B9"/>
    <w:rsid w:val="003C27A9"/>
    <w:rsid w:val="003D2F6B"/>
    <w:rsid w:val="003E0D01"/>
    <w:rsid w:val="003E542D"/>
    <w:rsid w:val="003F3A22"/>
    <w:rsid w:val="0040125D"/>
    <w:rsid w:val="00411006"/>
    <w:rsid w:val="004115CB"/>
    <w:rsid w:val="00412000"/>
    <w:rsid w:val="004203B4"/>
    <w:rsid w:val="00420F0F"/>
    <w:rsid w:val="00422BA9"/>
    <w:rsid w:val="00426E6A"/>
    <w:rsid w:val="004326C2"/>
    <w:rsid w:val="004340A7"/>
    <w:rsid w:val="00435903"/>
    <w:rsid w:val="00435DD9"/>
    <w:rsid w:val="0044140C"/>
    <w:rsid w:val="00453AC4"/>
    <w:rsid w:val="004555A8"/>
    <w:rsid w:val="00457D94"/>
    <w:rsid w:val="00457DEA"/>
    <w:rsid w:val="00463481"/>
    <w:rsid w:val="004638BC"/>
    <w:rsid w:val="004652D8"/>
    <w:rsid w:val="00473F20"/>
    <w:rsid w:val="00474411"/>
    <w:rsid w:val="00480769"/>
    <w:rsid w:val="00480F9D"/>
    <w:rsid w:val="00483D99"/>
    <w:rsid w:val="00490211"/>
    <w:rsid w:val="00491C9D"/>
    <w:rsid w:val="004926B4"/>
    <w:rsid w:val="00494119"/>
    <w:rsid w:val="0049617F"/>
    <w:rsid w:val="00496462"/>
    <w:rsid w:val="004977D9"/>
    <w:rsid w:val="004A73FF"/>
    <w:rsid w:val="004C03BF"/>
    <w:rsid w:val="004C6AB7"/>
    <w:rsid w:val="004C7C70"/>
    <w:rsid w:val="004D3212"/>
    <w:rsid w:val="004E078C"/>
    <w:rsid w:val="004E193C"/>
    <w:rsid w:val="004E37A8"/>
    <w:rsid w:val="004E3FED"/>
    <w:rsid w:val="004E7F12"/>
    <w:rsid w:val="004F589D"/>
    <w:rsid w:val="00500BBD"/>
    <w:rsid w:val="00501462"/>
    <w:rsid w:val="005071E8"/>
    <w:rsid w:val="0051015F"/>
    <w:rsid w:val="0052323E"/>
    <w:rsid w:val="00526B1A"/>
    <w:rsid w:val="0053093B"/>
    <w:rsid w:val="00533045"/>
    <w:rsid w:val="0053645A"/>
    <w:rsid w:val="00537760"/>
    <w:rsid w:val="005429A6"/>
    <w:rsid w:val="0054309B"/>
    <w:rsid w:val="00546664"/>
    <w:rsid w:val="00550A45"/>
    <w:rsid w:val="00550B94"/>
    <w:rsid w:val="005530CA"/>
    <w:rsid w:val="005560DC"/>
    <w:rsid w:val="005736A9"/>
    <w:rsid w:val="00583701"/>
    <w:rsid w:val="00590EF2"/>
    <w:rsid w:val="005965B5"/>
    <w:rsid w:val="005A0EEE"/>
    <w:rsid w:val="005A150F"/>
    <w:rsid w:val="005A6ECF"/>
    <w:rsid w:val="005A7C7B"/>
    <w:rsid w:val="005A7F6B"/>
    <w:rsid w:val="005B0EB8"/>
    <w:rsid w:val="005B3F96"/>
    <w:rsid w:val="005B6EE3"/>
    <w:rsid w:val="005B707A"/>
    <w:rsid w:val="005C020D"/>
    <w:rsid w:val="005D12CB"/>
    <w:rsid w:val="005D2388"/>
    <w:rsid w:val="005D38EA"/>
    <w:rsid w:val="005D45D5"/>
    <w:rsid w:val="005E39CA"/>
    <w:rsid w:val="005F07FD"/>
    <w:rsid w:val="005F3240"/>
    <w:rsid w:val="005F3343"/>
    <w:rsid w:val="005F3649"/>
    <w:rsid w:val="005F387F"/>
    <w:rsid w:val="005F47B9"/>
    <w:rsid w:val="00602383"/>
    <w:rsid w:val="00603D14"/>
    <w:rsid w:val="006040B0"/>
    <w:rsid w:val="00605293"/>
    <w:rsid w:val="00613508"/>
    <w:rsid w:val="006146F2"/>
    <w:rsid w:val="00615D34"/>
    <w:rsid w:val="0061715A"/>
    <w:rsid w:val="00617B8C"/>
    <w:rsid w:val="00617FA8"/>
    <w:rsid w:val="006332A4"/>
    <w:rsid w:val="00635F75"/>
    <w:rsid w:val="00637482"/>
    <w:rsid w:val="006410FB"/>
    <w:rsid w:val="006441F3"/>
    <w:rsid w:val="00646660"/>
    <w:rsid w:val="0065143A"/>
    <w:rsid w:val="00660004"/>
    <w:rsid w:val="00671584"/>
    <w:rsid w:val="00673D3F"/>
    <w:rsid w:val="0067495F"/>
    <w:rsid w:val="00681140"/>
    <w:rsid w:val="00683251"/>
    <w:rsid w:val="00687990"/>
    <w:rsid w:val="0069530D"/>
    <w:rsid w:val="00695C16"/>
    <w:rsid w:val="00697EC1"/>
    <w:rsid w:val="006B5A92"/>
    <w:rsid w:val="006C0BF6"/>
    <w:rsid w:val="006C79EC"/>
    <w:rsid w:val="006C7BCB"/>
    <w:rsid w:val="006E02A9"/>
    <w:rsid w:val="006E1EDD"/>
    <w:rsid w:val="006E2AED"/>
    <w:rsid w:val="006E3D87"/>
    <w:rsid w:val="006E3FD1"/>
    <w:rsid w:val="006E4D12"/>
    <w:rsid w:val="006E58D6"/>
    <w:rsid w:val="006F4769"/>
    <w:rsid w:val="006F643E"/>
    <w:rsid w:val="006F646A"/>
    <w:rsid w:val="00702CCC"/>
    <w:rsid w:val="007046F7"/>
    <w:rsid w:val="00706E3E"/>
    <w:rsid w:val="00707990"/>
    <w:rsid w:val="007118C4"/>
    <w:rsid w:val="00713DA0"/>
    <w:rsid w:val="00725C4D"/>
    <w:rsid w:val="0072772D"/>
    <w:rsid w:val="00734381"/>
    <w:rsid w:val="007351B1"/>
    <w:rsid w:val="007406C3"/>
    <w:rsid w:val="00741241"/>
    <w:rsid w:val="00744D6E"/>
    <w:rsid w:val="007461D7"/>
    <w:rsid w:val="0074631E"/>
    <w:rsid w:val="00752B14"/>
    <w:rsid w:val="00754367"/>
    <w:rsid w:val="007569F0"/>
    <w:rsid w:val="0075785F"/>
    <w:rsid w:val="00761ED8"/>
    <w:rsid w:val="00762C20"/>
    <w:rsid w:val="00767D8D"/>
    <w:rsid w:val="0077073D"/>
    <w:rsid w:val="007710AC"/>
    <w:rsid w:val="00771B52"/>
    <w:rsid w:val="00776A0C"/>
    <w:rsid w:val="007770D2"/>
    <w:rsid w:val="00781E80"/>
    <w:rsid w:val="007827E7"/>
    <w:rsid w:val="0078332A"/>
    <w:rsid w:val="00786C57"/>
    <w:rsid w:val="007907A7"/>
    <w:rsid w:val="00796AA6"/>
    <w:rsid w:val="00797325"/>
    <w:rsid w:val="007A161D"/>
    <w:rsid w:val="007A4DF8"/>
    <w:rsid w:val="007A6218"/>
    <w:rsid w:val="007B3BCD"/>
    <w:rsid w:val="007B4B88"/>
    <w:rsid w:val="007B5453"/>
    <w:rsid w:val="007C09AF"/>
    <w:rsid w:val="007C0D8D"/>
    <w:rsid w:val="007D1CBB"/>
    <w:rsid w:val="007E472F"/>
    <w:rsid w:val="007F7D4C"/>
    <w:rsid w:val="00801749"/>
    <w:rsid w:val="00817422"/>
    <w:rsid w:val="00817F77"/>
    <w:rsid w:val="00821832"/>
    <w:rsid w:val="0082388E"/>
    <w:rsid w:val="00823A23"/>
    <w:rsid w:val="00824A43"/>
    <w:rsid w:val="00825AD0"/>
    <w:rsid w:val="00847D74"/>
    <w:rsid w:val="0085041D"/>
    <w:rsid w:val="00852DCA"/>
    <w:rsid w:val="008538CF"/>
    <w:rsid w:val="0085618B"/>
    <w:rsid w:val="008649A7"/>
    <w:rsid w:val="00867D4B"/>
    <w:rsid w:val="00873FB2"/>
    <w:rsid w:val="00874343"/>
    <w:rsid w:val="00874A76"/>
    <w:rsid w:val="00876115"/>
    <w:rsid w:val="00887B6B"/>
    <w:rsid w:val="00890B7B"/>
    <w:rsid w:val="00891900"/>
    <w:rsid w:val="008A480C"/>
    <w:rsid w:val="008A7EA3"/>
    <w:rsid w:val="008B7905"/>
    <w:rsid w:val="008D00A3"/>
    <w:rsid w:val="008E3A79"/>
    <w:rsid w:val="008F29DD"/>
    <w:rsid w:val="008F3242"/>
    <w:rsid w:val="008F380F"/>
    <w:rsid w:val="008F3CE6"/>
    <w:rsid w:val="008F5A0F"/>
    <w:rsid w:val="00900D22"/>
    <w:rsid w:val="00900F09"/>
    <w:rsid w:val="00907C08"/>
    <w:rsid w:val="00912FF1"/>
    <w:rsid w:val="00914E8B"/>
    <w:rsid w:val="00916DD8"/>
    <w:rsid w:val="00917C13"/>
    <w:rsid w:val="00921091"/>
    <w:rsid w:val="00923E11"/>
    <w:rsid w:val="009260CA"/>
    <w:rsid w:val="009315D3"/>
    <w:rsid w:val="009322DD"/>
    <w:rsid w:val="00933D98"/>
    <w:rsid w:val="00944EB6"/>
    <w:rsid w:val="00952C31"/>
    <w:rsid w:val="00961AA7"/>
    <w:rsid w:val="00977529"/>
    <w:rsid w:val="0098499C"/>
    <w:rsid w:val="009849B2"/>
    <w:rsid w:val="00984B6B"/>
    <w:rsid w:val="00984BD2"/>
    <w:rsid w:val="00992098"/>
    <w:rsid w:val="00994191"/>
    <w:rsid w:val="009A3DBD"/>
    <w:rsid w:val="009B23D2"/>
    <w:rsid w:val="009B5527"/>
    <w:rsid w:val="009C25AD"/>
    <w:rsid w:val="009C6250"/>
    <w:rsid w:val="009D4AD1"/>
    <w:rsid w:val="009E04A6"/>
    <w:rsid w:val="009E0980"/>
    <w:rsid w:val="009E505A"/>
    <w:rsid w:val="009E51F5"/>
    <w:rsid w:val="009F05A3"/>
    <w:rsid w:val="009F0EA1"/>
    <w:rsid w:val="009F36A9"/>
    <w:rsid w:val="009F4D5F"/>
    <w:rsid w:val="00A05AC4"/>
    <w:rsid w:val="00A1021A"/>
    <w:rsid w:val="00A14315"/>
    <w:rsid w:val="00A149E7"/>
    <w:rsid w:val="00A1594C"/>
    <w:rsid w:val="00A250B3"/>
    <w:rsid w:val="00A25B09"/>
    <w:rsid w:val="00A332B4"/>
    <w:rsid w:val="00A35F6F"/>
    <w:rsid w:val="00A4144E"/>
    <w:rsid w:val="00A43624"/>
    <w:rsid w:val="00A43C60"/>
    <w:rsid w:val="00A517DB"/>
    <w:rsid w:val="00A61950"/>
    <w:rsid w:val="00A62D85"/>
    <w:rsid w:val="00A641CC"/>
    <w:rsid w:val="00A649B3"/>
    <w:rsid w:val="00A70B54"/>
    <w:rsid w:val="00A71A26"/>
    <w:rsid w:val="00A72667"/>
    <w:rsid w:val="00A75455"/>
    <w:rsid w:val="00A75872"/>
    <w:rsid w:val="00A81AEB"/>
    <w:rsid w:val="00A827D6"/>
    <w:rsid w:val="00A83F63"/>
    <w:rsid w:val="00A84620"/>
    <w:rsid w:val="00A93AB6"/>
    <w:rsid w:val="00A96BCE"/>
    <w:rsid w:val="00AA309B"/>
    <w:rsid w:val="00AA438B"/>
    <w:rsid w:val="00AA4EFF"/>
    <w:rsid w:val="00AA549F"/>
    <w:rsid w:val="00AA76ED"/>
    <w:rsid w:val="00AA7E53"/>
    <w:rsid w:val="00AB0754"/>
    <w:rsid w:val="00AC6DA9"/>
    <w:rsid w:val="00AD7603"/>
    <w:rsid w:val="00AE0103"/>
    <w:rsid w:val="00AE07FA"/>
    <w:rsid w:val="00AF0516"/>
    <w:rsid w:val="00B02840"/>
    <w:rsid w:val="00B066E3"/>
    <w:rsid w:val="00B07C0C"/>
    <w:rsid w:val="00B152A4"/>
    <w:rsid w:val="00B16815"/>
    <w:rsid w:val="00B212A7"/>
    <w:rsid w:val="00B2333C"/>
    <w:rsid w:val="00B23B90"/>
    <w:rsid w:val="00B30104"/>
    <w:rsid w:val="00B31E57"/>
    <w:rsid w:val="00B340A2"/>
    <w:rsid w:val="00B36AE7"/>
    <w:rsid w:val="00B37BC7"/>
    <w:rsid w:val="00B4291F"/>
    <w:rsid w:val="00B43EFB"/>
    <w:rsid w:val="00B4591A"/>
    <w:rsid w:val="00B53E96"/>
    <w:rsid w:val="00B62DAB"/>
    <w:rsid w:val="00B70922"/>
    <w:rsid w:val="00B74371"/>
    <w:rsid w:val="00B82C71"/>
    <w:rsid w:val="00B83FAD"/>
    <w:rsid w:val="00B93AD2"/>
    <w:rsid w:val="00BA1512"/>
    <w:rsid w:val="00BA2072"/>
    <w:rsid w:val="00BA61CA"/>
    <w:rsid w:val="00BA6651"/>
    <w:rsid w:val="00BB1AE7"/>
    <w:rsid w:val="00BB2DE2"/>
    <w:rsid w:val="00BB3DA1"/>
    <w:rsid w:val="00BB5623"/>
    <w:rsid w:val="00BC41B6"/>
    <w:rsid w:val="00BC5FE7"/>
    <w:rsid w:val="00BD1E2C"/>
    <w:rsid w:val="00BD4897"/>
    <w:rsid w:val="00BD6440"/>
    <w:rsid w:val="00BE038B"/>
    <w:rsid w:val="00BE193D"/>
    <w:rsid w:val="00BE4751"/>
    <w:rsid w:val="00BF2BD2"/>
    <w:rsid w:val="00BF5CEE"/>
    <w:rsid w:val="00BF6170"/>
    <w:rsid w:val="00BF6EE5"/>
    <w:rsid w:val="00BF79B4"/>
    <w:rsid w:val="00C0433E"/>
    <w:rsid w:val="00C079E2"/>
    <w:rsid w:val="00C109B0"/>
    <w:rsid w:val="00C10D2D"/>
    <w:rsid w:val="00C11B51"/>
    <w:rsid w:val="00C17111"/>
    <w:rsid w:val="00C23A5D"/>
    <w:rsid w:val="00C259BC"/>
    <w:rsid w:val="00C27E86"/>
    <w:rsid w:val="00C31F54"/>
    <w:rsid w:val="00C338A0"/>
    <w:rsid w:val="00C344CB"/>
    <w:rsid w:val="00C34F29"/>
    <w:rsid w:val="00C415A1"/>
    <w:rsid w:val="00C42409"/>
    <w:rsid w:val="00C57FC5"/>
    <w:rsid w:val="00C670A4"/>
    <w:rsid w:val="00C77EBB"/>
    <w:rsid w:val="00C82AB7"/>
    <w:rsid w:val="00C83C55"/>
    <w:rsid w:val="00CA20AC"/>
    <w:rsid w:val="00CA2A32"/>
    <w:rsid w:val="00CA441C"/>
    <w:rsid w:val="00CB2F4B"/>
    <w:rsid w:val="00CB5455"/>
    <w:rsid w:val="00CB7E4F"/>
    <w:rsid w:val="00CC32B4"/>
    <w:rsid w:val="00CC463D"/>
    <w:rsid w:val="00CC7032"/>
    <w:rsid w:val="00CD447D"/>
    <w:rsid w:val="00CE19C0"/>
    <w:rsid w:val="00CE2237"/>
    <w:rsid w:val="00CE65C0"/>
    <w:rsid w:val="00CE72F9"/>
    <w:rsid w:val="00D0074B"/>
    <w:rsid w:val="00D021E0"/>
    <w:rsid w:val="00D05542"/>
    <w:rsid w:val="00D071D8"/>
    <w:rsid w:val="00D10F39"/>
    <w:rsid w:val="00D115B2"/>
    <w:rsid w:val="00D1238F"/>
    <w:rsid w:val="00D13A96"/>
    <w:rsid w:val="00D14C01"/>
    <w:rsid w:val="00D1525D"/>
    <w:rsid w:val="00D22F69"/>
    <w:rsid w:val="00D30C38"/>
    <w:rsid w:val="00D3163D"/>
    <w:rsid w:val="00D31950"/>
    <w:rsid w:val="00D3222A"/>
    <w:rsid w:val="00D356B4"/>
    <w:rsid w:val="00D35D4F"/>
    <w:rsid w:val="00D370FE"/>
    <w:rsid w:val="00D42B1E"/>
    <w:rsid w:val="00D46B9C"/>
    <w:rsid w:val="00D50243"/>
    <w:rsid w:val="00D51D65"/>
    <w:rsid w:val="00D52EFB"/>
    <w:rsid w:val="00D615CE"/>
    <w:rsid w:val="00D67269"/>
    <w:rsid w:val="00D673C7"/>
    <w:rsid w:val="00D75490"/>
    <w:rsid w:val="00D76977"/>
    <w:rsid w:val="00D77743"/>
    <w:rsid w:val="00D82039"/>
    <w:rsid w:val="00D90768"/>
    <w:rsid w:val="00D9560C"/>
    <w:rsid w:val="00DA0CA2"/>
    <w:rsid w:val="00DA1FB4"/>
    <w:rsid w:val="00DA7860"/>
    <w:rsid w:val="00DB2489"/>
    <w:rsid w:val="00DB5D9C"/>
    <w:rsid w:val="00DC1782"/>
    <w:rsid w:val="00DC6CCE"/>
    <w:rsid w:val="00DD1C95"/>
    <w:rsid w:val="00DD49D9"/>
    <w:rsid w:val="00DD679D"/>
    <w:rsid w:val="00DD6C9A"/>
    <w:rsid w:val="00DE4F86"/>
    <w:rsid w:val="00DE798C"/>
    <w:rsid w:val="00DF490B"/>
    <w:rsid w:val="00DF5BDF"/>
    <w:rsid w:val="00DF7CB3"/>
    <w:rsid w:val="00E05956"/>
    <w:rsid w:val="00E05C8C"/>
    <w:rsid w:val="00E11E52"/>
    <w:rsid w:val="00E2212B"/>
    <w:rsid w:val="00E2384A"/>
    <w:rsid w:val="00E26207"/>
    <w:rsid w:val="00E3043A"/>
    <w:rsid w:val="00E318E5"/>
    <w:rsid w:val="00E31D98"/>
    <w:rsid w:val="00E355FE"/>
    <w:rsid w:val="00E45882"/>
    <w:rsid w:val="00E51D31"/>
    <w:rsid w:val="00E5492E"/>
    <w:rsid w:val="00E620B1"/>
    <w:rsid w:val="00E66EFB"/>
    <w:rsid w:val="00E72BA0"/>
    <w:rsid w:val="00E74318"/>
    <w:rsid w:val="00E744FC"/>
    <w:rsid w:val="00E90013"/>
    <w:rsid w:val="00E97926"/>
    <w:rsid w:val="00EB1755"/>
    <w:rsid w:val="00EB2C5B"/>
    <w:rsid w:val="00EB34F0"/>
    <w:rsid w:val="00EB37C7"/>
    <w:rsid w:val="00EB5C99"/>
    <w:rsid w:val="00EB60E2"/>
    <w:rsid w:val="00EB6118"/>
    <w:rsid w:val="00EB7201"/>
    <w:rsid w:val="00EC2536"/>
    <w:rsid w:val="00EC274C"/>
    <w:rsid w:val="00EC34FB"/>
    <w:rsid w:val="00EC5E05"/>
    <w:rsid w:val="00EC77F2"/>
    <w:rsid w:val="00EE1F6E"/>
    <w:rsid w:val="00EE54AF"/>
    <w:rsid w:val="00EE799F"/>
    <w:rsid w:val="00EE7BE2"/>
    <w:rsid w:val="00EF10D3"/>
    <w:rsid w:val="00EF24DA"/>
    <w:rsid w:val="00EF407F"/>
    <w:rsid w:val="00EF606F"/>
    <w:rsid w:val="00F05C3A"/>
    <w:rsid w:val="00F12447"/>
    <w:rsid w:val="00F131BA"/>
    <w:rsid w:val="00F1793B"/>
    <w:rsid w:val="00F17C03"/>
    <w:rsid w:val="00F2371C"/>
    <w:rsid w:val="00F244F5"/>
    <w:rsid w:val="00F24F74"/>
    <w:rsid w:val="00F404AB"/>
    <w:rsid w:val="00F47B4D"/>
    <w:rsid w:val="00F536B1"/>
    <w:rsid w:val="00F54E44"/>
    <w:rsid w:val="00F57BD2"/>
    <w:rsid w:val="00F60B89"/>
    <w:rsid w:val="00F62C0B"/>
    <w:rsid w:val="00F66C26"/>
    <w:rsid w:val="00F7283E"/>
    <w:rsid w:val="00F73836"/>
    <w:rsid w:val="00F74B88"/>
    <w:rsid w:val="00F806A5"/>
    <w:rsid w:val="00F80A1D"/>
    <w:rsid w:val="00F9189A"/>
    <w:rsid w:val="00F923C9"/>
    <w:rsid w:val="00FA2781"/>
    <w:rsid w:val="00FA4E04"/>
    <w:rsid w:val="00FA7F10"/>
    <w:rsid w:val="00FB17B4"/>
    <w:rsid w:val="00FB6132"/>
    <w:rsid w:val="00FB7B03"/>
    <w:rsid w:val="00FD15B9"/>
    <w:rsid w:val="00FD2D9D"/>
    <w:rsid w:val="00FD4AAE"/>
    <w:rsid w:val="00FE2093"/>
    <w:rsid w:val="00FE32E3"/>
    <w:rsid w:val="00FE3B53"/>
    <w:rsid w:val="00FE5223"/>
    <w:rsid w:val="00FF1927"/>
    <w:rsid w:val="00FF7F9D"/>
    <w:rsid w:val="01441FAC"/>
    <w:rsid w:val="02DFF00D"/>
    <w:rsid w:val="049717AF"/>
    <w:rsid w:val="04BF9DBD"/>
    <w:rsid w:val="06072279"/>
    <w:rsid w:val="06966B7E"/>
    <w:rsid w:val="079CE55B"/>
    <w:rsid w:val="0835075A"/>
    <w:rsid w:val="087CAAF0"/>
    <w:rsid w:val="08FF7911"/>
    <w:rsid w:val="0B5FD220"/>
    <w:rsid w:val="0BD0BFE2"/>
    <w:rsid w:val="0C13807B"/>
    <w:rsid w:val="0CB2B19F"/>
    <w:rsid w:val="0CE93543"/>
    <w:rsid w:val="0D5E7D8B"/>
    <w:rsid w:val="0FE3B6DD"/>
    <w:rsid w:val="105FA35B"/>
    <w:rsid w:val="12338E85"/>
    <w:rsid w:val="12C1D0D9"/>
    <w:rsid w:val="145DA13A"/>
    <w:rsid w:val="147A45BC"/>
    <w:rsid w:val="15307184"/>
    <w:rsid w:val="16E1BCDB"/>
    <w:rsid w:val="17ED8FBA"/>
    <w:rsid w:val="1AD27EA4"/>
    <w:rsid w:val="1B5024C6"/>
    <w:rsid w:val="1C5DA538"/>
    <w:rsid w:val="1C694598"/>
    <w:rsid w:val="1CB848A1"/>
    <w:rsid w:val="1DD45952"/>
    <w:rsid w:val="1E54261E"/>
    <w:rsid w:val="1FA796C6"/>
    <w:rsid w:val="20FD571D"/>
    <w:rsid w:val="21BDE09D"/>
    <w:rsid w:val="22C43B9C"/>
    <w:rsid w:val="22CE3B69"/>
    <w:rsid w:val="263A26ED"/>
    <w:rsid w:val="27FE228F"/>
    <w:rsid w:val="291E8CC0"/>
    <w:rsid w:val="295E5573"/>
    <w:rsid w:val="299A875A"/>
    <w:rsid w:val="2A0C7346"/>
    <w:rsid w:val="2A21D0BD"/>
    <w:rsid w:val="2D72FB26"/>
    <w:rsid w:val="2F830304"/>
    <w:rsid w:val="30789B96"/>
    <w:rsid w:val="310BAAB5"/>
    <w:rsid w:val="311CDB62"/>
    <w:rsid w:val="328175AF"/>
    <w:rsid w:val="331A7978"/>
    <w:rsid w:val="342DC6F3"/>
    <w:rsid w:val="34CE2D47"/>
    <w:rsid w:val="356C7C2F"/>
    <w:rsid w:val="387A0127"/>
    <w:rsid w:val="3C6B9FDE"/>
    <w:rsid w:val="3D69127F"/>
    <w:rsid w:val="3E07703F"/>
    <w:rsid w:val="3E522502"/>
    <w:rsid w:val="40D3D4C2"/>
    <w:rsid w:val="415AAD24"/>
    <w:rsid w:val="4206DD29"/>
    <w:rsid w:val="4235967B"/>
    <w:rsid w:val="4598A2B1"/>
    <w:rsid w:val="462FA690"/>
    <w:rsid w:val="46629413"/>
    <w:rsid w:val="47FD07FA"/>
    <w:rsid w:val="492221E5"/>
    <w:rsid w:val="49697CF9"/>
    <w:rsid w:val="4A41E1E8"/>
    <w:rsid w:val="4B054D5A"/>
    <w:rsid w:val="4CB011AC"/>
    <w:rsid w:val="4D4449F5"/>
    <w:rsid w:val="51A89FDA"/>
    <w:rsid w:val="53FB819A"/>
    <w:rsid w:val="559FF293"/>
    <w:rsid w:val="55C3AF6D"/>
    <w:rsid w:val="58B8F24C"/>
    <w:rsid w:val="58E1F3BF"/>
    <w:rsid w:val="5940085A"/>
    <w:rsid w:val="5995965F"/>
    <w:rsid w:val="5BDC9931"/>
    <w:rsid w:val="5C9188D0"/>
    <w:rsid w:val="5E0A9A89"/>
    <w:rsid w:val="5E61B056"/>
    <w:rsid w:val="5EDA37D4"/>
    <w:rsid w:val="60F88657"/>
    <w:rsid w:val="6129AA66"/>
    <w:rsid w:val="63F16D1C"/>
    <w:rsid w:val="64121055"/>
    <w:rsid w:val="649B88CC"/>
    <w:rsid w:val="64B99C96"/>
    <w:rsid w:val="650ACB96"/>
    <w:rsid w:val="6DD4126C"/>
    <w:rsid w:val="6DFAACD5"/>
    <w:rsid w:val="6EA8051B"/>
    <w:rsid w:val="6F4795A6"/>
    <w:rsid w:val="6F58C9C3"/>
    <w:rsid w:val="71F9CABF"/>
    <w:rsid w:val="725D8D41"/>
    <w:rsid w:val="7296AF17"/>
    <w:rsid w:val="73799465"/>
    <w:rsid w:val="7578B886"/>
    <w:rsid w:val="75A4FE21"/>
    <w:rsid w:val="772C2C55"/>
    <w:rsid w:val="77E72BC3"/>
    <w:rsid w:val="784AC7A3"/>
    <w:rsid w:val="79019403"/>
    <w:rsid w:val="79411A50"/>
    <w:rsid w:val="7A277441"/>
    <w:rsid w:val="7B6281AC"/>
    <w:rsid w:val="7C78D5C7"/>
    <w:rsid w:val="7CD5365F"/>
    <w:rsid w:val="7D3190EB"/>
    <w:rsid w:val="7DE1BC0D"/>
    <w:rsid w:val="7E1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3E"/>
    <w:pPr>
      <w:spacing w:after="5" w:line="249" w:lineRule="auto"/>
      <w:ind w:left="436" w:right="47" w:hanging="434"/>
      <w:jc w:val="both"/>
    </w:pPr>
    <w:rPr>
      <w:rFonts w:ascii="Cambria" w:eastAsia="Cambria" w:hAnsi="Cambria" w:cs="Cambria"/>
      <w:color w:val="000000"/>
      <w:sz w:val="20"/>
    </w:rPr>
  </w:style>
  <w:style w:type="paragraph" w:styleId="Heading1">
    <w:name w:val="heading 1"/>
    <w:next w:val="Normal"/>
    <w:link w:val="Heading1Char"/>
    <w:uiPriority w:val="9"/>
    <w:qFormat/>
    <w:rsid w:val="00B02840"/>
    <w:pPr>
      <w:keepNext/>
      <w:keepLines/>
      <w:spacing w:after="2"/>
      <w:ind w:left="10" w:right="55" w:hanging="10"/>
      <w:outlineLvl w:val="0"/>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ind w:left="2"/>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F62C0B"/>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1C5BA7"/>
    <w:pPr>
      <w:ind w:left="720"/>
      <w:contextualSpacing/>
    </w:pPr>
  </w:style>
  <w:style w:type="table" w:styleId="TableGrid">
    <w:name w:val="Table Grid"/>
    <w:basedOn w:val="TableNormal"/>
    <w:uiPriority w:val="39"/>
    <w:rsid w:val="001C5BA7"/>
    <w:pPr>
      <w:spacing w:after="0" w:line="240" w:lineRule="auto"/>
    </w:pPr>
    <w:rPr>
      <w:rFonts w:eastAsiaTheme="minorHAnsi"/>
      <w:lang w:eastAsia="en-US"/>
    </w:rPr>
    <w:tblPr/>
  </w:style>
  <w:style w:type="character" w:styleId="CommentReference">
    <w:name w:val="annotation reference"/>
    <w:basedOn w:val="DefaultParagraphFont"/>
    <w:uiPriority w:val="99"/>
    <w:semiHidden/>
    <w:unhideWhenUsed/>
    <w:rsid w:val="002723B1"/>
    <w:rPr>
      <w:sz w:val="16"/>
      <w:szCs w:val="16"/>
    </w:rPr>
  </w:style>
  <w:style w:type="paragraph" w:styleId="CommentText">
    <w:name w:val="annotation text"/>
    <w:basedOn w:val="Normal"/>
    <w:link w:val="CommentTextChar"/>
    <w:uiPriority w:val="99"/>
    <w:unhideWhenUsed/>
    <w:rsid w:val="00B02840"/>
    <w:pPr>
      <w:spacing w:line="240" w:lineRule="auto"/>
    </w:pPr>
    <w:rPr>
      <w:szCs w:val="20"/>
    </w:rPr>
  </w:style>
  <w:style w:type="character" w:customStyle="1" w:styleId="CommentTextChar">
    <w:name w:val="Comment Text Char"/>
    <w:basedOn w:val="DefaultParagraphFont"/>
    <w:link w:val="CommentText"/>
    <w:uiPriority w:val="99"/>
    <w:rsid w:val="002723B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2723B1"/>
    <w:rPr>
      <w:b/>
      <w:bCs/>
    </w:rPr>
  </w:style>
  <w:style w:type="character" w:customStyle="1" w:styleId="CommentSubjectChar">
    <w:name w:val="Comment Subject Char"/>
    <w:basedOn w:val="CommentTextChar"/>
    <w:link w:val="CommentSubject"/>
    <w:uiPriority w:val="99"/>
    <w:semiHidden/>
    <w:rsid w:val="002723B1"/>
    <w:rPr>
      <w:rFonts w:ascii="Cambria" w:eastAsia="Cambria" w:hAnsi="Cambria" w:cs="Cambria"/>
      <w:b/>
      <w:bCs/>
      <w:color w:val="000000"/>
      <w:sz w:val="20"/>
      <w:szCs w:val="20"/>
    </w:rPr>
  </w:style>
  <w:style w:type="paragraph" w:styleId="FootnoteText">
    <w:name w:val="footnote text"/>
    <w:basedOn w:val="Normal"/>
    <w:link w:val="FootnoteTextChar"/>
    <w:uiPriority w:val="99"/>
    <w:unhideWhenUsed/>
    <w:rsid w:val="00B02840"/>
    <w:pPr>
      <w:spacing w:after="0" w:line="240" w:lineRule="auto"/>
      <w:ind w:left="0" w:right="0" w:firstLine="0"/>
      <w:jc w:val="left"/>
    </w:pPr>
    <w:rPr>
      <w:rFonts w:asciiTheme="minorHAnsi" w:eastAsia="MS Mincho" w:hAnsiTheme="minorHAnsi" w:cstheme="minorBidi"/>
      <w:color w:val="auto"/>
      <w:szCs w:val="20"/>
      <w:lang w:eastAsia="en-US"/>
    </w:rPr>
  </w:style>
  <w:style w:type="character" w:customStyle="1" w:styleId="FootnoteTextChar">
    <w:name w:val="Footnote Text Char"/>
    <w:basedOn w:val="DefaultParagraphFont"/>
    <w:link w:val="FootnoteText"/>
    <w:uiPriority w:val="99"/>
    <w:rsid w:val="00216778"/>
    <w:rPr>
      <w:rFonts w:eastAsia="MS Mincho"/>
      <w:sz w:val="20"/>
      <w:szCs w:val="20"/>
      <w:lang w:val="fr-FR" w:eastAsia="en-US"/>
    </w:rPr>
  </w:style>
  <w:style w:type="character" w:styleId="FootnoteReference">
    <w:name w:val="footnote reference"/>
    <w:uiPriority w:val="99"/>
    <w:rsid w:val="00216778"/>
    <w:rPr>
      <w:vertAlign w:val="superscript"/>
    </w:rPr>
  </w:style>
  <w:style w:type="paragraph" w:styleId="BalloonText">
    <w:name w:val="Balloon Text"/>
    <w:basedOn w:val="Normal"/>
    <w:link w:val="BalloonTextChar"/>
    <w:uiPriority w:val="99"/>
    <w:semiHidden/>
    <w:unhideWhenUsed/>
    <w:rsid w:val="00EB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118"/>
    <w:rPr>
      <w:rFonts w:ascii="Segoe UI" w:eastAsia="Cambria" w:hAnsi="Segoe UI" w:cs="Segoe UI"/>
      <w:color w:val="000000"/>
      <w:sz w:val="18"/>
      <w:szCs w:val="18"/>
    </w:rPr>
  </w:style>
  <w:style w:type="paragraph" w:styleId="EndnoteText">
    <w:name w:val="endnote text"/>
    <w:basedOn w:val="Normal"/>
    <w:link w:val="EndnoteTextChar"/>
    <w:uiPriority w:val="99"/>
    <w:semiHidden/>
    <w:unhideWhenUsed/>
    <w:rsid w:val="00083606"/>
    <w:pPr>
      <w:spacing w:after="0" w:line="240" w:lineRule="auto"/>
    </w:pPr>
    <w:rPr>
      <w:szCs w:val="20"/>
    </w:rPr>
  </w:style>
  <w:style w:type="character" w:customStyle="1" w:styleId="EndnoteTextChar">
    <w:name w:val="Endnote Text Char"/>
    <w:basedOn w:val="DefaultParagraphFont"/>
    <w:link w:val="EndnoteText"/>
    <w:uiPriority w:val="99"/>
    <w:semiHidden/>
    <w:rsid w:val="0008360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083606"/>
    <w:rPr>
      <w:vertAlign w:val="superscript"/>
    </w:rPr>
  </w:style>
  <w:style w:type="paragraph" w:styleId="Header">
    <w:name w:val="header"/>
    <w:basedOn w:val="Normal"/>
    <w:link w:val="Head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HeaderChar">
    <w:name w:val="Header Char"/>
    <w:basedOn w:val="DefaultParagraphFont"/>
    <w:link w:val="Header"/>
    <w:uiPriority w:val="99"/>
    <w:rsid w:val="00B02840"/>
    <w:rPr>
      <w:rFonts w:eastAsiaTheme="minorHAnsi"/>
      <w:lang w:val="fr-FR" w:eastAsia="en-US"/>
    </w:rPr>
  </w:style>
  <w:style w:type="paragraph" w:styleId="Footer">
    <w:name w:val="footer"/>
    <w:basedOn w:val="Normal"/>
    <w:link w:val="Foot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FooterChar">
    <w:name w:val="Footer Char"/>
    <w:basedOn w:val="DefaultParagraphFont"/>
    <w:link w:val="Footer"/>
    <w:uiPriority w:val="99"/>
    <w:rsid w:val="00B02840"/>
    <w:rPr>
      <w:rFonts w:eastAsiaTheme="minorHAnsi"/>
      <w:lang w:val="fr-FR" w:eastAsia="en-US"/>
    </w:rPr>
  </w:style>
  <w:style w:type="character" w:customStyle="1" w:styleId="Mention1">
    <w:name w:val="Mention1"/>
    <w:basedOn w:val="DefaultParagraphFont"/>
    <w:uiPriority w:val="99"/>
    <w:unhideWhenUsed/>
    <w:rsid w:val="00B02840"/>
    <w:rPr>
      <w:color w:val="2B579A"/>
      <w:shd w:val="clear" w:color="auto" w:fill="E6E6E6"/>
    </w:rPr>
  </w:style>
  <w:style w:type="character" w:styleId="Hyperlink">
    <w:name w:val="Hyperlink"/>
    <w:basedOn w:val="DefaultParagraphFont"/>
    <w:uiPriority w:val="99"/>
    <w:unhideWhenUsed/>
    <w:rsid w:val="003B77B9"/>
    <w:rPr>
      <w:color w:val="0563C1" w:themeColor="hyperlink"/>
      <w:u w:val="single"/>
    </w:rPr>
  </w:style>
  <w:style w:type="character" w:styleId="UnresolvedMention">
    <w:name w:val="Unresolved Mention"/>
    <w:basedOn w:val="DefaultParagraphFont"/>
    <w:uiPriority w:val="99"/>
    <w:semiHidden/>
    <w:unhideWhenUsed/>
    <w:rsid w:val="003B77B9"/>
    <w:rPr>
      <w:color w:val="605E5C"/>
      <w:shd w:val="clear" w:color="auto" w:fill="E1DFDD"/>
    </w:rPr>
  </w:style>
  <w:style w:type="character" w:styleId="FollowedHyperlink">
    <w:name w:val="FollowedHyperlink"/>
    <w:basedOn w:val="DefaultParagraphFont"/>
    <w:uiPriority w:val="99"/>
    <w:semiHidden/>
    <w:unhideWhenUsed/>
    <w:rsid w:val="001D47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6564">
      <w:bodyDiv w:val="1"/>
      <w:marLeft w:val="0"/>
      <w:marRight w:val="0"/>
      <w:marTop w:val="0"/>
      <w:marBottom w:val="0"/>
      <w:divBdr>
        <w:top w:val="none" w:sz="0" w:space="0" w:color="auto"/>
        <w:left w:val="none" w:sz="0" w:space="0" w:color="auto"/>
        <w:bottom w:val="none" w:sz="0" w:space="0" w:color="auto"/>
        <w:right w:val="none" w:sz="0" w:space="0" w:color="auto"/>
      </w:divBdr>
    </w:div>
    <w:div w:id="285044557">
      <w:bodyDiv w:val="1"/>
      <w:marLeft w:val="0"/>
      <w:marRight w:val="0"/>
      <w:marTop w:val="0"/>
      <w:marBottom w:val="0"/>
      <w:divBdr>
        <w:top w:val="none" w:sz="0" w:space="0" w:color="auto"/>
        <w:left w:val="none" w:sz="0" w:space="0" w:color="auto"/>
        <w:bottom w:val="none" w:sz="0" w:space="0" w:color="auto"/>
        <w:right w:val="none" w:sz="0" w:space="0" w:color="auto"/>
      </w:divBdr>
    </w:div>
    <w:div w:id="633096822">
      <w:bodyDiv w:val="1"/>
      <w:marLeft w:val="0"/>
      <w:marRight w:val="0"/>
      <w:marTop w:val="0"/>
      <w:marBottom w:val="0"/>
      <w:divBdr>
        <w:top w:val="none" w:sz="0" w:space="0" w:color="auto"/>
        <w:left w:val="none" w:sz="0" w:space="0" w:color="auto"/>
        <w:bottom w:val="none" w:sz="0" w:space="0" w:color="auto"/>
        <w:right w:val="none" w:sz="0" w:space="0" w:color="auto"/>
      </w:divBdr>
    </w:div>
    <w:div w:id="1269582966">
      <w:bodyDiv w:val="1"/>
      <w:marLeft w:val="0"/>
      <w:marRight w:val="0"/>
      <w:marTop w:val="0"/>
      <w:marBottom w:val="0"/>
      <w:divBdr>
        <w:top w:val="none" w:sz="0" w:space="0" w:color="auto"/>
        <w:left w:val="none" w:sz="0" w:space="0" w:color="auto"/>
        <w:bottom w:val="none" w:sz="0" w:space="0" w:color="auto"/>
        <w:right w:val="none" w:sz="0" w:space="0" w:color="auto"/>
      </w:divBdr>
    </w:div>
    <w:div w:id="1841694278">
      <w:bodyDiv w:val="1"/>
      <w:marLeft w:val="0"/>
      <w:marRight w:val="0"/>
      <w:marTop w:val="0"/>
      <w:marBottom w:val="0"/>
      <w:divBdr>
        <w:top w:val="none" w:sz="0" w:space="0" w:color="auto"/>
        <w:left w:val="none" w:sz="0" w:space="0" w:color="auto"/>
        <w:bottom w:val="none" w:sz="0" w:space="0" w:color="auto"/>
        <w:right w:val="none" w:sz="0" w:space="0" w:color="auto"/>
      </w:divBdr>
    </w:div>
    <w:div w:id="206799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4-10-f.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ccat.int/Documents/Recs/compendiopdf-f/2024-10-f.pdf" TargetMode="External"/><Relationship Id="rId4" Type="http://schemas.openxmlformats.org/officeDocument/2006/relationships/settings" Target="settings.xml"/><Relationship Id="rId9" Type="http://schemas.openxmlformats.org/officeDocument/2006/relationships/hyperlink" Target="https://www.iccat.int/Documents/Recs/compendiopdf-f/2024-10-f.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C6162-FB48-4495-883F-AF42FBD16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2025-11-11T13:49:00Z</dcterms:created>
  <dcterms:modified xsi:type="dcterms:W3CDTF">2025-11-21T19:39:00Z</dcterms:modified>
</cp:coreProperties>
</file>