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A77C" w14:textId="6AC0B6EB" w:rsidR="00503752" w:rsidRPr="00F73E65" w:rsidRDefault="00503752" w:rsidP="00503752">
      <w:pPr>
        <w:pBdr>
          <w:top w:val="nil"/>
          <w:left w:val="nil"/>
          <w:bottom w:val="nil"/>
          <w:right w:val="nil"/>
          <w:between w:val="nil"/>
        </w:pBdr>
        <w:tabs>
          <w:tab w:val="left" w:pos="646"/>
        </w:tabs>
        <w:jc w:val="center"/>
        <w:rPr>
          <w:rFonts w:ascii="Cambria" w:eastAsia="Cambria" w:hAnsi="Cambria" w:cs="Cambria"/>
          <w:b/>
          <w:color w:val="000000"/>
          <w:spacing w:val="-2"/>
          <w:sz w:val="20"/>
          <w:szCs w:val="20"/>
          <w:lang w:eastAsia="en-GB"/>
        </w:rPr>
      </w:pPr>
      <w:r w:rsidRPr="00F73E65">
        <w:rPr>
          <w:rFonts w:ascii="Cambria" w:eastAsia="Cambria" w:hAnsi="Cambria" w:cs="Cambria"/>
          <w:b/>
          <w:color w:val="000000"/>
          <w:sz w:val="20"/>
          <w:szCs w:val="22"/>
          <w:lang w:eastAsia="en-GB"/>
        </w:rPr>
        <w:t>Portada para acompañar nuevas propuestas</w:t>
      </w:r>
    </w:p>
    <w:p w14:paraId="76CB0F18" w14:textId="1148E3F6" w:rsidR="00503752" w:rsidRPr="00F73E65" w:rsidRDefault="00503752" w:rsidP="00503752">
      <w:pPr>
        <w:widowControl w:val="0"/>
        <w:ind w:left="436" w:right="47" w:hanging="434"/>
        <w:jc w:val="center"/>
        <w:rPr>
          <w:rFonts w:ascii="Cambria" w:eastAsia="Cambria" w:hAnsi="Cambria" w:cs="Cambria"/>
          <w:i/>
          <w:color w:val="000000"/>
          <w:sz w:val="20"/>
          <w:szCs w:val="20"/>
          <w:lang w:eastAsia="en-GB"/>
        </w:rPr>
      </w:pPr>
      <w:bookmarkStart w:id="0" w:name="_Hlk213764607"/>
      <w:r w:rsidRPr="00F73E65">
        <w:rPr>
          <w:rFonts w:ascii="Cambria" w:eastAsia="Cambria" w:hAnsi="Cambria" w:cs="Cambria"/>
          <w:i/>
          <w:color w:val="000000"/>
          <w:sz w:val="20"/>
          <w:szCs w:val="22"/>
          <w:lang w:eastAsia="en-GB"/>
        </w:rPr>
        <w:t>(Documento presentado por la Unión Europea)</w:t>
      </w:r>
    </w:p>
    <w:p w14:paraId="670EFDC2" w14:textId="77777777" w:rsidR="00503752" w:rsidRPr="00F73E65" w:rsidRDefault="00503752" w:rsidP="00503752">
      <w:pPr>
        <w:widowControl w:val="0"/>
        <w:ind w:left="436" w:right="47" w:hanging="434"/>
        <w:jc w:val="center"/>
        <w:rPr>
          <w:rFonts w:ascii="Cambria" w:eastAsia="Cambria" w:hAnsi="Cambria" w:cs="Cambria"/>
          <w:i/>
          <w:color w:val="000000"/>
          <w:sz w:val="20"/>
          <w:szCs w:val="20"/>
          <w:lang w:eastAsia="en-GB"/>
        </w:rPr>
      </w:pPr>
    </w:p>
    <w:bookmarkEnd w:id="0"/>
    <w:p w14:paraId="4529E700" w14:textId="77777777" w:rsidR="00503752" w:rsidRPr="00F73E65" w:rsidRDefault="00503752" w:rsidP="00503752">
      <w:pPr>
        <w:widowControl w:val="0"/>
        <w:autoSpaceDE w:val="0"/>
        <w:autoSpaceDN w:val="0"/>
        <w:ind w:left="436" w:right="47" w:hanging="434"/>
        <w:jc w:val="center"/>
        <w:rPr>
          <w:rFonts w:ascii="Cambria" w:eastAsia="Cambria" w:hAnsi="Cambria" w:cs="Cambria"/>
          <w:b/>
          <w:bCs/>
          <w:color w:val="000000"/>
          <w:sz w:val="20"/>
          <w:szCs w:val="20"/>
          <w:lang w:eastAsia="en-GB"/>
        </w:rPr>
      </w:pPr>
    </w:p>
    <w:p w14:paraId="738FB793" w14:textId="77777777" w:rsidR="00503752" w:rsidRPr="00F73E65" w:rsidRDefault="00503752" w:rsidP="00503752">
      <w:pPr>
        <w:widowControl w:val="0"/>
        <w:autoSpaceDE w:val="0"/>
        <w:autoSpaceDN w:val="0"/>
        <w:ind w:right="47"/>
        <w:jc w:val="both"/>
        <w:rPr>
          <w:rFonts w:ascii="Cambria" w:eastAsia="Cambria" w:hAnsi="Cambria" w:cs="Cambria"/>
          <w:iCs/>
          <w:color w:val="EE0000"/>
          <w:sz w:val="20"/>
          <w:szCs w:val="20"/>
          <w:lang w:eastAsia="en-GB"/>
        </w:rPr>
      </w:pPr>
      <w:r w:rsidRPr="00F73E65">
        <w:rPr>
          <w:rFonts w:ascii="Cambria" w:eastAsia="Cambria" w:hAnsi="Cambria" w:cs="Cambria"/>
          <w:b/>
          <w:color w:val="000000"/>
          <w:sz w:val="20"/>
          <w:szCs w:val="22"/>
          <w:lang w:eastAsia="en-GB"/>
        </w:rPr>
        <w:t xml:space="preserve">Título de la propuesta de Proyecto de Recomendación/Resolución: </w:t>
      </w:r>
      <w:r w:rsidRPr="00F73E65">
        <w:rPr>
          <w:rFonts w:ascii="Cambria" w:eastAsia="Cambria" w:hAnsi="Cambria" w:cs="Cambria"/>
          <w:iCs/>
          <w:color w:val="EE0000"/>
          <w:sz w:val="20"/>
          <w:szCs w:val="22"/>
          <w:lang w:eastAsia="en-GB"/>
        </w:rPr>
        <w:t xml:space="preserve">Proyecto de Recomendación de ICCAT que enmienda la Recomendación 22-11 sobre la conservación del stock de marrajo dientuso del Atlántico sur capturado en asociación con pesquerías de ICCAT </w:t>
      </w:r>
    </w:p>
    <w:p w14:paraId="6B8274AA" w14:textId="77777777" w:rsidR="00503752" w:rsidRPr="00F73E65" w:rsidRDefault="00503752" w:rsidP="00503752">
      <w:pPr>
        <w:widowControl w:val="0"/>
        <w:autoSpaceDE w:val="0"/>
        <w:autoSpaceDN w:val="0"/>
        <w:ind w:right="47"/>
        <w:jc w:val="both"/>
        <w:rPr>
          <w:rFonts w:ascii="Cambria" w:eastAsia="Cambria" w:hAnsi="Cambria" w:cs="Cambria"/>
          <w:b/>
          <w:bCs/>
          <w:color w:val="000000"/>
          <w:sz w:val="20"/>
          <w:szCs w:val="20"/>
          <w:lang w:eastAsia="en-GB"/>
        </w:rPr>
      </w:pPr>
    </w:p>
    <w:p w14:paraId="06C29E1D" w14:textId="725EA631" w:rsidR="00503752" w:rsidRPr="00F73E65" w:rsidRDefault="00503752" w:rsidP="00503752">
      <w:pPr>
        <w:widowControl w:val="0"/>
        <w:autoSpaceDE w:val="0"/>
        <w:autoSpaceDN w:val="0"/>
        <w:ind w:right="47"/>
        <w:jc w:val="both"/>
        <w:rPr>
          <w:rFonts w:ascii="Cambria" w:eastAsia="Cambria" w:hAnsi="Cambria" w:cs="Cambria"/>
          <w:i/>
          <w:iCs/>
          <w:color w:val="FF0000"/>
          <w:sz w:val="20"/>
          <w:szCs w:val="20"/>
          <w:lang w:eastAsia="en-GB"/>
        </w:rPr>
      </w:pPr>
      <w:r w:rsidRPr="00F73E65">
        <w:rPr>
          <w:rFonts w:ascii="Cambria" w:eastAsia="Cambria" w:hAnsi="Cambria" w:cs="Cambria"/>
          <w:b/>
          <w:color w:val="000000"/>
          <w:sz w:val="20"/>
          <w:szCs w:val="22"/>
          <w:lang w:eastAsia="en-GB"/>
        </w:rPr>
        <w:t xml:space="preserve">Título de la(s) recomendación(es) o resolución(es) actualmente vigente(s) que aborda(n) la misma cuestión o cuestiones relacionadas: </w:t>
      </w:r>
      <w:r w:rsidRPr="00F73E65">
        <w:rPr>
          <w:rFonts w:ascii="Cambria" w:eastAsia="Cambria" w:hAnsi="Cambria" w:cs="Cambria"/>
          <w:i/>
          <w:color w:val="FF0000"/>
          <w:sz w:val="20"/>
          <w:szCs w:val="22"/>
          <w:lang w:eastAsia="en-GB"/>
        </w:rPr>
        <w:t xml:space="preserve">Recomendación de ICCAT sobre la conservación del stock de marrajo dientuso del Atlántico </w:t>
      </w:r>
      <w:r w:rsidR="00053C4F" w:rsidRPr="00F73E65">
        <w:rPr>
          <w:rFonts w:ascii="Cambria" w:eastAsia="Cambria" w:hAnsi="Cambria" w:cs="Cambria"/>
          <w:i/>
          <w:color w:val="FF0000"/>
          <w:sz w:val="20"/>
          <w:szCs w:val="22"/>
          <w:lang w:eastAsia="en-GB"/>
        </w:rPr>
        <w:t>sur</w:t>
      </w:r>
      <w:r w:rsidRPr="00F73E65">
        <w:rPr>
          <w:rFonts w:ascii="Cambria" w:eastAsia="Cambria" w:hAnsi="Cambria" w:cs="Cambria"/>
          <w:i/>
          <w:color w:val="FF0000"/>
          <w:sz w:val="20"/>
          <w:szCs w:val="22"/>
          <w:lang w:eastAsia="en-GB"/>
        </w:rPr>
        <w:t xml:space="preserve"> capturado en asociación con pesquerías de ICCAT  </w:t>
      </w:r>
      <w:r w:rsidRPr="00F73E65">
        <w:rPr>
          <w:rFonts w:ascii="Cambria" w:eastAsia="Cambria" w:hAnsi="Cambria" w:cs="Cambria"/>
          <w:iCs/>
          <w:color w:val="FF0000"/>
          <w:sz w:val="20"/>
          <w:szCs w:val="22"/>
          <w:lang w:eastAsia="en-GB"/>
        </w:rPr>
        <w:t>(Rec. 22-11)</w:t>
      </w:r>
    </w:p>
    <w:p w14:paraId="733877DA" w14:textId="77777777" w:rsidR="00503752" w:rsidRPr="00F73E65"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68216C4D" w14:textId="494CEAF5" w:rsidR="00A010A9" w:rsidRPr="00F73E65" w:rsidRDefault="00503752" w:rsidP="00E1251A">
      <w:pPr>
        <w:pStyle w:val="ListParagraph"/>
        <w:numPr>
          <w:ilvl w:val="0"/>
          <w:numId w:val="5"/>
        </w:numPr>
        <w:ind w:left="284"/>
        <w:jc w:val="both"/>
        <w:rPr>
          <w:rFonts w:ascii="Cambria" w:eastAsia="Cambria" w:hAnsi="Cambria" w:cs="Cambria"/>
          <w:sz w:val="20"/>
          <w:szCs w:val="20"/>
        </w:rPr>
      </w:pPr>
      <w:r w:rsidRPr="00F73E65">
        <w:rPr>
          <w:rFonts w:ascii="Cambria" w:eastAsia="Cambria" w:hAnsi="Cambria" w:cs="Cambria"/>
          <w:color w:val="000000"/>
          <w:sz w:val="20"/>
          <w:szCs w:val="22"/>
          <w:lang w:eastAsia="en-GB"/>
        </w:rPr>
        <w:t xml:space="preserve">¿Crea nuevas </w:t>
      </w:r>
      <w:r w:rsidRPr="00F73E65">
        <w:rPr>
          <w:rFonts w:ascii="Cambria" w:eastAsia="Cambria" w:hAnsi="Cambria" w:cs="Cambria"/>
          <w:b/>
          <w:bCs/>
          <w:color w:val="000000"/>
          <w:sz w:val="20"/>
          <w:szCs w:val="22"/>
          <w:lang w:eastAsia="en-GB"/>
        </w:rPr>
        <w:t>obligaciones de comunicación</w:t>
      </w:r>
      <w:r w:rsidRPr="00F73E65">
        <w:rPr>
          <w:rFonts w:ascii="Cambria" w:eastAsia="Cambria" w:hAnsi="Cambria" w:cs="Cambria"/>
          <w:color w:val="000000"/>
          <w:sz w:val="20"/>
          <w:szCs w:val="22"/>
          <w:lang w:eastAsia="en-GB"/>
        </w:rPr>
        <w:t xml:space="preserve"> para las CPC?     </w:t>
      </w:r>
      <w:r w:rsidR="00366DC3" w:rsidRPr="00F73E65">
        <w:rPr>
          <w:rFonts w:ascii="Cambria" w:eastAsia="Cambria" w:hAnsi="Cambria" w:cs="Cambria"/>
          <w:color w:val="000000"/>
          <w:sz w:val="20"/>
          <w:szCs w:val="22"/>
          <w:lang w:eastAsia="en-GB"/>
        </w:rPr>
        <w:tab/>
      </w:r>
      <w:r w:rsidR="00366DC3" w:rsidRPr="00F73E65">
        <w:rPr>
          <w:rFonts w:ascii="Cambria" w:eastAsia="Cambria" w:hAnsi="Cambria" w:cs="Cambria"/>
          <w:color w:val="000000"/>
          <w:sz w:val="20"/>
          <w:szCs w:val="22"/>
          <w:lang w:eastAsia="en-GB"/>
        </w:rPr>
        <w:tab/>
      </w:r>
      <w:r w:rsidR="00A010A9" w:rsidRPr="00F73E65">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485468198"/>
          <w14:checkbox>
            <w14:checked w14:val="0"/>
            <w14:checkedState w14:val="2612" w14:font="MS Gothic"/>
            <w14:uncheckedState w14:val="2610" w14:font="MS Gothic"/>
          </w14:checkbox>
        </w:sdtPr>
        <w:sdtEndPr/>
        <w:sdtContent>
          <w:r w:rsidR="00A010A9" w:rsidRPr="00F73E65">
            <w:rPr>
              <w:rFonts w:ascii="Segoe UI Symbol" w:eastAsia="Cambria" w:hAnsi="Segoe UI Symbol" w:cs="Segoe UI Symbol"/>
              <w:spacing w:val="-2"/>
              <w:sz w:val="20"/>
              <w:szCs w:val="20"/>
            </w:rPr>
            <w:t>☐</w:t>
          </w:r>
        </w:sdtContent>
      </w:sdt>
      <w:r w:rsidR="00A010A9" w:rsidRPr="00F73E65">
        <w:rPr>
          <w:rFonts w:ascii="Cambria" w:eastAsia="Cambria" w:hAnsi="Cambria" w:cs="Cambria"/>
          <w:sz w:val="20"/>
          <w:szCs w:val="22"/>
        </w:rPr>
        <w:tab/>
      </w:r>
      <w:r w:rsidR="00A010A9" w:rsidRPr="00F73E65">
        <w:rPr>
          <w:rFonts w:ascii="Cambria" w:eastAsia="Cambria" w:hAnsi="Cambria" w:cs="Cambria"/>
          <w:color w:val="EE0000"/>
          <w:sz w:val="20"/>
          <w:szCs w:val="22"/>
        </w:rPr>
        <w:t xml:space="preserve">No </w:t>
      </w:r>
      <w:sdt>
        <w:sdtPr>
          <w:rPr>
            <w:rFonts w:ascii="MS Gothic" w:eastAsia="MS Gothic" w:hAnsi="MS Gothic" w:cs="Cambria"/>
            <w:color w:val="EE0000"/>
            <w:spacing w:val="-2"/>
            <w:sz w:val="20"/>
            <w:szCs w:val="20"/>
          </w:rPr>
          <w:id w:val="1023908184"/>
          <w14:checkbox>
            <w14:checked w14:val="1"/>
            <w14:checkedState w14:val="2612" w14:font="MS Gothic"/>
            <w14:uncheckedState w14:val="2610" w14:font="MS Gothic"/>
          </w14:checkbox>
        </w:sdtPr>
        <w:sdtEndPr/>
        <w:sdtContent>
          <w:r w:rsidR="00A010A9" w:rsidRPr="00F73E65">
            <w:rPr>
              <w:rFonts w:ascii="MS Gothic" w:eastAsia="MS Gothic" w:hAnsi="MS Gothic" w:cs="Cambria" w:hint="eastAsia"/>
              <w:color w:val="EE0000"/>
              <w:spacing w:val="-2"/>
              <w:sz w:val="20"/>
              <w:szCs w:val="20"/>
            </w:rPr>
            <w:t>☒</w:t>
          </w:r>
        </w:sdtContent>
      </w:sdt>
    </w:p>
    <w:p w14:paraId="585AE4AC" w14:textId="6544C5E0" w:rsidR="00503752" w:rsidRPr="00F73E65" w:rsidRDefault="00503752" w:rsidP="00A010A9">
      <w:pPr>
        <w:widowControl w:val="0"/>
        <w:tabs>
          <w:tab w:val="left" w:pos="426"/>
        </w:tabs>
        <w:autoSpaceDE w:val="0"/>
        <w:autoSpaceDN w:val="0"/>
        <w:spacing w:after="5" w:line="249" w:lineRule="auto"/>
        <w:ind w:right="47"/>
        <w:jc w:val="both"/>
        <w:rPr>
          <w:rFonts w:ascii="Cambria" w:eastAsia="Cambria" w:hAnsi="Cambria" w:cs="Cambria"/>
          <w:color w:val="FF0000"/>
          <w:sz w:val="20"/>
          <w:szCs w:val="20"/>
          <w:lang w:eastAsia="en-GB"/>
        </w:rPr>
      </w:pPr>
    </w:p>
    <w:p w14:paraId="32038BB4" w14:textId="77777777" w:rsidR="00503752" w:rsidRPr="00F73E65"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4D133D79" w14:textId="77777777" w:rsidR="00503752" w:rsidRPr="00F73E65" w:rsidRDefault="00503752" w:rsidP="00503752">
      <w:pPr>
        <w:widowControl w:val="0"/>
        <w:autoSpaceDE w:val="0"/>
        <w:autoSpaceDN w:val="0"/>
        <w:ind w:right="47"/>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Breve descripción de la(s) nueva(s) obligación(es) de comunicación:</w:t>
      </w:r>
    </w:p>
    <w:p w14:paraId="762A36ED" w14:textId="77777777" w:rsidR="00503752" w:rsidRPr="00F73E65"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4C8A187C" w14:textId="77777777" w:rsidR="00503752" w:rsidRPr="00F73E65"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68DA2696" w14:textId="3975E98F" w:rsidR="00503752" w:rsidRPr="00F73E65" w:rsidRDefault="00503752" w:rsidP="00E1251A">
      <w:pPr>
        <w:pStyle w:val="ListParagraph"/>
        <w:numPr>
          <w:ilvl w:val="0"/>
          <w:numId w:val="5"/>
        </w:numPr>
        <w:ind w:left="284"/>
        <w:jc w:val="both"/>
        <w:rPr>
          <w:rFonts w:ascii="Cambria" w:eastAsia="Cambria" w:hAnsi="Cambria" w:cs="Cambria"/>
          <w:sz w:val="20"/>
          <w:szCs w:val="20"/>
        </w:rPr>
      </w:pPr>
      <w:r w:rsidRPr="00F73E65">
        <w:rPr>
          <w:rFonts w:ascii="Cambria" w:eastAsia="Cambria" w:hAnsi="Cambria" w:cs="Cambria"/>
          <w:color w:val="000000"/>
          <w:sz w:val="20"/>
          <w:szCs w:val="22"/>
          <w:lang w:eastAsia="en-GB"/>
        </w:rPr>
        <w:t xml:space="preserve">¿Requiere aportaciones o trabajo adicional por parte del SCRS?    </w:t>
      </w:r>
      <w:r w:rsidR="00366DC3" w:rsidRPr="00F73E65">
        <w:rPr>
          <w:rFonts w:ascii="Cambria" w:eastAsia="Cambria" w:hAnsi="Cambria" w:cs="Cambria"/>
          <w:color w:val="000000"/>
          <w:sz w:val="20"/>
          <w:szCs w:val="22"/>
          <w:lang w:eastAsia="en-GB"/>
        </w:rPr>
        <w:tab/>
      </w:r>
      <w:r w:rsidR="00167AB6" w:rsidRPr="00F73E65">
        <w:rPr>
          <w:rFonts w:ascii="Cambria" w:eastAsia="Cambria" w:hAnsi="Cambria" w:cs="Cambria"/>
          <w:sz w:val="20"/>
          <w:szCs w:val="22"/>
        </w:rPr>
        <w:t xml:space="preserve">Sí </w:t>
      </w:r>
      <w:sdt>
        <w:sdtPr>
          <w:rPr>
            <w:rFonts w:ascii="Cambria" w:eastAsia="Cambria" w:hAnsi="Cambria" w:cs="Cambria"/>
            <w:spacing w:val="-2"/>
            <w:sz w:val="20"/>
            <w:szCs w:val="20"/>
          </w:rPr>
          <w:id w:val="-675963057"/>
          <w14:checkbox>
            <w14:checked w14:val="0"/>
            <w14:checkedState w14:val="2612" w14:font="MS Gothic"/>
            <w14:uncheckedState w14:val="2610" w14:font="MS Gothic"/>
          </w14:checkbox>
        </w:sdtPr>
        <w:sdtEndPr/>
        <w:sdtContent>
          <w:r w:rsidR="009A4AFB" w:rsidRPr="00F73E65">
            <w:rPr>
              <w:rFonts w:ascii="MS Gothic" w:eastAsia="MS Gothic" w:hAnsi="MS Gothic" w:cs="Cambria" w:hint="eastAsia"/>
              <w:spacing w:val="-2"/>
              <w:sz w:val="20"/>
              <w:szCs w:val="20"/>
            </w:rPr>
            <w:t>☐</w:t>
          </w:r>
        </w:sdtContent>
      </w:sdt>
      <w:r w:rsidR="00167AB6" w:rsidRPr="00F73E65">
        <w:rPr>
          <w:rFonts w:ascii="Cambria" w:eastAsia="Cambria" w:hAnsi="Cambria" w:cs="Cambria"/>
          <w:color w:val="EE0000"/>
          <w:sz w:val="20"/>
          <w:szCs w:val="22"/>
        </w:rPr>
        <w:tab/>
      </w:r>
      <w:r w:rsidR="00366DC3" w:rsidRPr="00F73E65">
        <w:rPr>
          <w:rFonts w:ascii="Cambria" w:eastAsia="Cambria" w:hAnsi="Cambria" w:cs="Cambria"/>
          <w:sz w:val="20"/>
          <w:szCs w:val="22"/>
        </w:rPr>
        <w:tab/>
      </w:r>
      <w:r w:rsidR="00167AB6" w:rsidRPr="00F73E65">
        <w:rPr>
          <w:rFonts w:ascii="Cambria" w:eastAsia="Cambria" w:hAnsi="Cambria" w:cs="Cambria"/>
          <w:color w:val="EE0000"/>
          <w:sz w:val="20"/>
          <w:szCs w:val="22"/>
        </w:rPr>
        <w:t xml:space="preserve">No </w:t>
      </w:r>
      <w:sdt>
        <w:sdtPr>
          <w:rPr>
            <w:rFonts w:ascii="Cambria" w:eastAsia="Cambria" w:hAnsi="Cambria" w:cs="Cambria"/>
            <w:color w:val="EE0000"/>
            <w:spacing w:val="-2"/>
            <w:sz w:val="20"/>
            <w:szCs w:val="20"/>
          </w:rPr>
          <w:id w:val="-366375661"/>
          <w14:checkbox>
            <w14:checked w14:val="1"/>
            <w14:checkedState w14:val="2612" w14:font="MS Gothic"/>
            <w14:uncheckedState w14:val="2610" w14:font="MS Gothic"/>
          </w14:checkbox>
        </w:sdtPr>
        <w:sdtEndPr/>
        <w:sdtContent>
          <w:r w:rsidR="009A4AFB" w:rsidRPr="00F73E65">
            <w:rPr>
              <w:rFonts w:ascii="MS Gothic" w:eastAsia="MS Gothic" w:hAnsi="MS Gothic" w:cs="Cambria" w:hint="eastAsia"/>
              <w:color w:val="EE0000"/>
              <w:spacing w:val="-2"/>
              <w:sz w:val="20"/>
              <w:szCs w:val="20"/>
            </w:rPr>
            <w:t>☒</w:t>
          </w:r>
        </w:sdtContent>
      </w:sdt>
    </w:p>
    <w:p w14:paraId="140724A8" w14:textId="77777777" w:rsidR="00503752" w:rsidRPr="00F73E65"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49B054D7" w14:textId="05277667" w:rsidR="00167AB6" w:rsidRPr="00F73E65" w:rsidRDefault="00503752" w:rsidP="00CC05FC">
      <w:pPr>
        <w:pStyle w:val="ListParagraph"/>
        <w:ind w:left="284"/>
        <w:jc w:val="both"/>
        <w:rPr>
          <w:rFonts w:ascii="Cambria" w:eastAsia="Cambria" w:hAnsi="Cambria" w:cs="Cambria"/>
          <w:sz w:val="20"/>
          <w:szCs w:val="20"/>
        </w:rPr>
      </w:pPr>
      <w:r w:rsidRPr="00F73E65">
        <w:rPr>
          <w:rFonts w:ascii="Cambria" w:eastAsia="Cambria" w:hAnsi="Cambria" w:cs="Cambria"/>
          <w:color w:val="000000"/>
          <w:sz w:val="20"/>
          <w:szCs w:val="22"/>
          <w:lang w:eastAsia="en-GB"/>
        </w:rPr>
        <w:t>¿Está este trabajo ya incluido en el Plan de trabajo actual del SCRS?</w:t>
      </w:r>
      <w:r w:rsidR="00366DC3" w:rsidRPr="00F73E65">
        <w:rPr>
          <w:rFonts w:ascii="Cambria" w:eastAsia="Cambria" w:hAnsi="Cambria" w:cs="Cambria"/>
          <w:color w:val="000000"/>
          <w:sz w:val="20"/>
          <w:szCs w:val="22"/>
          <w:lang w:eastAsia="en-GB"/>
        </w:rPr>
        <w:tab/>
      </w:r>
      <w:r w:rsidRPr="00F73E65">
        <w:rPr>
          <w:rFonts w:ascii="Cambria" w:eastAsia="Cambria" w:hAnsi="Cambria" w:cs="Cambria"/>
          <w:color w:val="000000"/>
          <w:sz w:val="20"/>
          <w:szCs w:val="22"/>
          <w:lang w:eastAsia="en-GB"/>
        </w:rPr>
        <w:t xml:space="preserve"> </w:t>
      </w:r>
      <w:r w:rsidR="00167AB6" w:rsidRPr="00F73E65">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1713223060"/>
          <w14:checkbox>
            <w14:checked w14:val="0"/>
            <w14:checkedState w14:val="2612" w14:font="MS Gothic"/>
            <w14:uncheckedState w14:val="2610" w14:font="MS Gothic"/>
          </w14:checkbox>
        </w:sdtPr>
        <w:sdtEndPr/>
        <w:sdtContent>
          <w:r w:rsidR="00167AB6" w:rsidRPr="00F73E65">
            <w:rPr>
              <w:rFonts w:ascii="Segoe UI Symbol" w:eastAsia="Cambria" w:hAnsi="Segoe UI Symbol" w:cs="Segoe UI Symbol"/>
              <w:spacing w:val="-2"/>
              <w:sz w:val="20"/>
              <w:szCs w:val="20"/>
            </w:rPr>
            <w:t>☐</w:t>
          </w:r>
        </w:sdtContent>
      </w:sdt>
      <w:r w:rsidR="00167AB6" w:rsidRPr="00F73E65">
        <w:rPr>
          <w:rFonts w:ascii="Cambria" w:eastAsia="Cambria" w:hAnsi="Cambria" w:cs="Cambria"/>
          <w:sz w:val="20"/>
          <w:szCs w:val="22"/>
        </w:rPr>
        <w:tab/>
      </w:r>
      <w:r w:rsidR="00366DC3" w:rsidRPr="00F73E65">
        <w:rPr>
          <w:rFonts w:ascii="Cambria" w:eastAsia="Cambria" w:hAnsi="Cambria" w:cs="Cambria"/>
          <w:color w:val="000000" w:themeColor="text1"/>
          <w:sz w:val="20"/>
          <w:szCs w:val="22"/>
        </w:rPr>
        <w:tab/>
      </w:r>
      <w:r w:rsidR="00167AB6" w:rsidRPr="00F73E65">
        <w:rPr>
          <w:rFonts w:ascii="Cambria" w:eastAsia="Cambria" w:hAnsi="Cambria" w:cs="Cambria"/>
          <w:color w:val="000000" w:themeColor="text1"/>
          <w:sz w:val="20"/>
          <w:szCs w:val="22"/>
        </w:rPr>
        <w:t xml:space="preserve">No </w:t>
      </w:r>
      <w:sdt>
        <w:sdtPr>
          <w:rPr>
            <w:rFonts w:ascii="MS Gothic" w:eastAsia="MS Gothic" w:hAnsi="MS Gothic" w:cs="Cambria"/>
            <w:color w:val="000000" w:themeColor="text1"/>
            <w:spacing w:val="-2"/>
            <w:sz w:val="20"/>
            <w:szCs w:val="20"/>
          </w:rPr>
          <w:id w:val="1181079930"/>
          <w14:checkbox>
            <w14:checked w14:val="0"/>
            <w14:checkedState w14:val="2612" w14:font="MS Gothic"/>
            <w14:uncheckedState w14:val="2610" w14:font="MS Gothic"/>
          </w14:checkbox>
        </w:sdtPr>
        <w:sdtEndPr/>
        <w:sdtContent>
          <w:r w:rsidR="009A4AFB" w:rsidRPr="00F73E65">
            <w:rPr>
              <w:rFonts w:ascii="MS Gothic" w:eastAsia="MS Gothic" w:hAnsi="MS Gothic" w:cs="Cambria" w:hint="eastAsia"/>
              <w:color w:val="000000" w:themeColor="text1"/>
              <w:spacing w:val="-2"/>
              <w:sz w:val="20"/>
              <w:szCs w:val="20"/>
            </w:rPr>
            <w:t>☐</w:t>
          </w:r>
        </w:sdtContent>
      </w:sdt>
    </w:p>
    <w:p w14:paraId="767B61A0" w14:textId="77777777" w:rsidR="00167AB6" w:rsidRPr="00F73E65" w:rsidRDefault="00167AB6" w:rsidP="00167AB6">
      <w:pPr>
        <w:widowControl w:val="0"/>
        <w:autoSpaceDE w:val="0"/>
        <w:autoSpaceDN w:val="0"/>
        <w:ind w:right="47"/>
        <w:jc w:val="both"/>
        <w:rPr>
          <w:rFonts w:ascii="Cambria" w:eastAsia="Cambria" w:hAnsi="Cambria" w:cs="Cambria"/>
          <w:color w:val="000000"/>
          <w:sz w:val="20"/>
          <w:szCs w:val="22"/>
          <w:lang w:eastAsia="en-GB"/>
        </w:rPr>
      </w:pPr>
    </w:p>
    <w:p w14:paraId="7B70058B" w14:textId="5EEE4935" w:rsidR="00503752" w:rsidRPr="00F73E65" w:rsidRDefault="00503752" w:rsidP="00167AB6">
      <w:pPr>
        <w:widowControl w:val="0"/>
        <w:autoSpaceDE w:val="0"/>
        <w:autoSpaceDN w:val="0"/>
        <w:ind w:right="47"/>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Breve descripción del nuevo trabajo científico necesario (es decir, evaluación del stock, análisis, consultor externo):</w:t>
      </w:r>
    </w:p>
    <w:p w14:paraId="13919D9C" w14:textId="77777777" w:rsidR="00503752" w:rsidRPr="00F73E65"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0216E418" w14:textId="77777777" w:rsidR="00503752" w:rsidRPr="00F73E65" w:rsidRDefault="00503752" w:rsidP="00503752">
      <w:pPr>
        <w:widowControl w:val="0"/>
        <w:autoSpaceDE w:val="0"/>
        <w:autoSpaceDN w:val="0"/>
        <w:ind w:right="47"/>
        <w:jc w:val="both"/>
        <w:rPr>
          <w:rFonts w:ascii="Cambria" w:eastAsia="Cambria" w:hAnsi="Cambria" w:cs="Cambria"/>
          <w:i/>
          <w:iCs/>
          <w:color w:val="FF0000"/>
          <w:sz w:val="20"/>
          <w:szCs w:val="20"/>
          <w:lang w:eastAsia="en-GB"/>
        </w:rPr>
      </w:pPr>
    </w:p>
    <w:p w14:paraId="43390F30" w14:textId="1E19E1E5" w:rsidR="00503752" w:rsidRPr="00F73E65" w:rsidRDefault="00503752" w:rsidP="00E1251A">
      <w:pPr>
        <w:pStyle w:val="ListParagraph"/>
        <w:numPr>
          <w:ilvl w:val="0"/>
          <w:numId w:val="5"/>
        </w:numPr>
        <w:ind w:left="284"/>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 xml:space="preserve">¿Implica la creación de un </w:t>
      </w:r>
      <w:r w:rsidRPr="00F73E65">
        <w:rPr>
          <w:rFonts w:ascii="Cambria" w:eastAsia="Cambria" w:hAnsi="Cambria" w:cs="Cambria"/>
          <w:b/>
          <w:bCs/>
          <w:color w:val="000000"/>
          <w:sz w:val="20"/>
          <w:szCs w:val="22"/>
          <w:lang w:eastAsia="en-GB"/>
        </w:rPr>
        <w:t>nuevo grupo de trabajo o proceso intersesiones</w:t>
      </w:r>
      <w:r w:rsidRPr="00F73E65">
        <w:rPr>
          <w:rFonts w:ascii="Cambria" w:eastAsia="Cambria" w:hAnsi="Cambria" w:cs="Cambria"/>
          <w:color w:val="000000"/>
          <w:sz w:val="20"/>
          <w:szCs w:val="22"/>
          <w:lang w:eastAsia="en-GB"/>
        </w:rPr>
        <w:t xml:space="preserve">?    </w:t>
      </w:r>
    </w:p>
    <w:p w14:paraId="7F086D31" w14:textId="77777777" w:rsidR="00503752" w:rsidRPr="00F73E65"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34E05974" w14:textId="77777777" w:rsidR="00CC05FC" w:rsidRPr="00F73E65" w:rsidRDefault="00CC05FC" w:rsidP="00CC05FC">
      <w:pPr>
        <w:widowControl w:val="0"/>
        <w:autoSpaceDE w:val="0"/>
        <w:autoSpaceDN w:val="0"/>
        <w:ind w:right="47"/>
        <w:jc w:val="both"/>
        <w:rPr>
          <w:rFonts w:ascii="MS Gothic" w:eastAsia="MS Gothic" w:hAnsi="MS Gothic" w:cs="Cambria"/>
          <w:color w:val="EE0000"/>
          <w:spacing w:val="-2"/>
          <w:sz w:val="20"/>
          <w:szCs w:val="20"/>
        </w:rPr>
      </w:pPr>
      <w:r w:rsidRPr="00F73E65">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1384795712"/>
          <w14:checkbox>
            <w14:checked w14:val="0"/>
            <w14:checkedState w14:val="2612" w14:font="MS Gothic"/>
            <w14:uncheckedState w14:val="2610" w14:font="MS Gothic"/>
          </w14:checkbox>
        </w:sdtPr>
        <w:sdtEndPr/>
        <w:sdtContent>
          <w:r w:rsidRPr="00F73E65">
            <w:rPr>
              <w:rFonts w:ascii="Segoe UI Symbol" w:eastAsia="Cambria" w:hAnsi="Segoe UI Symbol" w:cs="Segoe UI Symbol"/>
              <w:spacing w:val="-2"/>
              <w:sz w:val="20"/>
              <w:szCs w:val="20"/>
            </w:rPr>
            <w:t>☐</w:t>
          </w:r>
        </w:sdtContent>
      </w:sdt>
      <w:r w:rsidRPr="00F73E65">
        <w:rPr>
          <w:rFonts w:ascii="Cambria" w:eastAsia="Cambria" w:hAnsi="Cambria" w:cs="Cambria"/>
          <w:sz w:val="20"/>
          <w:szCs w:val="22"/>
        </w:rPr>
        <w:tab/>
      </w:r>
      <w:r w:rsidRPr="00F73E65">
        <w:rPr>
          <w:rFonts w:ascii="Cambria" w:eastAsia="Cambria" w:hAnsi="Cambria" w:cs="Cambria"/>
          <w:sz w:val="20"/>
          <w:szCs w:val="22"/>
        </w:rPr>
        <w:tab/>
      </w:r>
      <w:r w:rsidRPr="00F73E65">
        <w:rPr>
          <w:rFonts w:ascii="Cambria" w:eastAsia="Cambria" w:hAnsi="Cambria" w:cs="Cambria"/>
          <w:color w:val="EE0000"/>
          <w:sz w:val="20"/>
          <w:szCs w:val="22"/>
        </w:rPr>
        <w:t xml:space="preserve">No </w:t>
      </w:r>
      <w:sdt>
        <w:sdtPr>
          <w:rPr>
            <w:rFonts w:ascii="MS Gothic" w:eastAsia="MS Gothic" w:hAnsi="MS Gothic" w:cs="Cambria"/>
            <w:color w:val="EE0000"/>
            <w:spacing w:val="-2"/>
            <w:sz w:val="20"/>
            <w:szCs w:val="20"/>
          </w:rPr>
          <w:id w:val="2062981779"/>
          <w14:checkbox>
            <w14:checked w14:val="1"/>
            <w14:checkedState w14:val="2612" w14:font="MS Gothic"/>
            <w14:uncheckedState w14:val="2610" w14:font="MS Gothic"/>
          </w14:checkbox>
        </w:sdtPr>
        <w:sdtEndPr/>
        <w:sdtContent>
          <w:r w:rsidRPr="00F73E65">
            <w:rPr>
              <w:rFonts w:ascii="MS Gothic" w:eastAsia="MS Gothic" w:hAnsi="MS Gothic" w:cs="Cambria" w:hint="eastAsia"/>
              <w:color w:val="EE0000"/>
              <w:spacing w:val="-2"/>
              <w:sz w:val="20"/>
              <w:szCs w:val="20"/>
            </w:rPr>
            <w:t>☒</w:t>
          </w:r>
        </w:sdtContent>
      </w:sdt>
    </w:p>
    <w:p w14:paraId="0151EFF5" w14:textId="77777777" w:rsidR="00503752" w:rsidRPr="00F73E65"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3F6F46EC" w14:textId="77777777" w:rsidR="00503752" w:rsidRPr="00F73E65" w:rsidRDefault="00503752" w:rsidP="00E1251A">
      <w:pPr>
        <w:pStyle w:val="ListParagraph"/>
        <w:numPr>
          <w:ilvl w:val="0"/>
          <w:numId w:val="5"/>
        </w:numPr>
        <w:ind w:left="284"/>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 xml:space="preserve">¿Requiere un nuevo programa o actividades adicionales que deba gestionar la Secretaría?  </w:t>
      </w:r>
    </w:p>
    <w:p w14:paraId="2B009910" w14:textId="77777777" w:rsidR="00503752" w:rsidRPr="00F73E65"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0D09CCC5" w14:textId="3130CF81" w:rsidR="00503752" w:rsidRPr="00F73E65" w:rsidRDefault="00366DC3" w:rsidP="00503752">
      <w:pPr>
        <w:widowControl w:val="0"/>
        <w:autoSpaceDE w:val="0"/>
        <w:autoSpaceDN w:val="0"/>
        <w:ind w:right="47"/>
        <w:jc w:val="both"/>
        <w:rPr>
          <w:rFonts w:ascii="MS Gothic" w:eastAsia="MS Gothic" w:hAnsi="MS Gothic" w:cs="Cambria"/>
          <w:color w:val="EE0000"/>
          <w:spacing w:val="-2"/>
          <w:sz w:val="20"/>
          <w:szCs w:val="20"/>
        </w:rPr>
      </w:pPr>
      <w:r w:rsidRPr="00F73E65">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833040325"/>
          <w14:checkbox>
            <w14:checked w14:val="0"/>
            <w14:checkedState w14:val="2612" w14:font="MS Gothic"/>
            <w14:uncheckedState w14:val="2610" w14:font="MS Gothic"/>
          </w14:checkbox>
        </w:sdtPr>
        <w:sdtEndPr/>
        <w:sdtContent>
          <w:r w:rsidR="009A4AFB" w:rsidRPr="00F73E65">
            <w:rPr>
              <w:rFonts w:ascii="MS Gothic" w:eastAsia="MS Gothic" w:hAnsi="MS Gothic" w:cs="Segoe UI Symbol" w:hint="eastAsia"/>
              <w:spacing w:val="-2"/>
              <w:sz w:val="20"/>
              <w:szCs w:val="20"/>
            </w:rPr>
            <w:t>☐</w:t>
          </w:r>
        </w:sdtContent>
      </w:sdt>
      <w:r w:rsidRPr="00F73E65">
        <w:rPr>
          <w:rFonts w:ascii="Cambria" w:eastAsia="Cambria" w:hAnsi="Cambria" w:cs="Cambria"/>
          <w:sz w:val="20"/>
          <w:szCs w:val="22"/>
        </w:rPr>
        <w:tab/>
      </w:r>
      <w:r w:rsidRPr="00F73E65">
        <w:rPr>
          <w:rFonts w:ascii="Cambria" w:eastAsia="Cambria" w:hAnsi="Cambria" w:cs="Cambria"/>
          <w:sz w:val="20"/>
          <w:szCs w:val="22"/>
        </w:rPr>
        <w:tab/>
      </w:r>
      <w:r w:rsidRPr="00F73E65">
        <w:rPr>
          <w:rFonts w:ascii="Cambria" w:eastAsia="Cambria" w:hAnsi="Cambria" w:cs="Cambria"/>
          <w:color w:val="EE0000"/>
          <w:sz w:val="20"/>
          <w:szCs w:val="22"/>
        </w:rPr>
        <w:t xml:space="preserve">No </w:t>
      </w:r>
      <w:sdt>
        <w:sdtPr>
          <w:rPr>
            <w:rFonts w:ascii="MS Gothic" w:eastAsia="MS Gothic" w:hAnsi="MS Gothic" w:cs="Cambria"/>
            <w:color w:val="EE0000"/>
            <w:spacing w:val="-2"/>
            <w:sz w:val="20"/>
            <w:szCs w:val="20"/>
          </w:rPr>
          <w:id w:val="-64888311"/>
          <w14:checkbox>
            <w14:checked w14:val="1"/>
            <w14:checkedState w14:val="2612" w14:font="MS Gothic"/>
            <w14:uncheckedState w14:val="2610" w14:font="MS Gothic"/>
          </w14:checkbox>
        </w:sdtPr>
        <w:sdtEndPr/>
        <w:sdtContent>
          <w:r w:rsidR="009A4AFB" w:rsidRPr="00F73E65">
            <w:rPr>
              <w:rFonts w:ascii="MS Gothic" w:eastAsia="MS Gothic" w:hAnsi="MS Gothic" w:cs="Cambria" w:hint="eastAsia"/>
              <w:color w:val="EE0000"/>
              <w:spacing w:val="-2"/>
              <w:sz w:val="20"/>
              <w:szCs w:val="20"/>
            </w:rPr>
            <w:t>☒</w:t>
          </w:r>
        </w:sdtContent>
      </w:sdt>
    </w:p>
    <w:p w14:paraId="17D35BC1" w14:textId="77777777" w:rsidR="00366DC3" w:rsidRPr="00F73E65" w:rsidRDefault="00366DC3" w:rsidP="00503752">
      <w:pPr>
        <w:widowControl w:val="0"/>
        <w:autoSpaceDE w:val="0"/>
        <w:autoSpaceDN w:val="0"/>
        <w:ind w:right="47"/>
        <w:jc w:val="both"/>
        <w:rPr>
          <w:rFonts w:ascii="Cambria" w:eastAsia="Cambria" w:hAnsi="Cambria" w:cs="Cambria"/>
          <w:color w:val="000000"/>
          <w:sz w:val="20"/>
          <w:szCs w:val="20"/>
          <w:lang w:eastAsia="en-GB"/>
        </w:rPr>
      </w:pPr>
    </w:p>
    <w:p w14:paraId="4C0146E1" w14:textId="77777777" w:rsidR="00503752" w:rsidRPr="00F73E65"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r w:rsidRPr="00F73E65">
        <w:rPr>
          <w:rFonts w:ascii="Cambria" w:eastAsia="Cambria" w:hAnsi="Cambria" w:cs="Cambria"/>
          <w:color w:val="000000"/>
          <w:sz w:val="20"/>
          <w:szCs w:val="22"/>
          <w:lang w:eastAsia="en-GB"/>
        </w:rPr>
        <w:t>Breve descripción del nuevo trabajo necesario de la Secretaría:</w:t>
      </w:r>
    </w:p>
    <w:p w14:paraId="6809111C" w14:textId="77777777" w:rsidR="00503752" w:rsidRPr="00F73E65" w:rsidRDefault="00503752" w:rsidP="00503752">
      <w:pPr>
        <w:widowControl w:val="0"/>
        <w:autoSpaceDE w:val="0"/>
        <w:autoSpaceDN w:val="0"/>
        <w:ind w:right="47"/>
        <w:jc w:val="both"/>
        <w:rPr>
          <w:rFonts w:ascii="Cambria" w:eastAsia="Cambria" w:hAnsi="Cambria" w:cs="Cambria"/>
          <w:color w:val="EE0000"/>
          <w:spacing w:val="-2"/>
          <w:sz w:val="20"/>
          <w:szCs w:val="20"/>
          <w:lang w:eastAsia="en-GB"/>
        </w:rPr>
      </w:pPr>
    </w:p>
    <w:p w14:paraId="095E467F" w14:textId="77777777" w:rsidR="00503752" w:rsidRPr="00F73E65"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00C328F1" w14:textId="77777777" w:rsidR="00503752" w:rsidRPr="00F73E65"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5A065EDF" w14:textId="77777777" w:rsidR="00503752" w:rsidRPr="00F73E65" w:rsidRDefault="00503752" w:rsidP="00E1251A">
      <w:pPr>
        <w:pStyle w:val="ListParagraph"/>
        <w:numPr>
          <w:ilvl w:val="0"/>
          <w:numId w:val="5"/>
        </w:numPr>
        <w:ind w:left="284"/>
        <w:jc w:val="both"/>
        <w:rPr>
          <w:rFonts w:ascii="Cambria" w:eastAsia="Cambria" w:hAnsi="Cambria" w:cs="Cambria"/>
          <w:color w:val="000000"/>
          <w:spacing w:val="-2"/>
          <w:sz w:val="20"/>
          <w:szCs w:val="20"/>
          <w:lang w:eastAsia="en-GB"/>
        </w:rPr>
      </w:pPr>
      <w:r w:rsidRPr="00F73E65">
        <w:rPr>
          <w:rFonts w:ascii="Cambria" w:eastAsia="Cambria" w:hAnsi="Cambria" w:cs="Cambria"/>
          <w:color w:val="000000"/>
          <w:sz w:val="20"/>
          <w:szCs w:val="22"/>
          <w:lang w:eastAsia="en-GB"/>
        </w:rPr>
        <w:t>¿Cuál es el calendario propuesto para la implementación? ¿Existen distintos calendarios específicos para determinadas CPC, pesquerías, regiones, etc.?</w:t>
      </w:r>
    </w:p>
    <w:p w14:paraId="41726921" w14:textId="77777777" w:rsidR="00503752" w:rsidRPr="00F73E65"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5D37ED4E" w14:textId="0B11E9D8" w:rsidR="00503752" w:rsidRPr="00F73E65" w:rsidRDefault="00503752" w:rsidP="00503752">
      <w:pPr>
        <w:widowControl w:val="0"/>
        <w:autoSpaceDE w:val="0"/>
        <w:autoSpaceDN w:val="0"/>
        <w:ind w:right="47"/>
        <w:jc w:val="both"/>
        <w:rPr>
          <w:rFonts w:ascii="Cambria" w:eastAsia="Cambria" w:hAnsi="Cambria" w:cs="Cambria"/>
          <w:color w:val="FF0000"/>
          <w:spacing w:val="-2"/>
          <w:sz w:val="20"/>
          <w:szCs w:val="20"/>
          <w:lang w:eastAsia="en-GB"/>
        </w:rPr>
      </w:pPr>
      <w:r w:rsidRPr="00F73E65">
        <w:rPr>
          <w:rFonts w:ascii="Cambria" w:eastAsia="Cambria" w:hAnsi="Cambria" w:cs="Cambria"/>
          <w:color w:val="FF0000"/>
          <w:sz w:val="20"/>
          <w:szCs w:val="22"/>
          <w:lang w:eastAsia="en-GB"/>
        </w:rPr>
        <w:t>Entrada en vigor</w:t>
      </w:r>
      <w:r w:rsidR="00415495" w:rsidRPr="00F73E65">
        <w:rPr>
          <w:rFonts w:ascii="Cambria" w:eastAsia="Cambria" w:hAnsi="Cambria" w:cs="Cambria"/>
          <w:color w:val="FF0000"/>
          <w:sz w:val="20"/>
          <w:szCs w:val="22"/>
          <w:lang w:eastAsia="en-GB"/>
        </w:rPr>
        <w:t xml:space="preserve"> en</w:t>
      </w:r>
      <w:r w:rsidRPr="00F73E65">
        <w:rPr>
          <w:rFonts w:ascii="Cambria" w:eastAsia="Cambria" w:hAnsi="Cambria" w:cs="Cambria"/>
          <w:color w:val="FF0000"/>
          <w:sz w:val="20"/>
          <w:szCs w:val="22"/>
          <w:lang w:eastAsia="en-GB"/>
        </w:rPr>
        <w:t xml:space="preserve"> 2026. </w:t>
      </w:r>
    </w:p>
    <w:p w14:paraId="4597ACC4" w14:textId="77777777" w:rsidR="00503752" w:rsidRPr="00F73E65"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66CBB677" w14:textId="77777777" w:rsidR="00503752" w:rsidRPr="00F73E65"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3023D636" w14:textId="77777777" w:rsidR="00503752" w:rsidRPr="00F73E65" w:rsidRDefault="00503752" w:rsidP="00E1251A">
      <w:pPr>
        <w:pStyle w:val="ListParagraph"/>
        <w:numPr>
          <w:ilvl w:val="0"/>
          <w:numId w:val="5"/>
        </w:numPr>
        <w:ind w:left="284"/>
        <w:jc w:val="both"/>
        <w:rPr>
          <w:rFonts w:ascii="Cambria" w:eastAsia="Cambria" w:hAnsi="Cambria" w:cs="Cambria"/>
          <w:color w:val="000000"/>
          <w:spacing w:val="-2"/>
          <w:sz w:val="20"/>
          <w:szCs w:val="20"/>
          <w:lang w:eastAsia="en-GB"/>
        </w:rPr>
      </w:pPr>
      <w:r w:rsidRPr="00F73E65">
        <w:rPr>
          <w:rFonts w:ascii="Cambria" w:eastAsia="Cambria" w:hAnsi="Cambria" w:cs="Cambria"/>
          <w:color w:val="000000"/>
          <w:sz w:val="20"/>
          <w:szCs w:val="22"/>
          <w:lang w:eastAsia="en-GB"/>
        </w:rPr>
        <w:t>Hay alguna otra información pertinente sobre las repercusiones de la propuesta en lo referente a los recursos y a la carga de trabajo?</w:t>
      </w:r>
    </w:p>
    <w:p w14:paraId="69DDAD6E" w14:textId="77777777" w:rsidR="00503752" w:rsidRPr="00F73E65" w:rsidRDefault="00503752" w:rsidP="00503752">
      <w:pPr>
        <w:pBdr>
          <w:top w:val="nil"/>
          <w:left w:val="nil"/>
          <w:bottom w:val="nil"/>
          <w:right w:val="nil"/>
          <w:between w:val="nil"/>
        </w:pBdr>
        <w:tabs>
          <w:tab w:val="left" w:pos="646"/>
        </w:tabs>
        <w:ind w:right="47"/>
        <w:jc w:val="right"/>
        <w:rPr>
          <w:rFonts w:ascii="Cambria" w:eastAsia="Yu Mincho" w:hAnsi="Cambria" w:cs="Cambria"/>
          <w:b/>
          <w:bCs/>
          <w:color w:val="000000"/>
          <w:sz w:val="20"/>
          <w:szCs w:val="20"/>
          <w:lang w:eastAsia="ja-JP"/>
        </w:rPr>
      </w:pPr>
    </w:p>
    <w:p w14:paraId="785350AA" w14:textId="77777777" w:rsidR="00503752" w:rsidRPr="00F73E65" w:rsidRDefault="00503752" w:rsidP="00503752">
      <w:pPr>
        <w:pBdr>
          <w:top w:val="nil"/>
          <w:left w:val="nil"/>
          <w:bottom w:val="nil"/>
          <w:right w:val="nil"/>
          <w:between w:val="nil"/>
        </w:pBdr>
        <w:tabs>
          <w:tab w:val="left" w:pos="646"/>
        </w:tabs>
        <w:ind w:right="47"/>
        <w:jc w:val="right"/>
        <w:rPr>
          <w:rFonts w:ascii="Cambria" w:eastAsia="Yu Mincho" w:hAnsi="Cambria" w:cs="Cambria"/>
          <w:b/>
          <w:bCs/>
          <w:color w:val="000000"/>
          <w:sz w:val="20"/>
          <w:szCs w:val="20"/>
          <w:lang w:eastAsia="ja-JP"/>
        </w:rPr>
      </w:pPr>
    </w:p>
    <w:p w14:paraId="2F4A85B1" w14:textId="77777777" w:rsidR="00503752" w:rsidRPr="00F73E65" w:rsidRDefault="00503752" w:rsidP="00503752">
      <w:pPr>
        <w:pBdr>
          <w:top w:val="nil"/>
          <w:left w:val="nil"/>
          <w:bottom w:val="nil"/>
          <w:right w:val="nil"/>
          <w:between w:val="nil"/>
        </w:pBdr>
        <w:tabs>
          <w:tab w:val="left" w:pos="646"/>
        </w:tabs>
        <w:ind w:right="47"/>
        <w:jc w:val="right"/>
        <w:rPr>
          <w:rFonts w:ascii="Cambria" w:eastAsia="Yu Mincho" w:hAnsi="Cambria" w:cs="Cambria"/>
          <w:b/>
          <w:bCs/>
          <w:color w:val="000000"/>
          <w:sz w:val="20"/>
          <w:szCs w:val="20"/>
          <w:lang w:eastAsia="ja-JP"/>
        </w:rPr>
      </w:pPr>
    </w:p>
    <w:p w14:paraId="58F79B8F" w14:textId="77777777" w:rsidR="00503752" w:rsidRPr="00F73E65" w:rsidRDefault="00503752" w:rsidP="00503752">
      <w:pPr>
        <w:spacing w:after="5" w:line="249" w:lineRule="auto"/>
        <w:ind w:right="47"/>
        <w:jc w:val="both"/>
        <w:rPr>
          <w:rFonts w:ascii="Cambria" w:eastAsia="Yu Mincho" w:hAnsi="Cambria" w:cs="Cambria"/>
          <w:b/>
          <w:bCs/>
          <w:color w:val="000000"/>
          <w:sz w:val="20"/>
          <w:szCs w:val="20"/>
          <w:lang w:eastAsia="en-GB"/>
        </w:rPr>
      </w:pPr>
      <w:r w:rsidRPr="00F73E65">
        <w:rPr>
          <w:rFonts w:ascii="Cambria" w:eastAsia="Cambria" w:hAnsi="Cambria" w:cs="Cambria"/>
          <w:color w:val="000000"/>
          <w:sz w:val="20"/>
          <w:szCs w:val="22"/>
          <w:lang w:eastAsia="en-GB"/>
        </w:rPr>
        <w:br w:type="page"/>
      </w:r>
    </w:p>
    <w:p w14:paraId="5E302413" w14:textId="77777777" w:rsidR="00D217B4" w:rsidRPr="00F73E65" w:rsidRDefault="00D217B4" w:rsidP="00D217B4">
      <w:pPr>
        <w:spacing w:after="5" w:line="249" w:lineRule="auto"/>
        <w:ind w:left="436" w:right="47" w:hanging="434"/>
        <w:jc w:val="right"/>
        <w:rPr>
          <w:rFonts w:ascii="Cambria" w:eastAsia="Cambria" w:hAnsi="Cambria" w:cs="Cambria"/>
          <w:b/>
          <w:color w:val="000000"/>
          <w:sz w:val="20"/>
          <w:szCs w:val="22"/>
          <w:lang w:eastAsia="en-GB"/>
        </w:rPr>
      </w:pPr>
      <w:r w:rsidRPr="00F73E65">
        <w:rPr>
          <w:rFonts w:ascii="Cambria" w:eastAsia="Cambria" w:hAnsi="Cambria" w:cs="Cambria"/>
          <w:b/>
          <w:color w:val="000000"/>
          <w:sz w:val="20"/>
          <w:szCs w:val="22"/>
          <w:lang w:eastAsia="en-GB"/>
        </w:rPr>
        <w:lastRenderedPageBreak/>
        <w:t>Original: inglés</w:t>
      </w:r>
    </w:p>
    <w:p w14:paraId="77E4E78F" w14:textId="77777777" w:rsidR="00D217B4" w:rsidRPr="00F73E65" w:rsidRDefault="00D217B4" w:rsidP="00D217B4">
      <w:pPr>
        <w:spacing w:after="5" w:line="249" w:lineRule="auto"/>
        <w:ind w:left="436" w:right="47" w:hanging="434"/>
        <w:jc w:val="right"/>
        <w:rPr>
          <w:rFonts w:ascii="Cambria" w:eastAsia="Cambria" w:hAnsi="Cambria" w:cs="Cambria"/>
          <w:b/>
          <w:color w:val="000000"/>
          <w:sz w:val="20"/>
          <w:szCs w:val="22"/>
          <w:lang w:eastAsia="en-GB"/>
        </w:rPr>
      </w:pPr>
    </w:p>
    <w:p w14:paraId="2394400D" w14:textId="77777777" w:rsidR="00D217B4" w:rsidRPr="00F73E65" w:rsidRDefault="00D217B4" w:rsidP="00D217B4">
      <w:pPr>
        <w:spacing w:after="5" w:line="249" w:lineRule="auto"/>
        <w:ind w:left="436" w:right="47" w:hanging="434"/>
        <w:jc w:val="center"/>
        <w:rPr>
          <w:rFonts w:ascii="Cambria" w:eastAsia="Cambria" w:hAnsi="Cambria" w:cs="Cambria"/>
          <w:b/>
          <w:bCs/>
          <w:sz w:val="20"/>
          <w:szCs w:val="20"/>
          <w:lang w:eastAsia="en-GB"/>
        </w:rPr>
      </w:pPr>
      <w:r w:rsidRPr="00F73E65">
        <w:rPr>
          <w:rFonts w:ascii="Cambria" w:eastAsia="Cambria" w:hAnsi="Cambria" w:cs="Cambria"/>
          <w:b/>
          <w:color w:val="000000"/>
          <w:sz w:val="20"/>
          <w:szCs w:val="22"/>
          <w:lang w:eastAsia="en-GB"/>
        </w:rPr>
        <w:t>Nota explicativa sobre el Proyecto de Recomendación de ICCAT que enmienda la Recomendación 22-11 sobre la conservación del stock de marrajo dientuso del Atlántico sur capturado en asociación con pesquerías de ICCAT</w:t>
      </w:r>
      <w:r w:rsidRPr="00F73E65">
        <w:rPr>
          <w:rFonts w:ascii="Cambria" w:eastAsia="Cambria" w:hAnsi="Cambria" w:cs="Cambria"/>
          <w:b/>
          <w:sz w:val="20"/>
          <w:szCs w:val="22"/>
          <w:lang w:eastAsia="en-GB"/>
        </w:rPr>
        <w:t xml:space="preserve"> </w:t>
      </w:r>
    </w:p>
    <w:p w14:paraId="096A0A2B" w14:textId="77777777" w:rsidR="00D217B4" w:rsidRPr="00F73E65" w:rsidRDefault="00D217B4" w:rsidP="00D217B4">
      <w:pPr>
        <w:spacing w:after="5" w:line="249" w:lineRule="auto"/>
        <w:ind w:left="436" w:right="47" w:hanging="434"/>
        <w:jc w:val="center"/>
        <w:rPr>
          <w:rFonts w:ascii="Cambria" w:eastAsia="Cambria" w:hAnsi="Cambria" w:cs="Cambria"/>
          <w:b/>
          <w:bCs/>
          <w:sz w:val="20"/>
          <w:szCs w:val="20"/>
          <w:lang w:eastAsia="en-GB"/>
        </w:rPr>
      </w:pPr>
      <w:r w:rsidRPr="00F73E65">
        <w:rPr>
          <w:rFonts w:ascii="Cambria" w:eastAsia="Cambria" w:hAnsi="Cambria" w:cs="Cambria"/>
          <w:b/>
          <w:sz w:val="20"/>
          <w:szCs w:val="22"/>
          <w:lang w:eastAsia="en-GB"/>
        </w:rPr>
        <w:t xml:space="preserve"> </w:t>
      </w:r>
    </w:p>
    <w:p w14:paraId="4414C61F" w14:textId="77777777" w:rsidR="00D217B4" w:rsidRPr="00F73E65" w:rsidRDefault="00D217B4" w:rsidP="00D217B4">
      <w:pPr>
        <w:spacing w:after="5" w:line="249" w:lineRule="auto"/>
        <w:ind w:left="436" w:right="47" w:hanging="434"/>
        <w:jc w:val="center"/>
        <w:rPr>
          <w:rFonts w:ascii="Cambria" w:eastAsia="Cambria" w:hAnsi="Cambria" w:cs="Cambria"/>
          <w:i/>
          <w:iCs/>
          <w:color w:val="000000"/>
          <w:sz w:val="20"/>
          <w:szCs w:val="20"/>
          <w:lang w:eastAsia="en-GB"/>
        </w:rPr>
      </w:pPr>
      <w:r w:rsidRPr="00F73E65">
        <w:rPr>
          <w:rFonts w:ascii="Cambria" w:eastAsia="Cambria" w:hAnsi="Cambria" w:cs="Cambria"/>
          <w:i/>
          <w:color w:val="000000"/>
          <w:sz w:val="20"/>
          <w:szCs w:val="22"/>
          <w:lang w:eastAsia="en-GB"/>
        </w:rPr>
        <w:t>(Documento presentado por la Unión Europea)</w:t>
      </w:r>
    </w:p>
    <w:p w14:paraId="6C017D6F" w14:textId="77777777" w:rsidR="00D217B4" w:rsidRPr="00F73E65" w:rsidRDefault="00D217B4" w:rsidP="00D217B4">
      <w:pPr>
        <w:tabs>
          <w:tab w:val="center" w:pos="3942"/>
          <w:tab w:val="center" w:pos="4663"/>
          <w:tab w:val="center" w:pos="5383"/>
          <w:tab w:val="center" w:pos="6103"/>
          <w:tab w:val="center" w:pos="6823"/>
          <w:tab w:val="right" w:pos="9120"/>
        </w:tabs>
        <w:spacing w:line="259" w:lineRule="auto"/>
        <w:rPr>
          <w:rFonts w:ascii="Cambria" w:eastAsia="Cambria" w:hAnsi="Cambria" w:cs="Cambria"/>
          <w:color w:val="000000"/>
          <w:sz w:val="20"/>
          <w:szCs w:val="20"/>
          <w:lang w:eastAsia="en-GB"/>
        </w:rPr>
      </w:pPr>
    </w:p>
    <w:p w14:paraId="1035F3ED" w14:textId="77777777" w:rsidR="00D217B4" w:rsidRPr="00F73E65" w:rsidRDefault="00D217B4" w:rsidP="00D217B4">
      <w:pPr>
        <w:ind w:left="-12" w:right="36"/>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 xml:space="preserve">Esta propuesta responde a la última </w:t>
      </w:r>
      <w:hyperlink r:id="rId11" w:history="1">
        <w:r w:rsidRPr="00F73E65">
          <w:rPr>
            <w:rFonts w:ascii="Cambria" w:eastAsia="Cambria" w:hAnsi="Cambria" w:cs="Cambria"/>
            <w:color w:val="467886"/>
            <w:sz w:val="20"/>
            <w:szCs w:val="22"/>
            <w:lang w:eastAsia="en-GB"/>
          </w:rPr>
          <w:t>evaluación de stock de marrajo dientuso</w:t>
        </w:r>
      </w:hyperlink>
      <w:r w:rsidRPr="00F73E65">
        <w:rPr>
          <w:rFonts w:ascii="Cambria" w:eastAsia="Cambria" w:hAnsi="Cambria" w:cs="Cambria"/>
          <w:color w:val="000000"/>
          <w:sz w:val="20"/>
          <w:szCs w:val="22"/>
          <w:lang w:eastAsia="en-GB"/>
        </w:rPr>
        <w:t xml:space="preserve"> del SCRS realizada en 2025, en la que se confirmó que el stock de marrajo dientuso del Atlántico sur se encuentra probablemente en la zona roja de la matriz de estrategia Kobe II (50,5 %), con una probabilidad del 66,9 % de estar sobrepescado y del 66,5 % de ser objeto de sobrepesca. A pesar de los compromisos previos incluidos en el plan de ordenación acordado (</w:t>
      </w:r>
      <w:hyperlink r:id="rId12" w:history="1">
        <w:r w:rsidRPr="00F73E65">
          <w:rPr>
            <w:rFonts w:ascii="Cambria" w:eastAsia="Cambria" w:hAnsi="Cambria" w:cs="Cambria"/>
            <w:color w:val="467886"/>
            <w:sz w:val="20"/>
            <w:szCs w:val="22"/>
            <w:lang w:eastAsia="en-GB"/>
          </w:rPr>
          <w:t>Rec. 22-11</w:t>
        </w:r>
      </w:hyperlink>
      <w:r w:rsidRPr="00F73E65">
        <w:rPr>
          <w:rFonts w:ascii="Cambria" w:eastAsia="Cambria" w:hAnsi="Cambria" w:cs="Cambria"/>
          <w:color w:val="000000"/>
          <w:sz w:val="20"/>
          <w:szCs w:val="22"/>
          <w:lang w:eastAsia="en-GB"/>
        </w:rPr>
        <w:t>) para cumplir con medidas estrictas y aumentar el seguimiento del estado del stock, persisten importantes incertidumbres en cuanto a la mortalidad total por pesca. La mayoría de las CPC con flotas que interactúan con el stock no están comunicando datos exhaustivos sobre los descartes, y varias CPC aún no han facilitado metodologías para estimar los descartes de ejemplares muertos o las liberaciones de ejemplares vivos.</w:t>
      </w:r>
    </w:p>
    <w:p w14:paraId="00DB9475" w14:textId="77777777" w:rsidR="00D217B4" w:rsidRPr="00F73E65" w:rsidRDefault="00D217B4" w:rsidP="00D217B4">
      <w:pPr>
        <w:ind w:left="-12" w:right="36"/>
        <w:jc w:val="both"/>
        <w:rPr>
          <w:rFonts w:ascii="Cambria" w:eastAsia="Cambria" w:hAnsi="Cambria" w:cs="Cambria"/>
          <w:color w:val="000000"/>
          <w:sz w:val="20"/>
          <w:szCs w:val="20"/>
          <w:lang w:eastAsia="en-GB"/>
        </w:rPr>
      </w:pPr>
    </w:p>
    <w:p w14:paraId="02DAF951" w14:textId="77777777" w:rsidR="00D217B4" w:rsidRPr="00F73E65" w:rsidRDefault="00D217B4" w:rsidP="00D217B4">
      <w:pPr>
        <w:ind w:left="-12" w:right="36"/>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 xml:space="preserve">Dado que estos elementos clave del plan de ordenación acordado previamente no se han aplicado en su totalidad, la capacidad del SCRS para evaluar las capturas totales y proporcionar asesoramiento fiable en materia de ordenación ha sido limitada. La metodología adoptada en 2022 para calcular la tolerancia de retención se basa en el pleno cumplimiento por parte de las CPC y, por lo tanto, no tiene en cuenta estas incertidumbres. </w:t>
      </w:r>
    </w:p>
    <w:p w14:paraId="259B3D5E" w14:textId="77777777" w:rsidR="00D217B4" w:rsidRPr="00F73E65" w:rsidRDefault="00D217B4" w:rsidP="00D217B4">
      <w:pPr>
        <w:ind w:left="-12" w:right="36"/>
        <w:jc w:val="both"/>
        <w:rPr>
          <w:rFonts w:ascii="Cambria" w:eastAsia="Cambria" w:hAnsi="Cambria" w:cs="Cambria"/>
          <w:color w:val="000000"/>
          <w:sz w:val="20"/>
          <w:szCs w:val="20"/>
          <w:lang w:eastAsia="en-GB"/>
        </w:rPr>
      </w:pPr>
    </w:p>
    <w:p w14:paraId="4F8E132D" w14:textId="77777777" w:rsidR="00D217B4" w:rsidRPr="00F73E65" w:rsidRDefault="00D217B4" w:rsidP="00D217B4">
      <w:pPr>
        <w:ind w:left="-12" w:right="36"/>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El objetivo de esta propuesta es la recuperación del stock y el restablecimiento de las posibilidades de pesca lo antes posible para todas las flotas. Para lograrlo, establece una prohibición temporal total de retención y otorga flexibilidad a la Comisión para evaluar la evolución del stock basándose en el asesoramiento del SCRS.</w:t>
      </w:r>
    </w:p>
    <w:p w14:paraId="1882969B" w14:textId="77777777" w:rsidR="00D217B4" w:rsidRPr="00F73E65" w:rsidRDefault="00D217B4" w:rsidP="00D217B4">
      <w:pPr>
        <w:ind w:left="-12" w:right="36"/>
        <w:jc w:val="both"/>
        <w:rPr>
          <w:rFonts w:ascii="Cambria" w:eastAsia="Cambria" w:hAnsi="Cambria" w:cs="Cambria"/>
          <w:color w:val="000000"/>
          <w:sz w:val="20"/>
          <w:szCs w:val="20"/>
          <w:lang w:eastAsia="en-GB"/>
        </w:rPr>
      </w:pPr>
    </w:p>
    <w:p w14:paraId="64D86DA8" w14:textId="77777777" w:rsidR="00D217B4" w:rsidRPr="00F73E65" w:rsidRDefault="00D217B4" w:rsidP="00D217B4">
      <w:pPr>
        <w:ind w:left="-12" w:right="36"/>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Una prohibición total de retención es la forma más eficaz de reducir la mortalidad por pesca en las condiciones actuales de incertidumbre y facilitar el control efectivo de la medida. Garantiza una aplicación uniforme en todas las CPC, evitando posibles lagunas jurídicas, y establece un régimen claro y aplicable para el control y el cumplimiento.</w:t>
      </w:r>
    </w:p>
    <w:p w14:paraId="5DF3AC75" w14:textId="77777777" w:rsidR="00D217B4" w:rsidRPr="00F73E65" w:rsidRDefault="00D217B4" w:rsidP="00D217B4">
      <w:pPr>
        <w:ind w:left="-12" w:right="36"/>
        <w:jc w:val="both"/>
        <w:rPr>
          <w:rFonts w:ascii="Cambria" w:eastAsia="Cambria" w:hAnsi="Cambria" w:cs="Cambria"/>
          <w:color w:val="000000"/>
          <w:sz w:val="20"/>
          <w:szCs w:val="20"/>
          <w:lang w:eastAsia="en-GB"/>
        </w:rPr>
      </w:pPr>
    </w:p>
    <w:p w14:paraId="682BE9F4" w14:textId="77777777" w:rsidR="00D217B4" w:rsidRPr="00F73E65" w:rsidRDefault="00D217B4" w:rsidP="00D217B4">
      <w:pPr>
        <w:ind w:left="-12" w:right="36"/>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La medida también mantiene algunas de las obligaciones existentes en materia de recopilación de datos, requiriendo a las CPC que sigan estimando las fuentes de mortalidad y que cumplan su compromiso de aumentar la cobertura de observadores o de seguimiento electrónico. Estas medidas deberían permitir al SCRS reevaluar el stock y asesorar a la Comisión a la hora de considerar la reapertura de las posibilidades de pesca una vez que se haya demostrado una recuperación suficiente.</w:t>
      </w:r>
    </w:p>
    <w:p w14:paraId="46080222" w14:textId="77777777" w:rsidR="00D217B4" w:rsidRPr="00F73E65" w:rsidRDefault="00D217B4">
      <w:pPr>
        <w:rPr>
          <w:rFonts w:ascii="Cambria" w:hAnsi="Cambria"/>
          <w:b/>
          <w:bCs/>
          <w:iCs/>
          <w:sz w:val="20"/>
        </w:rPr>
      </w:pPr>
      <w:r w:rsidRPr="00F73E65">
        <w:rPr>
          <w:rFonts w:ascii="Cambria" w:hAnsi="Cambria"/>
          <w:b/>
          <w:bCs/>
          <w:iCs/>
          <w:sz w:val="20"/>
        </w:rPr>
        <w:br w:type="page"/>
      </w:r>
    </w:p>
    <w:p w14:paraId="073776AD" w14:textId="20DFD556" w:rsidR="001C216B" w:rsidRPr="00F73E65" w:rsidRDefault="001C216B" w:rsidP="001C216B">
      <w:pPr>
        <w:widowControl w:val="0"/>
        <w:autoSpaceDE w:val="0"/>
        <w:autoSpaceDN w:val="0"/>
        <w:adjustRightInd w:val="0"/>
        <w:jc w:val="right"/>
        <w:rPr>
          <w:rFonts w:ascii="Cambria" w:hAnsi="Cambria"/>
          <w:b/>
          <w:bCs/>
          <w:iCs/>
          <w:sz w:val="20"/>
        </w:rPr>
      </w:pPr>
      <w:r w:rsidRPr="00F73E65">
        <w:rPr>
          <w:rFonts w:ascii="Cambria" w:hAnsi="Cambria"/>
          <w:b/>
          <w:bCs/>
          <w:iCs/>
          <w:sz w:val="20"/>
        </w:rPr>
        <w:lastRenderedPageBreak/>
        <w:t>Original: inglés</w:t>
      </w:r>
    </w:p>
    <w:p w14:paraId="069C0370" w14:textId="77777777" w:rsidR="001C216B" w:rsidRPr="00F73E65" w:rsidRDefault="001C216B" w:rsidP="001C216B">
      <w:pPr>
        <w:widowControl w:val="0"/>
        <w:autoSpaceDE w:val="0"/>
        <w:autoSpaceDN w:val="0"/>
        <w:adjustRightInd w:val="0"/>
        <w:jc w:val="right"/>
        <w:rPr>
          <w:rFonts w:ascii="Cambria" w:hAnsi="Cambria"/>
          <w:b/>
          <w:bCs/>
          <w:iCs/>
          <w:sz w:val="20"/>
        </w:rPr>
      </w:pPr>
    </w:p>
    <w:p w14:paraId="434F7C6C" w14:textId="77777777" w:rsidR="00E55AE9" w:rsidRPr="00F73E65" w:rsidRDefault="00E55AE9" w:rsidP="001C216B">
      <w:pPr>
        <w:widowControl w:val="0"/>
        <w:autoSpaceDE w:val="0"/>
        <w:autoSpaceDN w:val="0"/>
        <w:adjustRightInd w:val="0"/>
        <w:jc w:val="center"/>
        <w:rPr>
          <w:rFonts w:ascii="Cambria" w:eastAsia="Cambria" w:hAnsi="Cambria" w:cs="Cambria"/>
          <w:b/>
          <w:color w:val="000000"/>
          <w:sz w:val="20"/>
          <w:szCs w:val="22"/>
          <w:lang w:eastAsia="en-GB"/>
        </w:rPr>
      </w:pPr>
      <w:r w:rsidRPr="00F73E65">
        <w:rPr>
          <w:rFonts w:ascii="Cambria" w:eastAsia="Cambria" w:hAnsi="Cambria" w:cs="Cambria"/>
          <w:b/>
          <w:color w:val="000000"/>
          <w:sz w:val="20"/>
          <w:szCs w:val="22"/>
          <w:lang w:eastAsia="en-GB"/>
        </w:rPr>
        <w:t xml:space="preserve">Proyecto de Recomendación de ICCAT que enmienda la Recomendación 22-11 </w:t>
      </w:r>
    </w:p>
    <w:p w14:paraId="51F73F3E" w14:textId="77777777" w:rsidR="00E55AE9" w:rsidRPr="00F73E65" w:rsidRDefault="00E55AE9" w:rsidP="001C216B">
      <w:pPr>
        <w:widowControl w:val="0"/>
        <w:autoSpaceDE w:val="0"/>
        <w:autoSpaceDN w:val="0"/>
        <w:adjustRightInd w:val="0"/>
        <w:jc w:val="center"/>
        <w:rPr>
          <w:rFonts w:ascii="Cambria" w:eastAsia="Cambria" w:hAnsi="Cambria" w:cs="Cambria"/>
          <w:b/>
          <w:color w:val="000000"/>
          <w:sz w:val="20"/>
          <w:szCs w:val="22"/>
          <w:lang w:eastAsia="en-GB"/>
        </w:rPr>
      </w:pPr>
      <w:r w:rsidRPr="00F73E65">
        <w:rPr>
          <w:rFonts w:ascii="Cambria" w:eastAsia="Cambria" w:hAnsi="Cambria" w:cs="Cambria"/>
          <w:b/>
          <w:color w:val="000000"/>
          <w:sz w:val="20"/>
          <w:szCs w:val="22"/>
          <w:lang w:eastAsia="en-GB"/>
        </w:rPr>
        <w:t xml:space="preserve">sobre la conservación del stock de marrajo dientuso </w:t>
      </w:r>
      <w:r w:rsidR="001C216B" w:rsidRPr="00F73E65">
        <w:rPr>
          <w:rFonts w:ascii="Cambria" w:eastAsia="Cambria" w:hAnsi="Cambria" w:cs="Cambria"/>
          <w:b/>
          <w:color w:val="000000"/>
          <w:sz w:val="20"/>
          <w:szCs w:val="22"/>
          <w:lang w:eastAsia="en-GB"/>
        </w:rPr>
        <w:t xml:space="preserve">del Atlántico sur </w:t>
      </w:r>
    </w:p>
    <w:p w14:paraId="3FEB25B8" w14:textId="5B6522DC" w:rsidR="00D33117" w:rsidRPr="00F73E65" w:rsidRDefault="001C216B" w:rsidP="001C216B">
      <w:pPr>
        <w:widowControl w:val="0"/>
        <w:autoSpaceDE w:val="0"/>
        <w:autoSpaceDN w:val="0"/>
        <w:adjustRightInd w:val="0"/>
        <w:jc w:val="center"/>
        <w:rPr>
          <w:rFonts w:ascii="Cambria" w:hAnsi="Cambria"/>
          <w:b/>
          <w:bCs/>
          <w:iCs/>
          <w:sz w:val="20"/>
        </w:rPr>
      </w:pPr>
      <w:r w:rsidRPr="00F73E65">
        <w:rPr>
          <w:rFonts w:ascii="Cambria" w:eastAsia="Cambria" w:hAnsi="Cambria" w:cs="Cambria"/>
          <w:b/>
          <w:color w:val="000000"/>
          <w:sz w:val="20"/>
          <w:szCs w:val="22"/>
          <w:lang w:eastAsia="en-GB"/>
        </w:rPr>
        <w:t>capturado en asociación con pesquerías de ICCAT</w:t>
      </w:r>
      <w:r w:rsidR="00E55AE9" w:rsidRPr="00F73E65">
        <w:rPr>
          <w:rFonts w:ascii="Cambria" w:eastAsia="Cambria" w:hAnsi="Cambria" w:cs="Cambria"/>
          <w:b/>
          <w:sz w:val="20"/>
          <w:szCs w:val="22"/>
          <w:lang w:eastAsia="en-GB"/>
        </w:rPr>
        <w:t xml:space="preserve"> </w:t>
      </w:r>
    </w:p>
    <w:p w14:paraId="4DD5F645" w14:textId="77777777" w:rsidR="001C216B" w:rsidRPr="00F73E65" w:rsidRDefault="001C216B" w:rsidP="001C216B">
      <w:pPr>
        <w:widowControl w:val="0"/>
        <w:autoSpaceDE w:val="0"/>
        <w:autoSpaceDN w:val="0"/>
        <w:adjustRightInd w:val="0"/>
        <w:rPr>
          <w:rFonts w:eastAsia="MS Mincho" w:cs="Times New Roman"/>
          <w:b/>
          <w:bCs/>
          <w:i/>
          <w:sz w:val="22"/>
          <w:szCs w:val="22"/>
          <w:lang w:eastAsia="ja-JP"/>
        </w:rPr>
      </w:pPr>
    </w:p>
    <w:p w14:paraId="1E45CEEC" w14:textId="737D1128" w:rsidR="001C216B" w:rsidRPr="00F73E65" w:rsidRDefault="001C216B" w:rsidP="001C216B">
      <w:pPr>
        <w:widowControl w:val="0"/>
        <w:autoSpaceDE w:val="0"/>
        <w:autoSpaceDN w:val="0"/>
        <w:adjustRightInd w:val="0"/>
        <w:jc w:val="center"/>
        <w:rPr>
          <w:rFonts w:eastAsia="MS Mincho" w:cs="Times New Roman"/>
          <w:i/>
          <w:sz w:val="22"/>
          <w:szCs w:val="22"/>
          <w:lang w:eastAsia="ja-JP"/>
        </w:rPr>
      </w:pPr>
      <w:r w:rsidRPr="00F73E65">
        <w:rPr>
          <w:rFonts w:eastAsia="MS Mincho" w:cs="Times New Roman"/>
          <w:i/>
          <w:sz w:val="22"/>
          <w:szCs w:val="22"/>
          <w:lang w:eastAsia="ja-JP"/>
        </w:rPr>
        <w:t>(presentado por la Unión Europea)</w:t>
      </w:r>
    </w:p>
    <w:p w14:paraId="722F97BD" w14:textId="77777777" w:rsidR="001C216B" w:rsidRPr="00F73E65" w:rsidRDefault="001C216B" w:rsidP="001C216B">
      <w:pPr>
        <w:widowControl w:val="0"/>
        <w:autoSpaceDE w:val="0"/>
        <w:autoSpaceDN w:val="0"/>
        <w:adjustRightInd w:val="0"/>
        <w:jc w:val="center"/>
        <w:rPr>
          <w:rFonts w:eastAsia="MS Mincho" w:cs="Times New Roman"/>
          <w:b/>
          <w:bCs/>
          <w:i/>
          <w:sz w:val="22"/>
          <w:szCs w:val="22"/>
          <w:lang w:eastAsia="ja-JP"/>
        </w:rPr>
      </w:pPr>
    </w:p>
    <w:p w14:paraId="01767957" w14:textId="49AF1840" w:rsidR="00D33117" w:rsidRPr="00F73E65" w:rsidRDefault="00D33117" w:rsidP="00D33117">
      <w:pPr>
        <w:ind w:firstLine="567"/>
        <w:jc w:val="both"/>
        <w:rPr>
          <w:rFonts w:ascii="Cambria" w:eastAsia="Cambria" w:hAnsi="Cambria" w:cs="Cambria"/>
          <w:sz w:val="20"/>
          <w:szCs w:val="20"/>
        </w:rPr>
      </w:pPr>
      <w:r w:rsidRPr="00F73E65">
        <w:rPr>
          <w:rFonts w:ascii="Cambria" w:hAnsi="Cambria"/>
          <w:i/>
          <w:iCs/>
          <w:sz w:val="20"/>
        </w:rPr>
        <w:t>RECONOCIENDO</w:t>
      </w:r>
      <w:r w:rsidRPr="00F73E65">
        <w:rPr>
          <w:rFonts w:ascii="Cambria" w:hAnsi="Cambria"/>
          <w:sz w:val="20"/>
        </w:rPr>
        <w:t xml:space="preserve"> que el marrajo dientuso</w:t>
      </w:r>
      <w:r w:rsidR="00D201C2" w:rsidRPr="00F73E65">
        <w:rPr>
          <w:rFonts w:ascii="Cambria" w:hAnsi="Cambria"/>
          <w:sz w:val="20"/>
        </w:rPr>
        <w:t xml:space="preserve"> del Atlántico </w:t>
      </w:r>
      <w:r w:rsidR="00626298" w:rsidRPr="00F73E65">
        <w:rPr>
          <w:rFonts w:ascii="Cambria" w:hAnsi="Cambria"/>
          <w:sz w:val="20"/>
        </w:rPr>
        <w:t xml:space="preserve">sur </w:t>
      </w:r>
      <w:r w:rsidRPr="00F73E65">
        <w:rPr>
          <w:rFonts w:ascii="Cambria" w:hAnsi="Cambria"/>
          <w:sz w:val="20"/>
        </w:rPr>
        <w:t xml:space="preserve">se captura sobre todo en asociación con pesquerías de ICCAT y que la Comisión ha adoptado medidas de ordenación para las especies de tiburones consideradas vulnerables a la sobrepesca en pesquerías </w:t>
      </w:r>
      <w:r w:rsidR="006771DD" w:rsidRPr="00F73E65">
        <w:rPr>
          <w:rFonts w:ascii="Cambria" w:hAnsi="Cambria"/>
          <w:sz w:val="20"/>
        </w:rPr>
        <w:t xml:space="preserve">de </w:t>
      </w:r>
      <w:r w:rsidRPr="00F73E65">
        <w:rPr>
          <w:rFonts w:ascii="Cambria" w:hAnsi="Cambria"/>
          <w:sz w:val="20"/>
        </w:rPr>
        <w:t>ICCAT;</w:t>
      </w:r>
    </w:p>
    <w:p w14:paraId="3919AF3C" w14:textId="4FFC55F5" w:rsidR="00D33117" w:rsidRPr="00F73E65" w:rsidRDefault="00D33117" w:rsidP="00D33117">
      <w:pPr>
        <w:jc w:val="both"/>
        <w:rPr>
          <w:rFonts w:ascii="Cambria" w:eastAsia="Cambria" w:hAnsi="Cambria" w:cs="Cambria"/>
          <w:i/>
          <w:sz w:val="20"/>
          <w:szCs w:val="20"/>
        </w:rPr>
      </w:pPr>
    </w:p>
    <w:p w14:paraId="5E315162" w14:textId="37243166" w:rsidR="00722AEF" w:rsidRPr="00F73E65" w:rsidRDefault="00626298" w:rsidP="00626298">
      <w:pPr>
        <w:ind w:firstLine="567"/>
        <w:jc w:val="both"/>
        <w:rPr>
          <w:rFonts w:ascii="Cambria" w:eastAsia="Cambria" w:hAnsi="Cambria" w:cs="Cambria"/>
          <w:sz w:val="20"/>
          <w:szCs w:val="20"/>
        </w:rPr>
      </w:pPr>
      <w:r w:rsidRPr="00F73E65">
        <w:rPr>
          <w:rFonts w:ascii="Cambria" w:hAnsi="Cambria"/>
          <w:i/>
          <w:iCs/>
          <w:sz w:val="20"/>
        </w:rPr>
        <w:t xml:space="preserve">CONSTATANDO </w:t>
      </w:r>
      <w:r w:rsidRPr="00F73E65">
        <w:rPr>
          <w:rFonts w:ascii="Cambria" w:hAnsi="Cambria"/>
          <w:sz w:val="20"/>
        </w:rPr>
        <w:t xml:space="preserve">que la evaluación del SCRS de 2019 concluyó que, dado que el desarrollo de la pesquería en el </w:t>
      </w:r>
      <w:r w:rsidR="00EB3B82" w:rsidRPr="00F73E65">
        <w:rPr>
          <w:rFonts w:ascii="Cambria" w:hAnsi="Cambria"/>
          <w:sz w:val="20"/>
        </w:rPr>
        <w:t xml:space="preserve">Atlántico </w:t>
      </w:r>
      <w:r w:rsidRPr="00F73E65">
        <w:rPr>
          <w:rFonts w:ascii="Cambria" w:hAnsi="Cambria"/>
          <w:sz w:val="20"/>
        </w:rPr>
        <w:t xml:space="preserve">sur </w:t>
      </w:r>
      <w:r w:rsidR="00A26871" w:rsidRPr="00F73E65">
        <w:rPr>
          <w:rFonts w:ascii="Cambria" w:hAnsi="Cambria"/>
          <w:sz w:val="20"/>
        </w:rPr>
        <w:t>previsiblemente</w:t>
      </w:r>
      <w:r w:rsidRPr="00F73E65">
        <w:rPr>
          <w:rFonts w:ascii="Cambria" w:hAnsi="Cambria"/>
          <w:sz w:val="20"/>
        </w:rPr>
        <w:t xml:space="preserve"> siga el desarrollo de la pesquería en el </w:t>
      </w:r>
      <w:r w:rsidR="0072252E" w:rsidRPr="00F73E65">
        <w:rPr>
          <w:rFonts w:ascii="Cambria" w:hAnsi="Cambria"/>
          <w:sz w:val="20"/>
        </w:rPr>
        <w:t xml:space="preserve">Atlántico </w:t>
      </w:r>
      <w:r w:rsidRPr="00F73E65">
        <w:rPr>
          <w:rFonts w:ascii="Cambria" w:hAnsi="Cambria"/>
          <w:sz w:val="20"/>
        </w:rPr>
        <w:t>norte y dado también que las características biológicas del stock son similares, existe un importante riesgo de que este stock del sur sufra una evolución similar a la del stock del norte. Si el stock desciende</w:t>
      </w:r>
      <w:r w:rsidR="000F38EB" w:rsidRPr="00F73E65">
        <w:rPr>
          <w:rFonts w:ascii="Cambria" w:hAnsi="Cambria"/>
          <w:sz w:val="20"/>
        </w:rPr>
        <w:t>,</w:t>
      </w:r>
      <w:r w:rsidRPr="00F73E65">
        <w:rPr>
          <w:rFonts w:ascii="Cambria" w:hAnsi="Cambria"/>
          <w:sz w:val="20"/>
        </w:rPr>
        <w:t xml:space="preserve"> requerirá, como el stock del norte, un largo tiempo para recuperarse, incluso después de reducciones importantes en la captura;</w:t>
      </w:r>
      <w:r w:rsidR="00722AEF" w:rsidRPr="00F73E65">
        <w:rPr>
          <w:rFonts w:ascii="Cambria" w:hAnsi="Cambria"/>
          <w:sz w:val="20"/>
        </w:rPr>
        <w:t xml:space="preserve"> </w:t>
      </w:r>
    </w:p>
    <w:p w14:paraId="0BB233FC" w14:textId="77777777" w:rsidR="00D33117" w:rsidRPr="00F73E65" w:rsidRDefault="00D33117" w:rsidP="00D33117">
      <w:pPr>
        <w:ind w:firstLine="567"/>
        <w:jc w:val="both"/>
        <w:rPr>
          <w:rFonts w:ascii="Cambria" w:eastAsia="Cambria" w:hAnsi="Cambria" w:cs="Cambria"/>
          <w:sz w:val="20"/>
          <w:szCs w:val="20"/>
        </w:rPr>
      </w:pPr>
    </w:p>
    <w:p w14:paraId="379FAF45" w14:textId="5AF539D6" w:rsidR="00626298" w:rsidRPr="00F73E65" w:rsidRDefault="00626298" w:rsidP="00722AEF">
      <w:pPr>
        <w:widowControl w:val="0"/>
        <w:tabs>
          <w:tab w:val="left" w:pos="426"/>
        </w:tabs>
        <w:autoSpaceDE w:val="0"/>
        <w:autoSpaceDN w:val="0"/>
        <w:adjustRightInd w:val="0"/>
        <w:ind w:firstLine="425"/>
        <w:jc w:val="both"/>
        <w:rPr>
          <w:sz w:val="20"/>
        </w:rPr>
      </w:pPr>
      <w:r w:rsidRPr="00F73E65">
        <w:rPr>
          <w:i/>
          <w:iCs/>
          <w:sz w:val="20"/>
        </w:rPr>
        <w:t xml:space="preserve">RECONOCIENDO </w:t>
      </w:r>
      <w:r w:rsidRPr="00F73E65">
        <w:rPr>
          <w:sz w:val="20"/>
        </w:rPr>
        <w:t xml:space="preserve">que en </w:t>
      </w:r>
      <w:r w:rsidR="00EB3B82" w:rsidRPr="00F73E65">
        <w:rPr>
          <w:sz w:val="20"/>
        </w:rPr>
        <w:t>2025</w:t>
      </w:r>
      <w:r w:rsidRPr="00F73E65">
        <w:rPr>
          <w:sz w:val="20"/>
        </w:rPr>
        <w:t xml:space="preserve"> el SCRS concluyó que la probabilidad combinada de que el stock estuviera sobrepescado era del </w:t>
      </w:r>
      <w:r w:rsidR="00EB3B82" w:rsidRPr="00F73E65">
        <w:rPr>
          <w:sz w:val="20"/>
        </w:rPr>
        <w:t>66,9</w:t>
      </w:r>
      <w:r w:rsidRPr="00F73E65">
        <w:rPr>
          <w:sz w:val="20"/>
        </w:rPr>
        <w:t xml:space="preserve"> % y la de experimentar sobrepesca era del </w:t>
      </w:r>
      <w:r w:rsidR="003309F5" w:rsidRPr="00F73E65">
        <w:rPr>
          <w:sz w:val="20"/>
        </w:rPr>
        <w:t>66,5</w:t>
      </w:r>
      <w:r w:rsidRPr="00F73E65">
        <w:rPr>
          <w:sz w:val="20"/>
        </w:rPr>
        <w:t> %</w:t>
      </w:r>
      <w:r w:rsidR="00E55AE9" w:rsidRPr="00F73E65">
        <w:rPr>
          <w:sz w:val="20"/>
        </w:rPr>
        <w:t>;</w:t>
      </w:r>
    </w:p>
    <w:p w14:paraId="7B24AC9F" w14:textId="77777777" w:rsidR="00626298" w:rsidRPr="00F73E65" w:rsidRDefault="00626298" w:rsidP="00722AEF">
      <w:pPr>
        <w:widowControl w:val="0"/>
        <w:tabs>
          <w:tab w:val="left" w:pos="426"/>
        </w:tabs>
        <w:autoSpaceDE w:val="0"/>
        <w:autoSpaceDN w:val="0"/>
        <w:adjustRightInd w:val="0"/>
        <w:ind w:firstLine="425"/>
        <w:jc w:val="both"/>
        <w:rPr>
          <w:i/>
          <w:iCs/>
          <w:sz w:val="20"/>
        </w:rPr>
      </w:pPr>
    </w:p>
    <w:p w14:paraId="3891A4B4" w14:textId="21BD84B3" w:rsidR="00D33117" w:rsidRPr="00F73E65" w:rsidRDefault="00D33117" w:rsidP="00722AEF">
      <w:pPr>
        <w:widowControl w:val="0"/>
        <w:tabs>
          <w:tab w:val="left" w:pos="426"/>
        </w:tabs>
        <w:autoSpaceDE w:val="0"/>
        <w:autoSpaceDN w:val="0"/>
        <w:adjustRightInd w:val="0"/>
        <w:ind w:firstLine="425"/>
        <w:jc w:val="both"/>
        <w:rPr>
          <w:rFonts w:eastAsia="MS Mincho" w:cs="Times New Roman"/>
          <w:bCs/>
          <w:sz w:val="20"/>
          <w:szCs w:val="20"/>
        </w:rPr>
      </w:pPr>
      <w:r w:rsidRPr="00F73E65">
        <w:rPr>
          <w:i/>
          <w:iCs/>
          <w:sz w:val="20"/>
        </w:rPr>
        <w:t>RECORDANDO</w:t>
      </w:r>
      <w:r w:rsidRPr="00F73E65">
        <w:rPr>
          <w:sz w:val="20"/>
        </w:rPr>
        <w:t xml:space="preserve"> que, de acuerdo con su Convenio, el objetivo establecido de ICCAT es mantener los stocks en niveles que permitan </w:t>
      </w:r>
      <w:r w:rsidR="00A26871" w:rsidRPr="00F73E65">
        <w:rPr>
          <w:sz w:val="20"/>
        </w:rPr>
        <w:t xml:space="preserve">el rendimiento </w:t>
      </w:r>
      <w:r w:rsidRPr="00F73E65">
        <w:rPr>
          <w:sz w:val="20"/>
        </w:rPr>
        <w:t>máxim</w:t>
      </w:r>
      <w:r w:rsidR="00A26871" w:rsidRPr="00F73E65">
        <w:rPr>
          <w:sz w:val="20"/>
        </w:rPr>
        <w:t xml:space="preserve">o </w:t>
      </w:r>
      <w:r w:rsidRPr="00F73E65">
        <w:rPr>
          <w:sz w:val="20"/>
        </w:rPr>
        <w:t>sostenible</w:t>
      </w:r>
      <w:r w:rsidR="00A26871" w:rsidRPr="00F73E65">
        <w:rPr>
          <w:sz w:val="20"/>
        </w:rPr>
        <w:t xml:space="preserve"> (RMS)</w:t>
      </w:r>
      <w:r w:rsidR="00D201C2" w:rsidRPr="00F73E65">
        <w:rPr>
          <w:sz w:val="20"/>
        </w:rPr>
        <w:t>;</w:t>
      </w:r>
    </w:p>
    <w:p w14:paraId="74C71925" w14:textId="77777777" w:rsidR="00722AEF" w:rsidRPr="00F73E65" w:rsidRDefault="00722AEF" w:rsidP="00722AEF">
      <w:pPr>
        <w:widowControl w:val="0"/>
        <w:tabs>
          <w:tab w:val="left" w:pos="426"/>
        </w:tabs>
        <w:autoSpaceDE w:val="0"/>
        <w:autoSpaceDN w:val="0"/>
        <w:adjustRightInd w:val="0"/>
        <w:ind w:firstLine="425"/>
        <w:jc w:val="both"/>
        <w:rPr>
          <w:rFonts w:eastAsia="MS Mincho" w:cs="Times New Roman"/>
          <w:bCs/>
          <w:sz w:val="20"/>
          <w:szCs w:val="20"/>
          <w:lang w:eastAsia="ja-JP"/>
        </w:rPr>
      </w:pPr>
    </w:p>
    <w:p w14:paraId="464A7618" w14:textId="0A8DA26F" w:rsidR="00D33117" w:rsidRPr="00F73E65" w:rsidRDefault="00F75EC7" w:rsidP="00C3569F">
      <w:pPr>
        <w:ind w:firstLine="425"/>
        <w:jc w:val="both"/>
        <w:rPr>
          <w:sz w:val="20"/>
          <w:szCs w:val="20"/>
        </w:rPr>
      </w:pPr>
      <w:r w:rsidRPr="00F73E65">
        <w:rPr>
          <w:i/>
          <w:iCs/>
          <w:sz w:val="20"/>
          <w:szCs w:val="20"/>
        </w:rPr>
        <w:t xml:space="preserve">RECORDANDO </w:t>
      </w:r>
      <w:r w:rsidRPr="00F73E65">
        <w:rPr>
          <w:sz w:val="20"/>
          <w:szCs w:val="20"/>
        </w:rPr>
        <w:t>su compromiso en 2022 de</w:t>
      </w:r>
      <w:r w:rsidR="00C3569F" w:rsidRPr="00F73E65">
        <w:rPr>
          <w:sz w:val="20"/>
          <w:szCs w:val="20"/>
        </w:rPr>
        <w:t xml:space="preserve"> tomar inmediatamente medidas para poner fin a la probable sobrepesca del stock de marrajo dientuso del Atlántico sur, como primer paso en el desarrollo de un marco de ordenación de </w:t>
      </w:r>
      <w:r w:rsidR="00AD68D1" w:rsidRPr="00F73E65">
        <w:rPr>
          <w:sz w:val="20"/>
          <w:szCs w:val="20"/>
        </w:rPr>
        <w:t xml:space="preserve">la </w:t>
      </w:r>
      <w:r w:rsidR="00C3569F" w:rsidRPr="00F73E65">
        <w:rPr>
          <w:sz w:val="20"/>
          <w:szCs w:val="20"/>
        </w:rPr>
        <w:t>pesquería;</w:t>
      </w:r>
    </w:p>
    <w:p w14:paraId="6FCD183A" w14:textId="77777777" w:rsidR="00C3569F" w:rsidRPr="00F73E65" w:rsidRDefault="00C3569F" w:rsidP="00D33117">
      <w:pPr>
        <w:ind w:firstLine="720"/>
        <w:jc w:val="both"/>
        <w:rPr>
          <w:sz w:val="20"/>
          <w:szCs w:val="20"/>
        </w:rPr>
      </w:pPr>
    </w:p>
    <w:p w14:paraId="31A13F07" w14:textId="06F94957" w:rsidR="00D33117" w:rsidRPr="00F73E65" w:rsidRDefault="00D33117" w:rsidP="00D33117">
      <w:pPr>
        <w:ind w:firstLine="567"/>
        <w:jc w:val="both"/>
        <w:rPr>
          <w:rFonts w:ascii="Cambria" w:hAnsi="Cambria"/>
          <w:sz w:val="20"/>
        </w:rPr>
      </w:pPr>
      <w:r w:rsidRPr="00F73E65">
        <w:rPr>
          <w:rFonts w:ascii="Cambria" w:hAnsi="Cambria"/>
          <w:i/>
          <w:sz w:val="20"/>
        </w:rPr>
        <w:t xml:space="preserve">CONSIDERANDO </w:t>
      </w:r>
      <w:r w:rsidRPr="00F73E65">
        <w:rPr>
          <w:rFonts w:ascii="Cambria" w:hAnsi="Cambria"/>
          <w:sz w:val="20"/>
        </w:rPr>
        <w:t xml:space="preserve">que la </w:t>
      </w:r>
      <w:r w:rsidRPr="00F73E65">
        <w:rPr>
          <w:rFonts w:ascii="Cambria" w:hAnsi="Cambria"/>
          <w:i/>
          <w:iCs/>
          <w:sz w:val="20"/>
        </w:rPr>
        <w:t>Recomendación de ICCAT sobre los principios de toma de decisiones para las medidas de conservación y ordenación de ICCAT</w:t>
      </w:r>
      <w:r w:rsidRPr="00F73E65">
        <w:rPr>
          <w:rFonts w:ascii="Cambria" w:hAnsi="Cambria"/>
          <w:sz w:val="20"/>
        </w:rPr>
        <w:t xml:space="preserve"> (Rec. 1</w:t>
      </w:r>
      <w:r w:rsidR="003E4192" w:rsidRPr="00F73E65">
        <w:rPr>
          <w:rFonts w:ascii="Cambria" w:hAnsi="Cambria"/>
          <w:sz w:val="20"/>
        </w:rPr>
        <w:t>1</w:t>
      </w:r>
      <w:r w:rsidRPr="00F73E65">
        <w:rPr>
          <w:rFonts w:ascii="Cambria" w:hAnsi="Cambria"/>
          <w:sz w:val="20"/>
        </w:rPr>
        <w:t>-13) pide a la Comisión que adopte inmediatamente medidas de ordenación concebidas de tal modo que tengan como resultado una probabilidad elevada de poner fin a la sobrepesca en el plazo más corto posible y</w:t>
      </w:r>
      <w:r w:rsidR="00A26871" w:rsidRPr="00F73E65">
        <w:rPr>
          <w:rFonts w:ascii="Cambria" w:hAnsi="Cambria"/>
          <w:sz w:val="20"/>
        </w:rPr>
        <w:t xml:space="preserve"> que</w:t>
      </w:r>
      <w:r w:rsidRPr="00F73E65">
        <w:rPr>
          <w:rFonts w:ascii="Cambria" w:hAnsi="Cambria"/>
          <w:sz w:val="20"/>
        </w:rPr>
        <w:t xml:space="preserve"> adopte un plan para la recuperación del stock, teniendo en cuenta, entre otras cosas, la biología del stock y el asesoramiento del SCRS;</w:t>
      </w:r>
    </w:p>
    <w:p w14:paraId="6EDCCF66" w14:textId="77777777" w:rsidR="003C48A5" w:rsidRPr="00F73E65" w:rsidRDefault="003C48A5" w:rsidP="00722AEF">
      <w:pPr>
        <w:ind w:firstLine="567"/>
        <w:jc w:val="both"/>
        <w:rPr>
          <w:rFonts w:ascii="Cambria" w:hAnsi="Cambria"/>
          <w:sz w:val="20"/>
        </w:rPr>
      </w:pPr>
    </w:p>
    <w:p w14:paraId="57250D89" w14:textId="19914A35" w:rsidR="00C3569F" w:rsidRPr="00F73E65" w:rsidRDefault="00C3569F" w:rsidP="003C48A5">
      <w:pPr>
        <w:ind w:firstLine="567"/>
        <w:jc w:val="both"/>
        <w:rPr>
          <w:rFonts w:ascii="Cambria" w:hAnsi="Cambria"/>
          <w:sz w:val="20"/>
          <w:szCs w:val="20"/>
        </w:rPr>
      </w:pPr>
      <w:r w:rsidRPr="00F73E65">
        <w:rPr>
          <w:rFonts w:ascii="Cambria" w:hAnsi="Cambria"/>
          <w:i/>
          <w:iCs/>
          <w:sz w:val="20"/>
          <w:szCs w:val="20"/>
        </w:rPr>
        <w:t xml:space="preserve">CONSCIENTE </w:t>
      </w:r>
      <w:r w:rsidRPr="00F73E65">
        <w:rPr>
          <w:rFonts w:ascii="Cambria" w:hAnsi="Cambria"/>
          <w:sz w:val="20"/>
          <w:szCs w:val="20"/>
        </w:rPr>
        <w:t>de que deberían considerarse medidas de ordenación precautorias, especialmente para los stocks con mayor vulnerabilidad biológica, que suscitan preocupación en términos de conservación y para los que se dispone de muy pocos datos y/o existe gran incertidumbre en los resultados de la evaluación;</w:t>
      </w:r>
    </w:p>
    <w:p w14:paraId="75D88B86" w14:textId="77777777" w:rsidR="00C3569F" w:rsidRPr="00F73E65" w:rsidRDefault="00C3569F" w:rsidP="003C48A5">
      <w:pPr>
        <w:ind w:firstLine="567"/>
        <w:jc w:val="both"/>
        <w:rPr>
          <w:rFonts w:ascii="Cambria" w:hAnsi="Cambria"/>
          <w:i/>
          <w:iCs/>
          <w:sz w:val="20"/>
          <w:szCs w:val="20"/>
        </w:rPr>
      </w:pPr>
    </w:p>
    <w:p w14:paraId="39C3654E" w14:textId="6657FB41" w:rsidR="005A227F" w:rsidRPr="00F73E65" w:rsidRDefault="005A227F" w:rsidP="003C48A5">
      <w:pPr>
        <w:ind w:firstLine="567"/>
        <w:jc w:val="both"/>
        <w:rPr>
          <w:rFonts w:ascii="Cambria" w:hAnsi="Cambria"/>
          <w:sz w:val="20"/>
          <w:szCs w:val="20"/>
        </w:rPr>
      </w:pPr>
      <w:r w:rsidRPr="00F73E65">
        <w:rPr>
          <w:rFonts w:ascii="Cambria" w:hAnsi="Cambria"/>
          <w:i/>
          <w:iCs/>
          <w:sz w:val="20"/>
          <w:szCs w:val="20"/>
        </w:rPr>
        <w:t>RECORDANDO</w:t>
      </w:r>
      <w:r w:rsidRPr="00F73E65">
        <w:rPr>
          <w:rFonts w:ascii="Cambria" w:hAnsi="Cambria"/>
          <w:sz w:val="20"/>
          <w:szCs w:val="20"/>
        </w:rPr>
        <w:t xml:space="preserve"> las evaluaciones de riesgo ecológico realizadas por el SCRS en 2008 y 2012, que indican que el marrajo dientuso ocupa el tercer lugar en la tabla de vulnerabilidad;</w:t>
      </w:r>
    </w:p>
    <w:p w14:paraId="2E9E7E3C" w14:textId="705DBAEE" w:rsidR="00722AEF" w:rsidRPr="00F73E65" w:rsidRDefault="00722AEF" w:rsidP="00722AEF">
      <w:pPr>
        <w:jc w:val="both"/>
        <w:rPr>
          <w:rFonts w:ascii="Cambria" w:eastAsia="Cambria" w:hAnsi="Cambria" w:cs="Cambria"/>
          <w:i/>
          <w:sz w:val="20"/>
          <w:szCs w:val="20"/>
        </w:rPr>
      </w:pPr>
    </w:p>
    <w:p w14:paraId="56D93A57" w14:textId="51B084A2" w:rsidR="00C3569F" w:rsidRPr="00F73E65" w:rsidRDefault="00C3569F" w:rsidP="00C3569F">
      <w:pPr>
        <w:ind w:firstLine="567"/>
        <w:jc w:val="both"/>
        <w:rPr>
          <w:rFonts w:ascii="Cambria" w:eastAsia="Cambria" w:hAnsi="Cambria" w:cs="Cambria"/>
          <w:iCs/>
          <w:sz w:val="20"/>
          <w:szCs w:val="20"/>
        </w:rPr>
      </w:pPr>
      <w:r w:rsidRPr="00F73E65">
        <w:rPr>
          <w:rFonts w:ascii="Cambria" w:eastAsia="Cambria" w:hAnsi="Cambria" w:cs="Cambria"/>
          <w:i/>
          <w:sz w:val="20"/>
          <w:szCs w:val="20"/>
        </w:rPr>
        <w:t>RECORDANDO ADEMÁS</w:t>
      </w:r>
      <w:r w:rsidRPr="00F73E65">
        <w:rPr>
          <w:rFonts w:ascii="Cambria" w:eastAsia="Cambria" w:hAnsi="Cambria" w:cs="Cambria"/>
          <w:iCs/>
          <w:sz w:val="20"/>
          <w:szCs w:val="20"/>
        </w:rPr>
        <w:t xml:space="preserve"> el enfoque acordado para el marrajo dientuso del Atlántico norte y dada la dificultad de llegar a un acuerdo, sería sensato seguir un enfoque similar;</w:t>
      </w:r>
    </w:p>
    <w:p w14:paraId="08EBFD75" w14:textId="62ADB3BC" w:rsidR="00DC6287" w:rsidRPr="00F73E65" w:rsidRDefault="00DC6287" w:rsidP="00DC6287">
      <w:pPr>
        <w:ind w:firstLine="567"/>
        <w:jc w:val="both"/>
        <w:rPr>
          <w:rFonts w:ascii="Cambria" w:hAnsi="Cambria"/>
          <w:sz w:val="20"/>
          <w:szCs w:val="20"/>
        </w:rPr>
      </w:pPr>
    </w:p>
    <w:p w14:paraId="07312CB8" w14:textId="05FDAAC4" w:rsidR="005A227F" w:rsidRPr="00F73E65" w:rsidRDefault="005A227F" w:rsidP="005A227F">
      <w:pPr>
        <w:ind w:firstLine="567"/>
        <w:jc w:val="both"/>
        <w:rPr>
          <w:rFonts w:ascii="Cambria" w:hAnsi="Cambria"/>
          <w:sz w:val="20"/>
          <w:szCs w:val="20"/>
        </w:rPr>
      </w:pPr>
      <w:r w:rsidRPr="00F73E65">
        <w:rPr>
          <w:rFonts w:ascii="Cambria" w:hAnsi="Cambria"/>
          <w:i/>
          <w:iCs/>
          <w:sz w:val="20"/>
          <w:szCs w:val="20"/>
        </w:rPr>
        <w:t>CONSCIENTE</w:t>
      </w:r>
      <w:r w:rsidRPr="00F73E65">
        <w:rPr>
          <w:rFonts w:ascii="Cambria" w:hAnsi="Cambria"/>
          <w:sz w:val="20"/>
          <w:szCs w:val="20"/>
        </w:rPr>
        <w:t xml:space="preserve"> </w:t>
      </w:r>
      <w:r w:rsidR="00C3569F" w:rsidRPr="00F73E65">
        <w:rPr>
          <w:rFonts w:ascii="Cambria" w:hAnsi="Cambria"/>
          <w:i/>
          <w:iCs/>
          <w:sz w:val="20"/>
          <w:szCs w:val="20"/>
        </w:rPr>
        <w:t>ADEMÁS</w:t>
      </w:r>
      <w:r w:rsidR="00C3569F" w:rsidRPr="00F73E65">
        <w:rPr>
          <w:rFonts w:ascii="Cambria" w:hAnsi="Cambria"/>
          <w:sz w:val="20"/>
          <w:szCs w:val="20"/>
        </w:rPr>
        <w:t xml:space="preserve"> </w:t>
      </w:r>
      <w:r w:rsidRPr="00F73E65">
        <w:rPr>
          <w:rFonts w:ascii="Cambria" w:hAnsi="Cambria"/>
          <w:sz w:val="20"/>
          <w:szCs w:val="20"/>
        </w:rPr>
        <w:t>de que el SCRS ha hecho hincapié en que la comunicación de todas las fuentes de mortalidad es un elemento esencial para disminuir la incertidumbre en los resultados de la evaluación de stock y</w:t>
      </w:r>
      <w:r w:rsidR="003C48A5" w:rsidRPr="00F73E65">
        <w:rPr>
          <w:rFonts w:ascii="Cambria" w:hAnsi="Cambria"/>
          <w:sz w:val="20"/>
          <w:szCs w:val="20"/>
        </w:rPr>
        <w:t>,</w:t>
      </w:r>
      <w:r w:rsidRPr="00F73E65">
        <w:rPr>
          <w:rFonts w:ascii="Cambria" w:hAnsi="Cambria"/>
          <w:sz w:val="20"/>
          <w:szCs w:val="20"/>
        </w:rPr>
        <w:t xml:space="preserve"> en particular</w:t>
      </w:r>
      <w:r w:rsidR="003C48A5" w:rsidRPr="00F73E65">
        <w:rPr>
          <w:rFonts w:ascii="Cambria" w:hAnsi="Cambria"/>
          <w:sz w:val="20"/>
          <w:szCs w:val="20"/>
        </w:rPr>
        <w:t>,</w:t>
      </w:r>
      <w:r w:rsidRPr="00F73E65">
        <w:rPr>
          <w:rFonts w:ascii="Cambria" w:hAnsi="Cambria"/>
          <w:sz w:val="20"/>
          <w:szCs w:val="20"/>
        </w:rPr>
        <w:t xml:space="preserve"> la comunicación de la estimación de los descartes de ejemplares muertos para todas las pesquerías;</w:t>
      </w:r>
    </w:p>
    <w:p w14:paraId="445739DA" w14:textId="77777777" w:rsidR="007657A2" w:rsidRPr="00F73E65" w:rsidRDefault="007657A2" w:rsidP="00DC6287">
      <w:pPr>
        <w:ind w:firstLine="567"/>
        <w:jc w:val="both"/>
        <w:rPr>
          <w:rFonts w:ascii="Cambria" w:eastAsia="Cambria" w:hAnsi="Cambria" w:cs="Cambria"/>
          <w:bCs/>
          <w:sz w:val="20"/>
          <w:szCs w:val="20"/>
        </w:rPr>
      </w:pPr>
    </w:p>
    <w:p w14:paraId="115D92D9" w14:textId="54138FC3" w:rsidR="00722AEF" w:rsidRPr="00F73E65" w:rsidRDefault="00722AEF" w:rsidP="00722AEF">
      <w:pPr>
        <w:ind w:firstLine="567"/>
        <w:jc w:val="both"/>
        <w:rPr>
          <w:rFonts w:ascii="Cambria" w:eastAsia="Cambria" w:hAnsi="Cambria" w:cs="Cambria"/>
          <w:sz w:val="20"/>
          <w:szCs w:val="20"/>
        </w:rPr>
      </w:pPr>
      <w:r w:rsidRPr="00F73E65">
        <w:rPr>
          <w:rFonts w:ascii="Cambria" w:hAnsi="Cambria"/>
          <w:i/>
          <w:iCs/>
          <w:sz w:val="20"/>
        </w:rPr>
        <w:t>RECONOCIENDO TAMBIÉN</w:t>
      </w:r>
      <w:r w:rsidRPr="00F73E65">
        <w:rPr>
          <w:rFonts w:ascii="Cambria" w:hAnsi="Cambria"/>
          <w:sz w:val="20"/>
        </w:rPr>
        <w:t xml:space="preserve"> el asesoramiento del SCRS sobre la necesidad de que las Partes contratantes y Partes, entidades o entidades pesqueras no contratantes colaboradoras (en lo sucesivo denominadas CPC) refuercen sus esfuerzos en cuanto a seguimiento y recopilación de datos para respaldar futuras evaluaciones de stock, lo que incluye, sin limitarse a ello, la estimación</w:t>
      </w:r>
      <w:r w:rsidR="00E13B2D" w:rsidRPr="00F73E65">
        <w:rPr>
          <w:rFonts w:ascii="Cambria" w:hAnsi="Cambria"/>
          <w:sz w:val="20"/>
        </w:rPr>
        <w:t xml:space="preserve"> total</w:t>
      </w:r>
      <w:r w:rsidRPr="00F73E65">
        <w:rPr>
          <w:rFonts w:ascii="Cambria" w:hAnsi="Cambria"/>
          <w:sz w:val="20"/>
        </w:rPr>
        <w:t xml:space="preserve"> de los descartes</w:t>
      </w:r>
      <w:r w:rsidR="003C458B" w:rsidRPr="00F73E65">
        <w:rPr>
          <w:rFonts w:ascii="Cambria" w:hAnsi="Cambria"/>
          <w:sz w:val="20"/>
        </w:rPr>
        <w:t xml:space="preserve"> de ejemplares</w:t>
      </w:r>
      <w:r w:rsidRPr="00F73E65">
        <w:rPr>
          <w:rFonts w:ascii="Cambria" w:hAnsi="Cambria"/>
          <w:sz w:val="20"/>
        </w:rPr>
        <w:t xml:space="preserve"> muertos </w:t>
      </w:r>
      <w:r w:rsidR="00E13B2D" w:rsidRPr="00F73E65">
        <w:rPr>
          <w:rFonts w:ascii="Cambria" w:hAnsi="Cambria"/>
          <w:sz w:val="20"/>
          <w:szCs w:val="20"/>
        </w:rPr>
        <w:t>y de las liberaciones de ejemplares vivos</w:t>
      </w:r>
      <w:r w:rsidRPr="00F73E65">
        <w:rPr>
          <w:rFonts w:ascii="Cambria" w:hAnsi="Cambria"/>
          <w:sz w:val="20"/>
        </w:rPr>
        <w:t xml:space="preserve"> y la estimación de la </w:t>
      </w:r>
      <w:r w:rsidR="00E55AE9" w:rsidRPr="00F73E65">
        <w:rPr>
          <w:rFonts w:ascii="Cambria" w:hAnsi="Cambria"/>
          <w:sz w:val="20"/>
        </w:rPr>
        <w:t>captura por unidad de esfuerzo (</w:t>
      </w:r>
      <w:r w:rsidRPr="00F73E65">
        <w:rPr>
          <w:rFonts w:ascii="Cambria" w:hAnsi="Cambria"/>
          <w:sz w:val="20"/>
        </w:rPr>
        <w:t>CPUE</w:t>
      </w:r>
      <w:r w:rsidR="00E55AE9" w:rsidRPr="00F73E65">
        <w:rPr>
          <w:rFonts w:ascii="Cambria" w:hAnsi="Cambria"/>
          <w:sz w:val="20"/>
        </w:rPr>
        <w:t>)</w:t>
      </w:r>
      <w:r w:rsidRPr="00F73E65">
        <w:rPr>
          <w:rFonts w:ascii="Cambria" w:hAnsi="Cambria"/>
          <w:sz w:val="20"/>
        </w:rPr>
        <w:t xml:space="preserve"> a partir de los datos de observadores; </w:t>
      </w:r>
    </w:p>
    <w:p w14:paraId="7108B376" w14:textId="04FD48A3" w:rsidR="00680EEB" w:rsidRPr="00F73E65" w:rsidRDefault="00680EEB" w:rsidP="00680EEB">
      <w:pPr>
        <w:ind w:firstLine="567"/>
        <w:jc w:val="both"/>
        <w:rPr>
          <w:rFonts w:ascii="Cambria" w:hAnsi="Cambria"/>
          <w:i/>
          <w:iCs/>
          <w:sz w:val="20"/>
          <w:szCs w:val="20"/>
        </w:rPr>
      </w:pPr>
    </w:p>
    <w:p w14:paraId="0B9570A4" w14:textId="20940CB4" w:rsidR="00722AEF" w:rsidRPr="00F73E65" w:rsidRDefault="00722AEF" w:rsidP="00722AEF">
      <w:pPr>
        <w:ind w:firstLine="567"/>
        <w:jc w:val="both"/>
        <w:rPr>
          <w:rFonts w:ascii="Cambria" w:hAnsi="Cambria"/>
          <w:sz w:val="20"/>
        </w:rPr>
      </w:pPr>
      <w:r w:rsidRPr="00F73E65">
        <w:rPr>
          <w:rFonts w:ascii="Cambria" w:hAnsi="Cambria"/>
          <w:i/>
          <w:iCs/>
          <w:sz w:val="20"/>
        </w:rPr>
        <w:lastRenderedPageBreak/>
        <w:t>RESPONDIENDO ADEMÁS</w:t>
      </w:r>
      <w:r w:rsidRPr="00F73E65">
        <w:rPr>
          <w:rFonts w:ascii="Cambria" w:hAnsi="Cambria"/>
          <w:sz w:val="20"/>
        </w:rPr>
        <w:t xml:space="preserve"> a la necesidad de investigación adicional sobre métodos para reducir las interacciones del marrajo dientuso con las pesquerías de ICCAT, lo que incluye la identificación de zonas con un elevado nivel de interacciones;</w:t>
      </w:r>
    </w:p>
    <w:p w14:paraId="6AB81800" w14:textId="77777777" w:rsidR="009B409A" w:rsidRPr="00F73E65" w:rsidRDefault="009B409A" w:rsidP="00722AEF">
      <w:pPr>
        <w:ind w:firstLine="567"/>
        <w:jc w:val="both"/>
        <w:rPr>
          <w:rFonts w:ascii="Cambria" w:eastAsia="Cambria" w:hAnsi="Cambria" w:cs="Cambria"/>
          <w:i/>
          <w:sz w:val="20"/>
          <w:szCs w:val="20"/>
        </w:rPr>
      </w:pPr>
    </w:p>
    <w:p w14:paraId="1AFC85D7" w14:textId="77777777" w:rsidR="00400A63" w:rsidRPr="00F73E65" w:rsidRDefault="001106FB" w:rsidP="00400A63">
      <w:pPr>
        <w:widowControl w:val="0"/>
        <w:autoSpaceDE w:val="0"/>
        <w:autoSpaceDN w:val="0"/>
        <w:adjustRightInd w:val="0"/>
        <w:jc w:val="center"/>
        <w:rPr>
          <w:rFonts w:eastAsia="MS Mincho" w:cs="Times New Roman"/>
          <w:sz w:val="20"/>
          <w:szCs w:val="20"/>
        </w:rPr>
      </w:pPr>
      <w:r w:rsidRPr="00F73E65">
        <w:rPr>
          <w:sz w:val="20"/>
        </w:rPr>
        <w:t>LA COMISIÓN INTERNACIONAL PARA LA CONSERVACIÓN</w:t>
      </w:r>
      <w:r w:rsidR="00622168" w:rsidRPr="00F73E65">
        <w:rPr>
          <w:rFonts w:eastAsia="MS Mincho" w:cs="Times New Roman"/>
          <w:sz w:val="20"/>
          <w:szCs w:val="20"/>
        </w:rPr>
        <w:t xml:space="preserve"> </w:t>
      </w:r>
    </w:p>
    <w:p w14:paraId="1DDF5B31" w14:textId="4BD08EA1" w:rsidR="001106FB" w:rsidRPr="00F73E65" w:rsidRDefault="001106FB" w:rsidP="00400A63">
      <w:pPr>
        <w:widowControl w:val="0"/>
        <w:autoSpaceDE w:val="0"/>
        <w:autoSpaceDN w:val="0"/>
        <w:adjustRightInd w:val="0"/>
        <w:jc w:val="center"/>
        <w:rPr>
          <w:sz w:val="20"/>
        </w:rPr>
      </w:pPr>
      <w:r w:rsidRPr="00F73E65">
        <w:rPr>
          <w:sz w:val="20"/>
        </w:rPr>
        <w:t>DEL</w:t>
      </w:r>
      <w:r w:rsidR="00400A63" w:rsidRPr="00F73E65">
        <w:rPr>
          <w:sz w:val="20"/>
        </w:rPr>
        <w:t xml:space="preserve"> </w:t>
      </w:r>
      <w:r w:rsidRPr="00F73E65">
        <w:rPr>
          <w:sz w:val="20"/>
        </w:rPr>
        <w:t xml:space="preserve">ATÚN </w:t>
      </w:r>
      <w:r w:rsidR="00403304" w:rsidRPr="00F73E65">
        <w:rPr>
          <w:sz w:val="20"/>
        </w:rPr>
        <w:t>ATLÁNTICO</w:t>
      </w:r>
      <w:r w:rsidRPr="00F73E65">
        <w:rPr>
          <w:sz w:val="20"/>
        </w:rPr>
        <w:t xml:space="preserve"> (ICCAT) RECOMIENDA LO SIGUIENTE:</w:t>
      </w:r>
    </w:p>
    <w:p w14:paraId="1CBA28F7" w14:textId="77777777" w:rsidR="001106FB" w:rsidRPr="00F73E65" w:rsidRDefault="001106FB" w:rsidP="001106FB">
      <w:pPr>
        <w:widowControl w:val="0"/>
        <w:autoSpaceDE w:val="0"/>
        <w:autoSpaceDN w:val="0"/>
        <w:adjustRightInd w:val="0"/>
        <w:rPr>
          <w:rFonts w:eastAsia="MS Mincho" w:cs="Times New Roman"/>
          <w:sz w:val="20"/>
          <w:szCs w:val="20"/>
          <w:lang w:eastAsia="ja-JP"/>
        </w:rPr>
      </w:pPr>
    </w:p>
    <w:p w14:paraId="3DB574FB" w14:textId="77777777" w:rsidR="00523C7A" w:rsidRPr="00F73E65" w:rsidRDefault="00523C7A" w:rsidP="00523C7A">
      <w:pPr>
        <w:keepNext/>
        <w:keepLines/>
        <w:spacing w:after="2" w:line="256" w:lineRule="auto"/>
        <w:ind w:left="-2"/>
        <w:outlineLvl w:val="0"/>
        <w:rPr>
          <w:rFonts w:ascii="Cambria" w:eastAsia="Cambria" w:hAnsi="Cambria" w:cs="Cambria"/>
          <w:b/>
          <w:color w:val="000000"/>
          <w:sz w:val="20"/>
          <w:szCs w:val="22"/>
          <w:lang w:eastAsia="en-GB"/>
        </w:rPr>
      </w:pPr>
      <w:r w:rsidRPr="00F73E65">
        <w:rPr>
          <w:rFonts w:ascii="Cambria" w:eastAsia="Cambria" w:hAnsi="Cambria" w:cs="Cambria"/>
          <w:b/>
          <w:color w:val="000000"/>
          <w:sz w:val="20"/>
          <w:szCs w:val="22"/>
          <w:lang w:eastAsia="en-GB"/>
        </w:rPr>
        <w:t xml:space="preserve">Objetivos del plan de ordenación  </w:t>
      </w:r>
    </w:p>
    <w:p w14:paraId="353BAC31" w14:textId="77777777" w:rsidR="00000D49" w:rsidRPr="00F73E65" w:rsidRDefault="00000D49" w:rsidP="001106FB">
      <w:pPr>
        <w:widowControl w:val="0"/>
        <w:autoSpaceDE w:val="0"/>
        <w:autoSpaceDN w:val="0"/>
        <w:adjustRightInd w:val="0"/>
        <w:rPr>
          <w:rFonts w:eastAsia="MS Mincho" w:cs="Times New Roman"/>
          <w:sz w:val="20"/>
          <w:szCs w:val="20"/>
          <w:lang w:eastAsia="ja-JP"/>
        </w:rPr>
      </w:pPr>
    </w:p>
    <w:p w14:paraId="49BFF6F4" w14:textId="0E34ECE9" w:rsidR="00523C7A" w:rsidRPr="00F73E65" w:rsidRDefault="009F2E6D" w:rsidP="00523C7A">
      <w:pPr>
        <w:tabs>
          <w:tab w:val="left" w:pos="426"/>
        </w:tabs>
        <w:ind w:left="426" w:hanging="426"/>
        <w:jc w:val="both"/>
        <w:rPr>
          <w:rFonts w:ascii="Cambria" w:eastAsia="Cambria" w:hAnsi="Cambria" w:cs="Cambria"/>
          <w:color w:val="000000"/>
          <w:sz w:val="20"/>
          <w:szCs w:val="22"/>
          <w:lang w:eastAsia="en-GB"/>
        </w:rPr>
      </w:pPr>
      <w:r w:rsidRPr="00F73E65">
        <w:rPr>
          <w:sz w:val="20"/>
        </w:rPr>
        <w:t>1.</w:t>
      </w:r>
      <w:r w:rsidRPr="00F73E65">
        <w:rPr>
          <w:sz w:val="20"/>
        </w:rPr>
        <w:tab/>
      </w:r>
      <w:r w:rsidR="00AF6568" w:rsidRPr="00F73E65">
        <w:rPr>
          <w:sz w:val="20"/>
        </w:rPr>
        <w:t xml:space="preserve">Las Partes </w:t>
      </w:r>
      <w:r w:rsidR="00AF6568" w:rsidRPr="00F73E65">
        <w:rPr>
          <w:rFonts w:ascii="Cambria" w:hAnsi="Cambria"/>
          <w:sz w:val="20"/>
          <w:szCs w:val="20"/>
        </w:rPr>
        <w:t>contratantes</w:t>
      </w:r>
      <w:r w:rsidR="00AF6568" w:rsidRPr="00F73E65">
        <w:rPr>
          <w:sz w:val="20"/>
        </w:rPr>
        <w:t xml:space="preserve"> y Partes, </w:t>
      </w:r>
      <w:r w:rsidR="0012486A" w:rsidRPr="00F73E65">
        <w:rPr>
          <w:sz w:val="20"/>
        </w:rPr>
        <w:t>e</w:t>
      </w:r>
      <w:r w:rsidR="00AF6568" w:rsidRPr="00F73E65">
        <w:rPr>
          <w:sz w:val="20"/>
        </w:rPr>
        <w:t xml:space="preserve">ntidades o </w:t>
      </w:r>
      <w:r w:rsidR="0012486A" w:rsidRPr="00F73E65">
        <w:rPr>
          <w:sz w:val="20"/>
        </w:rPr>
        <w:t>e</w:t>
      </w:r>
      <w:r w:rsidR="00AF6568" w:rsidRPr="00F73E65">
        <w:rPr>
          <w:sz w:val="20"/>
        </w:rPr>
        <w:t>ntidades pesqueras no contratantes colaboradoras (en lo sucesivo denominadas CPC)</w:t>
      </w:r>
      <w:r w:rsidR="00F74D98" w:rsidRPr="00F73E65">
        <w:rPr>
          <w:sz w:val="20"/>
        </w:rPr>
        <w:t xml:space="preserve"> </w:t>
      </w:r>
      <w:r w:rsidR="00AF6568" w:rsidRPr="00F73E65">
        <w:rPr>
          <w:sz w:val="20"/>
        </w:rPr>
        <w:t xml:space="preserve">implementarán un </w:t>
      </w:r>
      <w:r w:rsidR="00C3569F" w:rsidRPr="00F73E65">
        <w:rPr>
          <w:sz w:val="20"/>
        </w:rPr>
        <w:t>plan de ordenación de la pesquería</w:t>
      </w:r>
      <w:r w:rsidR="000B0CD7" w:rsidRPr="00F73E65">
        <w:rPr>
          <w:sz w:val="20"/>
        </w:rPr>
        <w:t xml:space="preserve"> para el marrajo dientuso del Atlántico </w:t>
      </w:r>
      <w:r w:rsidR="00BB4643" w:rsidRPr="00F73E65">
        <w:rPr>
          <w:sz w:val="20"/>
        </w:rPr>
        <w:t>sur</w:t>
      </w:r>
      <w:r w:rsidR="00AF6568" w:rsidRPr="00F73E65">
        <w:rPr>
          <w:sz w:val="20"/>
        </w:rPr>
        <w:t xml:space="preserve"> </w:t>
      </w:r>
      <w:r w:rsidR="000B0CD7" w:rsidRPr="00F73E65">
        <w:rPr>
          <w:sz w:val="20"/>
        </w:rPr>
        <w:t xml:space="preserve">con el objetivo de </w:t>
      </w:r>
      <w:r w:rsidR="00BB4643" w:rsidRPr="00F73E65">
        <w:rPr>
          <w:sz w:val="20"/>
        </w:rPr>
        <w:t xml:space="preserve">contrarrestar </w:t>
      </w:r>
      <w:r w:rsidR="000B0CD7" w:rsidRPr="00F73E65">
        <w:rPr>
          <w:sz w:val="20"/>
        </w:rPr>
        <w:t>la sobrepesca</w:t>
      </w:r>
      <w:r w:rsidR="00AF6568" w:rsidRPr="00F73E65">
        <w:rPr>
          <w:sz w:val="20"/>
        </w:rPr>
        <w:t xml:space="preserve"> inmediatamente y </w:t>
      </w:r>
      <w:r w:rsidR="000B0CD7" w:rsidRPr="00F73E65">
        <w:rPr>
          <w:sz w:val="20"/>
        </w:rPr>
        <w:t xml:space="preserve">lograr </w:t>
      </w:r>
      <w:r w:rsidR="00AF6568" w:rsidRPr="00F73E65">
        <w:rPr>
          <w:sz w:val="20"/>
        </w:rPr>
        <w:t>gradualmente niveles</w:t>
      </w:r>
      <w:r w:rsidR="000B0CD7" w:rsidRPr="00F73E65">
        <w:rPr>
          <w:sz w:val="20"/>
        </w:rPr>
        <w:t xml:space="preserve"> de biomasa</w:t>
      </w:r>
      <w:r w:rsidR="00AF6568" w:rsidRPr="00F73E65">
        <w:rPr>
          <w:sz w:val="20"/>
        </w:rPr>
        <w:t xml:space="preserve"> </w:t>
      </w:r>
      <w:r w:rsidR="00403304" w:rsidRPr="00F73E65">
        <w:rPr>
          <w:sz w:val="20"/>
        </w:rPr>
        <w:t>suficientes</w:t>
      </w:r>
      <w:r w:rsidR="00AF6568" w:rsidRPr="00F73E65">
        <w:rPr>
          <w:sz w:val="20"/>
        </w:rPr>
        <w:t xml:space="preserve"> que permitan el RMS</w:t>
      </w:r>
      <w:r w:rsidR="00BB4643" w:rsidRPr="00F73E65">
        <w:rPr>
          <w:sz w:val="20"/>
        </w:rPr>
        <w:t>.</w:t>
      </w:r>
    </w:p>
    <w:p w14:paraId="1C5B37FD" w14:textId="6471CAF3" w:rsidR="006F68E1" w:rsidRPr="00F73E65" w:rsidRDefault="006F68E1" w:rsidP="00DC6287">
      <w:pPr>
        <w:tabs>
          <w:tab w:val="left" w:pos="426"/>
        </w:tabs>
        <w:ind w:left="426" w:hanging="426"/>
        <w:jc w:val="both"/>
        <w:rPr>
          <w:sz w:val="20"/>
          <w:szCs w:val="20"/>
        </w:rPr>
      </w:pPr>
    </w:p>
    <w:p w14:paraId="7A4C513A" w14:textId="4EA756B5" w:rsidR="00025D07" w:rsidRPr="00F73E65" w:rsidRDefault="00025D07" w:rsidP="00025D07">
      <w:pPr>
        <w:tabs>
          <w:tab w:val="left" w:pos="426"/>
        </w:tabs>
        <w:ind w:left="426" w:hanging="426"/>
        <w:jc w:val="both"/>
        <w:rPr>
          <w:sz w:val="20"/>
          <w:szCs w:val="20"/>
          <w:u w:val="single"/>
        </w:rPr>
      </w:pPr>
      <w:r w:rsidRPr="00F73E65">
        <w:rPr>
          <w:rFonts w:ascii="Cambria" w:eastAsia="Cambria" w:hAnsi="Cambria" w:cs="Cambria"/>
          <w:color w:val="000000"/>
          <w:sz w:val="20"/>
          <w:szCs w:val="22"/>
          <w:lang w:eastAsia="en-GB"/>
        </w:rPr>
        <w:t>2.</w:t>
      </w:r>
      <w:r w:rsidRPr="00F73E65">
        <w:rPr>
          <w:rFonts w:ascii="Cambria" w:eastAsia="Cambria" w:hAnsi="Cambria" w:cs="Cambria"/>
          <w:color w:val="000000"/>
          <w:sz w:val="20"/>
          <w:szCs w:val="22"/>
          <w:lang w:eastAsia="en-GB"/>
        </w:rPr>
        <w:tab/>
        <w:t xml:space="preserve">Con el fin de restablecer las posibilidades de pesca lo antes posible, el objetivo de la presente Recomendación será garantizar que el stock se sitúe en la zona verde de la matriz </w:t>
      </w:r>
      <w:r w:rsidR="00FC1D90" w:rsidRPr="00F73E65">
        <w:rPr>
          <w:rFonts w:ascii="Cambria" w:eastAsia="Cambria" w:hAnsi="Cambria" w:cs="Cambria"/>
          <w:color w:val="000000"/>
          <w:sz w:val="20"/>
          <w:szCs w:val="22"/>
          <w:lang w:eastAsia="en-GB"/>
        </w:rPr>
        <w:t xml:space="preserve">de </w:t>
      </w:r>
      <w:r w:rsidR="00FC1D90" w:rsidRPr="00F73E65">
        <w:rPr>
          <w:rFonts w:ascii="Cambria" w:eastAsia="Cambria" w:hAnsi="Cambria" w:cs="Cambria"/>
          <w:color w:val="000000"/>
          <w:sz w:val="20"/>
          <w:szCs w:val="20"/>
          <w:lang w:eastAsia="en-GB"/>
        </w:rPr>
        <w:t>estrategia</w:t>
      </w:r>
      <w:r w:rsidRPr="00F73E65">
        <w:rPr>
          <w:rFonts w:ascii="Cambria" w:eastAsia="Cambria" w:hAnsi="Cambria" w:cs="Cambria"/>
          <w:color w:val="000000"/>
          <w:sz w:val="20"/>
          <w:szCs w:val="20"/>
          <w:lang w:eastAsia="en-GB"/>
        </w:rPr>
        <w:t xml:space="preserve"> de Kobe II con una probabilidad de al menos el 70 % lo antes posible y, a más tardar, en 2050.</w:t>
      </w:r>
      <w:r w:rsidR="00EC7D8F" w:rsidRPr="00F73E65">
        <w:rPr>
          <w:rFonts w:ascii="Cambria" w:eastAsia="Cambria" w:hAnsi="Cambria" w:cs="Cambria"/>
          <w:color w:val="000000"/>
          <w:sz w:val="20"/>
          <w:szCs w:val="20"/>
          <w:lang w:eastAsia="en-GB"/>
        </w:rPr>
        <w:t xml:space="preserve"> </w:t>
      </w:r>
      <w:r w:rsidR="00EC7D8F" w:rsidRPr="00F73E65">
        <w:rPr>
          <w:sz w:val="20"/>
          <w:szCs w:val="20"/>
          <w:u w:val="single"/>
        </w:rPr>
        <w:t xml:space="preserve">La Comisión reconoce que el 70 % es superior </w:t>
      </w:r>
      <w:r w:rsidR="003663E0" w:rsidRPr="00F73E65">
        <w:rPr>
          <w:sz w:val="20"/>
          <w:szCs w:val="20"/>
          <w:u w:val="single"/>
        </w:rPr>
        <w:t>a</w:t>
      </w:r>
      <w:r w:rsidR="00EC7D8F" w:rsidRPr="00F73E65">
        <w:rPr>
          <w:sz w:val="20"/>
          <w:szCs w:val="20"/>
          <w:u w:val="single"/>
        </w:rPr>
        <w:t xml:space="preserve"> los porcentajes que se emplean habitualmente para otros stocks de ICCAT. Estos porcentajes no sientan un precedente para futuros debates de la Comisión.</w:t>
      </w:r>
    </w:p>
    <w:p w14:paraId="5EA1E6D4" w14:textId="77777777" w:rsidR="003663E0" w:rsidRPr="00F73E65" w:rsidRDefault="003663E0" w:rsidP="00025D07">
      <w:pPr>
        <w:tabs>
          <w:tab w:val="left" w:pos="426"/>
        </w:tabs>
        <w:ind w:left="426" w:hanging="426"/>
        <w:jc w:val="both"/>
        <w:rPr>
          <w:sz w:val="20"/>
          <w:szCs w:val="20"/>
          <w:u w:val="single"/>
        </w:rPr>
      </w:pPr>
    </w:p>
    <w:p w14:paraId="088EB60D" w14:textId="309ED3E5" w:rsidR="003663E0" w:rsidRPr="00F73E65" w:rsidRDefault="00AB3222" w:rsidP="00025D07">
      <w:pPr>
        <w:tabs>
          <w:tab w:val="left" w:pos="426"/>
        </w:tabs>
        <w:ind w:left="426" w:hanging="426"/>
        <w:jc w:val="both"/>
        <w:rPr>
          <w:sz w:val="20"/>
          <w:szCs w:val="20"/>
          <w:u w:val="single"/>
        </w:rPr>
      </w:pPr>
      <w:r w:rsidRPr="00F73E65">
        <w:rPr>
          <w:sz w:val="20"/>
          <w:szCs w:val="20"/>
          <w:u w:val="single"/>
        </w:rPr>
        <w:t>3.</w:t>
      </w:r>
      <w:r w:rsidRPr="00F73E65">
        <w:rPr>
          <w:sz w:val="20"/>
          <w:szCs w:val="20"/>
          <w:u w:val="single"/>
        </w:rPr>
        <w:tab/>
        <w:t>Para alcanzar este objetivo, la presente Recomendación establece un objetivo de mortalidad máxima de 1.000 t.</w:t>
      </w:r>
    </w:p>
    <w:p w14:paraId="285D437C" w14:textId="77777777" w:rsidR="009B2513" w:rsidRPr="00F73E65" w:rsidRDefault="009B2513" w:rsidP="00025D07">
      <w:pPr>
        <w:tabs>
          <w:tab w:val="left" w:pos="426"/>
        </w:tabs>
        <w:ind w:left="426" w:hanging="426"/>
        <w:jc w:val="both"/>
        <w:rPr>
          <w:sz w:val="20"/>
          <w:szCs w:val="20"/>
          <w:u w:val="single"/>
        </w:rPr>
      </w:pPr>
    </w:p>
    <w:p w14:paraId="03518437" w14:textId="77777777" w:rsidR="00A51EAB" w:rsidRPr="00F73E65" w:rsidRDefault="00A51EAB" w:rsidP="00A51EAB">
      <w:pPr>
        <w:ind w:left="2"/>
        <w:rPr>
          <w:rFonts w:ascii="Cambria" w:eastAsia="Cambria" w:hAnsi="Cambria" w:cs="Cambria"/>
          <w:b/>
          <w:bCs/>
          <w:color w:val="000000"/>
          <w:sz w:val="20"/>
          <w:szCs w:val="20"/>
          <w:u w:val="single"/>
          <w:lang w:eastAsia="en-GB"/>
        </w:rPr>
      </w:pPr>
      <w:r w:rsidRPr="00F73E65">
        <w:rPr>
          <w:rFonts w:ascii="Cambria" w:eastAsia="Cambria" w:hAnsi="Cambria" w:cs="Cambria"/>
          <w:b/>
          <w:bCs/>
          <w:color w:val="000000"/>
          <w:sz w:val="20"/>
          <w:szCs w:val="20"/>
          <w:u w:val="single"/>
          <w:lang w:eastAsia="en-GB"/>
        </w:rPr>
        <w:t xml:space="preserve">Proceso para determinar la retención permitida </w:t>
      </w:r>
    </w:p>
    <w:p w14:paraId="41A633FE" w14:textId="77777777" w:rsidR="00A51EAB" w:rsidRPr="00F73E65" w:rsidRDefault="00A51EAB" w:rsidP="00A51EAB">
      <w:pPr>
        <w:ind w:left="2"/>
        <w:rPr>
          <w:rFonts w:ascii="Cambria" w:eastAsia="Cambria" w:hAnsi="Cambria" w:cs="Cambria"/>
          <w:b/>
          <w:bCs/>
          <w:color w:val="000000"/>
          <w:sz w:val="20"/>
          <w:szCs w:val="20"/>
          <w:u w:val="single"/>
          <w:lang w:eastAsia="en-GB"/>
        </w:rPr>
      </w:pPr>
    </w:p>
    <w:p w14:paraId="6949F62A" w14:textId="498769B7" w:rsidR="00A51EAB" w:rsidRPr="00F73E65" w:rsidRDefault="00A51EAB" w:rsidP="00E1251A">
      <w:pPr>
        <w:pStyle w:val="ListParagraph"/>
        <w:numPr>
          <w:ilvl w:val="0"/>
          <w:numId w:val="7"/>
        </w:numPr>
        <w:spacing w:after="5" w:line="249" w:lineRule="auto"/>
        <w:ind w:left="426" w:right="36"/>
        <w:jc w:val="both"/>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lang w:eastAsia="en-GB"/>
        </w:rPr>
        <w:t xml:space="preserve">Teniendo en cuenta el estado del stock y la incertidumbre sobre los datos utilizados por el SCRS para proporcionar asesoramiento, las CPC </w:t>
      </w:r>
      <w:r w:rsidR="003400D5" w:rsidRPr="00F73E65">
        <w:rPr>
          <w:rFonts w:ascii="Cambria" w:eastAsia="Cambria" w:hAnsi="Cambria" w:cs="Cambria"/>
          <w:color w:val="000000"/>
          <w:sz w:val="20"/>
          <w:szCs w:val="20"/>
          <w:lang w:eastAsia="en-GB"/>
        </w:rPr>
        <w:t>implementarán</w:t>
      </w:r>
      <w:r w:rsidRPr="00F73E65">
        <w:rPr>
          <w:rFonts w:ascii="Cambria" w:eastAsia="Cambria" w:hAnsi="Cambria" w:cs="Cambria"/>
          <w:color w:val="000000"/>
          <w:sz w:val="20"/>
          <w:szCs w:val="20"/>
          <w:u w:val="single"/>
          <w:lang w:eastAsia="en-GB"/>
        </w:rPr>
        <w:t xml:space="preserve"> una tolerancia de retención máxima. </w:t>
      </w:r>
    </w:p>
    <w:p w14:paraId="55758E56" w14:textId="77777777" w:rsidR="00A51EAB" w:rsidRPr="00F73E65" w:rsidRDefault="00A51EAB" w:rsidP="00A51EAB">
      <w:pPr>
        <w:ind w:left="427" w:right="36"/>
        <w:jc w:val="both"/>
        <w:rPr>
          <w:rFonts w:ascii="Cambria" w:eastAsia="Cambria" w:hAnsi="Cambria" w:cs="Cambria"/>
          <w:color w:val="000000"/>
          <w:sz w:val="20"/>
          <w:szCs w:val="20"/>
          <w:u w:val="single"/>
          <w:lang w:eastAsia="en-GB"/>
        </w:rPr>
      </w:pPr>
    </w:p>
    <w:p w14:paraId="19E26B5C" w14:textId="6B27EEBF" w:rsidR="00A51EAB" w:rsidRPr="00F73E65" w:rsidRDefault="00A51EAB" w:rsidP="00E1251A">
      <w:pPr>
        <w:pStyle w:val="ListParagraph"/>
        <w:numPr>
          <w:ilvl w:val="0"/>
          <w:numId w:val="7"/>
        </w:numPr>
        <w:spacing w:after="5" w:line="249" w:lineRule="auto"/>
        <w:ind w:left="426" w:right="36"/>
        <w:jc w:val="both"/>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u w:val="single"/>
          <w:lang w:eastAsia="en-GB"/>
        </w:rPr>
        <w:t xml:space="preserve">La tolerancia de </w:t>
      </w:r>
      <w:r w:rsidRPr="00F73E65">
        <w:rPr>
          <w:rFonts w:ascii="Cambria" w:eastAsia="Cambria" w:hAnsi="Cambria" w:cs="Cambria"/>
          <w:color w:val="000000"/>
          <w:sz w:val="20"/>
          <w:szCs w:val="20"/>
          <w:lang w:eastAsia="en-GB"/>
        </w:rPr>
        <w:t>retención</w:t>
      </w:r>
      <w:r w:rsidRPr="00F73E65">
        <w:rPr>
          <w:rFonts w:ascii="Cambria" w:eastAsia="Cambria" w:hAnsi="Cambria" w:cs="Cambria"/>
          <w:color w:val="000000"/>
          <w:sz w:val="20"/>
          <w:szCs w:val="20"/>
          <w:u w:val="single"/>
          <w:lang w:eastAsia="en-GB"/>
        </w:rPr>
        <w:t xml:space="preserve"> de las CPC para 2026 será la siguiente</w:t>
      </w:r>
      <w:r w:rsidR="00D54DA6" w:rsidRPr="00F73E65">
        <w:rPr>
          <w:rFonts w:ascii="Cambria" w:eastAsia="Cambria" w:hAnsi="Cambria" w:cs="Cambria"/>
          <w:color w:val="000000"/>
          <w:sz w:val="20"/>
          <w:szCs w:val="20"/>
          <w:u w:val="single"/>
          <w:lang w:eastAsia="en-GB"/>
        </w:rPr>
        <w:t>:</w:t>
      </w:r>
    </w:p>
    <w:p w14:paraId="45E62A9D" w14:textId="77777777" w:rsidR="00D54DA6" w:rsidRPr="00F73E65" w:rsidRDefault="00D54DA6" w:rsidP="00D54DA6">
      <w:pPr>
        <w:pStyle w:val="ListParagraph"/>
        <w:rPr>
          <w:rFonts w:ascii="Cambria" w:eastAsia="Cambria" w:hAnsi="Cambria" w:cs="Cambria"/>
          <w:color w:val="000000"/>
          <w:sz w:val="20"/>
          <w:szCs w:val="20"/>
          <w:u w:val="single"/>
          <w:lang w:eastAsia="en-GB"/>
        </w:rPr>
      </w:pPr>
    </w:p>
    <w:tbl>
      <w:tblPr>
        <w:tblStyle w:val="TableGrid6"/>
        <w:tblW w:w="0" w:type="auto"/>
        <w:jc w:val="center"/>
        <w:tblLook w:val="04A0" w:firstRow="1" w:lastRow="0" w:firstColumn="1" w:lastColumn="0" w:noHBand="0" w:noVBand="1"/>
      </w:tblPr>
      <w:tblGrid>
        <w:gridCol w:w="1838"/>
        <w:gridCol w:w="3265"/>
      </w:tblGrid>
      <w:tr w:rsidR="00BB42D7" w:rsidRPr="00F73E65" w14:paraId="572D4CA9" w14:textId="77777777" w:rsidTr="00BB42D7">
        <w:trPr>
          <w:jc w:val="center"/>
        </w:trPr>
        <w:tc>
          <w:tcPr>
            <w:tcW w:w="1838" w:type="dxa"/>
          </w:tcPr>
          <w:p w14:paraId="6EB8F284" w14:textId="77777777" w:rsidR="00BB42D7" w:rsidRPr="00F73E65" w:rsidRDefault="00BB42D7" w:rsidP="00BB42D7">
            <w:pPr>
              <w:spacing w:after="5" w:line="249" w:lineRule="auto"/>
              <w:ind w:left="436" w:right="47" w:hanging="434"/>
              <w:jc w:val="both"/>
              <w:rPr>
                <w:rFonts w:ascii="Cambria" w:eastAsia="Cambria" w:hAnsi="Cambria" w:cs="Cambria"/>
                <w:i/>
                <w:iCs/>
                <w:color w:val="000000"/>
                <w:sz w:val="20"/>
                <w:u w:val="single"/>
              </w:rPr>
            </w:pPr>
            <w:r w:rsidRPr="00F73E65">
              <w:rPr>
                <w:rFonts w:ascii="Cambria" w:eastAsia="Cambria" w:hAnsi="Cambria" w:cs="Cambria"/>
                <w:i/>
                <w:iCs/>
                <w:color w:val="000000"/>
                <w:sz w:val="20"/>
                <w:u w:val="single"/>
              </w:rPr>
              <w:t>CPC</w:t>
            </w:r>
          </w:p>
        </w:tc>
        <w:tc>
          <w:tcPr>
            <w:tcW w:w="3265" w:type="dxa"/>
          </w:tcPr>
          <w:p w14:paraId="483C9502" w14:textId="656FECD2" w:rsidR="00BB42D7" w:rsidRPr="00F73E65" w:rsidRDefault="00BB42D7" w:rsidP="00BB42D7">
            <w:pPr>
              <w:spacing w:after="5" w:line="249" w:lineRule="auto"/>
              <w:ind w:right="47" w:firstLine="2"/>
              <w:jc w:val="center"/>
              <w:rPr>
                <w:rFonts w:ascii="Cambria" w:eastAsia="Cambria" w:hAnsi="Cambria" w:cs="Cambria"/>
                <w:i/>
                <w:iCs/>
                <w:color w:val="000000"/>
                <w:sz w:val="20"/>
                <w:u w:val="single"/>
              </w:rPr>
            </w:pPr>
            <w:proofErr w:type="spellStart"/>
            <w:r w:rsidRPr="00F73E65">
              <w:rPr>
                <w:rFonts w:ascii="Cambria" w:eastAsia="Cambria" w:hAnsi="Cambria" w:cs="Cambria"/>
                <w:i/>
                <w:iCs/>
                <w:color w:val="000000"/>
                <w:sz w:val="20"/>
                <w:u w:val="single"/>
              </w:rPr>
              <w:t>Tolerancia</w:t>
            </w:r>
            <w:proofErr w:type="spellEnd"/>
            <w:r w:rsidRPr="00F73E65">
              <w:rPr>
                <w:rFonts w:ascii="Cambria" w:eastAsia="Cambria" w:hAnsi="Cambria" w:cs="Cambria"/>
                <w:i/>
                <w:iCs/>
                <w:color w:val="000000"/>
                <w:sz w:val="20"/>
                <w:u w:val="single"/>
              </w:rPr>
              <w:t xml:space="preserve"> de </w:t>
            </w:r>
            <w:proofErr w:type="spellStart"/>
            <w:r w:rsidRPr="00F73E65">
              <w:rPr>
                <w:rFonts w:ascii="Cambria" w:eastAsia="Cambria" w:hAnsi="Cambria" w:cs="Cambria"/>
                <w:i/>
                <w:iCs/>
                <w:color w:val="000000"/>
                <w:sz w:val="20"/>
                <w:u w:val="single"/>
              </w:rPr>
              <w:t>retención</w:t>
            </w:r>
            <w:proofErr w:type="spellEnd"/>
            <w:r w:rsidR="004E384E" w:rsidRPr="00F73E65">
              <w:rPr>
                <w:rFonts w:ascii="Cambria" w:eastAsia="Cambria" w:hAnsi="Cambria" w:cs="Cambria"/>
                <w:i/>
                <w:iCs/>
                <w:color w:val="000000"/>
                <w:sz w:val="20"/>
                <w:u w:val="single"/>
              </w:rPr>
              <w:t xml:space="preserve"> (t)</w:t>
            </w:r>
          </w:p>
        </w:tc>
      </w:tr>
      <w:tr w:rsidR="00216EFC" w:rsidRPr="00F73E65" w14:paraId="12C1374C" w14:textId="77777777" w:rsidTr="00BB42D7">
        <w:trPr>
          <w:jc w:val="center"/>
        </w:trPr>
        <w:tc>
          <w:tcPr>
            <w:tcW w:w="1838" w:type="dxa"/>
          </w:tcPr>
          <w:p w14:paraId="7FE2CE8D" w14:textId="4317CE85"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Angola</w:t>
            </w:r>
          </w:p>
        </w:tc>
        <w:tc>
          <w:tcPr>
            <w:tcW w:w="3265" w:type="dxa"/>
          </w:tcPr>
          <w:p w14:paraId="3B1AEB4A"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0,00</w:t>
            </w:r>
          </w:p>
        </w:tc>
      </w:tr>
      <w:tr w:rsidR="00216EFC" w:rsidRPr="00F73E65" w14:paraId="6889301C" w14:textId="77777777" w:rsidTr="00BB42D7">
        <w:trPr>
          <w:jc w:val="center"/>
        </w:trPr>
        <w:tc>
          <w:tcPr>
            <w:tcW w:w="1838" w:type="dxa"/>
          </w:tcPr>
          <w:p w14:paraId="1973280B" w14:textId="45FDCB7A" w:rsidR="00216EFC" w:rsidRPr="00F73E65" w:rsidRDefault="00216EFC" w:rsidP="00216EFC">
            <w:pPr>
              <w:spacing w:after="5" w:line="249" w:lineRule="auto"/>
              <w:ind w:right="47"/>
              <w:jc w:val="both"/>
              <w:rPr>
                <w:rFonts w:ascii="Cambria" w:eastAsia="Cambria" w:hAnsi="Cambria" w:cs="Cambria"/>
                <w:color w:val="000000"/>
                <w:sz w:val="20"/>
                <w:u w:val="single"/>
              </w:rPr>
            </w:pPr>
            <w:r w:rsidRPr="00F73E65">
              <w:rPr>
                <w:u w:val="single"/>
              </w:rPr>
              <w:t>Belice</w:t>
            </w:r>
          </w:p>
        </w:tc>
        <w:tc>
          <w:tcPr>
            <w:tcW w:w="3265" w:type="dxa"/>
          </w:tcPr>
          <w:p w14:paraId="71D3E1C5"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6,48</w:t>
            </w:r>
          </w:p>
        </w:tc>
      </w:tr>
      <w:tr w:rsidR="00216EFC" w:rsidRPr="00F73E65" w14:paraId="08B742E5" w14:textId="77777777" w:rsidTr="00BB42D7">
        <w:trPr>
          <w:jc w:val="center"/>
        </w:trPr>
        <w:tc>
          <w:tcPr>
            <w:tcW w:w="1838" w:type="dxa"/>
          </w:tcPr>
          <w:p w14:paraId="72079196" w14:textId="5F0A171D"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proofErr w:type="spellStart"/>
            <w:r w:rsidRPr="00F73E65">
              <w:rPr>
                <w:u w:val="single"/>
              </w:rPr>
              <w:t>Brasil</w:t>
            </w:r>
            <w:proofErr w:type="spellEnd"/>
          </w:p>
        </w:tc>
        <w:tc>
          <w:tcPr>
            <w:tcW w:w="3265" w:type="dxa"/>
          </w:tcPr>
          <w:p w14:paraId="27692B85"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45,85</w:t>
            </w:r>
          </w:p>
        </w:tc>
      </w:tr>
      <w:tr w:rsidR="00216EFC" w:rsidRPr="00F73E65" w14:paraId="7409DD51" w14:textId="77777777" w:rsidTr="00BB42D7">
        <w:trPr>
          <w:jc w:val="center"/>
        </w:trPr>
        <w:tc>
          <w:tcPr>
            <w:tcW w:w="1838" w:type="dxa"/>
          </w:tcPr>
          <w:p w14:paraId="798DF9CB" w14:textId="2EFE93AE"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 xml:space="preserve">China </w:t>
            </w:r>
            <w:proofErr w:type="gramStart"/>
            <w:r w:rsidRPr="00F73E65">
              <w:rPr>
                <w:u w:val="single"/>
              </w:rPr>
              <w:t>R.P</w:t>
            </w:r>
            <w:proofErr w:type="gramEnd"/>
          </w:p>
        </w:tc>
        <w:tc>
          <w:tcPr>
            <w:tcW w:w="3265" w:type="dxa"/>
          </w:tcPr>
          <w:p w14:paraId="56B4E033"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1,42</w:t>
            </w:r>
          </w:p>
        </w:tc>
      </w:tr>
      <w:tr w:rsidR="00216EFC" w:rsidRPr="00F73E65" w14:paraId="5165A099" w14:textId="77777777" w:rsidTr="00BB42D7">
        <w:trPr>
          <w:jc w:val="center"/>
        </w:trPr>
        <w:tc>
          <w:tcPr>
            <w:tcW w:w="1838" w:type="dxa"/>
          </w:tcPr>
          <w:p w14:paraId="397C4FA2" w14:textId="30BD0361"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Taipei Chino</w:t>
            </w:r>
          </w:p>
        </w:tc>
        <w:tc>
          <w:tcPr>
            <w:tcW w:w="3265" w:type="dxa"/>
          </w:tcPr>
          <w:p w14:paraId="7107C035"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30,93</w:t>
            </w:r>
          </w:p>
        </w:tc>
      </w:tr>
      <w:tr w:rsidR="007868C1" w:rsidRPr="00F73E65" w14:paraId="15B6710C" w14:textId="77777777" w:rsidTr="00BB42D7">
        <w:trPr>
          <w:jc w:val="center"/>
        </w:trPr>
        <w:tc>
          <w:tcPr>
            <w:tcW w:w="1838" w:type="dxa"/>
          </w:tcPr>
          <w:p w14:paraId="42CEE46D" w14:textId="4428BFD6" w:rsidR="007868C1" w:rsidRPr="00F73E65" w:rsidRDefault="007868C1" w:rsidP="007868C1">
            <w:pPr>
              <w:spacing w:after="5" w:line="249" w:lineRule="auto"/>
              <w:ind w:left="436" w:right="47" w:hanging="434"/>
              <w:jc w:val="both"/>
              <w:rPr>
                <w:rFonts w:ascii="Cambria" w:eastAsia="Cambria" w:hAnsi="Cambria" w:cs="Cambria"/>
                <w:color w:val="000000"/>
                <w:sz w:val="20"/>
                <w:u w:val="single"/>
              </w:rPr>
            </w:pPr>
            <w:r w:rsidRPr="00F73E65">
              <w:rPr>
                <w:u w:val="single"/>
              </w:rPr>
              <w:t>Côte d'Ivoire</w:t>
            </w:r>
          </w:p>
        </w:tc>
        <w:tc>
          <w:tcPr>
            <w:tcW w:w="3265" w:type="dxa"/>
          </w:tcPr>
          <w:p w14:paraId="161DF115" w14:textId="77777777" w:rsidR="007868C1" w:rsidRPr="00F73E65" w:rsidRDefault="007868C1" w:rsidP="007868C1">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4,18</w:t>
            </w:r>
          </w:p>
        </w:tc>
      </w:tr>
      <w:tr w:rsidR="00216EFC" w:rsidRPr="00F73E65" w14:paraId="10490FBC" w14:textId="77777777" w:rsidTr="00BB42D7">
        <w:trPr>
          <w:jc w:val="center"/>
        </w:trPr>
        <w:tc>
          <w:tcPr>
            <w:tcW w:w="1838" w:type="dxa"/>
          </w:tcPr>
          <w:p w14:paraId="131B989A" w14:textId="15CA564A"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proofErr w:type="spellStart"/>
            <w:r w:rsidRPr="00F73E65">
              <w:rPr>
                <w:u w:val="single"/>
              </w:rPr>
              <w:t>Curazao</w:t>
            </w:r>
            <w:proofErr w:type="spellEnd"/>
          </w:p>
        </w:tc>
        <w:tc>
          <w:tcPr>
            <w:tcW w:w="3265" w:type="dxa"/>
          </w:tcPr>
          <w:p w14:paraId="24BA0B1D"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0</w:t>
            </w:r>
          </w:p>
        </w:tc>
      </w:tr>
      <w:tr w:rsidR="00216EFC" w:rsidRPr="00F73E65" w14:paraId="3F75876F" w14:textId="77777777" w:rsidTr="00BB42D7">
        <w:trPr>
          <w:jc w:val="center"/>
        </w:trPr>
        <w:tc>
          <w:tcPr>
            <w:tcW w:w="1838" w:type="dxa"/>
          </w:tcPr>
          <w:p w14:paraId="5DED5B9D" w14:textId="22C8BB14"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El Salvador</w:t>
            </w:r>
          </w:p>
        </w:tc>
        <w:tc>
          <w:tcPr>
            <w:tcW w:w="3265" w:type="dxa"/>
          </w:tcPr>
          <w:p w14:paraId="75E07857"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0</w:t>
            </w:r>
          </w:p>
        </w:tc>
      </w:tr>
      <w:tr w:rsidR="00216EFC" w:rsidRPr="00F73E65" w14:paraId="70D83F28" w14:textId="77777777" w:rsidTr="00BB42D7">
        <w:trPr>
          <w:jc w:val="center"/>
        </w:trPr>
        <w:tc>
          <w:tcPr>
            <w:tcW w:w="1838" w:type="dxa"/>
          </w:tcPr>
          <w:p w14:paraId="1AD98179" w14:textId="4CD5B1F8"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Unión Europea</w:t>
            </w:r>
          </w:p>
        </w:tc>
        <w:tc>
          <w:tcPr>
            <w:tcW w:w="3265" w:type="dxa"/>
          </w:tcPr>
          <w:p w14:paraId="2548B1C3"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257,27</w:t>
            </w:r>
          </w:p>
        </w:tc>
      </w:tr>
      <w:tr w:rsidR="00216EFC" w:rsidRPr="00F73E65" w14:paraId="02311201" w14:textId="77777777" w:rsidTr="00BB42D7">
        <w:trPr>
          <w:jc w:val="center"/>
        </w:trPr>
        <w:tc>
          <w:tcPr>
            <w:tcW w:w="1838" w:type="dxa"/>
          </w:tcPr>
          <w:p w14:paraId="32FBE003" w14:textId="0EEC7661"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Guatemala</w:t>
            </w:r>
          </w:p>
        </w:tc>
        <w:tc>
          <w:tcPr>
            <w:tcW w:w="3265" w:type="dxa"/>
          </w:tcPr>
          <w:p w14:paraId="03CD9DF2"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0</w:t>
            </w:r>
          </w:p>
        </w:tc>
      </w:tr>
      <w:tr w:rsidR="00216EFC" w:rsidRPr="00F73E65" w14:paraId="32EA1435" w14:textId="77777777" w:rsidTr="00BB42D7">
        <w:trPr>
          <w:jc w:val="center"/>
        </w:trPr>
        <w:tc>
          <w:tcPr>
            <w:tcW w:w="1838" w:type="dxa"/>
          </w:tcPr>
          <w:p w14:paraId="2F8C4F9C" w14:textId="54F2222F"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proofErr w:type="spellStart"/>
            <w:r w:rsidRPr="00F73E65">
              <w:rPr>
                <w:u w:val="single"/>
              </w:rPr>
              <w:t>Japón</w:t>
            </w:r>
            <w:proofErr w:type="spellEnd"/>
          </w:p>
        </w:tc>
        <w:tc>
          <w:tcPr>
            <w:tcW w:w="3265" w:type="dxa"/>
          </w:tcPr>
          <w:p w14:paraId="34D6E3B3"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26,32</w:t>
            </w:r>
          </w:p>
        </w:tc>
      </w:tr>
      <w:tr w:rsidR="00216EFC" w:rsidRPr="00F73E65" w14:paraId="0771E490" w14:textId="77777777" w:rsidTr="00BB42D7">
        <w:trPr>
          <w:jc w:val="center"/>
        </w:trPr>
        <w:tc>
          <w:tcPr>
            <w:tcW w:w="1838" w:type="dxa"/>
          </w:tcPr>
          <w:p w14:paraId="59160859" w14:textId="3AB18F13"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Corea</w:t>
            </w:r>
          </w:p>
        </w:tc>
        <w:tc>
          <w:tcPr>
            <w:tcW w:w="3265" w:type="dxa"/>
          </w:tcPr>
          <w:p w14:paraId="3D4B2908"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1,80</w:t>
            </w:r>
          </w:p>
        </w:tc>
      </w:tr>
      <w:tr w:rsidR="00216EFC" w:rsidRPr="00F73E65" w14:paraId="703A08A4" w14:textId="77777777" w:rsidTr="00BB42D7">
        <w:trPr>
          <w:jc w:val="center"/>
        </w:trPr>
        <w:tc>
          <w:tcPr>
            <w:tcW w:w="1838" w:type="dxa"/>
          </w:tcPr>
          <w:p w14:paraId="375A14D2" w14:textId="1FA74E52"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Namibia</w:t>
            </w:r>
          </w:p>
        </w:tc>
        <w:tc>
          <w:tcPr>
            <w:tcW w:w="3265" w:type="dxa"/>
          </w:tcPr>
          <w:p w14:paraId="15DD9216"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166,95</w:t>
            </w:r>
          </w:p>
        </w:tc>
      </w:tr>
      <w:tr w:rsidR="00216EFC" w:rsidRPr="00F73E65" w14:paraId="285898A9" w14:textId="77777777" w:rsidTr="00BB42D7">
        <w:trPr>
          <w:jc w:val="center"/>
        </w:trPr>
        <w:tc>
          <w:tcPr>
            <w:tcW w:w="1838" w:type="dxa"/>
          </w:tcPr>
          <w:p w14:paraId="7D6A73AF" w14:textId="3C4BCB1D"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Panamá</w:t>
            </w:r>
          </w:p>
        </w:tc>
        <w:tc>
          <w:tcPr>
            <w:tcW w:w="3265" w:type="dxa"/>
          </w:tcPr>
          <w:p w14:paraId="77E5075E"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0</w:t>
            </w:r>
          </w:p>
        </w:tc>
      </w:tr>
      <w:tr w:rsidR="00216EFC" w:rsidRPr="00F73E65" w14:paraId="02D6C4BB" w14:textId="77777777" w:rsidTr="00BB42D7">
        <w:trPr>
          <w:jc w:val="center"/>
        </w:trPr>
        <w:tc>
          <w:tcPr>
            <w:tcW w:w="1838" w:type="dxa"/>
          </w:tcPr>
          <w:p w14:paraId="69E55A71" w14:textId="3E4D4B60"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Filipinas</w:t>
            </w:r>
          </w:p>
        </w:tc>
        <w:tc>
          <w:tcPr>
            <w:tcW w:w="3265" w:type="dxa"/>
          </w:tcPr>
          <w:p w14:paraId="1ECB9318"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1,99</w:t>
            </w:r>
          </w:p>
        </w:tc>
      </w:tr>
      <w:tr w:rsidR="00216EFC" w:rsidRPr="00F73E65" w14:paraId="2E553205" w14:textId="77777777" w:rsidTr="00BB42D7">
        <w:trPr>
          <w:jc w:val="center"/>
        </w:trPr>
        <w:tc>
          <w:tcPr>
            <w:tcW w:w="1838" w:type="dxa"/>
          </w:tcPr>
          <w:p w14:paraId="0445F894" w14:textId="6FE42310"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Senegal</w:t>
            </w:r>
          </w:p>
        </w:tc>
        <w:tc>
          <w:tcPr>
            <w:tcW w:w="3265" w:type="dxa"/>
          </w:tcPr>
          <w:p w14:paraId="0B5DF38D"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2,16</w:t>
            </w:r>
          </w:p>
        </w:tc>
      </w:tr>
      <w:tr w:rsidR="00216EFC" w:rsidRPr="00F73E65" w14:paraId="7A6FCC7A" w14:textId="77777777" w:rsidTr="00BB42D7">
        <w:trPr>
          <w:jc w:val="center"/>
        </w:trPr>
        <w:tc>
          <w:tcPr>
            <w:tcW w:w="1838" w:type="dxa"/>
          </w:tcPr>
          <w:p w14:paraId="156CB12E" w14:textId="1B810E11"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Sudáfrica</w:t>
            </w:r>
          </w:p>
        </w:tc>
        <w:tc>
          <w:tcPr>
            <w:tcW w:w="3265" w:type="dxa"/>
          </w:tcPr>
          <w:p w14:paraId="05D5E99C"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91,53</w:t>
            </w:r>
          </w:p>
        </w:tc>
      </w:tr>
      <w:tr w:rsidR="00216EFC" w:rsidRPr="00F73E65" w14:paraId="383C5DA8" w14:textId="77777777" w:rsidTr="00BB42D7">
        <w:trPr>
          <w:jc w:val="center"/>
        </w:trPr>
        <w:tc>
          <w:tcPr>
            <w:tcW w:w="1838" w:type="dxa"/>
          </w:tcPr>
          <w:p w14:paraId="2E04571D" w14:textId="0876AE05"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 xml:space="preserve">Reino </w:t>
            </w:r>
            <w:proofErr w:type="spellStart"/>
            <w:r w:rsidRPr="00F73E65">
              <w:rPr>
                <w:u w:val="single"/>
              </w:rPr>
              <w:t>Unido</w:t>
            </w:r>
            <w:proofErr w:type="spellEnd"/>
          </w:p>
        </w:tc>
        <w:tc>
          <w:tcPr>
            <w:tcW w:w="3265" w:type="dxa"/>
          </w:tcPr>
          <w:p w14:paraId="778EB17F"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0,04</w:t>
            </w:r>
          </w:p>
        </w:tc>
      </w:tr>
      <w:tr w:rsidR="00216EFC" w:rsidRPr="00F73E65" w14:paraId="475F78BD" w14:textId="77777777" w:rsidTr="00BB42D7">
        <w:trPr>
          <w:jc w:val="center"/>
        </w:trPr>
        <w:tc>
          <w:tcPr>
            <w:tcW w:w="1838" w:type="dxa"/>
          </w:tcPr>
          <w:p w14:paraId="7EE1CE12" w14:textId="03B453CB" w:rsidR="00216EFC" w:rsidRPr="00F73E65" w:rsidRDefault="00216EFC" w:rsidP="00216EFC">
            <w:pPr>
              <w:spacing w:after="5" w:line="249" w:lineRule="auto"/>
              <w:ind w:left="436" w:right="47" w:hanging="434"/>
              <w:jc w:val="both"/>
              <w:rPr>
                <w:rFonts w:ascii="Cambria" w:eastAsia="Cambria" w:hAnsi="Cambria" w:cs="Cambria"/>
                <w:color w:val="000000"/>
                <w:sz w:val="20"/>
                <w:u w:val="single"/>
              </w:rPr>
            </w:pPr>
            <w:r w:rsidRPr="00F73E65">
              <w:rPr>
                <w:u w:val="single"/>
              </w:rPr>
              <w:t>Uruguay</w:t>
            </w:r>
          </w:p>
        </w:tc>
        <w:tc>
          <w:tcPr>
            <w:tcW w:w="3265" w:type="dxa"/>
          </w:tcPr>
          <w:p w14:paraId="37AB72CA" w14:textId="77777777" w:rsidR="00216EFC" w:rsidRPr="00F73E65" w:rsidRDefault="00216EFC" w:rsidP="00216EFC">
            <w:pPr>
              <w:spacing w:after="5" w:line="249" w:lineRule="auto"/>
              <w:ind w:left="436" w:right="47" w:hanging="434"/>
              <w:jc w:val="center"/>
              <w:rPr>
                <w:rFonts w:ascii="Cambria" w:eastAsia="Cambria" w:hAnsi="Cambria" w:cs="Cambria"/>
                <w:color w:val="000000"/>
                <w:sz w:val="20"/>
                <w:u w:val="single"/>
              </w:rPr>
            </w:pPr>
            <w:r w:rsidRPr="00F73E65">
              <w:rPr>
                <w:rFonts w:ascii="Cambria" w:eastAsia="Cambria" w:hAnsi="Cambria" w:cs="Cambria"/>
                <w:color w:val="000000"/>
                <w:sz w:val="20"/>
                <w:u w:val="single"/>
              </w:rPr>
              <w:t>0,08</w:t>
            </w:r>
          </w:p>
        </w:tc>
      </w:tr>
    </w:tbl>
    <w:p w14:paraId="51124B78" w14:textId="77777777" w:rsidR="00D54DA6" w:rsidRPr="00F73E65" w:rsidRDefault="00D54DA6" w:rsidP="00BB42D7">
      <w:pPr>
        <w:pStyle w:val="ListParagraph"/>
        <w:spacing w:after="5" w:line="249" w:lineRule="auto"/>
        <w:ind w:left="426" w:right="36"/>
        <w:jc w:val="both"/>
        <w:rPr>
          <w:rFonts w:ascii="Cambria" w:eastAsia="Cambria" w:hAnsi="Cambria" w:cs="Cambria"/>
          <w:color w:val="000000"/>
          <w:sz w:val="20"/>
          <w:szCs w:val="20"/>
          <w:u w:val="single"/>
          <w:lang w:eastAsia="en-GB"/>
        </w:rPr>
      </w:pPr>
    </w:p>
    <w:p w14:paraId="25A78948" w14:textId="77777777" w:rsidR="009B2513" w:rsidRPr="00F73E65" w:rsidRDefault="009B2513" w:rsidP="00025D07">
      <w:pPr>
        <w:tabs>
          <w:tab w:val="left" w:pos="426"/>
        </w:tabs>
        <w:ind w:left="426" w:hanging="426"/>
        <w:jc w:val="both"/>
        <w:rPr>
          <w:sz w:val="20"/>
          <w:szCs w:val="20"/>
          <w:u w:val="single"/>
        </w:rPr>
      </w:pPr>
    </w:p>
    <w:p w14:paraId="109554A7" w14:textId="6747EDB4" w:rsidR="00C00526" w:rsidRPr="00F73E65" w:rsidRDefault="00C00526" w:rsidP="00E1251A">
      <w:pPr>
        <w:pStyle w:val="ListParagraph"/>
        <w:numPr>
          <w:ilvl w:val="0"/>
          <w:numId w:val="7"/>
        </w:numPr>
        <w:spacing w:after="5" w:line="247" w:lineRule="auto"/>
        <w:ind w:right="36"/>
        <w:jc w:val="both"/>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u w:val="single"/>
          <w:lang w:eastAsia="en-GB"/>
        </w:rPr>
        <w:t>Las tolerancias de retención descritas en el párrafo 5 no constituyen ningún derecho a largo plazo y se entienden sin perjuicio de cualquier proceso futuro de asignación.</w:t>
      </w:r>
    </w:p>
    <w:p w14:paraId="140D3487" w14:textId="77777777" w:rsidR="00C00526" w:rsidRPr="00F73E65" w:rsidRDefault="00C00526" w:rsidP="00B60FF1">
      <w:pPr>
        <w:keepNext/>
        <w:keepLines/>
        <w:spacing w:before="360" w:after="5" w:line="249" w:lineRule="auto"/>
        <w:ind w:right="47"/>
        <w:jc w:val="both"/>
        <w:outlineLvl w:val="0"/>
        <w:rPr>
          <w:rFonts w:ascii="Cambria" w:eastAsia="Times New Roman" w:hAnsi="Cambria" w:cs="Times New Roman"/>
          <w:b/>
          <w:bCs/>
          <w:sz w:val="20"/>
          <w:szCs w:val="40"/>
          <w:lang w:eastAsia="en-GB"/>
        </w:rPr>
      </w:pPr>
    </w:p>
    <w:p w14:paraId="23CE02BF" w14:textId="64C8C1FA" w:rsidR="00C00526" w:rsidRPr="00F73E65" w:rsidRDefault="007C2C4D" w:rsidP="00E1251A">
      <w:pPr>
        <w:pStyle w:val="ListParagraph"/>
        <w:numPr>
          <w:ilvl w:val="0"/>
          <w:numId w:val="7"/>
        </w:numPr>
        <w:spacing w:after="5" w:line="247" w:lineRule="auto"/>
        <w:ind w:right="36"/>
        <w:jc w:val="both"/>
        <w:rPr>
          <w:rFonts w:ascii="Cambria" w:eastAsia="Times New Roman" w:hAnsi="Cambria" w:cs="Times New Roman"/>
          <w:sz w:val="20"/>
          <w:szCs w:val="40"/>
          <w:u w:val="single"/>
          <w:lang w:eastAsia="en-GB"/>
        </w:rPr>
      </w:pPr>
      <w:r w:rsidRPr="00F73E65">
        <w:rPr>
          <w:rFonts w:ascii="Cambria" w:eastAsia="Times New Roman" w:hAnsi="Cambria" w:cs="Times New Roman"/>
          <w:sz w:val="20"/>
          <w:szCs w:val="40"/>
          <w:u w:val="single"/>
          <w:lang w:eastAsia="en-GB"/>
        </w:rPr>
        <w:t xml:space="preserve">Para los años siguientes, el SCRS utilizará el </w:t>
      </w:r>
      <w:r w:rsidRPr="00F73E65">
        <w:rPr>
          <w:rFonts w:ascii="Cambria" w:eastAsia="Times New Roman" w:hAnsi="Cambria" w:cs="Times New Roman"/>
          <w:b/>
          <w:bCs/>
          <w:sz w:val="20"/>
          <w:szCs w:val="40"/>
          <w:u w:val="single"/>
          <w:lang w:eastAsia="en-GB"/>
        </w:rPr>
        <w:t>Anexo 1</w:t>
      </w:r>
      <w:r w:rsidRPr="00F73E65">
        <w:rPr>
          <w:rFonts w:ascii="Cambria" w:eastAsia="Times New Roman" w:hAnsi="Cambria" w:cs="Times New Roman"/>
          <w:sz w:val="20"/>
          <w:szCs w:val="40"/>
          <w:u w:val="single"/>
          <w:lang w:eastAsia="en-GB"/>
        </w:rPr>
        <w:t xml:space="preserve"> para calcular un posible nivel de retención, incluidas las </w:t>
      </w:r>
      <w:r w:rsidR="008E035C" w:rsidRPr="00F73E65">
        <w:rPr>
          <w:rFonts w:ascii="Cambria" w:eastAsia="Times New Roman" w:hAnsi="Cambria" w:cs="Times New Roman"/>
          <w:sz w:val="20"/>
          <w:szCs w:val="40"/>
          <w:u w:val="single"/>
          <w:lang w:eastAsia="en-GB"/>
        </w:rPr>
        <w:t>tolerancias</w:t>
      </w:r>
      <w:r w:rsidRPr="00F73E65">
        <w:rPr>
          <w:rFonts w:ascii="Cambria" w:eastAsia="Times New Roman" w:hAnsi="Cambria" w:cs="Times New Roman"/>
          <w:sz w:val="20"/>
          <w:szCs w:val="40"/>
          <w:u w:val="single"/>
          <w:lang w:eastAsia="en-GB"/>
        </w:rPr>
        <w:t xml:space="preserve"> de retención individuales de las CPC elegibles permitidas en el año siguiente, y proporcionará </w:t>
      </w:r>
      <w:r w:rsidRPr="00F73E65">
        <w:rPr>
          <w:rFonts w:ascii="Cambria" w:eastAsia="Cambria" w:hAnsi="Cambria" w:cs="Cambria"/>
          <w:color w:val="000000"/>
          <w:sz w:val="20"/>
          <w:szCs w:val="20"/>
          <w:u w:val="single"/>
          <w:lang w:eastAsia="en-GB"/>
        </w:rPr>
        <w:t>los</w:t>
      </w:r>
      <w:r w:rsidRPr="00F73E65">
        <w:rPr>
          <w:rFonts w:ascii="Cambria" w:eastAsia="Times New Roman" w:hAnsi="Cambria" w:cs="Times New Roman"/>
          <w:sz w:val="20"/>
          <w:szCs w:val="40"/>
          <w:u w:val="single"/>
          <w:lang w:eastAsia="en-GB"/>
        </w:rPr>
        <w:t xml:space="preserve"> resultados a la Comisión. La Secretaría proporcionará un documento a</w:t>
      </w:r>
      <w:r w:rsidR="00220B9E" w:rsidRPr="00F73E65">
        <w:rPr>
          <w:rFonts w:ascii="Cambria" w:eastAsia="Times New Roman" w:hAnsi="Cambria" w:cs="Times New Roman"/>
          <w:sz w:val="20"/>
          <w:szCs w:val="40"/>
          <w:u w:val="single"/>
          <w:lang w:eastAsia="en-GB"/>
        </w:rPr>
        <w:t xml:space="preserve"> la Subcomisión </w:t>
      </w:r>
      <w:r w:rsidRPr="00F73E65">
        <w:rPr>
          <w:rFonts w:ascii="Cambria" w:eastAsia="Times New Roman" w:hAnsi="Cambria" w:cs="Times New Roman"/>
          <w:sz w:val="20"/>
          <w:szCs w:val="40"/>
          <w:u w:val="single"/>
          <w:lang w:eastAsia="en-GB"/>
        </w:rPr>
        <w:t xml:space="preserve">4 que incluirá las retenciones </w:t>
      </w:r>
      <w:r w:rsidR="00220B9E" w:rsidRPr="00F73E65">
        <w:rPr>
          <w:rFonts w:ascii="Cambria" w:eastAsia="Times New Roman" w:hAnsi="Cambria" w:cs="Times New Roman"/>
          <w:sz w:val="20"/>
          <w:szCs w:val="40"/>
          <w:u w:val="single"/>
          <w:lang w:eastAsia="en-GB"/>
        </w:rPr>
        <w:t>permitidas</w:t>
      </w:r>
      <w:r w:rsidRPr="00F73E65">
        <w:rPr>
          <w:rFonts w:ascii="Cambria" w:eastAsia="Times New Roman" w:hAnsi="Cambria" w:cs="Times New Roman"/>
          <w:sz w:val="20"/>
          <w:szCs w:val="40"/>
          <w:u w:val="single"/>
          <w:lang w:eastAsia="en-GB"/>
        </w:rPr>
        <w:t xml:space="preserve"> de las CPC basadas en el asesoramiento del SCRS y las posibles devoluciones. La Comisión validará la retención </w:t>
      </w:r>
      <w:r w:rsidR="000C4DDC" w:rsidRPr="00F73E65">
        <w:rPr>
          <w:rFonts w:ascii="Cambria" w:eastAsia="Times New Roman" w:hAnsi="Cambria" w:cs="Times New Roman"/>
          <w:sz w:val="20"/>
          <w:szCs w:val="40"/>
          <w:u w:val="single"/>
          <w:lang w:eastAsia="en-GB"/>
        </w:rPr>
        <w:t>permitida</w:t>
      </w:r>
      <w:r w:rsidRPr="00F73E65">
        <w:rPr>
          <w:rFonts w:ascii="Cambria" w:eastAsia="Times New Roman" w:hAnsi="Cambria" w:cs="Times New Roman"/>
          <w:sz w:val="20"/>
          <w:szCs w:val="40"/>
          <w:u w:val="single"/>
          <w:lang w:eastAsia="en-GB"/>
        </w:rPr>
        <w:t xml:space="preserve"> en el año siguiente.</w:t>
      </w:r>
    </w:p>
    <w:p w14:paraId="016B71F9" w14:textId="77777777" w:rsidR="00F70492" w:rsidRPr="00F73E65" w:rsidRDefault="00F70492" w:rsidP="00F70492">
      <w:pPr>
        <w:spacing w:after="5" w:line="247" w:lineRule="auto"/>
        <w:ind w:right="36"/>
        <w:jc w:val="both"/>
        <w:rPr>
          <w:rFonts w:ascii="Cambria" w:eastAsia="Times New Roman" w:hAnsi="Cambria" w:cs="Times New Roman"/>
          <w:sz w:val="20"/>
          <w:szCs w:val="40"/>
          <w:u w:val="single"/>
          <w:lang w:eastAsia="en-GB"/>
        </w:rPr>
      </w:pPr>
    </w:p>
    <w:p w14:paraId="63050EFD" w14:textId="26409BB3" w:rsidR="00F70492" w:rsidRPr="00F73E65" w:rsidRDefault="00F70492" w:rsidP="00E1251A">
      <w:pPr>
        <w:pStyle w:val="ListParagraph"/>
        <w:numPr>
          <w:ilvl w:val="0"/>
          <w:numId w:val="7"/>
        </w:numPr>
        <w:spacing w:after="5" w:line="247" w:lineRule="auto"/>
        <w:ind w:right="36"/>
        <w:jc w:val="both"/>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u w:val="single"/>
          <w:lang w:eastAsia="en-GB"/>
        </w:rPr>
        <w:t xml:space="preserve">Cualquier retención </w:t>
      </w:r>
      <w:r w:rsidRPr="00F73E65">
        <w:rPr>
          <w:rFonts w:ascii="Cambria" w:eastAsia="Times New Roman" w:hAnsi="Cambria" w:cs="Times New Roman"/>
          <w:sz w:val="20"/>
          <w:szCs w:val="40"/>
          <w:u w:val="single"/>
          <w:lang w:eastAsia="en-GB"/>
        </w:rPr>
        <w:t>permitida</w:t>
      </w:r>
      <w:r w:rsidRPr="00F73E65">
        <w:rPr>
          <w:rFonts w:ascii="Cambria" w:eastAsia="Cambria" w:hAnsi="Cambria" w:cs="Cambria"/>
          <w:color w:val="000000"/>
          <w:sz w:val="20"/>
          <w:szCs w:val="20"/>
          <w:u w:val="single"/>
          <w:lang w:eastAsia="en-GB"/>
        </w:rPr>
        <w:t xml:space="preserve"> sólo se autorizará cuando el pez esté muerto en el momento de la virada, y el buque lleve a bordo un observador o un sistema de seguimiento electrónico (EMS) en funcionamiento para verificar el estado de los tiburones. </w:t>
      </w:r>
    </w:p>
    <w:p w14:paraId="541CE5BD" w14:textId="77777777" w:rsidR="00F70492" w:rsidRPr="00F73E65" w:rsidRDefault="00F70492" w:rsidP="00F70492">
      <w:pPr>
        <w:spacing w:after="5" w:line="249" w:lineRule="auto"/>
        <w:ind w:left="720" w:right="47" w:hanging="434"/>
        <w:contextualSpacing/>
        <w:jc w:val="both"/>
        <w:rPr>
          <w:rFonts w:ascii="Cambria" w:eastAsia="Cambria" w:hAnsi="Cambria" w:cs="Cambria"/>
          <w:color w:val="000000"/>
          <w:sz w:val="20"/>
          <w:szCs w:val="20"/>
          <w:u w:val="single"/>
          <w:lang w:eastAsia="en-GB"/>
        </w:rPr>
      </w:pPr>
    </w:p>
    <w:p w14:paraId="73A657BA" w14:textId="5ECF91E2" w:rsidR="00F70492" w:rsidRPr="00F73E65" w:rsidRDefault="00F70492" w:rsidP="00AF2EB8">
      <w:pPr>
        <w:pStyle w:val="ListParagraph"/>
        <w:numPr>
          <w:ilvl w:val="0"/>
          <w:numId w:val="10"/>
        </w:numPr>
        <w:spacing w:after="5" w:line="247" w:lineRule="auto"/>
        <w:ind w:right="36"/>
        <w:jc w:val="both"/>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u w:val="single"/>
          <w:lang w:eastAsia="en-GB"/>
        </w:rPr>
        <w:t xml:space="preserve">Los buques de 12 m o menos no podrán retener más de un ejemplar de marrajo dientuso del Atlántico sur por buque en cualquier marea.  </w:t>
      </w:r>
    </w:p>
    <w:p w14:paraId="4F807321" w14:textId="77777777" w:rsidR="00F70492" w:rsidRPr="00F73E65" w:rsidRDefault="00F70492" w:rsidP="00F70492">
      <w:pPr>
        <w:spacing w:after="31" w:line="256" w:lineRule="auto"/>
        <w:ind w:left="851"/>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0DCD9CDF" w14:textId="77777777" w:rsidR="00F70492" w:rsidRPr="00F73E65" w:rsidRDefault="00F70492" w:rsidP="00AF2EB8">
      <w:pPr>
        <w:pStyle w:val="ListParagraph"/>
        <w:numPr>
          <w:ilvl w:val="0"/>
          <w:numId w:val="10"/>
        </w:numPr>
        <w:spacing w:after="5" w:line="247" w:lineRule="auto"/>
        <w:ind w:right="36"/>
        <w:jc w:val="both"/>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u w:val="single"/>
          <w:lang w:eastAsia="en-GB"/>
        </w:rPr>
        <w:t xml:space="preserve">Para los fines de este párrafo, una marea de pesca se define como el periodo que comienza cuando un buque pesquero zarpa de un muelle, atracadero, playa, dique, rampa o puerto para realizar operaciones de pesca y que termina con la vuelta al muelle, atracadero, playa, dique, rampa o puerto.  </w:t>
      </w:r>
    </w:p>
    <w:p w14:paraId="656828DA" w14:textId="77777777" w:rsidR="007A1C6B" w:rsidRPr="00F73E65" w:rsidRDefault="007A1C6B" w:rsidP="007A1C6B">
      <w:pPr>
        <w:pStyle w:val="ListParagraph"/>
        <w:rPr>
          <w:rFonts w:ascii="Cambria" w:eastAsia="Cambria" w:hAnsi="Cambria" w:cs="Cambria"/>
          <w:color w:val="000000"/>
          <w:sz w:val="20"/>
          <w:szCs w:val="20"/>
          <w:u w:val="single"/>
          <w:lang w:eastAsia="en-GB"/>
        </w:rPr>
      </w:pPr>
    </w:p>
    <w:p w14:paraId="30E7205B" w14:textId="0AF54248" w:rsidR="007A1C6B" w:rsidRPr="00F73E65" w:rsidRDefault="007A1C6B" w:rsidP="00084F5A">
      <w:pPr>
        <w:pStyle w:val="ListParagraph"/>
        <w:numPr>
          <w:ilvl w:val="0"/>
          <w:numId w:val="7"/>
        </w:numPr>
        <w:tabs>
          <w:tab w:val="left" w:pos="426"/>
        </w:tabs>
        <w:ind w:left="426"/>
        <w:jc w:val="both"/>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u w:val="single"/>
          <w:lang w:eastAsia="en-GB"/>
        </w:rPr>
        <w:t xml:space="preserve">Las CPC cuyos buques pesqueros retienen marrajo dientuso del Atlántico sur prohibirán a los buques pesqueros que enarbolan su pabellón el transbordo, total o parcial, del marrajo dientuso del Atlántico sur capturado en asociación con las pesquerías de ICCAT. </w:t>
      </w:r>
    </w:p>
    <w:p w14:paraId="1F1A4FB8" w14:textId="77777777" w:rsidR="00B60FF1" w:rsidRPr="00F73E65" w:rsidRDefault="00B60FF1" w:rsidP="00B60FF1">
      <w:pPr>
        <w:spacing w:after="5" w:line="249" w:lineRule="auto"/>
        <w:ind w:left="436" w:right="47" w:hanging="434"/>
        <w:jc w:val="both"/>
        <w:rPr>
          <w:rFonts w:ascii="Cambria" w:eastAsia="Cambria" w:hAnsi="Cambria" w:cs="Cambria"/>
          <w:color w:val="000000"/>
          <w:sz w:val="20"/>
          <w:szCs w:val="20"/>
          <w:lang w:eastAsia="en-GB"/>
        </w:rPr>
      </w:pPr>
    </w:p>
    <w:p w14:paraId="064601CA" w14:textId="7A3B9965" w:rsidR="00BA1E05" w:rsidRPr="00F73E65" w:rsidRDefault="00BA1E05" w:rsidP="00F75EC7">
      <w:pPr>
        <w:tabs>
          <w:tab w:val="left" w:pos="426"/>
        </w:tabs>
        <w:ind w:left="426" w:hanging="426"/>
        <w:jc w:val="both"/>
        <w:rPr>
          <w:b/>
          <w:bCs/>
          <w:sz w:val="20"/>
          <w:szCs w:val="20"/>
        </w:rPr>
      </w:pPr>
      <w:r w:rsidRPr="00F73E65">
        <w:rPr>
          <w:b/>
          <w:bCs/>
          <w:sz w:val="20"/>
          <w:szCs w:val="20"/>
        </w:rPr>
        <w:t>Manipulación y liberación seguras</w:t>
      </w:r>
    </w:p>
    <w:p w14:paraId="1C51E91B" w14:textId="07AF0B8F" w:rsidR="00656231" w:rsidRPr="00F73E65" w:rsidRDefault="00656231" w:rsidP="00AF6568">
      <w:pPr>
        <w:jc w:val="both"/>
        <w:rPr>
          <w:b/>
          <w:color w:val="000000"/>
          <w:sz w:val="20"/>
        </w:rPr>
      </w:pPr>
    </w:p>
    <w:p w14:paraId="118C4032" w14:textId="5FCB561E" w:rsidR="00A01D0C" w:rsidRPr="00F73E65" w:rsidRDefault="007A1C6B" w:rsidP="007B248B">
      <w:pPr>
        <w:tabs>
          <w:tab w:val="left" w:pos="426"/>
        </w:tabs>
        <w:ind w:left="426" w:hanging="426"/>
        <w:jc w:val="both"/>
        <w:rPr>
          <w:rFonts w:ascii="Cambria" w:hAnsi="Cambria"/>
          <w:sz w:val="20"/>
          <w:szCs w:val="20"/>
        </w:rPr>
      </w:pPr>
      <w:r w:rsidRPr="00F73E65">
        <w:rPr>
          <w:rFonts w:ascii="Cambria" w:hAnsi="Cambria"/>
          <w:sz w:val="20"/>
        </w:rPr>
        <w:t>10</w:t>
      </w:r>
      <w:r w:rsidR="007B248B" w:rsidRPr="00F73E65">
        <w:rPr>
          <w:rFonts w:ascii="Cambria" w:hAnsi="Cambria"/>
          <w:sz w:val="20"/>
        </w:rPr>
        <w:t>.</w:t>
      </w:r>
      <w:r w:rsidR="007B248B" w:rsidRPr="00F73E65">
        <w:rPr>
          <w:rFonts w:ascii="Cambria" w:hAnsi="Cambria"/>
          <w:sz w:val="20"/>
        </w:rPr>
        <w:tab/>
      </w:r>
      <w:r w:rsidR="002F3C9F" w:rsidRPr="00F73E65">
        <w:rPr>
          <w:rFonts w:ascii="Cambria" w:hAnsi="Cambria"/>
          <w:sz w:val="20"/>
        </w:rPr>
        <w:t xml:space="preserve">Las </w:t>
      </w:r>
      <w:r w:rsidR="00FC53A4" w:rsidRPr="00F73E65">
        <w:rPr>
          <w:rFonts w:ascii="Cambria" w:hAnsi="Cambria"/>
          <w:sz w:val="20"/>
        </w:rPr>
        <w:t xml:space="preserve"> CPC requerirán a los buques que enarbolen su pabellón que </w:t>
      </w:r>
      <w:r w:rsidR="0076116D" w:rsidRPr="00F73E65">
        <w:rPr>
          <w:rFonts w:ascii="Cambria" w:hAnsi="Cambria"/>
          <w:sz w:val="20"/>
        </w:rPr>
        <w:t>implementen</w:t>
      </w:r>
      <w:r w:rsidR="00FD28AF" w:rsidRPr="00F73E65">
        <w:rPr>
          <w:rFonts w:ascii="Cambria" w:hAnsi="Cambria"/>
          <w:sz w:val="20"/>
        </w:rPr>
        <w:t xml:space="preserve">, </w:t>
      </w:r>
      <w:r w:rsidR="00FC53A4" w:rsidRPr="00F73E65">
        <w:rPr>
          <w:rFonts w:ascii="Cambria" w:hAnsi="Cambria"/>
          <w:sz w:val="20"/>
        </w:rPr>
        <w:t>teniendo debidamente en cuenta la seguridad de la tripulación</w:t>
      </w:r>
      <w:r w:rsidR="00CA1427" w:rsidRPr="00F73E65">
        <w:rPr>
          <w:rFonts w:ascii="Cambria" w:hAnsi="Cambria"/>
          <w:sz w:val="20"/>
        </w:rPr>
        <w:t xml:space="preserve">, </w:t>
      </w:r>
      <w:r w:rsidR="0095149D" w:rsidRPr="00F73E65">
        <w:rPr>
          <w:rFonts w:ascii="Cambria" w:hAnsi="Cambria"/>
          <w:sz w:val="20"/>
        </w:rPr>
        <w:t>l</w:t>
      </w:r>
      <w:r w:rsidR="007E7993" w:rsidRPr="00F73E65">
        <w:rPr>
          <w:rFonts w:ascii="Cambria" w:hAnsi="Cambria"/>
          <w:sz w:val="20"/>
        </w:rPr>
        <w:t>as</w:t>
      </w:r>
      <w:r w:rsidR="00FC53A4" w:rsidRPr="00F73E65">
        <w:rPr>
          <w:rFonts w:ascii="Cambria" w:hAnsi="Cambria"/>
          <w:sz w:val="20"/>
        </w:rPr>
        <w:t xml:space="preserve"> normas mínimas para </w:t>
      </w:r>
      <w:r w:rsidR="007E7993" w:rsidRPr="00F73E65">
        <w:rPr>
          <w:rFonts w:ascii="Cambria" w:hAnsi="Cambria"/>
          <w:sz w:val="20"/>
        </w:rPr>
        <w:t>los procedimientos de</w:t>
      </w:r>
      <w:r w:rsidR="00FC53A4" w:rsidRPr="00F73E65">
        <w:rPr>
          <w:rFonts w:ascii="Cambria" w:hAnsi="Cambria"/>
          <w:sz w:val="20"/>
        </w:rPr>
        <w:t xml:space="preserve"> manipulación y liberación seguras de los ejempl</w:t>
      </w:r>
      <w:r w:rsidR="00270B70" w:rsidRPr="00F73E65">
        <w:rPr>
          <w:rFonts w:ascii="Cambria" w:hAnsi="Cambria"/>
          <w:sz w:val="20"/>
        </w:rPr>
        <w:t>ar</w:t>
      </w:r>
      <w:r w:rsidR="00FC53A4" w:rsidRPr="00F73E65">
        <w:rPr>
          <w:rFonts w:ascii="Cambria" w:hAnsi="Cambria"/>
          <w:sz w:val="20"/>
        </w:rPr>
        <w:t xml:space="preserve">es de </w:t>
      </w:r>
      <w:r w:rsidR="00FC53A4" w:rsidRPr="00F73E65">
        <w:rPr>
          <w:rFonts w:ascii="Cambria" w:hAnsi="Cambria"/>
          <w:sz w:val="20"/>
          <w:szCs w:val="20"/>
        </w:rPr>
        <w:t>marrajo</w:t>
      </w:r>
      <w:r w:rsidR="00FC53A4" w:rsidRPr="00F73E65">
        <w:rPr>
          <w:rFonts w:ascii="Cambria" w:hAnsi="Cambria"/>
          <w:sz w:val="20"/>
        </w:rPr>
        <w:t xml:space="preserve"> dientuso del Atlántico </w:t>
      </w:r>
      <w:r w:rsidR="00705B69" w:rsidRPr="00F73E65">
        <w:rPr>
          <w:rFonts w:ascii="Cambria" w:hAnsi="Cambria"/>
          <w:sz w:val="20"/>
        </w:rPr>
        <w:t>sur</w:t>
      </w:r>
      <w:r w:rsidR="00270B70" w:rsidRPr="00F73E65">
        <w:rPr>
          <w:rFonts w:ascii="Cambria" w:hAnsi="Cambria"/>
          <w:sz w:val="20"/>
        </w:rPr>
        <w:t xml:space="preserve">, tal y como están prevista </w:t>
      </w:r>
      <w:r w:rsidR="00FC53A4" w:rsidRPr="00F73E65">
        <w:rPr>
          <w:rFonts w:ascii="Cambria" w:hAnsi="Cambria"/>
          <w:sz w:val="20"/>
        </w:rPr>
        <w:t xml:space="preserve">en el </w:t>
      </w:r>
      <w:r w:rsidR="00FC53A4" w:rsidRPr="00F73E65">
        <w:rPr>
          <w:rFonts w:ascii="Cambria" w:hAnsi="Cambria"/>
          <w:b/>
          <w:sz w:val="20"/>
        </w:rPr>
        <w:t>Anexo</w:t>
      </w:r>
      <w:r w:rsidR="00F75EC7" w:rsidRPr="00F73E65">
        <w:rPr>
          <w:rFonts w:ascii="Cambria" w:hAnsi="Cambria"/>
          <w:b/>
          <w:bCs/>
          <w:sz w:val="20"/>
        </w:rPr>
        <w:t> </w:t>
      </w:r>
      <w:r w:rsidR="00C45F21" w:rsidRPr="00F73E65">
        <w:rPr>
          <w:rFonts w:ascii="Cambria" w:hAnsi="Cambria"/>
          <w:b/>
          <w:bCs/>
          <w:sz w:val="20"/>
          <w:u w:val="single"/>
        </w:rPr>
        <w:t>2</w:t>
      </w:r>
      <w:r w:rsidR="00FC53A4" w:rsidRPr="00F73E65">
        <w:rPr>
          <w:rFonts w:ascii="Cambria" w:hAnsi="Cambria"/>
          <w:sz w:val="20"/>
        </w:rPr>
        <w:t xml:space="preserve"> de la presente Recomendación</w:t>
      </w:r>
      <w:r w:rsidR="00AD2244" w:rsidRPr="00F73E65">
        <w:rPr>
          <w:rFonts w:ascii="Cambria" w:hAnsi="Cambria"/>
          <w:sz w:val="20"/>
        </w:rPr>
        <w:t xml:space="preserve">, </w:t>
      </w:r>
      <w:r w:rsidR="002B16F1" w:rsidRPr="00F73E65">
        <w:rPr>
          <w:rFonts w:ascii="Cambria" w:hAnsi="Cambria"/>
          <w:sz w:val="20"/>
        </w:rPr>
        <w:t xml:space="preserve">con el fin de liberar sin demora e ilesos, en la medida de lo posible, </w:t>
      </w:r>
      <w:r w:rsidR="007E7993" w:rsidRPr="00F73E65">
        <w:rPr>
          <w:rFonts w:ascii="Cambria" w:hAnsi="Cambria"/>
          <w:sz w:val="20"/>
        </w:rPr>
        <w:t xml:space="preserve">los ejemplares vivos de marrajo </w:t>
      </w:r>
      <w:r w:rsidR="007E7993" w:rsidRPr="00F73E65">
        <w:rPr>
          <w:rFonts w:ascii="Cambria" w:eastAsia="Cambria" w:hAnsi="Cambria" w:cs="Cambria"/>
          <w:color w:val="000000"/>
          <w:sz w:val="20"/>
          <w:szCs w:val="22"/>
          <w:lang w:eastAsia="en-GB"/>
        </w:rPr>
        <w:t>dientuso</w:t>
      </w:r>
      <w:r w:rsidR="007E7993" w:rsidRPr="00F73E65">
        <w:rPr>
          <w:rFonts w:ascii="Cambria" w:hAnsi="Cambria"/>
          <w:sz w:val="20"/>
        </w:rPr>
        <w:t xml:space="preserve"> del Atlántico </w:t>
      </w:r>
      <w:r w:rsidR="00705B69" w:rsidRPr="00F73E65">
        <w:rPr>
          <w:rFonts w:ascii="Cambria" w:hAnsi="Cambria"/>
          <w:sz w:val="20"/>
        </w:rPr>
        <w:t xml:space="preserve">sur </w:t>
      </w:r>
      <w:r w:rsidR="00BB1499" w:rsidRPr="00F73E65">
        <w:rPr>
          <w:rFonts w:ascii="Cambria" w:hAnsi="Cambria"/>
          <w:sz w:val="20"/>
        </w:rPr>
        <w:t xml:space="preserve">e incrementar </w:t>
      </w:r>
      <w:r w:rsidR="007E7993" w:rsidRPr="00F73E65">
        <w:rPr>
          <w:rFonts w:ascii="Cambria" w:hAnsi="Cambria"/>
          <w:sz w:val="20"/>
        </w:rPr>
        <w:t>su</w:t>
      </w:r>
      <w:r w:rsidR="002B16F1" w:rsidRPr="00F73E65">
        <w:rPr>
          <w:rFonts w:ascii="Cambria" w:hAnsi="Cambria"/>
          <w:sz w:val="20"/>
        </w:rPr>
        <w:t xml:space="preserve"> </w:t>
      </w:r>
      <w:r w:rsidR="00BB1499" w:rsidRPr="00F73E65">
        <w:rPr>
          <w:rFonts w:ascii="Cambria" w:hAnsi="Cambria"/>
          <w:sz w:val="20"/>
        </w:rPr>
        <w:t>posibilidades</w:t>
      </w:r>
      <w:r w:rsidR="00B92F1C" w:rsidRPr="00F73E65">
        <w:rPr>
          <w:rFonts w:ascii="Cambria" w:hAnsi="Cambria"/>
          <w:sz w:val="20"/>
        </w:rPr>
        <w:t xml:space="preserve"> de </w:t>
      </w:r>
      <w:r w:rsidR="002B16F1" w:rsidRPr="00F73E65">
        <w:rPr>
          <w:rFonts w:ascii="Cambria" w:hAnsi="Cambria"/>
          <w:sz w:val="20"/>
        </w:rPr>
        <w:t>supervivencia cuando sean llevados al costado del buque</w:t>
      </w:r>
      <w:r w:rsidR="0095149D" w:rsidRPr="00F73E65">
        <w:rPr>
          <w:rFonts w:ascii="Cambria" w:hAnsi="Cambria"/>
          <w:sz w:val="20"/>
        </w:rPr>
        <w:t xml:space="preserve">. La Comisión podría considerar revisiones de este </w:t>
      </w:r>
      <w:r w:rsidR="0095149D" w:rsidRPr="00F73E65">
        <w:rPr>
          <w:rFonts w:ascii="Cambria" w:hAnsi="Cambria"/>
          <w:b/>
          <w:sz w:val="20"/>
        </w:rPr>
        <w:t>Anexo</w:t>
      </w:r>
      <w:r w:rsidR="00F75EC7" w:rsidRPr="00F73E65">
        <w:rPr>
          <w:rFonts w:ascii="Cambria" w:hAnsi="Cambria"/>
          <w:b/>
          <w:bCs/>
          <w:sz w:val="20"/>
        </w:rPr>
        <w:t> </w:t>
      </w:r>
      <w:r w:rsidR="00C45F21" w:rsidRPr="00F73E65">
        <w:rPr>
          <w:rFonts w:ascii="Cambria" w:hAnsi="Cambria"/>
          <w:b/>
          <w:bCs/>
          <w:sz w:val="20"/>
          <w:u w:val="single"/>
        </w:rPr>
        <w:t>2</w:t>
      </w:r>
      <w:r w:rsidR="0095149D" w:rsidRPr="00F73E65">
        <w:rPr>
          <w:rFonts w:ascii="Cambria" w:hAnsi="Cambria"/>
          <w:sz w:val="20"/>
          <w:u w:val="single"/>
        </w:rPr>
        <w:t xml:space="preserve"> </w:t>
      </w:r>
      <w:r w:rsidR="0095149D" w:rsidRPr="00F73E65">
        <w:rPr>
          <w:rFonts w:ascii="Cambria" w:hAnsi="Cambria"/>
          <w:sz w:val="20"/>
        </w:rPr>
        <w:t>a medida que se disponga de nueva información del SCRS</w:t>
      </w:r>
      <w:r w:rsidR="00755EEC" w:rsidRPr="00F73E65">
        <w:rPr>
          <w:rFonts w:ascii="Cambria" w:hAnsi="Cambria"/>
          <w:sz w:val="20"/>
        </w:rPr>
        <w:t>.</w:t>
      </w:r>
    </w:p>
    <w:p w14:paraId="13F1EC89" w14:textId="6CA76C8A" w:rsidR="006C29B8" w:rsidRPr="00F73E65" w:rsidRDefault="006C29B8" w:rsidP="00CA1427">
      <w:pPr>
        <w:tabs>
          <w:tab w:val="left" w:pos="426"/>
        </w:tabs>
        <w:ind w:left="426" w:hanging="284"/>
        <w:jc w:val="both"/>
        <w:rPr>
          <w:rFonts w:ascii="Cambria" w:hAnsi="Cambria"/>
          <w:sz w:val="20"/>
          <w:szCs w:val="20"/>
        </w:rPr>
      </w:pPr>
    </w:p>
    <w:p w14:paraId="534B0923" w14:textId="653C76F3" w:rsidR="00000D49" w:rsidRPr="00F73E65" w:rsidRDefault="00AF6568" w:rsidP="0077130C">
      <w:pPr>
        <w:jc w:val="both"/>
        <w:rPr>
          <w:rFonts w:cs="Times New Roman"/>
          <w:b/>
          <w:color w:val="000000"/>
          <w:sz w:val="20"/>
          <w:szCs w:val="20"/>
        </w:rPr>
      </w:pPr>
      <w:r w:rsidRPr="00F73E65">
        <w:rPr>
          <w:b/>
          <w:color w:val="000000"/>
          <w:sz w:val="20"/>
        </w:rPr>
        <w:t>Requisitos relacionados con la comunicación de información sob</w:t>
      </w:r>
      <w:r w:rsidR="00C45F21" w:rsidRPr="00F73E65">
        <w:rPr>
          <w:b/>
          <w:color w:val="000000"/>
          <w:sz w:val="20"/>
        </w:rPr>
        <w:t>r</w:t>
      </w:r>
      <w:r w:rsidRPr="00F73E65">
        <w:rPr>
          <w:b/>
          <w:color w:val="000000"/>
          <w:sz w:val="20"/>
        </w:rPr>
        <w:t>e implementación</w:t>
      </w:r>
    </w:p>
    <w:p w14:paraId="00AA76E2" w14:textId="77777777" w:rsidR="00000D49" w:rsidRPr="00F73E65" w:rsidRDefault="00000D49" w:rsidP="00000D49">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0F887A3A" w14:textId="1CEE5DBF" w:rsidR="00515952" w:rsidRPr="00F73E65" w:rsidRDefault="00515952" w:rsidP="00515952">
      <w:pPr>
        <w:tabs>
          <w:tab w:val="left" w:pos="426"/>
        </w:tabs>
        <w:ind w:left="426" w:hanging="426"/>
        <w:jc w:val="both"/>
        <w:rPr>
          <w:rFonts w:ascii="Cambria" w:eastAsia="Cambria" w:hAnsi="Cambria" w:cs="Cambria"/>
          <w:color w:val="000000"/>
          <w:sz w:val="20"/>
          <w:szCs w:val="20"/>
          <w:u w:val="single"/>
          <w:lang w:eastAsia="en-GB"/>
        </w:rPr>
      </w:pPr>
      <w:r w:rsidRPr="00F73E65">
        <w:rPr>
          <w:rFonts w:ascii="Cambria" w:hAnsi="Cambria"/>
          <w:sz w:val="20"/>
          <w:szCs w:val="20"/>
        </w:rPr>
        <w:t>11.</w:t>
      </w:r>
      <w:r w:rsidRPr="00F73E65">
        <w:rPr>
          <w:rFonts w:ascii="Cambria" w:hAnsi="Cambria"/>
          <w:sz w:val="20"/>
          <w:szCs w:val="20"/>
        </w:rPr>
        <w:tab/>
      </w:r>
      <w:r w:rsidR="00E6770F" w:rsidRPr="00F73E65">
        <w:rPr>
          <w:rFonts w:ascii="Cambria" w:hAnsi="Cambria"/>
          <w:sz w:val="20"/>
          <w:szCs w:val="20"/>
        </w:rPr>
        <w:t xml:space="preserve">De </w:t>
      </w:r>
      <w:r w:rsidR="00E6770F" w:rsidRPr="00F73E65">
        <w:rPr>
          <w:rFonts w:ascii="Cambria" w:hAnsi="Cambria"/>
          <w:sz w:val="20"/>
        </w:rPr>
        <w:t>conformidad</w:t>
      </w:r>
      <w:r w:rsidR="00E6770F" w:rsidRPr="00F73E65">
        <w:rPr>
          <w:rFonts w:ascii="Cambria" w:hAnsi="Cambria"/>
          <w:sz w:val="20"/>
          <w:szCs w:val="20"/>
        </w:rPr>
        <w:t xml:space="preserve"> con l</w:t>
      </w:r>
      <w:r w:rsidR="008E134F" w:rsidRPr="00F73E65">
        <w:rPr>
          <w:rFonts w:ascii="Cambria" w:hAnsi="Cambria"/>
          <w:sz w:val="20"/>
          <w:szCs w:val="20"/>
        </w:rPr>
        <w:t>a Rec. 18-06</w:t>
      </w:r>
      <w:r w:rsidR="008E134F" w:rsidRPr="00F73E65">
        <w:rPr>
          <w:rFonts w:ascii="Cambria" w:hAnsi="Cambria"/>
          <w:sz w:val="20"/>
        </w:rPr>
        <w:t xml:space="preserve">, </w:t>
      </w:r>
      <w:r w:rsidR="007409D6" w:rsidRPr="00F73E65">
        <w:rPr>
          <w:rFonts w:ascii="Cambria" w:hAnsi="Cambria"/>
          <w:sz w:val="20"/>
        </w:rPr>
        <w:t>l</w:t>
      </w:r>
      <w:r w:rsidR="000C2256" w:rsidRPr="00F73E65">
        <w:rPr>
          <w:rFonts w:ascii="Cambria" w:hAnsi="Cambria"/>
          <w:sz w:val="20"/>
        </w:rPr>
        <w:t xml:space="preserve">as CPC presentarán una hoja de comprobación de implementación de medidas relacionadas con los tiburones para facilitar información sobre el modo en que se </w:t>
      </w:r>
      <w:r w:rsidR="008E134F" w:rsidRPr="00F73E65">
        <w:rPr>
          <w:rFonts w:ascii="Cambria" w:hAnsi="Cambria"/>
          <w:sz w:val="20"/>
          <w:szCs w:val="20"/>
        </w:rPr>
        <w:t xml:space="preserve">está </w:t>
      </w:r>
      <w:r w:rsidR="008E134F" w:rsidRPr="00F73E65">
        <w:rPr>
          <w:rFonts w:ascii="Cambria" w:eastAsia="Cambria" w:hAnsi="Cambria" w:cs="Cambria"/>
          <w:color w:val="000000"/>
          <w:sz w:val="20"/>
          <w:szCs w:val="22"/>
          <w:lang w:eastAsia="en-GB"/>
        </w:rPr>
        <w:t>implementando</w:t>
      </w:r>
      <w:r w:rsidR="000C2256" w:rsidRPr="00F73E65">
        <w:rPr>
          <w:rFonts w:ascii="Cambria" w:hAnsi="Cambria"/>
          <w:sz w:val="20"/>
        </w:rPr>
        <w:t xml:space="preserve"> esta Recomendación.</w:t>
      </w:r>
      <w:r w:rsidR="00E6144D" w:rsidRPr="00F73E65">
        <w:rPr>
          <w:rFonts w:ascii="Cambria" w:hAnsi="Cambria"/>
          <w:sz w:val="20"/>
        </w:rPr>
        <w:t xml:space="preserve"> </w:t>
      </w:r>
      <w:r w:rsidRPr="00F73E65">
        <w:rPr>
          <w:rFonts w:ascii="Cambria" w:eastAsia="Cambria" w:hAnsi="Cambria" w:cs="Cambria"/>
          <w:color w:val="000000"/>
          <w:sz w:val="20"/>
          <w:szCs w:val="20"/>
          <w:u w:val="single"/>
          <w:lang w:eastAsia="en-GB"/>
        </w:rPr>
        <w:t>Si el Comité de cumplimiento determina que una CPC no comunica esta información tal y como requiere la Recomendación 18-06, dicha CPC requerirá inmediatamente a sus buques pesqueros que se abstengan de retener o desembarcar marrajo dientuso del Atlántico sur hasta que se realice la comunicación requerida a ICCAT.</w:t>
      </w:r>
    </w:p>
    <w:p w14:paraId="4E93A669" w14:textId="01C5B101" w:rsidR="00000D49" w:rsidRPr="00F73E65" w:rsidRDefault="00000D49" w:rsidP="007B248B">
      <w:pPr>
        <w:tabs>
          <w:tab w:val="left" w:pos="426"/>
        </w:tabs>
        <w:ind w:left="426" w:hanging="426"/>
        <w:jc w:val="both"/>
        <w:rPr>
          <w:rFonts w:ascii="Cambria" w:hAnsi="Cambria"/>
          <w:sz w:val="20"/>
          <w:szCs w:val="20"/>
        </w:rPr>
      </w:pPr>
    </w:p>
    <w:p w14:paraId="27AAE891" w14:textId="77777777" w:rsidR="002738E9" w:rsidRPr="00F73E65" w:rsidRDefault="002738E9" w:rsidP="002738E9">
      <w:pPr>
        <w:pStyle w:val="ListParagraph"/>
        <w:tabs>
          <w:tab w:val="left" w:pos="426"/>
        </w:tabs>
        <w:ind w:left="426"/>
        <w:jc w:val="both"/>
        <w:rPr>
          <w:rFonts w:ascii="Cambria" w:hAnsi="Cambria"/>
          <w:sz w:val="20"/>
          <w:szCs w:val="20"/>
        </w:rPr>
      </w:pPr>
    </w:p>
    <w:p w14:paraId="27589559" w14:textId="0BD2519E" w:rsidR="00906280" w:rsidRPr="00F73E65" w:rsidRDefault="00515952" w:rsidP="00906280">
      <w:pPr>
        <w:tabs>
          <w:tab w:val="left" w:pos="426"/>
        </w:tabs>
        <w:ind w:left="426" w:hanging="426"/>
        <w:jc w:val="both"/>
        <w:rPr>
          <w:rFonts w:ascii="Cambria" w:hAnsi="Cambria"/>
          <w:sz w:val="20"/>
          <w:szCs w:val="20"/>
          <w:u w:val="single"/>
        </w:rPr>
      </w:pPr>
      <w:r w:rsidRPr="00F73E65">
        <w:rPr>
          <w:rFonts w:ascii="Cambria" w:hAnsi="Cambria"/>
          <w:sz w:val="20"/>
        </w:rPr>
        <w:t xml:space="preserve">12. </w:t>
      </w:r>
      <w:r w:rsidR="00906280" w:rsidRPr="00F73E65">
        <w:rPr>
          <w:rFonts w:ascii="Cambria" w:hAnsi="Cambria"/>
          <w:sz w:val="20"/>
        </w:rPr>
        <w:tab/>
      </w:r>
      <w:r w:rsidR="000B375B" w:rsidRPr="00F73E65">
        <w:rPr>
          <w:rFonts w:ascii="Cambria" w:hAnsi="Cambria"/>
          <w:sz w:val="20"/>
        </w:rPr>
        <w:t xml:space="preserve">Las CPC comunicarán a la Secretaría de ICCAT, de conformidad con los requisitos de comunicación de datos de ICCAT, </w:t>
      </w:r>
      <w:r w:rsidR="008E134F" w:rsidRPr="00F73E65">
        <w:rPr>
          <w:rFonts w:ascii="Cambria" w:hAnsi="Cambria"/>
          <w:sz w:val="20"/>
          <w:szCs w:val="20"/>
        </w:rPr>
        <w:t>l</w:t>
      </w:r>
      <w:r w:rsidR="000B375B" w:rsidRPr="00F73E65">
        <w:rPr>
          <w:rFonts w:ascii="Cambria" w:hAnsi="Cambria"/>
          <w:sz w:val="20"/>
        </w:rPr>
        <w:t>as capturas totale</w:t>
      </w:r>
      <w:r w:rsidR="000B375B" w:rsidRPr="00F73E65">
        <w:rPr>
          <w:rFonts w:ascii="Cambria" w:hAnsi="Cambria"/>
          <w:sz w:val="20"/>
          <w:szCs w:val="20"/>
        </w:rPr>
        <w:t>s</w:t>
      </w:r>
      <w:r w:rsidR="000B375B" w:rsidRPr="00F73E65">
        <w:rPr>
          <w:rFonts w:ascii="Cambria" w:hAnsi="Cambria"/>
          <w:sz w:val="20"/>
        </w:rPr>
        <w:t>, incluidos</w:t>
      </w:r>
      <w:r w:rsidR="00480039" w:rsidRPr="00F73E65">
        <w:rPr>
          <w:rFonts w:ascii="Cambria" w:hAnsi="Cambria"/>
          <w:sz w:val="20"/>
        </w:rPr>
        <w:t xml:space="preserve"> </w:t>
      </w:r>
      <w:r w:rsidR="008E134F" w:rsidRPr="00F73E65">
        <w:rPr>
          <w:rFonts w:ascii="Cambria" w:hAnsi="Cambria"/>
          <w:sz w:val="20"/>
          <w:szCs w:val="20"/>
        </w:rPr>
        <w:t>cualquier desembarqu</w:t>
      </w:r>
      <w:r w:rsidR="008E134F" w:rsidRPr="00F73E65">
        <w:rPr>
          <w:rFonts w:ascii="Cambria" w:eastAsia="Yu Mincho" w:hAnsi="Cambria" w:cs="Times New Roman"/>
          <w:kern w:val="2"/>
          <w:sz w:val="20"/>
          <w:szCs w:val="22"/>
          <w:lang w:eastAsia="ja-JP"/>
        </w:rPr>
        <w:t xml:space="preserve">e, </w:t>
      </w:r>
      <w:r w:rsidR="008E134F" w:rsidRPr="00F73E65">
        <w:rPr>
          <w:rFonts w:ascii="Cambria" w:hAnsi="Cambria"/>
          <w:sz w:val="20"/>
        </w:rPr>
        <w:t xml:space="preserve">los descartes </w:t>
      </w:r>
      <w:r w:rsidR="007409D6" w:rsidRPr="00F73E65">
        <w:rPr>
          <w:rFonts w:ascii="Cambria" w:hAnsi="Cambria"/>
          <w:sz w:val="20"/>
        </w:rPr>
        <w:t xml:space="preserve">de ejemplares </w:t>
      </w:r>
      <w:r w:rsidR="008E134F" w:rsidRPr="00F73E65">
        <w:rPr>
          <w:rFonts w:ascii="Cambria" w:hAnsi="Cambria"/>
          <w:sz w:val="20"/>
        </w:rPr>
        <w:t xml:space="preserve">muertos y las liberaciones </w:t>
      </w:r>
      <w:r w:rsidR="007409D6" w:rsidRPr="00F73E65">
        <w:rPr>
          <w:rFonts w:ascii="Cambria" w:hAnsi="Cambria"/>
          <w:sz w:val="20"/>
        </w:rPr>
        <w:t>de ejemplares vivos</w:t>
      </w:r>
      <w:r w:rsidR="008E134F" w:rsidRPr="00F73E65">
        <w:rPr>
          <w:rFonts w:ascii="Cambria" w:hAnsi="Cambria"/>
          <w:sz w:val="20"/>
        </w:rPr>
        <w:t xml:space="preserve"> de marrajo dientuso del Atlántico </w:t>
      </w:r>
      <w:r w:rsidR="00705B69" w:rsidRPr="00F73E65">
        <w:rPr>
          <w:rFonts w:ascii="Cambria" w:hAnsi="Cambria"/>
          <w:sz w:val="20"/>
        </w:rPr>
        <w:t>sur</w:t>
      </w:r>
      <w:r w:rsidR="008E134F" w:rsidRPr="00F73E65">
        <w:rPr>
          <w:rFonts w:ascii="Cambria" w:eastAsia="Yu Mincho" w:hAnsi="Cambria" w:cs="Times New Roman"/>
          <w:kern w:val="2"/>
          <w:sz w:val="20"/>
          <w:szCs w:val="22"/>
          <w:lang w:eastAsia="ja-JP"/>
        </w:rPr>
        <w:t>.</w:t>
      </w:r>
      <w:r w:rsidR="00906280" w:rsidRPr="00F73E65">
        <w:rPr>
          <w:rFonts w:ascii="Cambria" w:hAnsi="Cambria"/>
          <w:sz w:val="20"/>
          <w:szCs w:val="20"/>
          <w:u w:val="single"/>
        </w:rPr>
        <w:t xml:space="preserve"> La frecuencia de comunicación será mensual para todos los desembarques permitidos con el fin de realizar un seguimiento estrecho del consumo de la tolerancia de retención. Este informe se enviará a la Secretaría de ICCAT en un plazo de 30 días a partir del final del mes </w:t>
      </w:r>
      <w:r w:rsidR="006B7CE7" w:rsidRPr="00F73E65">
        <w:rPr>
          <w:rFonts w:ascii="Cambria" w:hAnsi="Cambria"/>
          <w:sz w:val="20"/>
          <w:szCs w:val="20"/>
          <w:u w:val="single"/>
        </w:rPr>
        <w:t>civil</w:t>
      </w:r>
      <w:r w:rsidR="00906280" w:rsidRPr="00F73E65">
        <w:rPr>
          <w:rFonts w:ascii="Cambria" w:hAnsi="Cambria"/>
          <w:sz w:val="20"/>
          <w:szCs w:val="20"/>
          <w:u w:val="single"/>
        </w:rPr>
        <w:t xml:space="preserve"> en el que se realizaron las capturas y de manera anual para los descartes de ejemplares muertos, las liberaciones de ejemplares vivos y las capturas totales. La Secretaría de ICCAT notificará a todas las CPC el momento en que una CPC alcanza su límite de retención basándose en los desembarques mensuales comunicados. Las CPC que no presenten informes mensuales no autorizarán la retención de marrajo dientuso del Atlántico sur. </w:t>
      </w:r>
    </w:p>
    <w:p w14:paraId="647EE15E" w14:textId="77777777" w:rsidR="00906280" w:rsidRPr="00F73E65" w:rsidRDefault="00906280" w:rsidP="00906280">
      <w:pPr>
        <w:tabs>
          <w:tab w:val="left" w:pos="426"/>
        </w:tabs>
        <w:ind w:left="426" w:hanging="426"/>
        <w:jc w:val="both"/>
        <w:rPr>
          <w:rFonts w:ascii="Cambria" w:hAnsi="Cambria"/>
          <w:sz w:val="20"/>
          <w:szCs w:val="20"/>
          <w:u w:val="single"/>
        </w:rPr>
      </w:pPr>
    </w:p>
    <w:p w14:paraId="66C990BA" w14:textId="77777777" w:rsidR="00906280" w:rsidRPr="00F73E65" w:rsidRDefault="00906280" w:rsidP="00906280">
      <w:pPr>
        <w:tabs>
          <w:tab w:val="left" w:pos="426"/>
        </w:tabs>
        <w:ind w:left="426" w:hanging="426"/>
        <w:jc w:val="both"/>
        <w:rPr>
          <w:rFonts w:ascii="Cambria" w:hAnsi="Cambria"/>
          <w:sz w:val="20"/>
          <w:szCs w:val="20"/>
          <w:u w:val="single"/>
        </w:rPr>
      </w:pPr>
    </w:p>
    <w:p w14:paraId="79A4BF28" w14:textId="77777777" w:rsidR="00906280" w:rsidRPr="00F73E65" w:rsidRDefault="00906280" w:rsidP="00906280">
      <w:pPr>
        <w:tabs>
          <w:tab w:val="left" w:pos="426"/>
        </w:tabs>
        <w:ind w:left="426" w:hanging="426"/>
        <w:jc w:val="both"/>
        <w:rPr>
          <w:rFonts w:ascii="Cambria" w:hAnsi="Cambria"/>
          <w:sz w:val="20"/>
          <w:szCs w:val="20"/>
          <w:u w:val="single"/>
        </w:rPr>
      </w:pPr>
    </w:p>
    <w:p w14:paraId="78683DF8" w14:textId="6F0743BA" w:rsidR="00DD63B7" w:rsidRPr="00F73E65" w:rsidRDefault="00DD63B7" w:rsidP="00DD63B7">
      <w:pPr>
        <w:tabs>
          <w:tab w:val="left" w:pos="426"/>
        </w:tabs>
        <w:ind w:left="426" w:hanging="426"/>
        <w:jc w:val="both"/>
        <w:rPr>
          <w:rFonts w:ascii="Cambria" w:hAnsi="Cambria"/>
          <w:sz w:val="20"/>
          <w:szCs w:val="20"/>
          <w:u w:val="single"/>
        </w:rPr>
      </w:pPr>
      <w:r w:rsidRPr="00F73E65">
        <w:rPr>
          <w:rFonts w:ascii="Cambria" w:hAnsi="Cambria"/>
          <w:sz w:val="20"/>
          <w:szCs w:val="20"/>
          <w:u w:val="single"/>
        </w:rPr>
        <w:lastRenderedPageBreak/>
        <w:t>13.</w:t>
      </w:r>
      <w:r w:rsidRPr="00F73E65">
        <w:rPr>
          <w:rFonts w:ascii="Cambria" w:hAnsi="Cambria"/>
          <w:sz w:val="20"/>
          <w:szCs w:val="20"/>
          <w:u w:val="single"/>
        </w:rPr>
        <w:tab/>
        <w:t>Cualquier retención por parte de una CPC que supere su tolerancia de retención tal y como se establece en los párrafos 5 y 7 dará lugar a una reducción de la tolerancia de esa CPC para el siguiente año en una cantidad igual al exceso. Dicha CPC tendrá prohibida la retención hasta que se devuelva por completo cualquier exceso de captura. No se permitirán los traspasos de remanentes por parte de las CPC a años futuros.</w:t>
      </w:r>
    </w:p>
    <w:p w14:paraId="652C118B" w14:textId="77777777" w:rsidR="00906280" w:rsidRPr="00F73E65" w:rsidRDefault="00906280" w:rsidP="00906280">
      <w:pPr>
        <w:tabs>
          <w:tab w:val="left" w:pos="426"/>
        </w:tabs>
        <w:ind w:left="426" w:hanging="426"/>
        <w:jc w:val="both"/>
        <w:rPr>
          <w:rFonts w:ascii="Cambria" w:hAnsi="Cambria"/>
          <w:sz w:val="20"/>
          <w:szCs w:val="20"/>
        </w:rPr>
      </w:pPr>
    </w:p>
    <w:p w14:paraId="34A53F3D" w14:textId="25FE6252" w:rsidR="00806630" w:rsidRPr="00F73E65" w:rsidRDefault="00806630" w:rsidP="00806630">
      <w:pPr>
        <w:tabs>
          <w:tab w:val="left" w:pos="426"/>
        </w:tabs>
        <w:ind w:left="426" w:hanging="426"/>
        <w:jc w:val="both"/>
        <w:rPr>
          <w:rFonts w:ascii="Cambria" w:eastAsia="Cambria" w:hAnsi="Cambria" w:cs="Cambria"/>
          <w:color w:val="000000"/>
          <w:sz w:val="20"/>
          <w:szCs w:val="20"/>
          <w:u w:val="single"/>
          <w:lang w:eastAsia="en-GB"/>
        </w:rPr>
      </w:pPr>
      <w:r w:rsidRPr="00F73E65">
        <w:rPr>
          <w:color w:val="000000" w:themeColor="text1"/>
          <w:sz w:val="20"/>
        </w:rPr>
        <w:t>14.</w:t>
      </w:r>
      <w:r w:rsidRPr="00F73E65">
        <w:rPr>
          <w:color w:val="000000" w:themeColor="text1"/>
          <w:sz w:val="20"/>
        </w:rPr>
        <w:tab/>
      </w:r>
      <w:r w:rsidR="008820FE" w:rsidRPr="00F73E65">
        <w:rPr>
          <w:color w:val="000000" w:themeColor="text1"/>
          <w:sz w:val="20"/>
        </w:rPr>
        <w:t>L</w:t>
      </w:r>
      <w:r w:rsidR="00755EEC" w:rsidRPr="00F73E65">
        <w:rPr>
          <w:color w:val="000000" w:themeColor="text1"/>
          <w:sz w:val="20"/>
        </w:rPr>
        <w:t xml:space="preserve">as CPC que comunicaron capturas </w:t>
      </w:r>
      <w:r w:rsidR="00755EEC" w:rsidRPr="00F73E65">
        <w:rPr>
          <w:rFonts w:ascii="Cambria" w:eastAsia="Yu Mincho" w:hAnsi="Cambria" w:cs="Times New Roman"/>
          <w:kern w:val="2"/>
          <w:sz w:val="20"/>
          <w:szCs w:val="22"/>
          <w:lang w:eastAsia="ja-JP"/>
        </w:rPr>
        <w:t>medias anuales</w:t>
      </w:r>
      <w:r w:rsidR="00755EEC" w:rsidRPr="00F73E65">
        <w:rPr>
          <w:color w:val="000000" w:themeColor="text1"/>
          <w:sz w:val="20"/>
        </w:rPr>
        <w:t xml:space="preserve"> </w:t>
      </w:r>
      <w:r w:rsidR="00755EEC" w:rsidRPr="00F73E65">
        <w:rPr>
          <w:rFonts w:ascii="Cambria" w:eastAsia="Yu Mincho" w:hAnsi="Cambria" w:cs="Times New Roman"/>
          <w:kern w:val="2"/>
          <w:sz w:val="20"/>
          <w:szCs w:val="22"/>
          <w:lang w:eastAsia="ja-JP"/>
        </w:rPr>
        <w:t xml:space="preserve">(desembarques y descartes de </w:t>
      </w:r>
      <w:r w:rsidR="00755EEC" w:rsidRPr="00F73E65">
        <w:rPr>
          <w:rFonts w:ascii="Cambria" w:hAnsi="Cambria"/>
          <w:sz w:val="20"/>
        </w:rPr>
        <w:t>ejemplares</w:t>
      </w:r>
      <w:r w:rsidR="00755EEC" w:rsidRPr="00F73E65">
        <w:rPr>
          <w:rFonts w:ascii="Cambria" w:eastAsia="Yu Mincho" w:hAnsi="Cambria" w:cs="Times New Roman"/>
          <w:kern w:val="2"/>
          <w:sz w:val="20"/>
          <w:szCs w:val="22"/>
          <w:lang w:eastAsia="ja-JP"/>
        </w:rPr>
        <w:t xml:space="preserve"> muertos)</w:t>
      </w:r>
      <w:r w:rsidR="00755EEC" w:rsidRPr="00F73E65">
        <w:rPr>
          <w:color w:val="000000" w:themeColor="text1"/>
          <w:sz w:val="20"/>
        </w:rPr>
        <w:t xml:space="preserve"> </w:t>
      </w:r>
      <w:r w:rsidR="00755EEC" w:rsidRPr="00F73E65">
        <w:rPr>
          <w:rFonts w:ascii="Cambria" w:hAnsi="Cambria"/>
          <w:sz w:val="20"/>
          <w:szCs w:val="20"/>
        </w:rPr>
        <w:t>de</w:t>
      </w:r>
      <w:r w:rsidR="00755EEC" w:rsidRPr="00F73E65">
        <w:rPr>
          <w:color w:val="000000" w:themeColor="text1"/>
          <w:sz w:val="20"/>
        </w:rPr>
        <w:t xml:space="preserve"> marrajo dientuso del Atlántico </w:t>
      </w:r>
      <w:r w:rsidR="00705B69" w:rsidRPr="00F73E65">
        <w:rPr>
          <w:rFonts w:ascii="Cambria" w:hAnsi="Cambria"/>
          <w:sz w:val="20"/>
        </w:rPr>
        <w:t xml:space="preserve">sur </w:t>
      </w:r>
      <w:r w:rsidR="00755EEC" w:rsidRPr="00F73E65">
        <w:rPr>
          <w:color w:val="000000" w:themeColor="text1"/>
          <w:sz w:val="20"/>
        </w:rPr>
        <w:t>de más de 1</w:t>
      </w:r>
      <w:r w:rsidR="00665A5C" w:rsidRPr="00F73E65">
        <w:rPr>
          <w:color w:val="000000" w:themeColor="text1"/>
          <w:sz w:val="20"/>
        </w:rPr>
        <w:t xml:space="preserve"> t entre </w:t>
      </w:r>
      <w:r w:rsidR="00665A5C" w:rsidRPr="00F73E65">
        <w:rPr>
          <w:rFonts w:ascii="Cambria" w:eastAsia="Yu Mincho" w:hAnsi="Cambria" w:cs="Times New Roman"/>
          <w:kern w:val="2"/>
          <w:sz w:val="20"/>
          <w:szCs w:val="22"/>
          <w:lang w:eastAsia="ja-JP"/>
        </w:rPr>
        <w:t>2</w:t>
      </w:r>
      <w:r w:rsidR="00665A5C" w:rsidRPr="00F73E65">
        <w:rPr>
          <w:color w:val="000000" w:themeColor="text1"/>
          <w:sz w:val="20"/>
        </w:rPr>
        <w:t>018</w:t>
      </w:r>
      <w:r w:rsidR="004847ED" w:rsidRPr="00F73E65">
        <w:rPr>
          <w:color w:val="000000" w:themeColor="text1"/>
          <w:sz w:val="20"/>
        </w:rPr>
        <w:t xml:space="preserve"> y </w:t>
      </w:r>
      <w:r w:rsidR="00665A5C" w:rsidRPr="00F73E65">
        <w:rPr>
          <w:color w:val="000000" w:themeColor="text1"/>
          <w:sz w:val="20"/>
        </w:rPr>
        <w:t>202</w:t>
      </w:r>
      <w:r w:rsidR="00665A5C" w:rsidRPr="00F73E65">
        <w:rPr>
          <w:rFonts w:ascii="Cambria" w:eastAsia="Yu Mincho" w:hAnsi="Cambria" w:cs="Times New Roman"/>
          <w:kern w:val="2"/>
          <w:sz w:val="20"/>
          <w:szCs w:val="22"/>
          <w:lang w:eastAsia="ja-JP"/>
        </w:rPr>
        <w:t>0</w:t>
      </w:r>
      <w:r w:rsidR="00755EEC" w:rsidRPr="00F73E65">
        <w:rPr>
          <w:color w:val="000000" w:themeColor="text1"/>
          <w:sz w:val="20"/>
        </w:rPr>
        <w:t xml:space="preserve"> presentarán al SCRS la metodología estadística utilizada para estimar los descartes </w:t>
      </w:r>
      <w:r w:rsidR="007409D6" w:rsidRPr="00F73E65">
        <w:rPr>
          <w:color w:val="000000" w:themeColor="text1"/>
          <w:sz w:val="20"/>
        </w:rPr>
        <w:t xml:space="preserve">de ejemplares </w:t>
      </w:r>
      <w:r w:rsidR="00755EEC" w:rsidRPr="00F73E65">
        <w:rPr>
          <w:color w:val="000000" w:themeColor="text1"/>
          <w:sz w:val="20"/>
        </w:rPr>
        <w:t xml:space="preserve">muertos y las liberaciones de ejemplares vivos. Las CPC con pesquerías artesanales y de pequeña escala proporcionarán también información sobre sus programas de recopilación de datos. El SCRS revisará </w:t>
      </w:r>
      <w:r w:rsidR="00665A5C" w:rsidRPr="00F73E65">
        <w:rPr>
          <w:rFonts w:ascii="Cambria" w:eastAsia="Yu Mincho" w:hAnsi="Cambria" w:cs="Times New Roman"/>
          <w:kern w:val="2"/>
          <w:sz w:val="20"/>
          <w:szCs w:val="22"/>
          <w:lang w:eastAsia="ja-JP"/>
        </w:rPr>
        <w:t>y aprobará</w:t>
      </w:r>
      <w:r w:rsidR="00665A5C" w:rsidRPr="00F73E65">
        <w:rPr>
          <w:color w:val="000000" w:themeColor="text1"/>
          <w:sz w:val="20"/>
        </w:rPr>
        <w:t xml:space="preserve"> </w:t>
      </w:r>
      <w:r w:rsidR="00665A5C" w:rsidRPr="00F73E65">
        <w:rPr>
          <w:rFonts w:ascii="Cambria" w:eastAsia="Yu Mincho" w:hAnsi="Cambria" w:cs="Times New Roman"/>
          <w:kern w:val="2"/>
          <w:sz w:val="20"/>
          <w:szCs w:val="22"/>
          <w:lang w:eastAsia="ja-JP"/>
        </w:rPr>
        <w:t>los métodos</w:t>
      </w:r>
      <w:r w:rsidR="00755EEC" w:rsidRPr="00F73E65">
        <w:rPr>
          <w:color w:val="000000" w:themeColor="text1"/>
          <w:sz w:val="20"/>
        </w:rPr>
        <w:t xml:space="preserve"> y, si se determina que </w:t>
      </w:r>
      <w:r w:rsidR="00665A5C" w:rsidRPr="00F73E65">
        <w:rPr>
          <w:rFonts w:ascii="Cambria" w:eastAsia="Yu Mincho" w:hAnsi="Cambria" w:cs="Times New Roman"/>
          <w:kern w:val="2"/>
          <w:sz w:val="20"/>
          <w:szCs w:val="22"/>
          <w:lang w:eastAsia="ja-JP"/>
        </w:rPr>
        <w:t>los métodos</w:t>
      </w:r>
      <w:r w:rsidR="00665A5C" w:rsidRPr="00F73E65">
        <w:rPr>
          <w:color w:val="000000" w:themeColor="text1"/>
          <w:sz w:val="20"/>
        </w:rPr>
        <w:t xml:space="preserve"> </w:t>
      </w:r>
      <w:r w:rsidR="00755EEC" w:rsidRPr="00F73E65">
        <w:rPr>
          <w:color w:val="000000" w:themeColor="text1"/>
          <w:sz w:val="20"/>
        </w:rPr>
        <w:t>no está</w:t>
      </w:r>
      <w:r w:rsidR="00665A5C" w:rsidRPr="00F73E65">
        <w:rPr>
          <w:color w:val="000000" w:themeColor="text1"/>
          <w:sz w:val="20"/>
        </w:rPr>
        <w:t>n</w:t>
      </w:r>
      <w:r w:rsidR="00755EEC" w:rsidRPr="00F73E65">
        <w:rPr>
          <w:color w:val="000000" w:themeColor="text1"/>
          <w:sz w:val="20"/>
        </w:rPr>
        <w:t xml:space="preserve"> bien fundamentad</w:t>
      </w:r>
      <w:r w:rsidR="00665A5C" w:rsidRPr="00F73E65">
        <w:rPr>
          <w:rFonts w:ascii="Cambria" w:eastAsia="Yu Mincho" w:hAnsi="Cambria" w:cs="Times New Roman"/>
          <w:kern w:val="2"/>
          <w:sz w:val="20"/>
          <w:szCs w:val="22"/>
          <w:lang w:eastAsia="ja-JP"/>
        </w:rPr>
        <w:t>os</w:t>
      </w:r>
      <w:r w:rsidR="00755EEC" w:rsidRPr="00F73E65">
        <w:rPr>
          <w:color w:val="000000" w:themeColor="text1"/>
          <w:sz w:val="20"/>
        </w:rPr>
        <w:t xml:space="preserve"> desde el punto de vista científico, el SCRS proporcionará los comentarios pertinentes a las CPC en cuestión para mejo</w:t>
      </w:r>
      <w:r w:rsidR="00755EEC" w:rsidRPr="00F73E65">
        <w:rPr>
          <w:rFonts w:ascii="Cambria" w:eastAsia="Yu Mincho" w:hAnsi="Cambria" w:cs="Times New Roman"/>
          <w:kern w:val="2"/>
          <w:sz w:val="20"/>
          <w:szCs w:val="22"/>
          <w:lang w:eastAsia="ja-JP"/>
        </w:rPr>
        <w:t>rar</w:t>
      </w:r>
      <w:r w:rsidR="00665A5C" w:rsidRPr="00F73E65">
        <w:rPr>
          <w:rFonts w:ascii="Cambria" w:eastAsia="Yu Mincho" w:hAnsi="Cambria" w:cs="Times New Roman"/>
          <w:kern w:val="2"/>
          <w:sz w:val="20"/>
          <w:szCs w:val="22"/>
          <w:lang w:eastAsia="ja-JP"/>
        </w:rPr>
        <w:t>los</w:t>
      </w:r>
      <w:r w:rsidR="00755EEC" w:rsidRPr="00F73E65">
        <w:rPr>
          <w:color w:val="000000" w:themeColor="text1"/>
          <w:sz w:val="20"/>
        </w:rPr>
        <w:t>.</w:t>
      </w:r>
      <w:r w:rsidRPr="00F73E65">
        <w:rPr>
          <w:rFonts w:ascii="Cambria" w:eastAsia="Cambria" w:hAnsi="Cambria" w:cs="Cambria"/>
          <w:color w:val="000000"/>
          <w:sz w:val="20"/>
          <w:szCs w:val="20"/>
          <w:u w:val="single"/>
          <w:lang w:eastAsia="en-GB"/>
        </w:rPr>
        <w:t xml:space="preserve"> Las CPC que no hayan proporcionado su estimación de descartes </w:t>
      </w:r>
      <w:r w:rsidR="007B34A7" w:rsidRPr="00F73E65">
        <w:rPr>
          <w:rFonts w:ascii="Cambria" w:eastAsia="Cambria" w:hAnsi="Cambria" w:cs="Cambria"/>
          <w:color w:val="000000"/>
          <w:sz w:val="20"/>
          <w:szCs w:val="20"/>
          <w:u w:val="single"/>
          <w:lang w:eastAsia="en-GB"/>
        </w:rPr>
        <w:t xml:space="preserve">de ejemplares </w:t>
      </w:r>
      <w:r w:rsidRPr="00F73E65">
        <w:rPr>
          <w:rFonts w:ascii="Cambria" w:eastAsia="Cambria" w:hAnsi="Cambria" w:cs="Cambria"/>
          <w:color w:val="000000"/>
          <w:sz w:val="20"/>
          <w:szCs w:val="20"/>
          <w:u w:val="single"/>
          <w:lang w:eastAsia="en-GB"/>
        </w:rPr>
        <w:t xml:space="preserve">muertos y liberaciones de ejemplares vivos para su revisión por parte del SCRS en 2027 no permitirán la retención de marrajo dientuso.   </w:t>
      </w:r>
    </w:p>
    <w:p w14:paraId="39E3D0FA" w14:textId="4277D0BD" w:rsidR="00755EEC" w:rsidRPr="00F73E65" w:rsidRDefault="00755EEC" w:rsidP="00806630">
      <w:pPr>
        <w:pStyle w:val="ListParagraph"/>
        <w:ind w:left="426"/>
        <w:jc w:val="both"/>
        <w:rPr>
          <w:rFonts w:cs="Times New Roman"/>
          <w:color w:val="000000"/>
          <w:sz w:val="20"/>
          <w:szCs w:val="20"/>
        </w:rPr>
      </w:pPr>
    </w:p>
    <w:p w14:paraId="55EC4B46" w14:textId="6510AEB2" w:rsidR="00595E83" w:rsidRPr="00F73E65" w:rsidRDefault="00595E83" w:rsidP="008820FE">
      <w:pPr>
        <w:pStyle w:val="ListParagraph"/>
        <w:ind w:left="426"/>
        <w:jc w:val="both"/>
        <w:rPr>
          <w:rFonts w:cs="Times New Roman"/>
          <w:color w:val="000000"/>
          <w:sz w:val="20"/>
          <w:szCs w:val="20"/>
        </w:rPr>
      </w:pPr>
    </w:p>
    <w:p w14:paraId="2573E91D" w14:textId="77777777" w:rsidR="007F6DF0" w:rsidRPr="00F73E65" w:rsidRDefault="00806630" w:rsidP="007F6DF0">
      <w:pPr>
        <w:tabs>
          <w:tab w:val="left" w:pos="426"/>
        </w:tabs>
        <w:ind w:left="426" w:hanging="426"/>
        <w:jc w:val="both"/>
        <w:rPr>
          <w:rFonts w:ascii="Cambria" w:hAnsi="Cambria"/>
          <w:sz w:val="20"/>
          <w:szCs w:val="20"/>
          <w:u w:val="single"/>
        </w:rPr>
      </w:pPr>
      <w:r w:rsidRPr="00F73E65">
        <w:rPr>
          <w:rFonts w:ascii="Cambria" w:hAnsi="Cambria"/>
          <w:sz w:val="20"/>
        </w:rPr>
        <w:t xml:space="preserve">15. </w:t>
      </w:r>
      <w:r w:rsidRPr="00F73E65">
        <w:rPr>
          <w:rFonts w:ascii="Cambria" w:hAnsi="Cambria"/>
          <w:sz w:val="20"/>
        </w:rPr>
        <w:tab/>
      </w:r>
      <w:r w:rsidR="00595E83" w:rsidRPr="00F73E65">
        <w:rPr>
          <w:rFonts w:ascii="Cambria" w:hAnsi="Cambria"/>
          <w:sz w:val="20"/>
        </w:rPr>
        <w:t xml:space="preserve">Como parte de su presentación anual de datos de </w:t>
      </w:r>
      <w:r w:rsidR="00595E83" w:rsidRPr="00F73E65">
        <w:rPr>
          <w:rFonts w:ascii="Cambria" w:eastAsia="Yu Mincho" w:hAnsi="Cambria" w:cs="Times New Roman"/>
          <w:kern w:val="2"/>
          <w:sz w:val="20"/>
          <w:szCs w:val="22"/>
          <w:lang w:eastAsia="ja-JP"/>
        </w:rPr>
        <w:t>Tarea</w:t>
      </w:r>
      <w:r w:rsidR="00891016" w:rsidRPr="00F73E65">
        <w:rPr>
          <w:rFonts w:ascii="Cambria" w:eastAsia="Yu Mincho" w:hAnsi="Cambria" w:cs="Times New Roman"/>
          <w:kern w:val="2"/>
          <w:sz w:val="20"/>
          <w:szCs w:val="22"/>
          <w:lang w:eastAsia="ja-JP"/>
        </w:rPr>
        <w:t>s 1 y 2</w:t>
      </w:r>
      <w:r w:rsidR="00665A5C" w:rsidRPr="00F73E65">
        <w:rPr>
          <w:rFonts w:ascii="Cambria" w:eastAsia="Yu Mincho" w:hAnsi="Cambria" w:cs="Times New Roman"/>
          <w:kern w:val="2"/>
          <w:sz w:val="20"/>
          <w:szCs w:val="22"/>
          <w:lang w:eastAsia="ja-JP"/>
        </w:rPr>
        <w:t xml:space="preserve">, </w:t>
      </w:r>
      <w:r w:rsidR="00595E83" w:rsidRPr="00F73E65">
        <w:rPr>
          <w:rFonts w:ascii="Cambria" w:eastAsia="Yu Mincho" w:hAnsi="Cambria" w:cs="Times New Roman"/>
          <w:kern w:val="2"/>
          <w:sz w:val="20"/>
          <w:szCs w:val="22"/>
          <w:lang w:eastAsia="ja-JP"/>
        </w:rPr>
        <w:t>l</w:t>
      </w:r>
      <w:r w:rsidR="00595E83" w:rsidRPr="00F73E65">
        <w:rPr>
          <w:rFonts w:ascii="Cambria" w:hAnsi="Cambria"/>
          <w:sz w:val="20"/>
        </w:rPr>
        <w:t xml:space="preserve">as CPC proporcionarán todos los datos </w:t>
      </w:r>
      <w:r w:rsidR="00595E83" w:rsidRPr="00F73E65">
        <w:rPr>
          <w:color w:val="000000" w:themeColor="text1"/>
          <w:sz w:val="20"/>
        </w:rPr>
        <w:t>pertinentes</w:t>
      </w:r>
      <w:r w:rsidR="00595E83" w:rsidRPr="00F73E65">
        <w:rPr>
          <w:rFonts w:ascii="Cambria" w:hAnsi="Cambria"/>
          <w:sz w:val="20"/>
        </w:rPr>
        <w:t xml:space="preserve"> para el marrajo dientuso del Atlántico </w:t>
      </w:r>
      <w:r w:rsidR="00705B69" w:rsidRPr="00F73E65">
        <w:rPr>
          <w:rFonts w:ascii="Cambria" w:hAnsi="Cambria"/>
          <w:sz w:val="20"/>
        </w:rPr>
        <w:t>sur</w:t>
      </w:r>
      <w:r w:rsidR="00595E83" w:rsidRPr="00F73E65">
        <w:rPr>
          <w:rFonts w:ascii="Cambria" w:hAnsi="Cambria"/>
          <w:sz w:val="20"/>
        </w:rPr>
        <w:t xml:space="preserve">, incluidas las estimaciones de descartes </w:t>
      </w:r>
      <w:r w:rsidR="00665A5C" w:rsidRPr="00F73E65">
        <w:rPr>
          <w:rFonts w:ascii="Cambria" w:hAnsi="Cambria"/>
          <w:sz w:val="20"/>
        </w:rPr>
        <w:t xml:space="preserve">de ejemplares </w:t>
      </w:r>
      <w:r w:rsidR="00595E83" w:rsidRPr="00F73E65">
        <w:rPr>
          <w:rFonts w:ascii="Cambria" w:hAnsi="Cambria"/>
          <w:sz w:val="20"/>
        </w:rPr>
        <w:t xml:space="preserve">muertos y liberaciones </w:t>
      </w:r>
      <w:r w:rsidR="00665A5C" w:rsidRPr="00F73E65">
        <w:rPr>
          <w:rFonts w:ascii="Cambria" w:hAnsi="Cambria"/>
          <w:sz w:val="20"/>
        </w:rPr>
        <w:t>de ejemplares vivos</w:t>
      </w:r>
      <w:r w:rsidR="00546C67" w:rsidRPr="00F73E65">
        <w:rPr>
          <w:rFonts w:ascii="Cambria" w:hAnsi="Cambria"/>
          <w:sz w:val="20"/>
        </w:rPr>
        <w:t xml:space="preserve">, </w:t>
      </w:r>
      <w:r w:rsidR="00665A5C" w:rsidRPr="00F73E65">
        <w:rPr>
          <w:rFonts w:ascii="Cambria" w:eastAsia="Yu Mincho" w:hAnsi="Cambria" w:cs="Times New Roman"/>
          <w:kern w:val="2"/>
          <w:sz w:val="20"/>
          <w:szCs w:val="22"/>
          <w:lang w:eastAsia="ja-JP"/>
        </w:rPr>
        <w:t>u</w:t>
      </w:r>
      <w:r w:rsidR="00665A5C" w:rsidRPr="00F73E65">
        <w:rPr>
          <w:rFonts w:ascii="Cambria" w:hAnsi="Cambria"/>
          <w:sz w:val="20"/>
        </w:rPr>
        <w:t xml:space="preserve">tilizando los métodos aprobados por el SCRS </w:t>
      </w:r>
      <w:r w:rsidR="00DD1EFB" w:rsidRPr="00F73E65">
        <w:rPr>
          <w:rFonts w:ascii="Cambria" w:hAnsi="Cambria"/>
          <w:sz w:val="20"/>
        </w:rPr>
        <w:t>con arreglo a</w:t>
      </w:r>
      <w:r w:rsidR="00665A5C" w:rsidRPr="00F73E65">
        <w:rPr>
          <w:rFonts w:ascii="Cambria" w:hAnsi="Cambria"/>
          <w:sz w:val="20"/>
        </w:rPr>
        <w:t xml:space="preserve">l párrafo </w:t>
      </w:r>
      <w:r w:rsidR="00E3116E" w:rsidRPr="00F73E65">
        <w:rPr>
          <w:rFonts w:ascii="Cambria" w:hAnsi="Cambria"/>
          <w:sz w:val="20"/>
          <w:u w:val="single"/>
        </w:rPr>
        <w:t>14</w:t>
      </w:r>
      <w:r w:rsidR="00665A5C" w:rsidRPr="00F73E65">
        <w:rPr>
          <w:rFonts w:ascii="Cambria" w:hAnsi="Cambria"/>
          <w:sz w:val="20"/>
        </w:rPr>
        <w:t>.</w:t>
      </w:r>
      <w:r w:rsidR="00705B69" w:rsidRPr="00F73E65">
        <w:rPr>
          <w:rFonts w:ascii="Cambria" w:hAnsi="Cambria"/>
          <w:sz w:val="20"/>
        </w:rPr>
        <w:t xml:space="preserve"> La Secretaría </w:t>
      </w:r>
      <w:r w:rsidR="004847ED" w:rsidRPr="00F73E65">
        <w:rPr>
          <w:rFonts w:ascii="Cambria" w:hAnsi="Cambria"/>
          <w:sz w:val="20"/>
        </w:rPr>
        <w:t xml:space="preserve">de ICCAT </w:t>
      </w:r>
      <w:r w:rsidR="00705B69" w:rsidRPr="00F73E65">
        <w:rPr>
          <w:rFonts w:ascii="Cambria" w:hAnsi="Cambria"/>
          <w:sz w:val="20"/>
        </w:rPr>
        <w:t xml:space="preserve">se asegurará de que la Tabla 1 de los resúmenes ejecutivos tenga </w:t>
      </w:r>
      <w:r w:rsidR="00705B69" w:rsidRPr="00F73E65">
        <w:rPr>
          <w:color w:val="000000" w:themeColor="text1"/>
          <w:sz w:val="20"/>
        </w:rPr>
        <w:t>espacio</w:t>
      </w:r>
      <w:r w:rsidR="00705B69" w:rsidRPr="00F73E65">
        <w:rPr>
          <w:rFonts w:ascii="Cambria" w:hAnsi="Cambria"/>
          <w:sz w:val="20"/>
        </w:rPr>
        <w:t xml:space="preserve"> para </w:t>
      </w:r>
      <w:r w:rsidR="004847ED" w:rsidRPr="00F73E65">
        <w:rPr>
          <w:rFonts w:ascii="Cambria" w:hAnsi="Cambria"/>
          <w:sz w:val="20"/>
        </w:rPr>
        <w:t>consignar</w:t>
      </w:r>
      <w:r w:rsidR="00705B69" w:rsidRPr="00F73E65">
        <w:rPr>
          <w:rFonts w:ascii="Cambria" w:hAnsi="Cambria"/>
          <w:sz w:val="20"/>
        </w:rPr>
        <w:t xml:space="preserve"> también las liberaciones comunicadas de ejemplares vivos.</w:t>
      </w:r>
      <w:r w:rsidR="00595E83" w:rsidRPr="00F73E65">
        <w:rPr>
          <w:rFonts w:ascii="Cambria" w:hAnsi="Cambria"/>
          <w:sz w:val="20"/>
        </w:rPr>
        <w:t xml:space="preserve"> </w:t>
      </w:r>
      <w:r w:rsidR="007F6DF0" w:rsidRPr="00F73E65">
        <w:rPr>
          <w:rFonts w:ascii="Cambria" w:hAnsi="Cambria"/>
          <w:sz w:val="20"/>
          <w:szCs w:val="20"/>
          <w:u w:val="single"/>
        </w:rPr>
        <w:t xml:space="preserve">Si el Comité de cumplimiento determina que las CPC que autorizan a sus buques a retener a bordo y desembarcar marrajo dientuso del Atlántico sur no comunican sus datos de captura, incluidos los descartes de ejemplares muertos y las liberaciones de ejemplares vivos, las CPC afectadas requerirán a sus buques que se abstengan de retener cualquier cantidad de marrajo dientuso del Atlántico sur hasta que se hayan comunicado dichos datos. </w:t>
      </w:r>
    </w:p>
    <w:p w14:paraId="52F15268" w14:textId="6AC2C803" w:rsidR="00595E83" w:rsidRPr="00F73E65" w:rsidRDefault="00595E83" w:rsidP="00806630">
      <w:pPr>
        <w:tabs>
          <w:tab w:val="left" w:pos="426"/>
        </w:tabs>
        <w:ind w:left="426" w:hanging="426"/>
        <w:jc w:val="both"/>
        <w:rPr>
          <w:rFonts w:cs="Times New Roman"/>
          <w:color w:val="000000"/>
          <w:sz w:val="20"/>
          <w:szCs w:val="20"/>
        </w:rPr>
      </w:pPr>
    </w:p>
    <w:p w14:paraId="3CB3372A" w14:textId="42580A85" w:rsidR="00DD1EFB" w:rsidRPr="00F73E65" w:rsidRDefault="00DD1EFB" w:rsidP="00595E83">
      <w:pPr>
        <w:tabs>
          <w:tab w:val="left" w:pos="426"/>
        </w:tabs>
        <w:ind w:left="426" w:hanging="284"/>
        <w:jc w:val="both"/>
        <w:rPr>
          <w:rFonts w:ascii="Cambria" w:hAnsi="Cambria"/>
          <w:sz w:val="20"/>
        </w:rPr>
      </w:pPr>
    </w:p>
    <w:p w14:paraId="4E439680" w14:textId="77777777" w:rsidR="00070026" w:rsidRPr="00F73E65" w:rsidRDefault="007F6DF0" w:rsidP="00070026">
      <w:pPr>
        <w:tabs>
          <w:tab w:val="left" w:pos="426"/>
        </w:tabs>
        <w:ind w:left="426" w:hanging="426"/>
        <w:jc w:val="both"/>
        <w:rPr>
          <w:rFonts w:ascii="Cambria" w:hAnsi="Cambria"/>
          <w:sz w:val="20"/>
          <w:szCs w:val="20"/>
          <w:u w:val="single"/>
        </w:rPr>
      </w:pPr>
      <w:r w:rsidRPr="00F73E65">
        <w:rPr>
          <w:color w:val="000000" w:themeColor="text1"/>
          <w:sz w:val="20"/>
        </w:rPr>
        <w:t>16.</w:t>
      </w:r>
      <w:r w:rsidRPr="00F73E65">
        <w:rPr>
          <w:color w:val="000000" w:themeColor="text1"/>
          <w:sz w:val="20"/>
        </w:rPr>
        <w:tab/>
      </w:r>
      <w:r w:rsidR="008820FE" w:rsidRPr="00F73E65">
        <w:rPr>
          <w:color w:val="000000" w:themeColor="text1"/>
          <w:sz w:val="20"/>
        </w:rPr>
        <w:t>Para permitir futuras evaluaciones de stock, e</w:t>
      </w:r>
      <w:r w:rsidR="0083334A" w:rsidRPr="00F73E65">
        <w:rPr>
          <w:color w:val="000000" w:themeColor="text1"/>
          <w:sz w:val="20"/>
        </w:rPr>
        <w:t>l SCRS evaluará que las presentaciones de datos de Tarea</w:t>
      </w:r>
      <w:r w:rsidR="00E55AE9" w:rsidRPr="00F73E65">
        <w:rPr>
          <w:color w:val="000000" w:themeColor="text1"/>
          <w:sz w:val="20"/>
        </w:rPr>
        <w:t> </w:t>
      </w:r>
      <w:r w:rsidR="0083334A" w:rsidRPr="00F73E65">
        <w:rPr>
          <w:color w:val="000000" w:themeColor="text1"/>
          <w:sz w:val="20"/>
        </w:rPr>
        <w:t xml:space="preserve">1 y 2 estén completas, incluidas las estimaciones </w:t>
      </w:r>
      <w:r w:rsidR="004C742D" w:rsidRPr="00F73E65">
        <w:rPr>
          <w:color w:val="000000" w:themeColor="text1"/>
          <w:sz w:val="20"/>
        </w:rPr>
        <w:t xml:space="preserve">totales </w:t>
      </w:r>
      <w:r w:rsidR="0083334A" w:rsidRPr="00F73E65">
        <w:rPr>
          <w:color w:val="000000" w:themeColor="text1"/>
          <w:sz w:val="20"/>
        </w:rPr>
        <w:t>de los descartes</w:t>
      </w:r>
      <w:r w:rsidR="000D2687" w:rsidRPr="00F73E65">
        <w:rPr>
          <w:color w:val="000000" w:themeColor="text1"/>
          <w:sz w:val="20"/>
        </w:rPr>
        <w:t xml:space="preserve"> de ejemplares</w:t>
      </w:r>
      <w:r w:rsidR="0083334A" w:rsidRPr="00F73E65">
        <w:rPr>
          <w:color w:val="000000" w:themeColor="text1"/>
          <w:sz w:val="20"/>
        </w:rPr>
        <w:t xml:space="preserve"> muertos y de liberaciones de ejemplares vivos.</w:t>
      </w:r>
      <w:r w:rsidR="00070026" w:rsidRPr="00F73E65">
        <w:rPr>
          <w:color w:val="000000" w:themeColor="text1"/>
          <w:sz w:val="20"/>
        </w:rPr>
        <w:t xml:space="preserve"> </w:t>
      </w:r>
      <w:r w:rsidR="00070026" w:rsidRPr="00F73E65">
        <w:rPr>
          <w:rFonts w:ascii="Cambria" w:hAnsi="Cambria"/>
          <w:sz w:val="20"/>
          <w:szCs w:val="20"/>
          <w:u w:val="single"/>
        </w:rPr>
        <w:t>Si, tras realizar esta evaluación, el SCRS determina que existen lagunas importantes en la comunicación de datos, o, tras la revisión prevista en el párrafo 14, que el método utilizado por una o más CPC para estimar los descartes de ejemplares muertos y las liberaciones de ejemplares vivos no está científicamente bien fundamentado, el SCRS informará a la Comisión de que los datos de dichas no son apropiados para su inclusión en el cálculo de la tolerancia de retención. En este caso, el SCRS estimará los descartes de ejemplares muertos y las liberaciones de ejemplares vivos de esas CPC para utilizarlos en el cálculo de la tolerancia de retención.</w:t>
      </w:r>
    </w:p>
    <w:p w14:paraId="10AF04C9" w14:textId="11F1909B" w:rsidR="009776B6" w:rsidRPr="00F73E65" w:rsidRDefault="009776B6" w:rsidP="007F6DF0">
      <w:pPr>
        <w:tabs>
          <w:tab w:val="left" w:pos="426"/>
        </w:tabs>
        <w:ind w:left="426" w:hanging="426"/>
        <w:jc w:val="both"/>
        <w:rPr>
          <w:color w:val="000000" w:themeColor="text1"/>
          <w:sz w:val="20"/>
        </w:rPr>
      </w:pPr>
    </w:p>
    <w:p w14:paraId="41E46876" w14:textId="56FC1A04" w:rsidR="006A00C1" w:rsidRPr="00F73E65" w:rsidRDefault="002738E9" w:rsidP="00E54B1B">
      <w:pPr>
        <w:widowControl w:val="0"/>
        <w:autoSpaceDE w:val="0"/>
        <w:autoSpaceDN w:val="0"/>
        <w:adjustRightInd w:val="0"/>
        <w:ind w:left="284" w:hanging="284"/>
        <w:jc w:val="both"/>
        <w:rPr>
          <w:rFonts w:eastAsia="MS Mincho" w:cs="Times New Roman"/>
          <w:b/>
          <w:sz w:val="20"/>
          <w:szCs w:val="20"/>
        </w:rPr>
      </w:pPr>
      <w:r w:rsidRPr="00F73E65">
        <w:rPr>
          <w:b/>
          <w:sz w:val="20"/>
        </w:rPr>
        <w:t>Muestreo biológico y cobertura de observadores</w:t>
      </w:r>
    </w:p>
    <w:p w14:paraId="2512C7BE" w14:textId="77777777" w:rsidR="00ED574B" w:rsidRPr="00F73E65" w:rsidRDefault="00ED574B" w:rsidP="00E54B1B">
      <w:pPr>
        <w:widowControl w:val="0"/>
        <w:autoSpaceDE w:val="0"/>
        <w:autoSpaceDN w:val="0"/>
        <w:adjustRightInd w:val="0"/>
        <w:ind w:left="284" w:hanging="284"/>
        <w:jc w:val="both"/>
        <w:rPr>
          <w:rFonts w:eastAsia="MS Mincho" w:cs="Times New Roman"/>
          <w:sz w:val="20"/>
          <w:szCs w:val="20"/>
          <w:lang w:eastAsia="ja-JP"/>
        </w:rPr>
      </w:pPr>
    </w:p>
    <w:p w14:paraId="6FC4217F" w14:textId="6C3B9142" w:rsidR="006A00C1" w:rsidRPr="00F73E65" w:rsidRDefault="00F02A9F" w:rsidP="00F02A9F">
      <w:pPr>
        <w:tabs>
          <w:tab w:val="left" w:pos="426"/>
        </w:tabs>
        <w:ind w:left="426" w:hanging="426"/>
        <w:jc w:val="both"/>
        <w:rPr>
          <w:rFonts w:ascii="Cambria" w:hAnsi="Cambria"/>
          <w:sz w:val="20"/>
          <w:szCs w:val="20"/>
        </w:rPr>
      </w:pPr>
      <w:r w:rsidRPr="00F73E65">
        <w:rPr>
          <w:rFonts w:ascii="Cambria" w:hAnsi="Cambria"/>
          <w:sz w:val="20"/>
          <w:szCs w:val="20"/>
        </w:rPr>
        <w:t>1</w:t>
      </w:r>
      <w:r w:rsidR="005501D0" w:rsidRPr="00F73E65">
        <w:rPr>
          <w:rFonts w:ascii="Cambria" w:hAnsi="Cambria"/>
          <w:sz w:val="20"/>
          <w:szCs w:val="20"/>
        </w:rPr>
        <w:t>7</w:t>
      </w:r>
      <w:r w:rsidRPr="00F73E65">
        <w:rPr>
          <w:rFonts w:ascii="Cambria" w:hAnsi="Cambria"/>
          <w:sz w:val="20"/>
          <w:szCs w:val="20"/>
        </w:rPr>
        <w:t>.</w:t>
      </w:r>
      <w:r w:rsidRPr="00F73E65">
        <w:rPr>
          <w:rFonts w:ascii="Cambria" w:hAnsi="Cambria"/>
          <w:sz w:val="20"/>
          <w:szCs w:val="20"/>
        </w:rPr>
        <w:tab/>
      </w:r>
      <w:r w:rsidR="008E01FA" w:rsidRPr="00F73E65">
        <w:rPr>
          <w:rFonts w:ascii="Cambria" w:hAnsi="Cambria"/>
          <w:sz w:val="20"/>
          <w:szCs w:val="20"/>
        </w:rPr>
        <w:t>L</w:t>
      </w:r>
      <w:r w:rsidR="000B375B" w:rsidRPr="00F73E65">
        <w:rPr>
          <w:rFonts w:ascii="Cambria" w:hAnsi="Cambria"/>
          <w:sz w:val="20"/>
          <w:szCs w:val="20"/>
        </w:rPr>
        <w:t>as</w:t>
      </w:r>
      <w:r w:rsidR="000B375B" w:rsidRPr="00F73E65">
        <w:rPr>
          <w:rFonts w:ascii="Cambria" w:hAnsi="Cambria"/>
          <w:sz w:val="20"/>
        </w:rPr>
        <w:t xml:space="preserve"> CP</w:t>
      </w:r>
      <w:r w:rsidR="000B375B" w:rsidRPr="00F73E65">
        <w:rPr>
          <w:rFonts w:ascii="Cambria" w:hAnsi="Cambria"/>
          <w:sz w:val="20"/>
          <w:szCs w:val="20"/>
        </w:rPr>
        <w:t>C</w:t>
      </w:r>
      <w:r w:rsidR="000B375B" w:rsidRPr="00F73E65">
        <w:rPr>
          <w:rFonts w:ascii="Cambria" w:hAnsi="Cambria"/>
          <w:sz w:val="20"/>
        </w:rPr>
        <w:t xml:space="preserve"> </w:t>
      </w:r>
      <w:r w:rsidRPr="00F73E65">
        <w:rPr>
          <w:rFonts w:ascii="Cambria" w:hAnsi="Cambria"/>
          <w:sz w:val="20"/>
          <w:u w:val="single"/>
        </w:rPr>
        <w:t>se esforzarán</w:t>
      </w:r>
      <w:r w:rsidRPr="00F73E65">
        <w:rPr>
          <w:rFonts w:ascii="Cambria" w:hAnsi="Cambria"/>
          <w:sz w:val="20"/>
        </w:rPr>
        <w:t xml:space="preserve"> por incrementar</w:t>
      </w:r>
      <w:r w:rsidR="000B375B" w:rsidRPr="00F73E65">
        <w:rPr>
          <w:rFonts w:ascii="Cambria" w:hAnsi="Cambria"/>
          <w:sz w:val="20"/>
        </w:rPr>
        <w:t xml:space="preserve"> gradualmente </w:t>
      </w:r>
      <w:r w:rsidR="003D566B" w:rsidRPr="00F73E65">
        <w:rPr>
          <w:rFonts w:ascii="Cambria" w:hAnsi="Cambria"/>
          <w:sz w:val="20"/>
        </w:rPr>
        <w:t xml:space="preserve">hasta el 10 % </w:t>
      </w:r>
      <w:r w:rsidR="000B375B" w:rsidRPr="00F73E65">
        <w:rPr>
          <w:rFonts w:ascii="Cambria" w:hAnsi="Cambria"/>
          <w:sz w:val="20"/>
        </w:rPr>
        <w:t>la cobertura de observadores</w:t>
      </w:r>
      <w:r w:rsidR="00DC6287" w:rsidRPr="00F73E65">
        <w:rPr>
          <w:rFonts w:ascii="Cambria" w:hAnsi="Cambria"/>
          <w:sz w:val="20"/>
        </w:rPr>
        <w:t xml:space="preserve">, incluido </w:t>
      </w:r>
      <w:r w:rsidR="003D566B" w:rsidRPr="00F73E65">
        <w:rPr>
          <w:rFonts w:ascii="Cambria" w:hAnsi="Cambria"/>
          <w:sz w:val="20"/>
        </w:rPr>
        <w:t xml:space="preserve">mediante </w:t>
      </w:r>
      <w:r w:rsidR="00491046" w:rsidRPr="00F73E65">
        <w:rPr>
          <w:rFonts w:ascii="Cambria" w:hAnsi="Cambria"/>
          <w:sz w:val="20"/>
          <w:u w:val="single"/>
        </w:rPr>
        <w:t>sistemas de seguimiento electrónico (</w:t>
      </w:r>
      <w:r w:rsidR="00DC6287" w:rsidRPr="00F73E65">
        <w:rPr>
          <w:rFonts w:ascii="Cambria" w:hAnsi="Cambria"/>
          <w:sz w:val="20"/>
          <w:u w:val="single"/>
        </w:rPr>
        <w:t>EMS</w:t>
      </w:r>
      <w:r w:rsidR="00491046" w:rsidRPr="00F73E65">
        <w:rPr>
          <w:rFonts w:ascii="Cambria" w:hAnsi="Cambria"/>
          <w:sz w:val="20"/>
          <w:u w:val="single"/>
        </w:rPr>
        <w:t>)</w:t>
      </w:r>
      <w:r w:rsidR="00DC6287" w:rsidRPr="00F73E65">
        <w:rPr>
          <w:rFonts w:ascii="Cambria" w:hAnsi="Cambria"/>
          <w:sz w:val="20"/>
        </w:rPr>
        <w:t>,</w:t>
      </w:r>
      <w:r w:rsidR="000B375B" w:rsidRPr="00F73E65">
        <w:rPr>
          <w:rFonts w:ascii="Cambria" w:hAnsi="Cambria"/>
          <w:sz w:val="20"/>
        </w:rPr>
        <w:t xml:space="preserve"> de todos los buques de pesca de palangre </w:t>
      </w:r>
      <w:r w:rsidR="008E134F" w:rsidRPr="00F73E65">
        <w:rPr>
          <w:rFonts w:ascii="Cambria" w:hAnsi="Cambria"/>
          <w:sz w:val="20"/>
          <w:szCs w:val="20"/>
        </w:rPr>
        <w:t>en</w:t>
      </w:r>
      <w:r w:rsidR="008E134F" w:rsidRPr="00F73E65">
        <w:rPr>
          <w:rFonts w:ascii="Cambria" w:hAnsi="Cambria"/>
          <w:sz w:val="20"/>
        </w:rPr>
        <w:t xml:space="preserve"> </w:t>
      </w:r>
      <w:r w:rsidR="008E134F" w:rsidRPr="00F73E65">
        <w:rPr>
          <w:rFonts w:ascii="Cambria" w:hAnsi="Cambria"/>
          <w:sz w:val="20"/>
          <w:szCs w:val="20"/>
        </w:rPr>
        <w:t xml:space="preserve">las </w:t>
      </w:r>
      <w:r w:rsidR="008E134F" w:rsidRPr="00F73E65">
        <w:rPr>
          <w:color w:val="000000" w:themeColor="text1"/>
          <w:sz w:val="20"/>
        </w:rPr>
        <w:t>pesquerías</w:t>
      </w:r>
      <w:r w:rsidR="008E134F" w:rsidRPr="00F73E65">
        <w:rPr>
          <w:rFonts w:ascii="Cambria" w:hAnsi="Cambria"/>
          <w:sz w:val="20"/>
          <w:szCs w:val="20"/>
        </w:rPr>
        <w:t xml:space="preserve"> de ICCAT</w:t>
      </w:r>
      <w:r w:rsidR="000D2687" w:rsidRPr="00F73E65">
        <w:rPr>
          <w:rFonts w:ascii="Cambria" w:hAnsi="Cambria"/>
          <w:sz w:val="20"/>
          <w:szCs w:val="20"/>
        </w:rPr>
        <w:t xml:space="preserve"> que puedan interactuar </w:t>
      </w:r>
      <w:r w:rsidR="000D2687" w:rsidRPr="00F73E65">
        <w:rPr>
          <w:color w:val="000000" w:themeColor="text1"/>
          <w:sz w:val="20"/>
        </w:rPr>
        <w:t>potencialmente</w:t>
      </w:r>
      <w:r w:rsidR="000D2687" w:rsidRPr="00F73E65">
        <w:rPr>
          <w:rFonts w:ascii="Cambria" w:hAnsi="Cambria"/>
          <w:sz w:val="20"/>
          <w:szCs w:val="20"/>
        </w:rPr>
        <w:t xml:space="preserve"> con el marrajo dientuso del Atlántico </w:t>
      </w:r>
      <w:r w:rsidR="00705B69" w:rsidRPr="00F73E65">
        <w:rPr>
          <w:rFonts w:ascii="Cambria" w:hAnsi="Cambria"/>
          <w:sz w:val="20"/>
        </w:rPr>
        <w:t>sur</w:t>
      </w:r>
      <w:r w:rsidR="003D566B" w:rsidRPr="00F73E65">
        <w:rPr>
          <w:rFonts w:ascii="Cambria" w:hAnsi="Cambria"/>
          <w:sz w:val="20"/>
          <w:szCs w:val="20"/>
        </w:rPr>
        <w:t>.</w:t>
      </w:r>
      <w:r w:rsidR="000D2687" w:rsidRPr="00F73E65">
        <w:rPr>
          <w:rFonts w:ascii="Cambria" w:hAnsi="Cambria"/>
          <w:sz w:val="20"/>
          <w:szCs w:val="20"/>
        </w:rPr>
        <w:t xml:space="preserve"> </w:t>
      </w:r>
      <w:r w:rsidR="000B375B" w:rsidRPr="00F73E65">
        <w:rPr>
          <w:rFonts w:ascii="Cambria" w:hAnsi="Cambria"/>
          <w:sz w:val="20"/>
        </w:rPr>
        <w:t xml:space="preserve">Este </w:t>
      </w:r>
      <w:r w:rsidR="000B375B" w:rsidRPr="00F73E65">
        <w:rPr>
          <w:color w:val="000000" w:themeColor="text1"/>
          <w:sz w:val="20"/>
        </w:rPr>
        <w:t>aumento</w:t>
      </w:r>
      <w:r w:rsidR="000B375B" w:rsidRPr="00F73E65">
        <w:rPr>
          <w:rFonts w:ascii="Cambria" w:hAnsi="Cambria"/>
          <w:sz w:val="20"/>
        </w:rPr>
        <w:t xml:space="preserve"> de la cobertura debería </w:t>
      </w:r>
      <w:r w:rsidR="00480039" w:rsidRPr="00F73E65">
        <w:rPr>
          <w:rFonts w:ascii="Cambria" w:hAnsi="Cambria"/>
          <w:sz w:val="20"/>
        </w:rPr>
        <w:t>implementarse de conformidad con las disposiciones de la Recomendación 16-14</w:t>
      </w:r>
      <w:r w:rsidR="008820FE" w:rsidRPr="00F73E65">
        <w:rPr>
          <w:rFonts w:ascii="Cambria" w:hAnsi="Cambria"/>
          <w:sz w:val="20"/>
        </w:rPr>
        <w:t xml:space="preserve"> y la Recomendación 23-18</w:t>
      </w:r>
      <w:r w:rsidR="000771E5" w:rsidRPr="00F73E65">
        <w:rPr>
          <w:rFonts w:ascii="Cambria" w:hAnsi="Cambria"/>
          <w:sz w:val="20"/>
        </w:rPr>
        <w:t xml:space="preserve">, </w:t>
      </w:r>
      <w:r w:rsidR="000B375B" w:rsidRPr="00F73E65">
        <w:rPr>
          <w:rFonts w:ascii="Cambria" w:hAnsi="Cambria"/>
          <w:sz w:val="20"/>
        </w:rPr>
        <w:t>bien mediante</w:t>
      </w:r>
      <w:r w:rsidR="001E4A8A" w:rsidRPr="00F73E65">
        <w:rPr>
          <w:rFonts w:ascii="Cambria" w:hAnsi="Cambria"/>
          <w:sz w:val="20"/>
        </w:rPr>
        <w:t xml:space="preserve"> </w:t>
      </w:r>
      <w:r w:rsidR="00ED574B" w:rsidRPr="00F73E65">
        <w:rPr>
          <w:rFonts w:ascii="Cambria" w:hAnsi="Cambria"/>
          <w:sz w:val="20"/>
        </w:rPr>
        <w:t xml:space="preserve">la asignación </w:t>
      </w:r>
      <w:r w:rsidR="001E4A8A" w:rsidRPr="00F73E65">
        <w:rPr>
          <w:rFonts w:ascii="Cambria" w:hAnsi="Cambria"/>
          <w:sz w:val="20"/>
        </w:rPr>
        <w:t>de</w:t>
      </w:r>
      <w:r w:rsidR="000B375B" w:rsidRPr="00F73E65">
        <w:rPr>
          <w:rFonts w:ascii="Cambria" w:hAnsi="Cambria"/>
          <w:sz w:val="20"/>
        </w:rPr>
        <w:t xml:space="preserve"> observadores humanos a bordo de los buques,</w:t>
      </w:r>
      <w:r w:rsidR="00CB7E21" w:rsidRPr="00F73E65">
        <w:rPr>
          <w:rFonts w:ascii="Cambria" w:hAnsi="Cambria"/>
          <w:sz w:val="20"/>
        </w:rPr>
        <w:t xml:space="preserve"> </w:t>
      </w:r>
      <w:r w:rsidR="000B375B" w:rsidRPr="00F73E65">
        <w:rPr>
          <w:rFonts w:ascii="Cambria" w:hAnsi="Cambria"/>
          <w:sz w:val="20"/>
        </w:rPr>
        <w:t>bien mediante</w:t>
      </w:r>
      <w:r w:rsidR="003D566B" w:rsidRPr="00F73E65">
        <w:rPr>
          <w:rFonts w:ascii="Cambria" w:hAnsi="Cambria"/>
          <w:sz w:val="20"/>
        </w:rPr>
        <w:t xml:space="preserve"> la utilización del</w:t>
      </w:r>
      <w:r w:rsidR="000B375B" w:rsidRPr="00F73E65">
        <w:rPr>
          <w:rFonts w:ascii="Cambria" w:hAnsi="Cambria"/>
          <w:sz w:val="20"/>
        </w:rPr>
        <w:t xml:space="preserve"> </w:t>
      </w:r>
      <w:r w:rsidR="000B375B" w:rsidRPr="00F73E65">
        <w:rPr>
          <w:rFonts w:ascii="Cambria" w:hAnsi="Cambria"/>
          <w:sz w:val="20"/>
          <w:u w:val="single"/>
        </w:rPr>
        <w:t>EMS</w:t>
      </w:r>
      <w:r w:rsidR="000B375B" w:rsidRPr="00F73E65">
        <w:rPr>
          <w:rFonts w:ascii="Cambria" w:hAnsi="Cambria"/>
          <w:sz w:val="20"/>
        </w:rPr>
        <w:t xml:space="preserve">, </w:t>
      </w:r>
      <w:r w:rsidR="00CB7E21" w:rsidRPr="00F73E65">
        <w:rPr>
          <w:rFonts w:ascii="Cambria" w:hAnsi="Cambria"/>
          <w:sz w:val="20"/>
        </w:rPr>
        <w:t>teniendo en cuenta</w:t>
      </w:r>
      <w:r w:rsidR="000B375B" w:rsidRPr="00F73E65">
        <w:rPr>
          <w:rFonts w:ascii="Cambria" w:hAnsi="Cambria"/>
          <w:sz w:val="20"/>
        </w:rPr>
        <w:t xml:space="preserve"> las normas mínimas </w:t>
      </w:r>
      <w:r w:rsidR="00927F87" w:rsidRPr="00F73E65">
        <w:rPr>
          <w:rFonts w:ascii="Cambria" w:hAnsi="Cambria"/>
          <w:sz w:val="20"/>
        </w:rPr>
        <w:t>acordadas por</w:t>
      </w:r>
      <w:r w:rsidR="00CB7E21" w:rsidRPr="00F73E65">
        <w:rPr>
          <w:rFonts w:ascii="Cambria" w:hAnsi="Cambria"/>
          <w:sz w:val="20"/>
        </w:rPr>
        <w:t xml:space="preserve"> ICCAT</w:t>
      </w:r>
      <w:r w:rsidR="00C2351F" w:rsidRPr="00F73E65">
        <w:rPr>
          <w:rFonts w:ascii="Cambria" w:hAnsi="Cambria"/>
          <w:sz w:val="20"/>
        </w:rPr>
        <w:t>.</w:t>
      </w:r>
    </w:p>
    <w:p w14:paraId="7B91EE02" w14:textId="3740D989" w:rsidR="00CB7E21" w:rsidRPr="00F73E65" w:rsidRDefault="00CB7E21" w:rsidP="00CB7E21">
      <w:pPr>
        <w:tabs>
          <w:tab w:val="left" w:pos="426"/>
        </w:tabs>
        <w:jc w:val="both"/>
        <w:rPr>
          <w:rFonts w:ascii="Cambria" w:hAnsi="Cambria"/>
          <w:sz w:val="20"/>
          <w:szCs w:val="20"/>
        </w:rPr>
      </w:pPr>
    </w:p>
    <w:p w14:paraId="12E1B119" w14:textId="2675C686" w:rsidR="00A01D0C" w:rsidRPr="00F73E65" w:rsidRDefault="005501D0" w:rsidP="005501D0">
      <w:pPr>
        <w:tabs>
          <w:tab w:val="left" w:pos="426"/>
        </w:tabs>
        <w:ind w:left="426" w:hanging="426"/>
        <w:jc w:val="both"/>
        <w:rPr>
          <w:rFonts w:ascii="Cambria" w:eastAsia="MS Mincho" w:hAnsi="Cambria" w:cs="Times New Roman"/>
          <w:sz w:val="20"/>
          <w:szCs w:val="20"/>
        </w:rPr>
      </w:pPr>
      <w:r w:rsidRPr="00F73E65">
        <w:rPr>
          <w:rFonts w:ascii="Cambria" w:eastAsia="Times New Roman" w:hAnsi="Cambria" w:cs="Times New Roman"/>
          <w:sz w:val="20"/>
        </w:rPr>
        <w:t>18.</w:t>
      </w:r>
      <w:r w:rsidRPr="00F73E65">
        <w:rPr>
          <w:rFonts w:ascii="Cambria" w:eastAsia="Times New Roman" w:hAnsi="Cambria" w:cs="Times New Roman"/>
          <w:sz w:val="20"/>
        </w:rPr>
        <w:tab/>
      </w:r>
      <w:r w:rsidR="00CB7E21" w:rsidRPr="00F73E65">
        <w:rPr>
          <w:rFonts w:ascii="Cambria" w:eastAsia="Times New Roman" w:hAnsi="Cambria" w:cs="Times New Roman"/>
          <w:sz w:val="20"/>
        </w:rPr>
        <w:t xml:space="preserve">La recogida de </w:t>
      </w:r>
      <w:r w:rsidR="00CB7E21" w:rsidRPr="00F73E65">
        <w:rPr>
          <w:rFonts w:ascii="Cambria" w:hAnsi="Cambria"/>
          <w:sz w:val="20"/>
        </w:rPr>
        <w:t>muestras</w:t>
      </w:r>
      <w:r w:rsidR="00CB7E21" w:rsidRPr="00F73E65">
        <w:rPr>
          <w:rFonts w:ascii="Cambria" w:eastAsia="Times New Roman" w:hAnsi="Cambria" w:cs="Times New Roman"/>
          <w:sz w:val="20"/>
        </w:rPr>
        <w:t xml:space="preserve"> biológicas durante las operaciones de pesca comercial cumplirá las </w:t>
      </w:r>
      <w:r w:rsidR="00CB7E21" w:rsidRPr="00F73E65">
        <w:rPr>
          <w:rFonts w:ascii="Cambria" w:hAnsi="Cambria"/>
          <w:sz w:val="20"/>
          <w:szCs w:val="20"/>
        </w:rPr>
        <w:t>disposiciones</w:t>
      </w:r>
      <w:r w:rsidR="00CB7E21" w:rsidRPr="00F73E65">
        <w:rPr>
          <w:rFonts w:ascii="Cambria" w:eastAsia="Times New Roman" w:hAnsi="Cambria" w:cs="Times New Roman"/>
          <w:sz w:val="20"/>
        </w:rPr>
        <w:t xml:space="preserve"> de la</w:t>
      </w:r>
      <w:r w:rsidR="00CB7E21" w:rsidRPr="00F73E65">
        <w:rPr>
          <w:rFonts w:ascii="Cambria" w:eastAsia="Times New Roman" w:hAnsi="Cambria" w:cs="Times New Roman"/>
          <w:i/>
          <w:iCs/>
          <w:sz w:val="20"/>
        </w:rPr>
        <w:t xml:space="preserve"> Recomendación de ICCAT sobre el muestreo biológico de especies prohibidas de tiburones por </w:t>
      </w:r>
      <w:r w:rsidR="00CB7E21" w:rsidRPr="00F73E65">
        <w:rPr>
          <w:color w:val="000000" w:themeColor="text1"/>
          <w:sz w:val="20"/>
        </w:rPr>
        <w:t>parte</w:t>
      </w:r>
      <w:r w:rsidR="00CB7E21" w:rsidRPr="00F73E65">
        <w:rPr>
          <w:rFonts w:ascii="Cambria" w:eastAsia="Times New Roman" w:hAnsi="Cambria" w:cs="Times New Roman"/>
          <w:i/>
          <w:iCs/>
          <w:sz w:val="20"/>
        </w:rPr>
        <w:t xml:space="preserve"> de observadores científicos </w:t>
      </w:r>
      <w:r w:rsidR="00CB7E21" w:rsidRPr="00F73E65">
        <w:rPr>
          <w:rFonts w:ascii="Cambria" w:eastAsia="Times New Roman" w:hAnsi="Cambria" w:cs="Times New Roman"/>
          <w:sz w:val="20"/>
        </w:rPr>
        <w:t xml:space="preserve">(Rec. 13-10). </w:t>
      </w:r>
      <w:r w:rsidR="00A01D0C" w:rsidRPr="00F73E65">
        <w:rPr>
          <w:rFonts w:ascii="Cambria" w:eastAsia="Times New Roman" w:hAnsi="Cambria" w:cs="Times New Roman"/>
          <w:sz w:val="20"/>
        </w:rPr>
        <w:t xml:space="preserve">Las CPC deberían fomentar la recogida de </w:t>
      </w:r>
      <w:r w:rsidR="008E134F" w:rsidRPr="00F73E65">
        <w:rPr>
          <w:rFonts w:ascii="Cambria" w:hAnsi="Cambria"/>
          <w:sz w:val="20"/>
          <w:szCs w:val="20"/>
        </w:rPr>
        <w:t xml:space="preserve">datos biológicos y </w:t>
      </w:r>
      <w:r w:rsidR="00A01D0C" w:rsidRPr="00F73E65">
        <w:rPr>
          <w:rFonts w:ascii="Cambria" w:eastAsia="Times New Roman" w:hAnsi="Cambria" w:cs="Times New Roman"/>
          <w:sz w:val="20"/>
        </w:rPr>
        <w:t xml:space="preserve">muestras biológicas de </w:t>
      </w:r>
      <w:r w:rsidR="00DD1EFB" w:rsidRPr="00F73E65">
        <w:rPr>
          <w:rFonts w:ascii="Cambria" w:eastAsia="Times New Roman" w:hAnsi="Cambria" w:cs="Times New Roman"/>
          <w:sz w:val="20"/>
        </w:rPr>
        <w:t xml:space="preserve">los ejemplares </w:t>
      </w:r>
      <w:r w:rsidR="00A01D0C" w:rsidRPr="00F73E65">
        <w:rPr>
          <w:rFonts w:ascii="Cambria" w:eastAsia="Times New Roman" w:hAnsi="Cambria" w:cs="Times New Roman"/>
          <w:sz w:val="20"/>
        </w:rPr>
        <w:t xml:space="preserve">marrajo dientuso del Atlántico </w:t>
      </w:r>
      <w:r w:rsidR="00705B69" w:rsidRPr="00F73E65">
        <w:rPr>
          <w:rFonts w:ascii="Cambria" w:hAnsi="Cambria"/>
          <w:sz w:val="20"/>
        </w:rPr>
        <w:t>sur</w:t>
      </w:r>
      <w:r w:rsidR="00705B69" w:rsidRPr="00F73E65">
        <w:rPr>
          <w:rFonts w:ascii="Cambria" w:eastAsia="Times New Roman" w:hAnsi="Cambria" w:cs="Times New Roman"/>
          <w:sz w:val="20"/>
        </w:rPr>
        <w:t xml:space="preserve"> </w:t>
      </w:r>
      <w:r w:rsidR="0033326E" w:rsidRPr="00F73E65">
        <w:rPr>
          <w:rFonts w:ascii="Cambria" w:eastAsia="Times New Roman" w:hAnsi="Cambria" w:cs="Times New Roman"/>
          <w:sz w:val="20"/>
        </w:rPr>
        <w:t>que esté</w:t>
      </w:r>
      <w:r w:rsidR="00AC0139" w:rsidRPr="00F73E65">
        <w:rPr>
          <w:rFonts w:ascii="Cambria" w:eastAsia="Times New Roman" w:hAnsi="Cambria" w:cs="Times New Roman"/>
          <w:sz w:val="20"/>
        </w:rPr>
        <w:t>n</w:t>
      </w:r>
      <w:r w:rsidR="0033326E" w:rsidRPr="00F73E65">
        <w:rPr>
          <w:rFonts w:ascii="Cambria" w:eastAsia="Times New Roman" w:hAnsi="Cambria" w:cs="Times New Roman"/>
          <w:sz w:val="20"/>
        </w:rPr>
        <w:t xml:space="preserve"> muerto</w:t>
      </w:r>
      <w:r w:rsidR="00AC0139" w:rsidRPr="00F73E65">
        <w:rPr>
          <w:rFonts w:ascii="Cambria" w:eastAsia="Times New Roman" w:hAnsi="Cambria" w:cs="Times New Roman"/>
          <w:sz w:val="20"/>
        </w:rPr>
        <w:t>s</w:t>
      </w:r>
      <w:r w:rsidR="0033326E" w:rsidRPr="00F73E65">
        <w:rPr>
          <w:rFonts w:ascii="Cambria" w:eastAsia="Times New Roman" w:hAnsi="Cambria" w:cs="Times New Roman"/>
          <w:sz w:val="20"/>
        </w:rPr>
        <w:t xml:space="preserve"> en la virada</w:t>
      </w:r>
      <w:r w:rsidR="00A01D0C" w:rsidRPr="00F73E65">
        <w:rPr>
          <w:rFonts w:ascii="Cambria" w:eastAsia="Times New Roman" w:hAnsi="Cambria" w:cs="Times New Roman"/>
          <w:sz w:val="20"/>
        </w:rPr>
        <w:t>, como músculo</w:t>
      </w:r>
      <w:r w:rsidR="009A484B" w:rsidRPr="00F73E65">
        <w:rPr>
          <w:rFonts w:ascii="Cambria" w:eastAsia="Times New Roman" w:hAnsi="Cambria" w:cs="Times New Roman"/>
          <w:sz w:val="20"/>
        </w:rPr>
        <w:t>s</w:t>
      </w:r>
      <w:r w:rsidR="00A01D0C" w:rsidRPr="00F73E65">
        <w:rPr>
          <w:rFonts w:ascii="Cambria" w:eastAsia="Times New Roman" w:hAnsi="Cambria" w:cs="Times New Roman"/>
          <w:sz w:val="20"/>
        </w:rPr>
        <w:t>, vértebras y tejidos reproductivos, de acuerdo con los términos de esta Recomendación y según las recomendaciones del SCRS.</w:t>
      </w:r>
    </w:p>
    <w:p w14:paraId="5F77D2DF" w14:textId="77777777" w:rsidR="00A01D0C" w:rsidRPr="00F73E65" w:rsidRDefault="00A01D0C" w:rsidP="00CB7E21">
      <w:pPr>
        <w:widowControl w:val="0"/>
        <w:autoSpaceDE w:val="0"/>
        <w:autoSpaceDN w:val="0"/>
        <w:adjustRightInd w:val="0"/>
        <w:ind w:left="284" w:hanging="284"/>
        <w:jc w:val="both"/>
        <w:rPr>
          <w:rFonts w:ascii="Cambria" w:eastAsia="MS Mincho" w:hAnsi="Cambria" w:cs="Times New Roman"/>
          <w:sz w:val="20"/>
          <w:szCs w:val="20"/>
        </w:rPr>
      </w:pPr>
    </w:p>
    <w:p w14:paraId="74C46377" w14:textId="0E56FECB" w:rsidR="009B3688" w:rsidRPr="00F73E65" w:rsidRDefault="009B3688" w:rsidP="00E1251A">
      <w:pPr>
        <w:pStyle w:val="ListParagraph"/>
        <w:numPr>
          <w:ilvl w:val="0"/>
          <w:numId w:val="8"/>
        </w:numPr>
        <w:spacing w:after="5" w:line="249" w:lineRule="auto"/>
        <w:ind w:left="567" w:right="36" w:hanging="425"/>
        <w:jc w:val="both"/>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u w:val="single"/>
          <w:lang w:eastAsia="en-GB"/>
        </w:rPr>
        <w:t xml:space="preserve">En el contexto de esta Recomendación y solo para buques de menos de 15 m, cuando exista una inquietud extraordinaria en cuanto a seguridad que impida la asignación de un observador a bordo, </w:t>
      </w:r>
      <w:r w:rsidRPr="00F73E65">
        <w:rPr>
          <w:rFonts w:ascii="Cambria" w:eastAsia="Cambria" w:hAnsi="Cambria" w:cs="Cambria"/>
          <w:color w:val="000000"/>
          <w:sz w:val="20"/>
          <w:szCs w:val="20"/>
          <w:u w:val="single"/>
          <w:lang w:eastAsia="en-GB"/>
        </w:rPr>
        <w:lastRenderedPageBreak/>
        <w:t xml:space="preserve">una CPC podrá aplicar de manera excepcional un enfoque alternativo, tal y como se establece en la Recomendación 16-14. Esta derogación se aplicará sin perjuicio del compromiso general de todas las CPC, como se indica en dicha medida, de poner fin de manera inmediata a la sobrepesca y de reducir los niveles de mortalidad. Cualquier CPC que desee acogerse a este enfoque alternativo debe: 1) presentar los detalles del enfoque al SCRS basándose en el asesoramiento del SCRS para la evaluación y 2) obtener la aprobación de la Comisión (conforme a lo establecido en la Recomendación 16-14). </w:t>
      </w:r>
    </w:p>
    <w:p w14:paraId="4761067A" w14:textId="77777777" w:rsidR="008820FE" w:rsidRPr="00F73E65" w:rsidRDefault="008820FE" w:rsidP="0033326E">
      <w:pPr>
        <w:widowControl w:val="0"/>
        <w:autoSpaceDE w:val="0"/>
        <w:autoSpaceDN w:val="0"/>
        <w:adjustRightInd w:val="0"/>
        <w:ind w:left="284" w:hanging="284"/>
        <w:jc w:val="both"/>
        <w:rPr>
          <w:rFonts w:ascii="Cambria" w:hAnsi="Cambria"/>
          <w:b/>
          <w:sz w:val="20"/>
        </w:rPr>
      </w:pPr>
    </w:p>
    <w:p w14:paraId="3F6D2DCE" w14:textId="5AF2A5B9" w:rsidR="0033326E" w:rsidRPr="00F73E65" w:rsidRDefault="0033326E" w:rsidP="0033326E">
      <w:pPr>
        <w:widowControl w:val="0"/>
        <w:autoSpaceDE w:val="0"/>
        <w:autoSpaceDN w:val="0"/>
        <w:adjustRightInd w:val="0"/>
        <w:ind w:left="284" w:hanging="284"/>
        <w:jc w:val="both"/>
        <w:rPr>
          <w:rFonts w:eastAsia="MS Mincho" w:cs="Times New Roman"/>
          <w:b/>
          <w:bCs/>
          <w:iCs/>
          <w:sz w:val="20"/>
          <w:szCs w:val="20"/>
        </w:rPr>
      </w:pPr>
      <w:r w:rsidRPr="00F73E65">
        <w:rPr>
          <w:rFonts w:ascii="Cambria" w:hAnsi="Cambria"/>
          <w:b/>
          <w:sz w:val="20"/>
        </w:rPr>
        <w:t>Actividades científicas y de investigación</w:t>
      </w:r>
    </w:p>
    <w:p w14:paraId="19F79A35" w14:textId="77777777" w:rsidR="0033326E" w:rsidRPr="00F73E65" w:rsidRDefault="0033326E" w:rsidP="00E54B1B">
      <w:pPr>
        <w:widowControl w:val="0"/>
        <w:autoSpaceDE w:val="0"/>
        <w:autoSpaceDN w:val="0"/>
        <w:adjustRightInd w:val="0"/>
        <w:ind w:left="284" w:hanging="284"/>
        <w:jc w:val="both"/>
        <w:rPr>
          <w:rFonts w:eastAsia="MS Mincho" w:cs="Times New Roman"/>
          <w:sz w:val="20"/>
          <w:szCs w:val="20"/>
          <w:lang w:eastAsia="ja-JP"/>
        </w:rPr>
      </w:pPr>
    </w:p>
    <w:p w14:paraId="6BC89AE6" w14:textId="36ABF198" w:rsidR="009F2E6D" w:rsidRPr="00F73E65" w:rsidRDefault="009F2E6D" w:rsidP="00E1251A">
      <w:pPr>
        <w:pStyle w:val="ListParagraph"/>
        <w:numPr>
          <w:ilvl w:val="0"/>
          <w:numId w:val="8"/>
        </w:numPr>
        <w:ind w:left="426"/>
        <w:jc w:val="both"/>
        <w:rPr>
          <w:rFonts w:ascii="Cambria" w:hAnsi="Cambria"/>
          <w:sz w:val="20"/>
          <w:szCs w:val="20"/>
        </w:rPr>
      </w:pPr>
      <w:r w:rsidRPr="00F73E65">
        <w:rPr>
          <w:rFonts w:ascii="Cambria" w:hAnsi="Cambria"/>
          <w:sz w:val="20"/>
        </w:rPr>
        <w:t xml:space="preserve">El SCRS continuará asignando prioridad a la investigación sobre: identificación de zonas de </w:t>
      </w:r>
      <w:r w:rsidRPr="00F73E65">
        <w:rPr>
          <w:rFonts w:ascii="Cambria" w:hAnsi="Cambria"/>
          <w:sz w:val="20"/>
          <w:szCs w:val="20"/>
        </w:rPr>
        <w:t>apareamiento</w:t>
      </w:r>
      <w:r w:rsidRPr="00F73E65">
        <w:rPr>
          <w:rFonts w:ascii="Cambria" w:hAnsi="Cambria"/>
          <w:sz w:val="20"/>
        </w:rPr>
        <w:t>, nacimiento y cría y otras zonas de elevada concentración de marrajo dientuso</w:t>
      </w:r>
      <w:r w:rsidR="003B61DB" w:rsidRPr="00F73E65">
        <w:rPr>
          <w:rFonts w:ascii="Cambria" w:hAnsi="Cambria"/>
          <w:sz w:val="20"/>
        </w:rPr>
        <w:t xml:space="preserve"> del Atlántico </w:t>
      </w:r>
      <w:r w:rsidR="00705B69" w:rsidRPr="00F73E65">
        <w:rPr>
          <w:rFonts w:ascii="Cambria" w:hAnsi="Cambria"/>
          <w:sz w:val="20"/>
        </w:rPr>
        <w:t>sur</w:t>
      </w:r>
      <w:r w:rsidR="003B61DB" w:rsidRPr="00F73E65">
        <w:rPr>
          <w:rFonts w:ascii="Cambria" w:hAnsi="Cambria"/>
          <w:sz w:val="20"/>
        </w:rPr>
        <w:t>;</w:t>
      </w:r>
      <w:r w:rsidRPr="00F73E65">
        <w:rPr>
          <w:rFonts w:ascii="Cambria" w:hAnsi="Cambria"/>
          <w:sz w:val="20"/>
        </w:rPr>
        <w:t xml:space="preserve"> opciones para las medidas espaciotemporales</w:t>
      </w:r>
      <w:r w:rsidR="00072018" w:rsidRPr="00F73E65">
        <w:rPr>
          <w:rFonts w:ascii="Cambria" w:hAnsi="Cambria"/>
          <w:sz w:val="20"/>
        </w:rPr>
        <w:t>;</w:t>
      </w:r>
      <w:r w:rsidRPr="00F73E65">
        <w:rPr>
          <w:rFonts w:ascii="Cambria" w:hAnsi="Cambria"/>
          <w:sz w:val="20"/>
        </w:rPr>
        <w:t xml:space="preserve"> medidas de m</w:t>
      </w:r>
      <w:r w:rsidRPr="00F73E65">
        <w:rPr>
          <w:rFonts w:ascii="Cambria" w:hAnsi="Cambria"/>
          <w:sz w:val="20"/>
          <w:szCs w:val="20"/>
        </w:rPr>
        <w:t>itigación (</w:t>
      </w:r>
      <w:r w:rsidRPr="00F73E65">
        <w:rPr>
          <w:rFonts w:ascii="Cambria" w:hAnsi="Cambria"/>
          <w:sz w:val="20"/>
        </w:rPr>
        <w:t>lo que incluye la configuración</w:t>
      </w:r>
      <w:r w:rsidR="008E134F" w:rsidRPr="00F73E65">
        <w:rPr>
          <w:rFonts w:ascii="Cambria" w:hAnsi="Cambria"/>
          <w:sz w:val="20"/>
        </w:rPr>
        <w:t xml:space="preserve"> y </w:t>
      </w:r>
      <w:r w:rsidR="008E134F" w:rsidRPr="00F73E65">
        <w:rPr>
          <w:rFonts w:ascii="Cambria" w:hAnsi="Cambria"/>
          <w:sz w:val="20"/>
          <w:szCs w:val="20"/>
        </w:rPr>
        <w:t xml:space="preserve">modificación </w:t>
      </w:r>
      <w:r w:rsidRPr="00F73E65">
        <w:rPr>
          <w:rFonts w:ascii="Cambria" w:hAnsi="Cambria"/>
          <w:sz w:val="20"/>
        </w:rPr>
        <w:t>del arte</w:t>
      </w:r>
      <w:r w:rsidR="008E134F" w:rsidRPr="00F73E65">
        <w:rPr>
          <w:rFonts w:ascii="Cambria" w:hAnsi="Cambria"/>
          <w:sz w:val="20"/>
        </w:rPr>
        <w:t xml:space="preserve"> y </w:t>
      </w:r>
      <w:r w:rsidR="008E134F" w:rsidRPr="00F73E65">
        <w:rPr>
          <w:rFonts w:ascii="Cambria" w:hAnsi="Cambria"/>
          <w:sz w:val="20"/>
          <w:szCs w:val="20"/>
        </w:rPr>
        <w:t>sus opciones de despliegue</w:t>
      </w:r>
      <w:r w:rsidRPr="00F73E65">
        <w:rPr>
          <w:rFonts w:ascii="Cambria" w:hAnsi="Cambria"/>
          <w:sz w:val="20"/>
        </w:rPr>
        <w:t>)</w:t>
      </w:r>
      <w:r w:rsidR="00DC6287" w:rsidRPr="00F73E65">
        <w:rPr>
          <w:rFonts w:ascii="Cambria" w:hAnsi="Cambria"/>
          <w:sz w:val="20"/>
        </w:rPr>
        <w:t xml:space="preserve"> junto con los </w:t>
      </w:r>
      <w:r w:rsidR="0059708A" w:rsidRPr="00F73E65">
        <w:rPr>
          <w:rFonts w:ascii="Cambria" w:hAnsi="Cambria"/>
          <w:sz w:val="20"/>
        </w:rPr>
        <w:t xml:space="preserve">beneficios y desventajas </w:t>
      </w:r>
      <w:r w:rsidR="00DC6287" w:rsidRPr="00F73E65">
        <w:rPr>
          <w:rFonts w:ascii="Cambria" w:hAnsi="Cambria"/>
          <w:sz w:val="20"/>
        </w:rPr>
        <w:t>para los objetivos del plan de recuperación</w:t>
      </w:r>
      <w:r w:rsidRPr="00F73E65">
        <w:rPr>
          <w:rFonts w:ascii="Cambria" w:hAnsi="Cambria"/>
          <w:sz w:val="20"/>
        </w:rPr>
        <w:t xml:space="preserve"> encaminad</w:t>
      </w:r>
      <w:r w:rsidR="00B539DA" w:rsidRPr="00F73E65">
        <w:rPr>
          <w:rFonts w:ascii="Cambria" w:hAnsi="Cambria"/>
          <w:sz w:val="20"/>
        </w:rPr>
        <w:t>o</w:t>
      </w:r>
      <w:r w:rsidRPr="00F73E65">
        <w:rPr>
          <w:rFonts w:ascii="Cambria" w:hAnsi="Cambria"/>
          <w:sz w:val="20"/>
        </w:rPr>
        <w:t>s a seguir mejorando el estado del stock</w:t>
      </w:r>
      <w:r w:rsidR="00072018" w:rsidRPr="00F73E65">
        <w:rPr>
          <w:rFonts w:ascii="Cambria" w:hAnsi="Cambria"/>
          <w:sz w:val="20"/>
        </w:rPr>
        <w:t>;</w:t>
      </w:r>
      <w:r w:rsidRPr="00F73E65">
        <w:rPr>
          <w:rFonts w:ascii="Cambria" w:hAnsi="Cambria"/>
          <w:sz w:val="20"/>
        </w:rPr>
        <w:t xml:space="preserve"> y otros aspectos que el SCRS considere que contribuyen a mejorar las evaluaciones de stock y a reducir la mortalidad del marrajo dientuso. Además, se insta a las CPC a investigar la mortalidad en el buque y posterior a la liberación del marrajo dientuso, lo que incluye, pero no exclusivamente, la incorporación de temporizadores de anzuelos y de programas de marcado por satélite.</w:t>
      </w:r>
    </w:p>
    <w:p w14:paraId="697D0480" w14:textId="043ACD5F" w:rsidR="00210231" w:rsidRPr="00F73E65" w:rsidRDefault="00210231" w:rsidP="00210231">
      <w:pPr>
        <w:pStyle w:val="ListParagraph"/>
        <w:tabs>
          <w:tab w:val="left" w:pos="426"/>
        </w:tabs>
        <w:ind w:left="426"/>
        <w:jc w:val="both"/>
        <w:rPr>
          <w:rFonts w:ascii="Cambria" w:hAnsi="Cambria"/>
          <w:sz w:val="20"/>
          <w:szCs w:val="20"/>
        </w:rPr>
      </w:pPr>
    </w:p>
    <w:p w14:paraId="0D9F4368" w14:textId="3D65666B" w:rsidR="00283DE5" w:rsidRPr="00F73E65" w:rsidRDefault="00C2351F" w:rsidP="00E1251A">
      <w:pPr>
        <w:pStyle w:val="ListParagraph"/>
        <w:numPr>
          <w:ilvl w:val="0"/>
          <w:numId w:val="8"/>
        </w:numPr>
        <w:ind w:left="426" w:hanging="426"/>
        <w:jc w:val="both"/>
        <w:rPr>
          <w:rFonts w:ascii="Cambria" w:hAnsi="Cambria"/>
          <w:sz w:val="20"/>
          <w:szCs w:val="20"/>
        </w:rPr>
      </w:pPr>
      <w:r w:rsidRPr="00F73E65">
        <w:rPr>
          <w:rFonts w:ascii="Cambria" w:hAnsi="Cambria"/>
          <w:sz w:val="20"/>
          <w:szCs w:val="20"/>
        </w:rPr>
        <w:t xml:space="preserve">Teniendo en cuenta que </w:t>
      </w:r>
      <w:r w:rsidR="008E0424" w:rsidRPr="00F73E65">
        <w:rPr>
          <w:rFonts w:ascii="Cambria" w:hAnsi="Cambria"/>
          <w:sz w:val="20"/>
          <w:szCs w:val="20"/>
        </w:rPr>
        <w:t xml:space="preserve">las capturas incidentales en </w:t>
      </w:r>
      <w:r w:rsidRPr="00F73E65">
        <w:rPr>
          <w:rFonts w:ascii="Cambria" w:hAnsi="Cambria"/>
          <w:sz w:val="20"/>
          <w:szCs w:val="20"/>
        </w:rPr>
        <w:t>los puntos calientes podrían producirse en áreas y periodos con condiciones oceanográficas específicas, e</w:t>
      </w:r>
      <w:r w:rsidR="00DC6287" w:rsidRPr="00F73E65">
        <w:rPr>
          <w:rFonts w:ascii="Cambria" w:hAnsi="Cambria"/>
          <w:sz w:val="20"/>
          <w:szCs w:val="20"/>
        </w:rPr>
        <w:t xml:space="preserve">l SCRS </w:t>
      </w:r>
      <w:r w:rsidR="008820FE" w:rsidRPr="00F73E65">
        <w:rPr>
          <w:rFonts w:ascii="Cambria" w:hAnsi="Cambria"/>
          <w:sz w:val="20"/>
          <w:szCs w:val="20"/>
        </w:rPr>
        <w:t>continuará el desarrollo de</w:t>
      </w:r>
      <w:r w:rsidR="00DC6287" w:rsidRPr="00F73E65">
        <w:rPr>
          <w:rFonts w:ascii="Cambria" w:hAnsi="Cambria"/>
          <w:sz w:val="20"/>
          <w:szCs w:val="20"/>
        </w:rPr>
        <w:t xml:space="preserve"> un proyecto piloto para explorar los beneficios resultantes de instalar mini registradores de datos en la línea </w:t>
      </w:r>
      <w:r w:rsidR="00DC6287" w:rsidRPr="00F73E65">
        <w:rPr>
          <w:color w:val="000000" w:themeColor="text1"/>
          <w:sz w:val="20"/>
        </w:rPr>
        <w:t>principal</w:t>
      </w:r>
      <w:r w:rsidR="00DC6287" w:rsidRPr="00F73E65">
        <w:rPr>
          <w:rFonts w:ascii="Cambria" w:hAnsi="Cambria"/>
          <w:sz w:val="20"/>
          <w:szCs w:val="20"/>
        </w:rPr>
        <w:t xml:space="preserve"> y en las brazoladas de los palangreros</w:t>
      </w:r>
      <w:r w:rsidR="00500FF7" w:rsidRPr="00F73E65">
        <w:rPr>
          <w:rFonts w:ascii="Cambria" w:hAnsi="Cambria"/>
          <w:sz w:val="20"/>
          <w:szCs w:val="20"/>
        </w:rPr>
        <w:t xml:space="preserve"> que participan en el proyecto de forma voluntaria y </w:t>
      </w:r>
      <w:r w:rsidR="00DC6287" w:rsidRPr="00F73E65">
        <w:rPr>
          <w:rFonts w:ascii="Cambria" w:hAnsi="Cambria"/>
          <w:sz w:val="20"/>
          <w:szCs w:val="20"/>
        </w:rPr>
        <w:t>que se dirigen a especies ICCAT con potencial de interacción con marrajos dientusos.</w:t>
      </w:r>
      <w:r w:rsidR="005B0F06" w:rsidRPr="00F73E65">
        <w:rPr>
          <w:rFonts w:ascii="Cambria" w:hAnsi="Cambria"/>
          <w:sz w:val="20"/>
          <w:szCs w:val="20"/>
        </w:rPr>
        <w:t xml:space="preserve"> </w:t>
      </w:r>
      <w:r w:rsidR="00DC6287" w:rsidRPr="00F73E65">
        <w:rPr>
          <w:rFonts w:ascii="Cambria" w:hAnsi="Cambria"/>
          <w:sz w:val="20"/>
          <w:szCs w:val="20"/>
        </w:rPr>
        <w:t xml:space="preserve">El SCRS proporcionará directrices sobre las características básicas, el número mínimo y las posiciones para instalar los mini registradores de datos con el fin de comprender mejor los efectos del tiempo de inmersión, las profundidades de pesca y las características medioambientales que producen las mayores capturas incidentales de marrajo dientuso. </w:t>
      </w:r>
    </w:p>
    <w:p w14:paraId="0E0EC5D4" w14:textId="77777777" w:rsidR="008820FE" w:rsidRPr="00F73E65" w:rsidRDefault="008820FE" w:rsidP="008820FE">
      <w:pPr>
        <w:pStyle w:val="ListParagraph"/>
        <w:rPr>
          <w:rFonts w:ascii="Cambria" w:eastAsia="Cambria" w:hAnsi="Cambria" w:cs="Cambria"/>
          <w:sz w:val="20"/>
          <w:szCs w:val="20"/>
        </w:rPr>
      </w:pPr>
    </w:p>
    <w:p w14:paraId="6AD48DA3" w14:textId="06143D82" w:rsidR="006F6DFD" w:rsidRPr="00F73E65" w:rsidRDefault="006F6DFD" w:rsidP="00E1251A">
      <w:pPr>
        <w:numPr>
          <w:ilvl w:val="0"/>
          <w:numId w:val="8"/>
        </w:numPr>
        <w:spacing w:after="5" w:line="247" w:lineRule="auto"/>
        <w:ind w:right="36"/>
        <w:jc w:val="both"/>
        <w:rPr>
          <w:rFonts w:ascii="Cambria" w:hAnsi="Cambria"/>
          <w:sz w:val="20"/>
          <w:szCs w:val="20"/>
          <w:lang w:eastAsia="ja-JP"/>
        </w:rPr>
      </w:pPr>
    </w:p>
    <w:p w14:paraId="2D95CE85" w14:textId="77777777" w:rsidR="008820FE" w:rsidRPr="00F73E65" w:rsidRDefault="008820FE" w:rsidP="008820FE">
      <w:pPr>
        <w:spacing w:after="5" w:line="247" w:lineRule="auto"/>
        <w:ind w:right="36"/>
        <w:jc w:val="both"/>
        <w:rPr>
          <w:rFonts w:ascii="Cambria" w:hAnsi="Cambria"/>
          <w:sz w:val="20"/>
          <w:szCs w:val="20"/>
          <w:lang w:eastAsia="ja-JP"/>
        </w:rPr>
      </w:pPr>
    </w:p>
    <w:p w14:paraId="21E8F31C" w14:textId="3160DDCB" w:rsidR="004127B3" w:rsidRPr="00F73E65" w:rsidRDefault="004127B3" w:rsidP="00E1251A">
      <w:pPr>
        <w:pStyle w:val="ListParagraph"/>
        <w:numPr>
          <w:ilvl w:val="0"/>
          <w:numId w:val="4"/>
        </w:numPr>
        <w:tabs>
          <w:tab w:val="left" w:pos="426"/>
        </w:tabs>
        <w:ind w:left="993"/>
        <w:jc w:val="both"/>
        <w:rPr>
          <w:rFonts w:ascii="Cambria" w:hAnsi="Cambria"/>
          <w:sz w:val="20"/>
        </w:rPr>
      </w:pPr>
      <w:r w:rsidRPr="00F73E65">
        <w:rPr>
          <w:rFonts w:ascii="Cambria" w:hAnsi="Cambria"/>
          <w:sz w:val="20"/>
        </w:rPr>
        <w:t>El SCRS proporcionará a la Comisión</w:t>
      </w:r>
      <w:r w:rsidR="008820FE" w:rsidRPr="00F73E65">
        <w:rPr>
          <w:rFonts w:ascii="Cambria" w:hAnsi="Cambria"/>
          <w:sz w:val="20"/>
        </w:rPr>
        <w:t>,</w:t>
      </w:r>
      <w:r w:rsidRPr="00F73E65">
        <w:rPr>
          <w:rFonts w:ascii="Cambria" w:hAnsi="Cambria"/>
          <w:sz w:val="20"/>
        </w:rPr>
        <w:t xml:space="preserve"> siempre que se disponga de nueva información, un asesoramiento actualizado sobre las medidas de mitigación destinadas a reducir aún más la mortalidad del marrajo dientuso. </w:t>
      </w:r>
      <w:r w:rsidR="008820FE" w:rsidRPr="00F73E65">
        <w:rPr>
          <w:rFonts w:ascii="Cambria" w:hAnsi="Cambria"/>
          <w:sz w:val="20"/>
        </w:rPr>
        <w:t>L</w:t>
      </w:r>
      <w:r w:rsidRPr="00F73E65">
        <w:rPr>
          <w:rFonts w:ascii="Cambria" w:hAnsi="Cambria"/>
          <w:sz w:val="20"/>
        </w:rPr>
        <w:t xml:space="preserve">as CPC </w:t>
      </w:r>
      <w:r w:rsidR="008820FE" w:rsidRPr="00F73E65">
        <w:rPr>
          <w:rFonts w:ascii="Cambria" w:hAnsi="Cambria"/>
          <w:sz w:val="20"/>
        </w:rPr>
        <w:t>que apliquen el párrafo 8</w:t>
      </w:r>
      <w:r w:rsidRPr="00F73E65">
        <w:rPr>
          <w:rFonts w:ascii="Cambria" w:hAnsi="Cambria"/>
          <w:sz w:val="20"/>
        </w:rPr>
        <w:t xml:space="preserve"> presentarán al SCRS información </w:t>
      </w:r>
      <w:r w:rsidR="00861068" w:rsidRPr="00F73E65">
        <w:rPr>
          <w:rFonts w:ascii="Cambria" w:hAnsi="Cambria"/>
          <w:sz w:val="20"/>
        </w:rPr>
        <w:t xml:space="preserve">por pesquería </w:t>
      </w:r>
      <w:r w:rsidRPr="00F73E65">
        <w:rPr>
          <w:rFonts w:ascii="Cambria" w:hAnsi="Cambria"/>
          <w:sz w:val="20"/>
        </w:rPr>
        <w:t xml:space="preserve">sobre las medidas técnicas y otras medidas de ordenación que hayan aplicado para reducir la mortalidad por pesca total del marrajo dientuso del Atlántico </w:t>
      </w:r>
      <w:r w:rsidR="00705B69" w:rsidRPr="00F73E65">
        <w:rPr>
          <w:rFonts w:ascii="Cambria" w:hAnsi="Cambria"/>
          <w:sz w:val="20"/>
        </w:rPr>
        <w:t>sur</w:t>
      </w:r>
      <w:r w:rsidRPr="00F73E65">
        <w:rPr>
          <w:rFonts w:ascii="Cambria" w:hAnsi="Cambria"/>
          <w:sz w:val="20"/>
        </w:rPr>
        <w:t>, con la excepción de aquellas CPC que ya hayan presentado dicha información a la Secretaría</w:t>
      </w:r>
      <w:r w:rsidR="004847ED" w:rsidRPr="00F73E65">
        <w:rPr>
          <w:rFonts w:ascii="Cambria" w:hAnsi="Cambria"/>
          <w:sz w:val="20"/>
        </w:rPr>
        <w:t xml:space="preserve"> de ICCAT</w:t>
      </w:r>
      <w:r w:rsidRPr="00F73E65">
        <w:rPr>
          <w:rFonts w:ascii="Cambria" w:hAnsi="Cambria"/>
          <w:sz w:val="20"/>
        </w:rPr>
        <w:t>. El SCRS revisará esta información y asesorará a la Comisión sobre qué herramientas y enfoques han sido más efectivos para reducir la mortalidad por pesca con el fin de recomendar medidas específicas cuya adopción debería considerar la Comisión.</w:t>
      </w:r>
    </w:p>
    <w:p w14:paraId="05AE4AE5" w14:textId="77777777" w:rsidR="006F6DFD" w:rsidRPr="00F73E65" w:rsidRDefault="006F6DFD" w:rsidP="006F6DFD">
      <w:pPr>
        <w:pStyle w:val="ListParagraph"/>
        <w:tabs>
          <w:tab w:val="left" w:pos="426"/>
        </w:tabs>
        <w:ind w:left="426"/>
        <w:jc w:val="both"/>
        <w:rPr>
          <w:rFonts w:ascii="Cambria" w:hAnsi="Cambria"/>
          <w:sz w:val="20"/>
        </w:rPr>
      </w:pPr>
    </w:p>
    <w:p w14:paraId="32AFAD18" w14:textId="77777777" w:rsidR="00F26345" w:rsidRPr="00F73E65" w:rsidRDefault="00F26345" w:rsidP="00F26345">
      <w:pPr>
        <w:pStyle w:val="ListParagraph"/>
        <w:ind w:left="1070"/>
        <w:rPr>
          <w:rFonts w:ascii="Cambria" w:hAnsi="Cambria"/>
          <w:sz w:val="20"/>
          <w:szCs w:val="20"/>
          <w:u w:val="single"/>
        </w:rPr>
      </w:pPr>
    </w:p>
    <w:p w14:paraId="59027286" w14:textId="18330D17" w:rsidR="001C29C1" w:rsidRPr="00F73E65" w:rsidRDefault="00F26345" w:rsidP="00E1251A">
      <w:pPr>
        <w:pStyle w:val="ListParagraph"/>
        <w:numPr>
          <w:ilvl w:val="0"/>
          <w:numId w:val="4"/>
        </w:numPr>
        <w:ind w:left="993"/>
        <w:jc w:val="both"/>
        <w:rPr>
          <w:rFonts w:ascii="Cambria" w:hAnsi="Cambria"/>
          <w:sz w:val="20"/>
        </w:rPr>
      </w:pPr>
      <w:r w:rsidRPr="00F73E65">
        <w:rPr>
          <w:rFonts w:ascii="Cambria" w:hAnsi="Cambria"/>
          <w:sz w:val="20"/>
          <w:szCs w:val="20"/>
          <w:u w:val="single"/>
        </w:rPr>
        <w:t>Teniendo en cuenta la información sobre medidas técnicas y otras medidas de ordenación presentadas por las CPC con arreglo al párrafo a) anterior, el SCRS evaluará los posibles beneficios de los límites tanto de talla mínima como de talla máxima para la retención de ejemplares vivos (aplicados por separado o combinados), en particular las tallas de madurez específicas del sexo basadas en la mejor ciencia disponible, particularmente cuando se consideran en combinación con otras medidas de ordenación, para conseguir las reducciones de mortalidad requeridas</w:t>
      </w:r>
      <w:r w:rsidR="00221012" w:rsidRPr="00F73E65">
        <w:rPr>
          <w:rFonts w:ascii="Cambria" w:hAnsi="Cambria"/>
          <w:sz w:val="20"/>
          <w:szCs w:val="20"/>
          <w:u w:val="single"/>
        </w:rPr>
        <w:t>.</w:t>
      </w:r>
      <w:r w:rsidR="00D43755" w:rsidRPr="00F73E65">
        <w:rPr>
          <w:rFonts w:ascii="Cambria" w:hAnsi="Cambria"/>
          <w:sz w:val="20"/>
          <w:szCs w:val="20"/>
          <w:u w:val="single"/>
        </w:rPr>
        <w:t xml:space="preserve"> E</w:t>
      </w:r>
      <w:r w:rsidR="00675171" w:rsidRPr="00F73E65">
        <w:rPr>
          <w:rFonts w:ascii="Cambria" w:hAnsi="Cambria"/>
          <w:sz w:val="20"/>
          <w:szCs w:val="20"/>
          <w:u w:val="single"/>
        </w:rPr>
        <w:t>l</w:t>
      </w:r>
      <w:r w:rsidR="001C29C1" w:rsidRPr="00F73E65">
        <w:rPr>
          <w:rFonts w:ascii="Cambria" w:hAnsi="Cambria"/>
          <w:sz w:val="20"/>
        </w:rPr>
        <w:t xml:space="preserve"> SCRS asesorará a la Comisión sobre las medidas técnicas más </w:t>
      </w:r>
      <w:r w:rsidR="00216017" w:rsidRPr="00F73E65">
        <w:rPr>
          <w:rFonts w:ascii="Cambria" w:hAnsi="Cambria"/>
          <w:sz w:val="20"/>
        </w:rPr>
        <w:t>eficaces</w:t>
      </w:r>
      <w:r w:rsidR="001C29C1" w:rsidRPr="00F73E65">
        <w:rPr>
          <w:rFonts w:ascii="Cambria" w:hAnsi="Cambria"/>
          <w:sz w:val="20"/>
        </w:rPr>
        <w:t xml:space="preserve"> que se deberían implementar para reducir la mortalidad por pesca del marrajo dientuso, a la vez que facilitará información y asesoramiento sobre </w:t>
      </w:r>
      <w:r w:rsidR="00B5162F" w:rsidRPr="00F73E65">
        <w:rPr>
          <w:rFonts w:ascii="Cambria" w:hAnsi="Cambria"/>
          <w:sz w:val="20"/>
        </w:rPr>
        <w:t>la compensación de factores</w:t>
      </w:r>
      <w:r w:rsidR="001C29C1" w:rsidRPr="00F73E65">
        <w:rPr>
          <w:rFonts w:ascii="Cambria" w:hAnsi="Cambria"/>
          <w:sz w:val="20"/>
        </w:rPr>
        <w:t xml:space="preserve"> para las capturas de las especies objetivo </w:t>
      </w:r>
      <w:r w:rsidR="00216017" w:rsidRPr="00F73E65">
        <w:rPr>
          <w:rFonts w:ascii="Cambria" w:hAnsi="Cambria"/>
          <w:sz w:val="20"/>
        </w:rPr>
        <w:t>por</w:t>
      </w:r>
      <w:r w:rsidR="001C29C1" w:rsidRPr="00F73E65">
        <w:rPr>
          <w:rFonts w:ascii="Cambria" w:hAnsi="Cambria"/>
          <w:sz w:val="20"/>
        </w:rPr>
        <w:t xml:space="preserve"> pesquería.</w:t>
      </w:r>
    </w:p>
    <w:p w14:paraId="579CE297" w14:textId="77777777" w:rsidR="00FA7D1C" w:rsidRPr="00F73E65" w:rsidRDefault="00FA7D1C" w:rsidP="0033326E">
      <w:pPr>
        <w:tabs>
          <w:tab w:val="left" w:pos="426"/>
        </w:tabs>
        <w:ind w:left="426" w:hanging="426"/>
        <w:contextualSpacing/>
        <w:jc w:val="both"/>
        <w:rPr>
          <w:rFonts w:ascii="Cambria" w:eastAsia="Times New Roman" w:hAnsi="Cambria" w:cs="Times New Roman"/>
          <w:sz w:val="20"/>
        </w:rPr>
      </w:pPr>
    </w:p>
    <w:p w14:paraId="146A9123" w14:textId="77777777" w:rsidR="00FA7D1C" w:rsidRPr="00F73E65" w:rsidRDefault="00FA7D1C" w:rsidP="00E1251A">
      <w:pPr>
        <w:numPr>
          <w:ilvl w:val="0"/>
          <w:numId w:val="8"/>
        </w:numPr>
        <w:spacing w:after="5" w:line="247" w:lineRule="auto"/>
        <w:ind w:left="426" w:right="36"/>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t xml:space="preserve">El SCRS revisará los desembarques y descartes comunicados de marrajo carite para identificar </w:t>
      </w:r>
      <w:r w:rsidRPr="00F73E65">
        <w:rPr>
          <w:rFonts w:ascii="Cambria" w:hAnsi="Cambria"/>
          <w:sz w:val="20"/>
          <w:szCs w:val="20"/>
          <w:lang w:eastAsia="ja-JP"/>
        </w:rPr>
        <w:t>cualquier</w:t>
      </w:r>
      <w:r w:rsidRPr="00F73E65">
        <w:rPr>
          <w:rFonts w:ascii="Cambria" w:eastAsia="Cambria" w:hAnsi="Cambria" w:cs="Cambria"/>
          <w:color w:val="000000"/>
          <w:sz w:val="20"/>
          <w:szCs w:val="22"/>
          <w:lang w:eastAsia="en-GB"/>
        </w:rPr>
        <w:t xml:space="preserve"> incoherencia inesperada que pudiera ser el resultado de una identificación errónea entre las dos especies de marrajo, con el fin de formular el asesoramiento en materia de ordenación.</w:t>
      </w:r>
    </w:p>
    <w:p w14:paraId="574EA0B0" w14:textId="77777777" w:rsidR="00FA7D1C" w:rsidRPr="00F73E65" w:rsidRDefault="00FA7D1C" w:rsidP="00FA7D1C">
      <w:pPr>
        <w:ind w:left="429"/>
        <w:rPr>
          <w:rFonts w:ascii="Cambria" w:eastAsia="Cambria" w:hAnsi="Cambria" w:cs="Cambria"/>
          <w:color w:val="000000"/>
          <w:sz w:val="20"/>
          <w:szCs w:val="20"/>
          <w:lang w:eastAsia="en-GB"/>
        </w:rPr>
      </w:pPr>
    </w:p>
    <w:p w14:paraId="7E7769E2" w14:textId="5B8A9C75" w:rsidR="00FA7D1C" w:rsidRPr="00F73E65" w:rsidRDefault="00FA7D1C" w:rsidP="00E1251A">
      <w:pPr>
        <w:numPr>
          <w:ilvl w:val="0"/>
          <w:numId w:val="8"/>
        </w:numPr>
        <w:spacing w:after="5" w:line="247" w:lineRule="auto"/>
        <w:ind w:left="426" w:right="36"/>
        <w:jc w:val="both"/>
        <w:rPr>
          <w:rFonts w:ascii="Cambria" w:eastAsia="Cambria" w:hAnsi="Cambria" w:cs="Cambria"/>
          <w:color w:val="000000"/>
          <w:sz w:val="20"/>
          <w:szCs w:val="20"/>
          <w:lang w:eastAsia="en-GB"/>
        </w:rPr>
      </w:pPr>
      <w:r w:rsidRPr="00F73E65">
        <w:rPr>
          <w:rFonts w:ascii="Cambria" w:eastAsia="Cambria" w:hAnsi="Cambria" w:cs="Cambria"/>
          <w:color w:val="000000"/>
          <w:sz w:val="20"/>
          <w:szCs w:val="22"/>
          <w:lang w:eastAsia="en-GB"/>
        </w:rPr>
        <w:lastRenderedPageBreak/>
        <w:t xml:space="preserve">Con el objetivo de evaluar el impacto de las medidas </w:t>
      </w:r>
      <w:r w:rsidRPr="00F73E65">
        <w:rPr>
          <w:rFonts w:ascii="Cambria" w:eastAsia="Cambria" w:hAnsi="Cambria" w:cs="Cambria"/>
          <w:color w:val="000000"/>
          <w:sz w:val="20"/>
          <w:szCs w:val="22"/>
          <w:u w:val="single"/>
          <w:lang w:eastAsia="en-GB"/>
        </w:rPr>
        <w:t>actuales, el SCRS</w:t>
      </w:r>
      <w:r w:rsidRPr="00F73E65">
        <w:rPr>
          <w:rFonts w:ascii="Cambria" w:eastAsia="Cambria" w:hAnsi="Cambria" w:cs="Cambria"/>
          <w:color w:val="000000"/>
          <w:sz w:val="20"/>
          <w:szCs w:val="22"/>
          <w:lang w:eastAsia="en-GB"/>
        </w:rPr>
        <w:t xml:space="preserve"> informará a la Comisión cada vez que sea pertinente realizar una nueva evaluación de stock de marrajo dientuso del Atlántico sur. </w:t>
      </w:r>
    </w:p>
    <w:p w14:paraId="7730F6B2" w14:textId="77777777" w:rsidR="00FA7D1C" w:rsidRPr="00F73E65" w:rsidRDefault="00FA7D1C" w:rsidP="0033326E">
      <w:pPr>
        <w:tabs>
          <w:tab w:val="left" w:pos="426"/>
        </w:tabs>
        <w:ind w:left="426" w:hanging="426"/>
        <w:contextualSpacing/>
        <w:jc w:val="both"/>
        <w:rPr>
          <w:rFonts w:ascii="Cambria" w:eastAsia="Times New Roman" w:hAnsi="Cambria" w:cs="Times New Roman"/>
          <w:sz w:val="20"/>
        </w:rPr>
      </w:pPr>
    </w:p>
    <w:p w14:paraId="70241F45" w14:textId="4A046F4C" w:rsidR="00210231" w:rsidRPr="00F73E65" w:rsidRDefault="00A031BB" w:rsidP="00210231">
      <w:pPr>
        <w:tabs>
          <w:tab w:val="left" w:pos="426"/>
        </w:tabs>
        <w:jc w:val="both"/>
        <w:rPr>
          <w:rFonts w:ascii="Cambria" w:hAnsi="Cambria"/>
          <w:b/>
          <w:sz w:val="20"/>
        </w:rPr>
      </w:pPr>
      <w:r w:rsidRPr="00F73E65">
        <w:rPr>
          <w:rFonts w:ascii="Cambria" w:hAnsi="Cambria"/>
          <w:b/>
          <w:sz w:val="20"/>
        </w:rPr>
        <w:t>R</w:t>
      </w:r>
      <w:r w:rsidR="002A1BF8" w:rsidRPr="00F73E65">
        <w:rPr>
          <w:rFonts w:ascii="Cambria" w:hAnsi="Cambria"/>
          <w:b/>
          <w:sz w:val="20"/>
        </w:rPr>
        <w:t>evocación</w:t>
      </w:r>
    </w:p>
    <w:p w14:paraId="4B04035B" w14:textId="77777777" w:rsidR="00636C33" w:rsidRPr="00F73E65" w:rsidRDefault="00636C33" w:rsidP="00210231">
      <w:pPr>
        <w:tabs>
          <w:tab w:val="left" w:pos="426"/>
        </w:tabs>
        <w:jc w:val="both"/>
        <w:rPr>
          <w:rFonts w:ascii="Cambria" w:hAnsi="Cambria"/>
          <w:b/>
          <w:sz w:val="20"/>
        </w:rPr>
      </w:pPr>
    </w:p>
    <w:p w14:paraId="0DA6281F" w14:textId="1A96626B" w:rsidR="006F3AB4" w:rsidRPr="00F73E65" w:rsidRDefault="00752B7B" w:rsidP="00E1251A">
      <w:pPr>
        <w:numPr>
          <w:ilvl w:val="0"/>
          <w:numId w:val="8"/>
        </w:numPr>
        <w:spacing w:after="5" w:line="247" w:lineRule="auto"/>
        <w:ind w:left="426" w:right="36"/>
        <w:jc w:val="both"/>
        <w:rPr>
          <w:rFonts w:ascii="Cambria" w:eastAsia="Cambria" w:hAnsi="Cambria" w:cs="Cambria"/>
          <w:iCs/>
          <w:sz w:val="20"/>
          <w:szCs w:val="22"/>
          <w:lang w:eastAsia="en-GB"/>
        </w:rPr>
      </w:pPr>
      <w:r w:rsidRPr="00F73E65">
        <w:rPr>
          <w:rFonts w:ascii="Cambria" w:hAnsi="Cambria"/>
          <w:bCs/>
          <w:sz w:val="20"/>
        </w:rPr>
        <w:t xml:space="preserve">Esta </w:t>
      </w:r>
      <w:r w:rsidR="000A6517" w:rsidRPr="00F73E65">
        <w:rPr>
          <w:rFonts w:ascii="Cambria" w:eastAsia="Cambria" w:hAnsi="Cambria" w:cs="Cambria"/>
          <w:color w:val="000000"/>
          <w:sz w:val="20"/>
          <w:szCs w:val="22"/>
          <w:lang w:eastAsia="en-GB"/>
        </w:rPr>
        <w:t>Recomendación</w:t>
      </w:r>
      <w:r w:rsidR="000A6517" w:rsidRPr="00F73E65">
        <w:rPr>
          <w:rFonts w:ascii="Cambria" w:hAnsi="Cambria"/>
          <w:bCs/>
          <w:sz w:val="20"/>
        </w:rPr>
        <w:t xml:space="preserve"> </w:t>
      </w:r>
      <w:r w:rsidRPr="00F73E65">
        <w:rPr>
          <w:rFonts w:ascii="Cambria" w:hAnsi="Cambria"/>
          <w:bCs/>
          <w:sz w:val="20"/>
        </w:rPr>
        <w:t>revoca la</w:t>
      </w:r>
      <w:r w:rsidRPr="00F73E65">
        <w:rPr>
          <w:rFonts w:ascii="Cambria" w:hAnsi="Cambria"/>
          <w:b/>
          <w:sz w:val="20"/>
        </w:rPr>
        <w:t xml:space="preserve"> </w:t>
      </w:r>
      <w:r w:rsidR="000A6517" w:rsidRPr="00F73E65">
        <w:rPr>
          <w:rFonts w:ascii="Cambria" w:eastAsia="Cambria" w:hAnsi="Cambria" w:cs="Cambria"/>
          <w:i/>
          <w:sz w:val="20"/>
          <w:szCs w:val="22"/>
          <w:lang w:eastAsia="en-GB"/>
        </w:rPr>
        <w:t xml:space="preserve">Recomendación de ICCAT sobre la conservación del stock de marrajo dientuso del Atlántico </w:t>
      </w:r>
      <w:r w:rsidR="00A031BB" w:rsidRPr="00F73E65">
        <w:rPr>
          <w:rFonts w:ascii="Cambria" w:eastAsia="Cambria" w:hAnsi="Cambria" w:cs="Cambria"/>
          <w:i/>
          <w:sz w:val="20"/>
          <w:szCs w:val="22"/>
          <w:lang w:eastAsia="en-GB"/>
        </w:rPr>
        <w:t>sur</w:t>
      </w:r>
      <w:r w:rsidR="000A6517" w:rsidRPr="00F73E65">
        <w:rPr>
          <w:rFonts w:ascii="Cambria" w:eastAsia="Cambria" w:hAnsi="Cambria" w:cs="Cambria"/>
          <w:i/>
          <w:sz w:val="20"/>
          <w:szCs w:val="22"/>
          <w:lang w:eastAsia="en-GB"/>
        </w:rPr>
        <w:t xml:space="preserve"> capturado en asociación con pesquerías de ICCAT  </w:t>
      </w:r>
      <w:r w:rsidR="000A6517" w:rsidRPr="00F73E65">
        <w:rPr>
          <w:rFonts w:ascii="Cambria" w:eastAsia="Cambria" w:hAnsi="Cambria" w:cs="Cambria"/>
          <w:iCs/>
          <w:sz w:val="20"/>
          <w:szCs w:val="22"/>
          <w:lang w:eastAsia="en-GB"/>
        </w:rPr>
        <w:t>(Rec. 22-11)</w:t>
      </w:r>
      <w:r w:rsidR="005E7350" w:rsidRPr="00F73E65">
        <w:rPr>
          <w:rFonts w:ascii="Cambria" w:eastAsia="Cambria" w:hAnsi="Cambria" w:cs="Cambria"/>
          <w:iCs/>
          <w:sz w:val="20"/>
          <w:szCs w:val="22"/>
          <w:lang w:eastAsia="en-GB"/>
        </w:rPr>
        <w:t xml:space="preserve"> y la sustituye.</w:t>
      </w:r>
    </w:p>
    <w:p w14:paraId="164A7080" w14:textId="77777777" w:rsidR="006F3AB4" w:rsidRPr="00F73E65" w:rsidRDefault="006F3AB4">
      <w:pPr>
        <w:rPr>
          <w:rFonts w:ascii="Cambria" w:eastAsia="Cambria" w:hAnsi="Cambria" w:cs="Cambria"/>
          <w:iCs/>
          <w:sz w:val="20"/>
          <w:szCs w:val="22"/>
          <w:lang w:eastAsia="en-GB"/>
        </w:rPr>
      </w:pPr>
      <w:r w:rsidRPr="00F73E65">
        <w:rPr>
          <w:rFonts w:ascii="Cambria" w:eastAsia="Cambria" w:hAnsi="Cambria" w:cs="Cambria"/>
          <w:iCs/>
          <w:sz w:val="20"/>
          <w:szCs w:val="22"/>
          <w:lang w:eastAsia="en-GB"/>
        </w:rPr>
        <w:br w:type="page"/>
      </w:r>
    </w:p>
    <w:p w14:paraId="3FE4E993" w14:textId="77777777" w:rsidR="007240C8" w:rsidRPr="00F73E65" w:rsidRDefault="007240C8" w:rsidP="007240C8">
      <w:pPr>
        <w:spacing w:after="5" w:line="249" w:lineRule="auto"/>
        <w:ind w:left="436" w:right="47" w:hanging="434"/>
        <w:jc w:val="right"/>
        <w:rPr>
          <w:rFonts w:ascii="Cambria" w:eastAsia="Cambria" w:hAnsi="Cambria" w:cs="Cambria"/>
          <w:b/>
          <w:bCs/>
          <w:color w:val="000000"/>
          <w:sz w:val="20"/>
          <w:szCs w:val="20"/>
          <w:u w:val="single"/>
          <w:lang w:eastAsia="en-GB"/>
        </w:rPr>
      </w:pPr>
      <w:r w:rsidRPr="00F73E65">
        <w:rPr>
          <w:rFonts w:ascii="Cambria" w:eastAsia="Cambria" w:hAnsi="Cambria" w:cs="Cambria"/>
          <w:b/>
          <w:bCs/>
          <w:color w:val="000000"/>
          <w:sz w:val="20"/>
          <w:szCs w:val="20"/>
          <w:u w:val="single"/>
          <w:lang w:eastAsia="en-GB"/>
        </w:rPr>
        <w:lastRenderedPageBreak/>
        <w:t>Anexo 1</w:t>
      </w:r>
    </w:p>
    <w:p w14:paraId="4BE1759B" w14:textId="77777777" w:rsidR="007240C8" w:rsidRPr="00F73E65" w:rsidRDefault="007240C8" w:rsidP="007240C8">
      <w:pPr>
        <w:spacing w:after="5" w:line="249" w:lineRule="auto"/>
        <w:ind w:left="436" w:right="47" w:hanging="434"/>
        <w:jc w:val="both"/>
        <w:rPr>
          <w:rFonts w:ascii="Cambria" w:eastAsia="Cambria" w:hAnsi="Cambria" w:cs="Cambria"/>
          <w:color w:val="000000"/>
          <w:sz w:val="20"/>
          <w:szCs w:val="20"/>
          <w:u w:val="single"/>
          <w:lang w:eastAsia="en-GB"/>
        </w:rPr>
      </w:pPr>
    </w:p>
    <w:p w14:paraId="2369A6E8" w14:textId="77777777" w:rsidR="007240C8" w:rsidRPr="00F73E65" w:rsidRDefault="007240C8" w:rsidP="007240C8">
      <w:pPr>
        <w:spacing w:line="259" w:lineRule="auto"/>
        <w:ind w:right="5"/>
        <w:jc w:val="center"/>
        <w:rPr>
          <w:rFonts w:ascii="Cambria" w:eastAsia="Cambria" w:hAnsi="Cambria" w:cs="Cambria"/>
          <w:b/>
          <w:bCs/>
          <w:color w:val="000000"/>
          <w:sz w:val="20"/>
          <w:szCs w:val="20"/>
          <w:u w:val="single"/>
          <w:lang w:eastAsia="en-GB"/>
        </w:rPr>
      </w:pPr>
      <w:r w:rsidRPr="00F73E65">
        <w:rPr>
          <w:rFonts w:ascii="Cambria" w:eastAsia="Cambria" w:hAnsi="Cambria" w:cs="Cambria"/>
          <w:b/>
          <w:color w:val="000000"/>
          <w:sz w:val="20"/>
          <w:szCs w:val="20"/>
          <w:u w:val="single"/>
          <w:lang w:eastAsia="en-GB"/>
        </w:rPr>
        <w:t>Proceso para determinar una posible retención</w:t>
      </w:r>
    </w:p>
    <w:p w14:paraId="2734E5D4" w14:textId="77777777" w:rsidR="007240C8" w:rsidRPr="00F73E65" w:rsidRDefault="007240C8" w:rsidP="007240C8">
      <w:pPr>
        <w:spacing w:line="259" w:lineRule="auto"/>
        <w:ind w:right="5"/>
        <w:rPr>
          <w:rFonts w:ascii="Cambria" w:eastAsia="Cambria" w:hAnsi="Cambria" w:cs="Cambria"/>
          <w:bCs/>
          <w:color w:val="000000"/>
          <w:sz w:val="20"/>
          <w:szCs w:val="20"/>
          <w:u w:val="single"/>
          <w:lang w:eastAsia="en-GB"/>
        </w:rPr>
      </w:pPr>
      <w:r w:rsidRPr="00F73E65">
        <w:rPr>
          <w:rFonts w:ascii="Cambria" w:eastAsia="Cambria" w:hAnsi="Cambria" w:cs="Cambria"/>
          <w:b/>
          <w:color w:val="000000"/>
          <w:sz w:val="20"/>
          <w:szCs w:val="20"/>
          <w:u w:val="single"/>
          <w:lang w:eastAsia="en-GB"/>
        </w:rPr>
        <w:t xml:space="preserve"> </w:t>
      </w:r>
    </w:p>
    <w:p w14:paraId="3361BDCC" w14:textId="6632903D" w:rsidR="007240C8" w:rsidRPr="00F73E65" w:rsidRDefault="007240C8" w:rsidP="00DF3E6B">
      <w:pPr>
        <w:pStyle w:val="ListParagraph"/>
        <w:numPr>
          <w:ilvl w:val="0"/>
          <w:numId w:val="11"/>
        </w:numPr>
        <w:spacing w:line="259" w:lineRule="auto"/>
        <w:ind w:left="142" w:right="5"/>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Para calcular la tolerancia de retención, se aplicarán las siguientes normas al tomar decisiones de ordenación en el año Y: </w:t>
      </w:r>
    </w:p>
    <w:p w14:paraId="47BB1566" w14:textId="77777777" w:rsidR="007240C8" w:rsidRPr="00F73E65" w:rsidRDefault="007240C8" w:rsidP="007240C8">
      <w:pPr>
        <w:spacing w:line="259" w:lineRule="auto"/>
        <w:ind w:left="851" w:right="5" w:hanging="851"/>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6F30BF2C" w14:textId="77777777" w:rsidR="007240C8" w:rsidRPr="00F73E65" w:rsidRDefault="007240C8" w:rsidP="00DF3E6B">
      <w:pPr>
        <w:spacing w:line="259" w:lineRule="auto"/>
        <w:ind w:left="426" w:right="5" w:hanging="426"/>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a) </w:t>
      </w:r>
      <w:r w:rsidRPr="00F73E65">
        <w:rPr>
          <w:rFonts w:ascii="Cambria" w:eastAsia="Cambria" w:hAnsi="Cambria" w:cs="Cambria"/>
          <w:color w:val="000000"/>
          <w:sz w:val="20"/>
          <w:szCs w:val="20"/>
          <w:u w:val="single"/>
          <w:lang w:eastAsia="en-GB"/>
        </w:rPr>
        <w:tab/>
        <w:t xml:space="preserve">Todas las fuentes de mortalidad por pesca para el año anterior (Y-1) serán estimadas por el SCRS basándose en los datos presentados por las CPC, así como en pruebas científicas actualizadas. En el caso de que no todas las CPC comuniquen todos los datos requeridos y conjuntos de datos completos para Y-1 (es decir, descartes de ejemplares muertos, liberaciones de ejemplares vivos y, cuando esté permitido, retenciones) o si el SCRS determina que los datos proporcionados por una CPC no están bien fundamentados desde el punto de vista científico, el SCRS proporcionará estimaciones, según proceda, para rellenar cualquier laguna de datos conocida. </w:t>
      </w:r>
    </w:p>
    <w:p w14:paraId="3C22E203" w14:textId="77777777" w:rsidR="007240C8" w:rsidRPr="00F73E65" w:rsidRDefault="007240C8" w:rsidP="007240C8">
      <w:pPr>
        <w:spacing w:line="259" w:lineRule="auto"/>
        <w:ind w:left="851" w:right="5" w:hanging="851"/>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21455DA4" w14:textId="4C7CBB71" w:rsidR="007240C8" w:rsidRPr="00F73E65" w:rsidRDefault="007240C8" w:rsidP="00DF3E6B">
      <w:pPr>
        <w:spacing w:line="259" w:lineRule="auto"/>
        <w:ind w:left="284" w:right="5" w:hanging="284"/>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b)    La mortalidad total por pesca procedente de todas las fuentes para el año Y-1, calculada como se indica en el párrafo 1 a) del Anexo 1 se resta de la mortalidad total </w:t>
      </w:r>
      <w:r w:rsidR="0078151D" w:rsidRPr="00F73E65">
        <w:rPr>
          <w:rFonts w:ascii="Cambria" w:eastAsia="Cambria" w:hAnsi="Cambria" w:cs="Cambria"/>
          <w:color w:val="000000"/>
          <w:sz w:val="20"/>
          <w:szCs w:val="20"/>
          <w:u w:val="single"/>
          <w:lang w:eastAsia="en-GB"/>
        </w:rPr>
        <w:t>establecida</w:t>
      </w:r>
      <w:r w:rsidRPr="00F73E65">
        <w:rPr>
          <w:rFonts w:ascii="Cambria" w:eastAsia="Cambria" w:hAnsi="Cambria" w:cs="Cambria"/>
          <w:color w:val="000000"/>
          <w:sz w:val="20"/>
          <w:szCs w:val="20"/>
          <w:u w:val="single"/>
          <w:lang w:eastAsia="en-GB"/>
        </w:rPr>
        <w:t xml:space="preserve"> en la presente medida (es decir, 1.000 t). La cantidad resultante se denominará tolerancia de retención de captura fortuita muerta (en lo sucesivo, «tolerancia de retención») para el año siguiente Y+1.  </w:t>
      </w:r>
    </w:p>
    <w:p w14:paraId="7D261A2A" w14:textId="77777777" w:rsidR="007240C8" w:rsidRPr="00F73E65" w:rsidRDefault="007240C8" w:rsidP="007240C8">
      <w:pPr>
        <w:spacing w:line="259" w:lineRule="auto"/>
        <w:ind w:left="851" w:right="5" w:hanging="851"/>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39C6C94D" w14:textId="77777777" w:rsidR="007240C8" w:rsidRPr="00F73E65" w:rsidRDefault="007240C8" w:rsidP="004360F0">
      <w:pPr>
        <w:spacing w:line="259" w:lineRule="auto"/>
        <w:ind w:left="284" w:right="5" w:hanging="284"/>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c) </w:t>
      </w:r>
      <w:r w:rsidRPr="00F73E65">
        <w:rPr>
          <w:rFonts w:ascii="Cambria" w:eastAsia="Cambria" w:hAnsi="Cambria" w:cs="Cambria"/>
          <w:color w:val="000000"/>
          <w:sz w:val="20"/>
          <w:szCs w:val="20"/>
          <w:u w:val="single"/>
          <w:lang w:eastAsia="en-GB"/>
        </w:rPr>
        <w:tab/>
        <w:t xml:space="preserve">Si la tolerancia de retención establecida en el párrafo 1b) del Anexo 1 es igual o inferior a cero, las CPC prohibirán retener a bordo, transbordar y desembarcar, total o parcialmente, marrajo dientuso del Atlántico sur capturado en asociación con las pesquerías de ICCAT en el año Y+1. </w:t>
      </w:r>
    </w:p>
    <w:p w14:paraId="1A25552F" w14:textId="77777777" w:rsidR="007240C8" w:rsidRPr="00F73E65" w:rsidRDefault="007240C8" w:rsidP="007240C8">
      <w:pPr>
        <w:spacing w:line="259" w:lineRule="auto"/>
        <w:ind w:left="851" w:right="5" w:hanging="851"/>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2541A71F" w14:textId="095D5DF0" w:rsidR="007240C8" w:rsidRPr="00F73E65" w:rsidRDefault="007240C8" w:rsidP="001E30E7">
      <w:pPr>
        <w:spacing w:line="259" w:lineRule="auto"/>
        <w:ind w:left="284" w:right="5" w:hanging="284"/>
        <w:jc w:val="both"/>
        <w:rPr>
          <w:rFonts w:ascii="Cambria" w:eastAsia="Cambria" w:hAnsi="Cambria" w:cs="Cambria"/>
          <w:color w:val="000000"/>
          <w:sz w:val="20"/>
          <w:szCs w:val="20"/>
          <w:u w:val="single"/>
          <w:lang w:eastAsia="en-GB"/>
        </w:rPr>
      </w:pPr>
      <w:r w:rsidRPr="00F73E65">
        <w:rPr>
          <w:rFonts w:ascii="Cambria" w:eastAsia="Cambria" w:hAnsi="Cambria" w:cs="Cambria"/>
          <w:color w:val="000000"/>
          <w:sz w:val="20"/>
          <w:szCs w:val="20"/>
          <w:u w:val="single"/>
          <w:lang w:eastAsia="en-GB"/>
        </w:rPr>
        <w:t xml:space="preserve">d) </w:t>
      </w:r>
      <w:r w:rsidRPr="00F73E65">
        <w:rPr>
          <w:rFonts w:ascii="Cambria" w:eastAsia="Cambria" w:hAnsi="Cambria" w:cs="Cambria"/>
          <w:color w:val="000000"/>
          <w:sz w:val="20"/>
          <w:szCs w:val="20"/>
          <w:u w:val="single"/>
          <w:lang w:eastAsia="en-GB"/>
        </w:rPr>
        <w:tab/>
        <w:t xml:space="preserve">Si la tolerancia de retención establecida en el párrafo 1b) del Anexo 1 es superior a cero, las CPC podrán retener hasta la cantidad </w:t>
      </w:r>
      <w:r w:rsidR="00846202" w:rsidRPr="00F73E65">
        <w:rPr>
          <w:rFonts w:ascii="Cambria" w:eastAsia="Cambria" w:hAnsi="Cambria" w:cs="Cambria"/>
          <w:color w:val="000000"/>
          <w:sz w:val="20"/>
          <w:szCs w:val="20"/>
          <w:u w:val="single"/>
          <w:lang w:eastAsia="en-GB"/>
        </w:rPr>
        <w:t xml:space="preserve">resultante </w:t>
      </w:r>
      <w:r w:rsidRPr="00F73E65">
        <w:rPr>
          <w:rFonts w:ascii="Cambria" w:eastAsia="Cambria" w:hAnsi="Cambria" w:cs="Cambria"/>
          <w:color w:val="000000"/>
          <w:sz w:val="20"/>
          <w:szCs w:val="20"/>
          <w:u w:val="single"/>
          <w:lang w:eastAsia="en-GB"/>
        </w:rPr>
        <w:t xml:space="preserve">del párrafo 2 del Anexo 1 siguiente.  </w:t>
      </w:r>
    </w:p>
    <w:p w14:paraId="62B508D5" w14:textId="77777777" w:rsidR="007240C8" w:rsidRPr="00F73E65" w:rsidRDefault="007240C8" w:rsidP="007240C8">
      <w:pPr>
        <w:spacing w:line="259" w:lineRule="auto"/>
        <w:ind w:left="851" w:right="5" w:hanging="851"/>
        <w:rPr>
          <w:rFonts w:ascii="Cambria" w:eastAsia="Cambria" w:hAnsi="Cambria" w:cs="Cambria"/>
          <w:bCs/>
          <w:color w:val="000000"/>
          <w:sz w:val="20"/>
          <w:szCs w:val="20"/>
          <w:u w:val="single"/>
          <w:lang w:eastAsia="en-GB"/>
        </w:rPr>
      </w:pPr>
    </w:p>
    <w:p w14:paraId="5620B289" w14:textId="77777777" w:rsidR="007240C8" w:rsidRPr="00F73E65" w:rsidRDefault="007240C8" w:rsidP="007240C8">
      <w:pPr>
        <w:spacing w:line="259" w:lineRule="auto"/>
        <w:ind w:right="5"/>
        <w:rPr>
          <w:rFonts w:ascii="Cambria" w:eastAsia="Cambria" w:hAnsi="Cambria" w:cs="Cambria"/>
          <w:b/>
          <w:bCs/>
          <w:color w:val="000000"/>
          <w:sz w:val="20"/>
          <w:szCs w:val="20"/>
          <w:u w:val="single"/>
          <w:lang w:eastAsia="en-GB"/>
        </w:rPr>
      </w:pPr>
      <w:r w:rsidRPr="00F73E65">
        <w:rPr>
          <w:rFonts w:ascii="Cambria" w:eastAsia="Cambria" w:hAnsi="Cambria" w:cs="Cambria"/>
          <w:b/>
          <w:color w:val="000000"/>
          <w:sz w:val="20"/>
          <w:szCs w:val="20"/>
          <w:u w:val="single"/>
          <w:lang w:eastAsia="en-GB"/>
        </w:rPr>
        <w:t xml:space="preserve">Tolerancia de retención de las CPC </w:t>
      </w:r>
    </w:p>
    <w:p w14:paraId="3F6E25D5" w14:textId="77777777" w:rsidR="007240C8" w:rsidRPr="00F73E65" w:rsidRDefault="007240C8" w:rsidP="007240C8">
      <w:pPr>
        <w:spacing w:line="259" w:lineRule="auto"/>
        <w:ind w:right="5"/>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7FAE4413" w14:textId="77777777" w:rsidR="007240C8" w:rsidRPr="00F73E65" w:rsidRDefault="007240C8" w:rsidP="00DF3E6B">
      <w:pPr>
        <w:numPr>
          <w:ilvl w:val="0"/>
          <w:numId w:val="9"/>
        </w:numPr>
        <w:spacing w:after="5" w:line="259" w:lineRule="auto"/>
        <w:ind w:right="5" w:hanging="427"/>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Si, conforme al párrafo 1d) del Anexo 1, se permite la retención, la tolerancia de retención para cada CPC se calculará mediante la siguiente fórmula:  </w:t>
      </w:r>
    </w:p>
    <w:p w14:paraId="5B769C17" w14:textId="77777777" w:rsidR="007240C8" w:rsidRPr="00F73E65" w:rsidRDefault="007240C8" w:rsidP="007240C8">
      <w:pPr>
        <w:spacing w:line="259" w:lineRule="auto"/>
        <w:ind w:right="5"/>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419675F7" w14:textId="77777777" w:rsidR="00F65FA0" w:rsidRPr="00F65FA0" w:rsidRDefault="00F65FA0" w:rsidP="00F65FA0">
      <w:pPr>
        <w:tabs>
          <w:tab w:val="left" w:pos="0"/>
        </w:tabs>
        <w:jc w:val="both"/>
        <w:rPr>
          <w:rFonts w:ascii="Cambria" w:eastAsia="Times New Roman" w:hAnsi="Cambria" w:cs="Times New Roman"/>
          <w:sz w:val="17"/>
          <w:szCs w:val="17"/>
          <w:u w:val="single"/>
        </w:rPr>
      </w:pPr>
      <w:r w:rsidRPr="00F65FA0">
        <w:rPr>
          <w:rFonts w:ascii="Cambria" w:eastAsia="Calibri" w:hAnsi="Cambria" w:cs="Times New Roman"/>
          <w:i/>
          <w:sz w:val="17"/>
          <w:szCs w:val="17"/>
          <w:u w:val="single"/>
        </w:rPr>
        <w:t xml:space="preserve">Tolerancia de retención de CPC individual (t) </w:t>
      </w:r>
      <w:r w:rsidRPr="00F65FA0">
        <w:rPr>
          <w:rFonts w:ascii="Cambria" w:eastAsia="Calibri" w:hAnsi="Cambria" w:cs="Times New Roman"/>
          <w:sz w:val="17"/>
          <w:szCs w:val="17"/>
          <w:u w:val="single"/>
        </w:rPr>
        <w:t>= (Capturas anuales medias de la CPC de 2013-2016) x (tolerancia de retención)</w:t>
      </w:r>
    </w:p>
    <w:p w14:paraId="44384984" w14:textId="77777777" w:rsidR="00F65FA0" w:rsidRPr="00F65FA0" w:rsidRDefault="00F65FA0" w:rsidP="00F65FA0">
      <w:pPr>
        <w:tabs>
          <w:tab w:val="left" w:pos="0"/>
        </w:tabs>
        <w:jc w:val="center"/>
        <w:rPr>
          <w:rFonts w:ascii="Cambria" w:eastAsia="Times New Roman" w:hAnsi="Cambria" w:cs="Times New Roman"/>
          <w:sz w:val="17"/>
          <w:szCs w:val="17"/>
          <w:u w:val="single"/>
        </w:rPr>
      </w:pPr>
      <w:r w:rsidRPr="00F65FA0">
        <w:rPr>
          <w:rFonts w:ascii="Cambria" w:eastAsia="Calibri" w:hAnsi="Cambria" w:cs="Times New Roman"/>
          <w:sz w:val="20"/>
          <w:szCs w:val="22"/>
          <w:u w:val="single"/>
        </w:rPr>
        <w:t xml:space="preserve">                                                          </w:t>
      </w:r>
      <w:r w:rsidRPr="00F65FA0">
        <w:rPr>
          <w:rFonts w:ascii="Cambria" w:eastAsia="Calibri" w:hAnsi="Cambria" w:cs="Times New Roman"/>
          <w:sz w:val="17"/>
          <w:szCs w:val="17"/>
          <w:u w:val="single"/>
        </w:rPr>
        <w:t xml:space="preserve">        Capturas totales medias de ICCAT de 2013-2016.</w:t>
      </w:r>
    </w:p>
    <w:p w14:paraId="68BDB07B" w14:textId="77777777" w:rsidR="007240C8" w:rsidRPr="00F73E65" w:rsidRDefault="007240C8" w:rsidP="007240C8">
      <w:pPr>
        <w:spacing w:line="259" w:lineRule="auto"/>
        <w:ind w:right="5"/>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50285B70" w14:textId="77777777" w:rsidR="007240C8" w:rsidRPr="00F73E65" w:rsidRDefault="007240C8" w:rsidP="007240C8">
      <w:pPr>
        <w:spacing w:line="259" w:lineRule="auto"/>
        <w:ind w:right="5"/>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Donde: Las “capturas anuales medias de las CPC de 2013-2016” son las capturas anuales medias (desembarques comunicados + descartes de ejemplares muertos, verificados por el SCRS de conformidad con los datos presentados y con el análisis emprendido con arreglo a los párrafos 14 y 16) para una CPC individual durante los cuatro años que abarcan 2013-2016; la “tolerancia de retención” se define en el párrafo 1 del </w:t>
      </w:r>
      <w:r w:rsidRPr="00F73E65">
        <w:rPr>
          <w:rFonts w:ascii="Cambria" w:eastAsia="Cambria" w:hAnsi="Cambria" w:cs="Cambria"/>
          <w:b/>
          <w:color w:val="000000"/>
          <w:sz w:val="20"/>
          <w:szCs w:val="20"/>
          <w:u w:val="single"/>
          <w:lang w:eastAsia="en-GB"/>
        </w:rPr>
        <w:t>Anexo 1</w:t>
      </w:r>
      <w:r w:rsidRPr="00F73E65">
        <w:rPr>
          <w:rFonts w:ascii="Cambria" w:eastAsia="Cambria" w:hAnsi="Cambria" w:cs="Cambria"/>
          <w:color w:val="000000"/>
          <w:sz w:val="20"/>
          <w:szCs w:val="20"/>
          <w:u w:val="single"/>
          <w:lang w:eastAsia="en-GB"/>
        </w:rPr>
        <w:t xml:space="preserve">; y las “capturas totales medias de ICCAT de 2013-2016” son las capturas anuales medias (desembarques comunicados + descartes de ejemplares muertos, verificados por el SCRS de conformidad con los datos presentados y el análisis emprendido con arreglo a los párrafos 14 y 16) de todas las CPC de 2013 a 2016. </w:t>
      </w:r>
    </w:p>
    <w:p w14:paraId="3748C216" w14:textId="77777777" w:rsidR="007240C8" w:rsidRPr="00F73E65" w:rsidRDefault="007240C8" w:rsidP="007240C8">
      <w:pPr>
        <w:spacing w:line="259" w:lineRule="auto"/>
        <w:ind w:right="5"/>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7D4A9D21" w14:textId="77777777" w:rsidR="007240C8" w:rsidRPr="00F73E65" w:rsidRDefault="007240C8" w:rsidP="005B6FED">
      <w:pPr>
        <w:numPr>
          <w:ilvl w:val="0"/>
          <w:numId w:val="9"/>
        </w:numPr>
        <w:spacing w:after="5" w:line="259" w:lineRule="auto"/>
        <w:ind w:right="5" w:hanging="427"/>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Las CPC deben cumplir todos los requisitos de esta medida para acceder a cualquier posible tolerancia de retención.  </w:t>
      </w:r>
    </w:p>
    <w:p w14:paraId="327B04B5" w14:textId="77777777" w:rsidR="007240C8" w:rsidRPr="00F73E65" w:rsidRDefault="007240C8" w:rsidP="007240C8">
      <w:pPr>
        <w:spacing w:line="259" w:lineRule="auto"/>
        <w:ind w:right="5"/>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34706833" w14:textId="77777777" w:rsidR="007240C8" w:rsidRPr="00F73E65" w:rsidRDefault="007240C8" w:rsidP="00CB3138">
      <w:pPr>
        <w:numPr>
          <w:ilvl w:val="0"/>
          <w:numId w:val="9"/>
        </w:numPr>
        <w:spacing w:after="5" w:line="259" w:lineRule="auto"/>
        <w:ind w:right="5" w:hanging="427"/>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Una vez que la cantidad total retenida por una CPC en un año determinado alcance la tolerancia de retención de esa CPC, dicha CPC debe prohibir inmediatamente la retención, el transbordo y el desembarque durante el resto de ese año de pesca, y la CPC notificará inmediatamente a la Secretaría de ICCAT que ha alcanzado su tolerancia de retención y que ha implementado las prohibiciones requeridas.  </w:t>
      </w:r>
    </w:p>
    <w:p w14:paraId="575A3B33" w14:textId="77777777" w:rsidR="007240C8" w:rsidRPr="00F73E65" w:rsidRDefault="007240C8" w:rsidP="007240C8">
      <w:pPr>
        <w:spacing w:line="259" w:lineRule="auto"/>
        <w:ind w:right="5"/>
        <w:jc w:val="both"/>
        <w:rPr>
          <w:rFonts w:ascii="Cambria" w:eastAsia="Cambria" w:hAnsi="Cambria" w:cs="Cambria"/>
          <w:bCs/>
          <w:color w:val="000000"/>
          <w:sz w:val="20"/>
          <w:szCs w:val="20"/>
          <w:u w:val="single"/>
          <w:lang w:eastAsia="en-GB"/>
        </w:rPr>
      </w:pPr>
      <w:r w:rsidRPr="00F73E65">
        <w:rPr>
          <w:rFonts w:ascii="Cambria" w:eastAsia="Cambria" w:hAnsi="Cambria" w:cs="Cambria"/>
          <w:color w:val="000000"/>
          <w:sz w:val="20"/>
          <w:szCs w:val="20"/>
          <w:u w:val="single"/>
          <w:lang w:eastAsia="en-GB"/>
        </w:rPr>
        <w:t xml:space="preserve"> </w:t>
      </w:r>
    </w:p>
    <w:p w14:paraId="3B9E0917" w14:textId="77777777" w:rsidR="007240C8" w:rsidRPr="00F73E65" w:rsidRDefault="007240C8" w:rsidP="007240C8">
      <w:pPr>
        <w:spacing w:after="5" w:line="249" w:lineRule="auto"/>
        <w:ind w:left="436" w:right="47" w:hanging="434"/>
        <w:jc w:val="both"/>
        <w:rPr>
          <w:rFonts w:ascii="Cambria" w:eastAsia="Cambria" w:hAnsi="Cambria" w:cs="Cambria"/>
          <w:color w:val="000000"/>
          <w:sz w:val="20"/>
          <w:szCs w:val="20"/>
          <w:u w:val="single"/>
          <w:lang w:eastAsia="en-GB"/>
        </w:rPr>
      </w:pPr>
    </w:p>
    <w:p w14:paraId="2D7DAF26" w14:textId="77777777" w:rsidR="005B6FED" w:rsidRPr="00F73E65" w:rsidRDefault="005B6FED">
      <w:pPr>
        <w:rPr>
          <w:b/>
          <w:sz w:val="22"/>
          <w:u w:val="single"/>
        </w:rPr>
      </w:pPr>
      <w:r w:rsidRPr="00F73E65">
        <w:rPr>
          <w:b/>
          <w:sz w:val="22"/>
          <w:u w:val="single"/>
        </w:rPr>
        <w:br w:type="page"/>
      </w:r>
    </w:p>
    <w:p w14:paraId="0668FD81" w14:textId="23090E7E" w:rsidR="00E22DCB" w:rsidRPr="00F73E65" w:rsidRDefault="00E22DCB" w:rsidP="00E1251A">
      <w:pPr>
        <w:jc w:val="right"/>
        <w:rPr>
          <w:rFonts w:ascii="Cambria" w:hAnsi="Cambria"/>
          <w:sz w:val="20"/>
        </w:rPr>
      </w:pPr>
      <w:r w:rsidRPr="00F73E65">
        <w:rPr>
          <w:b/>
          <w:sz w:val="22"/>
          <w:u w:val="single"/>
        </w:rPr>
        <w:lastRenderedPageBreak/>
        <w:t>Anexo</w:t>
      </w:r>
      <w:r w:rsidR="000A251F" w:rsidRPr="00F73E65">
        <w:rPr>
          <w:b/>
          <w:sz w:val="22"/>
          <w:u w:val="single"/>
        </w:rPr>
        <w:t xml:space="preserve"> </w:t>
      </w:r>
      <w:r w:rsidR="007240C8" w:rsidRPr="00F73E65">
        <w:rPr>
          <w:rFonts w:ascii="Cambria" w:eastAsia="Yu Mincho" w:hAnsi="Cambria" w:cs="Times New Roman"/>
          <w:b/>
          <w:kern w:val="2"/>
          <w:sz w:val="20"/>
          <w:szCs w:val="22"/>
          <w:u w:val="single"/>
          <w:lang w:eastAsia="ja-JP"/>
        </w:rPr>
        <w:t>2</w:t>
      </w:r>
      <w:r w:rsidRPr="00F73E65">
        <w:rPr>
          <w:rFonts w:ascii="Cambria" w:eastAsia="Yu Mincho" w:hAnsi="Cambria" w:cs="Times New Roman"/>
          <w:b/>
          <w:kern w:val="2"/>
          <w:sz w:val="20"/>
          <w:szCs w:val="22"/>
          <w:u w:val="single"/>
          <w:lang w:eastAsia="ja-JP"/>
        </w:rPr>
        <w:t xml:space="preserve"> </w:t>
      </w:r>
    </w:p>
    <w:p w14:paraId="7E913D8C" w14:textId="77777777" w:rsidR="004F40DC" w:rsidRPr="00F73E65" w:rsidRDefault="004F40DC" w:rsidP="004F40DC">
      <w:pPr>
        <w:spacing w:after="160" w:line="259" w:lineRule="auto"/>
        <w:rPr>
          <w:rFonts w:ascii="Cambria" w:eastAsia="Calibri" w:hAnsi="Cambria" w:cs="Times New Roman"/>
          <w:b/>
          <w:sz w:val="20"/>
          <w:szCs w:val="22"/>
        </w:rPr>
      </w:pPr>
    </w:p>
    <w:p w14:paraId="3C5D6D83" w14:textId="2F1B3F7B" w:rsidR="00204D0F" w:rsidRPr="00F73E65" w:rsidRDefault="004F40DC" w:rsidP="007E1A69">
      <w:pPr>
        <w:spacing w:after="160" w:line="259" w:lineRule="auto"/>
        <w:jc w:val="center"/>
        <w:rPr>
          <w:rFonts w:ascii="Cambria" w:eastAsia="Calibri" w:hAnsi="Cambria" w:cs="Times New Roman"/>
          <w:b/>
          <w:sz w:val="20"/>
          <w:szCs w:val="22"/>
        </w:rPr>
        <w:sectPr w:rsidR="00204D0F" w:rsidRPr="00F73E65" w:rsidSect="007240C8">
          <w:headerReference w:type="default" r:id="rId13"/>
          <w:footerReference w:type="default" r:id="rId14"/>
          <w:footnotePr>
            <w:numRestart w:val="eachPage"/>
          </w:footnotePr>
          <w:pgSz w:w="11906" w:h="16838" w:code="9"/>
          <w:pgMar w:top="1418" w:right="1418" w:bottom="1418" w:left="1418" w:header="851" w:footer="1134" w:gutter="0"/>
          <w:cols w:space="720"/>
        </w:sectPr>
      </w:pPr>
      <w:r w:rsidRPr="00F73E65">
        <w:rPr>
          <w:rFonts w:ascii="Cambria" w:eastAsia="Calibri" w:hAnsi="Cambria" w:cs="Times New Roman"/>
          <w:b/>
          <w:sz w:val="20"/>
          <w:szCs w:val="22"/>
        </w:rPr>
        <w:t>Normas mínimas para l</w:t>
      </w:r>
      <w:r w:rsidR="007E1A69" w:rsidRPr="00F73E65">
        <w:rPr>
          <w:rFonts w:ascii="Cambria" w:eastAsia="Calibri" w:hAnsi="Cambria" w:cs="Times New Roman"/>
          <w:b/>
          <w:sz w:val="20"/>
          <w:szCs w:val="22"/>
        </w:rPr>
        <w:t xml:space="preserve">os procedimientos de </w:t>
      </w:r>
      <w:r w:rsidRPr="00F73E65">
        <w:rPr>
          <w:rFonts w:ascii="Cambria" w:eastAsia="Calibri" w:hAnsi="Cambria" w:cs="Times New Roman"/>
          <w:b/>
          <w:sz w:val="20"/>
          <w:szCs w:val="22"/>
        </w:rPr>
        <w:t xml:space="preserve">manipulación </w:t>
      </w:r>
      <w:r w:rsidR="007E1A69" w:rsidRPr="00F73E65">
        <w:rPr>
          <w:rFonts w:ascii="Cambria" w:eastAsia="Calibri" w:hAnsi="Cambria" w:cs="Times New Roman"/>
          <w:b/>
          <w:sz w:val="20"/>
          <w:szCs w:val="22"/>
        </w:rPr>
        <w:t xml:space="preserve">y liberación </w:t>
      </w:r>
      <w:r w:rsidRPr="00F73E65">
        <w:rPr>
          <w:rFonts w:ascii="Cambria" w:eastAsia="Calibri" w:hAnsi="Cambria" w:cs="Times New Roman"/>
          <w:b/>
          <w:sz w:val="20"/>
          <w:szCs w:val="22"/>
        </w:rPr>
        <w:t xml:space="preserve">seguras </w:t>
      </w:r>
      <w:r w:rsidR="00C6073E" w:rsidRPr="00F73E65">
        <w:rPr>
          <w:rFonts w:ascii="Cambria" w:eastAsia="Calibri" w:hAnsi="Cambria" w:cs="Times New Roman"/>
          <w:b/>
          <w:sz w:val="20"/>
          <w:szCs w:val="22"/>
        </w:rPr>
        <w:t xml:space="preserve"> </w:t>
      </w:r>
      <w:r w:rsidR="00C6073E" w:rsidRPr="00F73E65">
        <w:rPr>
          <w:rFonts w:ascii="Cambria" w:eastAsia="Calibri" w:hAnsi="Cambria" w:cs="Times New Roman"/>
          <w:b/>
          <w:sz w:val="20"/>
          <w:szCs w:val="22"/>
        </w:rPr>
        <w:br/>
        <w:t>de ejemplares   vivos</w:t>
      </w:r>
    </w:p>
    <w:p w14:paraId="7648829E" w14:textId="4B73A73C" w:rsidR="004F40DC" w:rsidRPr="00F73E65" w:rsidRDefault="004F40DC" w:rsidP="004F40DC">
      <w:pPr>
        <w:contextualSpacing/>
        <w:jc w:val="both"/>
        <w:rPr>
          <w:rFonts w:ascii="Cambria" w:eastAsia="Calibri" w:hAnsi="Cambria" w:cs="Calibri"/>
          <w:sz w:val="20"/>
          <w:szCs w:val="20"/>
        </w:rPr>
      </w:pPr>
      <w:r w:rsidRPr="00F73E65">
        <w:rPr>
          <w:rFonts w:ascii="Cambria" w:eastAsia="Calibri" w:hAnsi="Cambria" w:cs="Times New Roman"/>
          <w:sz w:val="20"/>
          <w:szCs w:val="22"/>
        </w:rPr>
        <w:t xml:space="preserve">A </w:t>
      </w:r>
      <w:r w:rsidR="009B3622" w:rsidRPr="00F73E65">
        <w:rPr>
          <w:rFonts w:ascii="Cambria" w:eastAsia="Calibri" w:hAnsi="Cambria" w:cs="Times New Roman"/>
          <w:sz w:val="20"/>
          <w:szCs w:val="22"/>
        </w:rPr>
        <w:t>continuación,</w:t>
      </w:r>
      <w:r w:rsidRPr="00F73E65">
        <w:rPr>
          <w:rFonts w:ascii="Cambria" w:eastAsia="Calibri" w:hAnsi="Cambria" w:cs="Times New Roman"/>
          <w:sz w:val="20"/>
          <w:szCs w:val="22"/>
        </w:rPr>
        <w:t xml:space="preserve"> se presentan normas mínimas para las prácticas de manipulación segura </w:t>
      </w:r>
      <w:r w:rsidR="00500FF7" w:rsidRPr="00F73E65">
        <w:rPr>
          <w:rFonts w:ascii="Cambria" w:hAnsi="Cambria"/>
          <w:sz w:val="20"/>
          <w:szCs w:val="20"/>
        </w:rPr>
        <w:t xml:space="preserve">de marrajo dientuso del Atlántico </w:t>
      </w:r>
      <w:r w:rsidR="00705B69" w:rsidRPr="00F73E65">
        <w:rPr>
          <w:rFonts w:ascii="Cambria" w:hAnsi="Cambria"/>
          <w:sz w:val="20"/>
          <w:szCs w:val="20"/>
        </w:rPr>
        <w:t>sur</w:t>
      </w:r>
      <w:r w:rsidR="00500FF7" w:rsidRPr="00F73E65">
        <w:rPr>
          <w:rFonts w:ascii="Cambria" w:hAnsi="Cambria"/>
          <w:sz w:val="20"/>
          <w:szCs w:val="20"/>
        </w:rPr>
        <w:t xml:space="preserve"> y se proporcionan</w:t>
      </w:r>
      <w:r w:rsidRPr="00F73E65">
        <w:rPr>
          <w:rFonts w:ascii="Cambria" w:eastAsia="Calibri" w:hAnsi="Cambria" w:cs="Times New Roman"/>
          <w:sz w:val="20"/>
          <w:szCs w:val="22"/>
        </w:rPr>
        <w:t xml:space="preserve"> recomendaciones específicas para las pesquerías de palangre y de cerco. </w:t>
      </w:r>
    </w:p>
    <w:p w14:paraId="56C7E966" w14:textId="77777777" w:rsidR="004F40DC" w:rsidRPr="00F73E65" w:rsidRDefault="004F40DC" w:rsidP="004F40DC">
      <w:pPr>
        <w:contextualSpacing/>
        <w:jc w:val="both"/>
        <w:rPr>
          <w:rFonts w:ascii="Cambria" w:eastAsia="Calibri" w:hAnsi="Cambria" w:cs="Calibri"/>
          <w:sz w:val="20"/>
          <w:szCs w:val="20"/>
        </w:rPr>
      </w:pPr>
    </w:p>
    <w:p w14:paraId="4E51CD96" w14:textId="218F73E6" w:rsidR="004F40DC" w:rsidRPr="00F73E65" w:rsidRDefault="004F40DC" w:rsidP="004F40DC">
      <w:pPr>
        <w:contextualSpacing/>
        <w:jc w:val="both"/>
        <w:rPr>
          <w:rFonts w:ascii="Cambria" w:eastAsia="Calibri" w:hAnsi="Cambria" w:cs="Calibri"/>
          <w:sz w:val="20"/>
          <w:szCs w:val="20"/>
        </w:rPr>
      </w:pPr>
      <w:r w:rsidRPr="00F73E65">
        <w:rPr>
          <w:rFonts w:ascii="Cambria" w:eastAsia="Calibri" w:hAnsi="Cambria" w:cs="Times New Roman"/>
          <w:sz w:val="20"/>
          <w:szCs w:val="22"/>
        </w:rPr>
        <w:t xml:space="preserve">Estas normas mínimas son apropiadas </w:t>
      </w:r>
      <w:r w:rsidR="00500FF7" w:rsidRPr="00F73E65">
        <w:rPr>
          <w:rFonts w:ascii="Cambria" w:eastAsia="Calibri" w:hAnsi="Cambria" w:cs="Times New Roman"/>
          <w:sz w:val="20"/>
          <w:szCs w:val="22"/>
        </w:rPr>
        <w:t>para los</w:t>
      </w:r>
      <w:r w:rsidRPr="00F73E65">
        <w:rPr>
          <w:rFonts w:ascii="Cambria" w:eastAsia="Calibri" w:hAnsi="Cambria" w:cs="Times New Roman"/>
          <w:sz w:val="20"/>
          <w:szCs w:val="22"/>
        </w:rPr>
        <w:t xml:space="preserve"> marrajos dientusos vivos </w:t>
      </w:r>
      <w:r w:rsidR="00500FF7" w:rsidRPr="00F73E65">
        <w:rPr>
          <w:rFonts w:ascii="Cambria" w:eastAsia="Calibri" w:hAnsi="Cambria" w:cs="Times New Roman"/>
          <w:sz w:val="20"/>
          <w:szCs w:val="22"/>
        </w:rPr>
        <w:t>cuando son liberados</w:t>
      </w:r>
      <w:r w:rsidR="00C6073E" w:rsidRPr="00F73E65">
        <w:rPr>
          <w:rFonts w:ascii="Cambria" w:eastAsia="Calibri" w:hAnsi="Cambria" w:cs="Times New Roman"/>
          <w:sz w:val="20"/>
          <w:szCs w:val="22"/>
        </w:rPr>
        <w:t>,</w:t>
      </w:r>
      <w:r w:rsidR="00500FF7" w:rsidRPr="00F73E65">
        <w:rPr>
          <w:rFonts w:ascii="Cambria" w:eastAsia="Calibri" w:hAnsi="Cambria" w:cs="Times New Roman"/>
          <w:sz w:val="20"/>
          <w:szCs w:val="22"/>
        </w:rPr>
        <w:t xml:space="preserve"> </w:t>
      </w:r>
      <w:r w:rsidRPr="00F73E65">
        <w:rPr>
          <w:rFonts w:ascii="Cambria" w:eastAsia="Calibri" w:hAnsi="Cambria" w:cs="Times New Roman"/>
          <w:sz w:val="20"/>
          <w:szCs w:val="22"/>
        </w:rPr>
        <w:t>ya sea en virtud de políticas de no retención o de forma voluntaria. Estas directrices básicas no sustituyen a las normas de seguridad más estrictas que puedan haber establecido las autoridades nacionales de cada CPC.</w:t>
      </w:r>
    </w:p>
    <w:p w14:paraId="3348E409" w14:textId="77777777" w:rsidR="004F40DC" w:rsidRPr="00F73E65" w:rsidRDefault="004F40DC" w:rsidP="004F40DC">
      <w:pPr>
        <w:contextualSpacing/>
        <w:jc w:val="both"/>
        <w:rPr>
          <w:rFonts w:ascii="Cambria" w:eastAsia="Calibri" w:hAnsi="Cambria" w:cs="Calibri"/>
          <w:sz w:val="20"/>
          <w:szCs w:val="20"/>
        </w:rPr>
      </w:pPr>
    </w:p>
    <w:p w14:paraId="0E61005E" w14:textId="0AD5B5C3" w:rsidR="004F40DC" w:rsidRPr="00F73E65" w:rsidRDefault="004F40DC" w:rsidP="004F40DC">
      <w:pPr>
        <w:contextualSpacing/>
        <w:jc w:val="both"/>
        <w:rPr>
          <w:rFonts w:ascii="Cambria" w:eastAsia="Calibri" w:hAnsi="Cambria" w:cs="Calibri"/>
          <w:sz w:val="20"/>
          <w:szCs w:val="20"/>
        </w:rPr>
      </w:pPr>
      <w:r w:rsidRPr="00F73E65">
        <w:rPr>
          <w:rFonts w:ascii="Cambria" w:eastAsia="Calibri" w:hAnsi="Cambria" w:cs="Times New Roman"/>
          <w:sz w:val="20"/>
          <w:szCs w:val="22"/>
        </w:rPr>
        <w:t xml:space="preserve">La </w:t>
      </w:r>
      <w:r w:rsidR="00DC6287" w:rsidRPr="00F73E65">
        <w:rPr>
          <w:rFonts w:ascii="Cambria" w:eastAsia="Calibri" w:hAnsi="Cambria" w:cs="Times New Roman"/>
          <w:sz w:val="20"/>
          <w:szCs w:val="22"/>
        </w:rPr>
        <w:t>seguridad</w:t>
      </w:r>
      <w:r w:rsidRPr="00F73E65">
        <w:rPr>
          <w:rFonts w:ascii="Cambria" w:eastAsia="Calibri" w:hAnsi="Cambria" w:cs="Times New Roman"/>
          <w:sz w:val="20"/>
          <w:szCs w:val="22"/>
        </w:rPr>
        <w:t xml:space="preserve"> ante todo</w:t>
      </w:r>
      <w:r w:rsidR="00C6073E" w:rsidRPr="00F73E65">
        <w:rPr>
          <w:rFonts w:ascii="Cambria" w:eastAsia="Calibri" w:hAnsi="Cambria" w:cs="Times New Roman"/>
          <w:sz w:val="20"/>
          <w:szCs w:val="22"/>
        </w:rPr>
        <w:t>: e</w:t>
      </w:r>
      <w:r w:rsidRPr="00F73E65">
        <w:rPr>
          <w:rFonts w:ascii="Cambria" w:eastAsia="Calibri" w:hAnsi="Cambria" w:cs="Times New Roman"/>
          <w:sz w:val="20"/>
          <w:szCs w:val="22"/>
        </w:rPr>
        <w:t xml:space="preserve">stas normas mínimas deben considerarse a la luz de la seguridad y viabilidad para la tripulación. Ante </w:t>
      </w:r>
      <w:r w:rsidR="00DC6287" w:rsidRPr="00F73E65">
        <w:rPr>
          <w:rFonts w:ascii="Cambria" w:eastAsia="Calibri" w:hAnsi="Cambria" w:cs="Times New Roman"/>
          <w:sz w:val="20"/>
          <w:szCs w:val="22"/>
        </w:rPr>
        <w:t>todo,</w:t>
      </w:r>
      <w:r w:rsidRPr="00F73E65">
        <w:rPr>
          <w:rFonts w:ascii="Cambria" w:eastAsia="Calibri" w:hAnsi="Cambria" w:cs="Times New Roman"/>
          <w:sz w:val="20"/>
          <w:szCs w:val="22"/>
        </w:rPr>
        <w:t xml:space="preserve"> debe priorizarse la seguridad de la tripulación. Como mínimo, la tripulación debe llevar guantes adecuados y evitar trabajar cerca de la boca de los tiburones.</w:t>
      </w:r>
    </w:p>
    <w:p w14:paraId="3A57DA7C" w14:textId="77777777" w:rsidR="004F40DC" w:rsidRPr="00F73E65" w:rsidRDefault="004F40DC" w:rsidP="004F40DC">
      <w:pPr>
        <w:contextualSpacing/>
        <w:jc w:val="both"/>
        <w:rPr>
          <w:rFonts w:ascii="Cambria" w:eastAsia="Calibri" w:hAnsi="Cambria" w:cs="Times New Roman"/>
          <w:sz w:val="20"/>
          <w:szCs w:val="20"/>
        </w:rPr>
      </w:pPr>
    </w:p>
    <w:p w14:paraId="576593B3" w14:textId="19BCC51B" w:rsidR="004F40DC" w:rsidRPr="00F73E65" w:rsidRDefault="004F40DC" w:rsidP="004F40DC">
      <w:pPr>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Formación: </w:t>
      </w:r>
      <w:r w:rsidR="00C6073E" w:rsidRPr="00F73E65">
        <w:rPr>
          <w:rFonts w:ascii="Cambria" w:eastAsia="Calibri" w:hAnsi="Cambria" w:cs="Times New Roman"/>
          <w:sz w:val="20"/>
          <w:szCs w:val="22"/>
        </w:rPr>
        <w:t>l</w:t>
      </w:r>
      <w:r w:rsidRPr="00F73E65">
        <w:rPr>
          <w:rFonts w:ascii="Cambria" w:eastAsia="Calibri" w:hAnsi="Cambria" w:cs="Times New Roman"/>
          <w:sz w:val="20"/>
          <w:szCs w:val="22"/>
        </w:rPr>
        <w:t>a Secretaría</w:t>
      </w:r>
      <w:r w:rsidR="004847ED" w:rsidRPr="00F73E65">
        <w:rPr>
          <w:rFonts w:ascii="Cambria" w:eastAsia="Calibri" w:hAnsi="Cambria" w:cs="Times New Roman"/>
          <w:sz w:val="20"/>
          <w:szCs w:val="22"/>
        </w:rPr>
        <w:t xml:space="preserve"> de ICCAT</w:t>
      </w:r>
      <w:r w:rsidRPr="00F73E65">
        <w:rPr>
          <w:rFonts w:ascii="Cambria" w:eastAsia="Calibri" w:hAnsi="Cambria" w:cs="Times New Roman"/>
          <w:sz w:val="20"/>
          <w:szCs w:val="22"/>
        </w:rPr>
        <w:t xml:space="preserve"> y el SCRS deberían desarrollar materiales para respaldar la formación de los operadores de pesca </w:t>
      </w:r>
      <w:r w:rsidR="00C6073E" w:rsidRPr="00F73E65">
        <w:rPr>
          <w:rFonts w:ascii="Cambria" w:eastAsia="Calibri" w:hAnsi="Cambria" w:cs="Times New Roman"/>
          <w:sz w:val="20"/>
          <w:szCs w:val="22"/>
        </w:rPr>
        <w:t>con el fin de</w:t>
      </w:r>
      <w:r w:rsidRPr="00F73E65">
        <w:rPr>
          <w:rFonts w:ascii="Cambria" w:eastAsia="Calibri" w:hAnsi="Cambria" w:cs="Times New Roman"/>
          <w:sz w:val="20"/>
          <w:szCs w:val="22"/>
        </w:rPr>
        <w:t xml:space="preserve"> implementar este protocolo de manipulación segura. Estos materiales deberían ponerse a disposición de las CPC en los tres idiomas oficiales de ICCAT. </w:t>
      </w:r>
    </w:p>
    <w:p w14:paraId="6EE00CE5" w14:textId="77777777" w:rsidR="004F40DC" w:rsidRPr="00F73E65" w:rsidRDefault="004F40DC" w:rsidP="004F40DC">
      <w:pPr>
        <w:contextualSpacing/>
        <w:jc w:val="both"/>
        <w:rPr>
          <w:rFonts w:ascii="Cambria" w:eastAsia="Calibri" w:hAnsi="Cambria" w:cs="Times New Roman"/>
          <w:sz w:val="20"/>
          <w:szCs w:val="20"/>
        </w:rPr>
      </w:pPr>
    </w:p>
    <w:p w14:paraId="245BA959" w14:textId="3F5B97F2" w:rsidR="004F40DC" w:rsidRPr="00F73E65" w:rsidRDefault="004F40DC" w:rsidP="004F40DC">
      <w:pPr>
        <w:contextualSpacing/>
        <w:jc w:val="both"/>
        <w:rPr>
          <w:rFonts w:ascii="Cambria" w:eastAsia="Calibri" w:hAnsi="Cambria" w:cs="Times New Roman"/>
          <w:sz w:val="20"/>
          <w:szCs w:val="20"/>
        </w:rPr>
      </w:pPr>
      <w:r w:rsidRPr="00F73E65">
        <w:rPr>
          <w:rFonts w:ascii="Cambria" w:eastAsia="Calibri" w:hAnsi="Cambria" w:cs="Times New Roman"/>
          <w:sz w:val="20"/>
          <w:szCs w:val="22"/>
        </w:rPr>
        <w:t>En la mayor medida posible, todos los tiburones liberados deberían permanecer en el agua en todo momento</w:t>
      </w:r>
      <w:r w:rsidR="00412F1A" w:rsidRPr="00F73E65">
        <w:rPr>
          <w:rFonts w:ascii="Cambria" w:eastAsia="Calibri" w:hAnsi="Cambria" w:cs="Times New Roman"/>
          <w:sz w:val="20"/>
          <w:szCs w:val="22"/>
        </w:rPr>
        <w:t>,</w:t>
      </w:r>
      <w:r w:rsidR="003737E2" w:rsidRPr="00F73E65">
        <w:rPr>
          <w:rFonts w:ascii="Cambria" w:eastAsia="Calibri" w:hAnsi="Cambria" w:cs="Times New Roman"/>
          <w:sz w:val="20"/>
          <w:szCs w:val="22"/>
        </w:rPr>
        <w:t xml:space="preserve"> a menos que sea necesario </w:t>
      </w:r>
      <w:r w:rsidR="00C6073E" w:rsidRPr="00F73E65">
        <w:rPr>
          <w:rFonts w:ascii="Cambria" w:eastAsia="Calibri" w:hAnsi="Cambria" w:cs="Times New Roman"/>
          <w:sz w:val="20"/>
          <w:szCs w:val="22"/>
        </w:rPr>
        <w:t>izar</w:t>
      </w:r>
      <w:r w:rsidR="003737E2" w:rsidRPr="00F73E65">
        <w:rPr>
          <w:rFonts w:ascii="Cambria" w:eastAsia="Calibri" w:hAnsi="Cambria" w:cs="Times New Roman"/>
          <w:sz w:val="20"/>
          <w:szCs w:val="22"/>
        </w:rPr>
        <w:t xml:space="preserve"> al tiburón para identificar la especie</w:t>
      </w:r>
      <w:r w:rsidRPr="00F73E65">
        <w:rPr>
          <w:rFonts w:ascii="Cambria" w:eastAsia="Calibri" w:hAnsi="Cambria" w:cs="Times New Roman"/>
          <w:sz w:val="20"/>
          <w:szCs w:val="22"/>
        </w:rPr>
        <w:t>. Esto incluye cortar la línea para liberar al tiburón mientras aún está en el agua, utilizar cortadores o dispositivos desanzueladores para quitar el anzuelo si es posible, o cortar la línea lo más cerca posible del anzuelo (y así dejar la menor cantidad posible de línea arrastrada por el animal).</w:t>
      </w:r>
    </w:p>
    <w:p w14:paraId="6B7C946B" w14:textId="77777777" w:rsidR="004F40DC" w:rsidRPr="00F73E65" w:rsidRDefault="004F40DC" w:rsidP="004F40DC">
      <w:pPr>
        <w:contextualSpacing/>
        <w:jc w:val="both"/>
        <w:rPr>
          <w:rFonts w:ascii="Cambria" w:eastAsia="Calibri" w:hAnsi="Cambria" w:cs="Times New Roman"/>
          <w:sz w:val="20"/>
          <w:szCs w:val="20"/>
        </w:rPr>
      </w:pPr>
    </w:p>
    <w:p w14:paraId="2556CBF4" w14:textId="77777777" w:rsidR="004F40DC" w:rsidRPr="00F73E65" w:rsidRDefault="004F40DC" w:rsidP="004F40DC">
      <w:pPr>
        <w:contextualSpacing/>
        <w:jc w:val="both"/>
        <w:rPr>
          <w:rFonts w:ascii="Cambria" w:eastAsia="Calibri" w:hAnsi="Cambria" w:cs="Times New Roman"/>
          <w:sz w:val="20"/>
          <w:szCs w:val="20"/>
        </w:rPr>
      </w:pPr>
      <w:r w:rsidRPr="00F73E65">
        <w:rPr>
          <w:rFonts w:ascii="Cambria" w:eastAsia="Calibri" w:hAnsi="Cambria" w:cs="Times New Roman"/>
          <w:sz w:val="20"/>
          <w:szCs w:val="22"/>
        </w:rPr>
        <w:t>Estar preparado: los dispositivos deben estar preparados con antelación (por ejemplo, lonas o cabestrillos de red, camillas para transportar o levantar el animal, red o retícula con luz de malla grande para cubrir los copos en las pesquerías de cerco, cortadores con mango largo y desanzueladores en las pesquerías de palangre, etc. enumerados al final de este documento).</w:t>
      </w:r>
    </w:p>
    <w:p w14:paraId="0DDB0584" w14:textId="77777777" w:rsidR="004F40DC" w:rsidRPr="00F73E65" w:rsidRDefault="004F40DC" w:rsidP="004F40DC">
      <w:pPr>
        <w:contextualSpacing/>
        <w:jc w:val="both"/>
        <w:rPr>
          <w:rFonts w:ascii="Cambria" w:eastAsia="Calibri" w:hAnsi="Cambria" w:cs="Times New Roman"/>
          <w:sz w:val="20"/>
          <w:szCs w:val="20"/>
        </w:rPr>
      </w:pPr>
    </w:p>
    <w:p w14:paraId="266F636F" w14:textId="25AD70DB" w:rsidR="004F40DC" w:rsidRPr="00F73E65" w:rsidRDefault="004F40DC" w:rsidP="004F40DC">
      <w:pPr>
        <w:contextualSpacing/>
        <w:jc w:val="both"/>
        <w:rPr>
          <w:rFonts w:ascii="Cambria" w:eastAsia="Calibri" w:hAnsi="Cambria" w:cs="Times New Roman"/>
          <w:b/>
          <w:sz w:val="20"/>
          <w:szCs w:val="20"/>
        </w:rPr>
      </w:pPr>
      <w:r w:rsidRPr="00F73E65">
        <w:rPr>
          <w:rFonts w:ascii="Cambria" w:eastAsia="Calibri" w:hAnsi="Cambria" w:cs="Times New Roman"/>
          <w:b/>
          <w:sz w:val="20"/>
          <w:szCs w:val="22"/>
        </w:rPr>
        <w:t>Recomendaciones generales para todas las pesquerías</w:t>
      </w:r>
    </w:p>
    <w:p w14:paraId="1A4661EF" w14:textId="77777777" w:rsidR="004F40DC" w:rsidRPr="00F73E65" w:rsidRDefault="004F40DC" w:rsidP="004F40DC">
      <w:pPr>
        <w:contextualSpacing/>
        <w:jc w:val="both"/>
        <w:rPr>
          <w:rFonts w:ascii="Cambria" w:eastAsia="Calibri" w:hAnsi="Cambria" w:cs="Times New Roman"/>
          <w:b/>
          <w:sz w:val="16"/>
          <w:szCs w:val="16"/>
        </w:rPr>
      </w:pPr>
    </w:p>
    <w:p w14:paraId="1927C1AD" w14:textId="77777777" w:rsidR="004F40DC" w:rsidRPr="00F73E65"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F73E65">
        <w:rPr>
          <w:rFonts w:ascii="Cambria" w:eastAsia="Calibri" w:hAnsi="Cambria" w:cs="Times New Roman"/>
          <w:sz w:val="20"/>
          <w:szCs w:val="22"/>
        </w:rPr>
        <w:t>Si es seguro desde el punto de vista operativo, se debería detener el buque o reducir en gran medida su velocidad.</w:t>
      </w:r>
    </w:p>
    <w:p w14:paraId="253DD800" w14:textId="77777777" w:rsidR="004F40DC" w:rsidRPr="00F73E65"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Cuando se produzcan enredos (en la red, liña de pesca, etc.), si se puede hacer de forma segura, se debería cortar cuidadosamente la red/liña apartándola del animal y liberando a este lo más rápidamente posible sin ningún elemento enredado en él. </w:t>
      </w:r>
    </w:p>
    <w:p w14:paraId="50943CC9" w14:textId="77777777" w:rsidR="004F40DC" w:rsidRPr="00F73E65"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F73E65">
        <w:rPr>
          <w:rFonts w:ascii="Cambria" w:eastAsia="Calibri" w:hAnsi="Cambria" w:cs="Times New Roman"/>
          <w:sz w:val="20"/>
          <w:szCs w:val="22"/>
        </w:rPr>
        <w:t>Cuando sea posible, y mientras se mantiene el tiburón en el agua, se debería intentar medir la longitud del tiburón.</w:t>
      </w:r>
    </w:p>
    <w:p w14:paraId="61ECBB1E" w14:textId="77777777" w:rsidR="004F40DC" w:rsidRPr="00F73E65"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Para evitar mordeduras se debería colocar un objeto, un pez o un palo grande/estaca de madera, en la mandíbula del tiburón. </w:t>
      </w:r>
    </w:p>
    <w:p w14:paraId="51D34E68" w14:textId="77777777" w:rsidR="004F40DC" w:rsidRPr="00F73E65" w:rsidRDefault="004F40DC" w:rsidP="00E1251A">
      <w:pPr>
        <w:numPr>
          <w:ilvl w:val="0"/>
          <w:numId w:val="3"/>
        </w:numPr>
        <w:spacing w:after="160" w:line="259" w:lineRule="auto"/>
        <w:ind w:left="567" w:hanging="425"/>
        <w:contextualSpacing/>
        <w:jc w:val="both"/>
        <w:rPr>
          <w:rFonts w:ascii="Cambria" w:eastAsia="Calibri" w:hAnsi="Cambria" w:cs="Times New Roman"/>
          <w:sz w:val="20"/>
          <w:szCs w:val="20"/>
        </w:rPr>
      </w:pPr>
      <w:r w:rsidRPr="00F73E65">
        <w:rPr>
          <w:rFonts w:ascii="Cambria" w:eastAsia="Calibri" w:hAnsi="Cambria" w:cs="Times New Roman"/>
          <w:sz w:val="20"/>
          <w:szCs w:val="22"/>
        </w:rPr>
        <w:t>Si, por cualquier razón, se tiene que subir a cubierta un tiburón, entonces debería reducirse al mínimo el tiempo que se tarda en devolverlo al agua para incrementar sus posibilidades de supervivencia y reducir el riesgo para la tripulación.</w:t>
      </w:r>
    </w:p>
    <w:p w14:paraId="31A76DA7" w14:textId="77777777" w:rsidR="004F40DC" w:rsidRPr="00F73E65" w:rsidRDefault="004F40DC" w:rsidP="004F40DC">
      <w:pPr>
        <w:jc w:val="both"/>
        <w:rPr>
          <w:rFonts w:ascii="Cambria" w:eastAsia="Calibri" w:hAnsi="Cambria" w:cs="Times New Roman"/>
          <w:sz w:val="14"/>
          <w:szCs w:val="14"/>
        </w:rPr>
      </w:pPr>
    </w:p>
    <w:p w14:paraId="7F266772" w14:textId="77777777" w:rsidR="004F40DC" w:rsidRPr="00F73E65" w:rsidRDefault="004F40DC" w:rsidP="004F40DC">
      <w:pPr>
        <w:contextualSpacing/>
        <w:jc w:val="both"/>
        <w:rPr>
          <w:rFonts w:ascii="Cambria" w:eastAsia="Calibri" w:hAnsi="Cambria" w:cs="Times New Roman"/>
          <w:b/>
          <w:sz w:val="20"/>
          <w:szCs w:val="20"/>
        </w:rPr>
      </w:pPr>
      <w:r w:rsidRPr="00F73E65">
        <w:rPr>
          <w:rFonts w:ascii="Cambria" w:eastAsia="Calibri" w:hAnsi="Cambria" w:cs="Times New Roman"/>
          <w:b/>
          <w:sz w:val="20"/>
          <w:szCs w:val="22"/>
        </w:rPr>
        <w:t>Prácticas de manipulación segura específicas de las pesquerías de palangre</w:t>
      </w:r>
    </w:p>
    <w:p w14:paraId="7F5B8110" w14:textId="77777777" w:rsidR="004F40DC" w:rsidRPr="00F73E65" w:rsidRDefault="004F40DC" w:rsidP="004F40DC">
      <w:pPr>
        <w:contextualSpacing/>
        <w:jc w:val="both"/>
        <w:rPr>
          <w:rFonts w:ascii="Cambria" w:eastAsia="Calibri" w:hAnsi="Cambria" w:cs="Times New Roman"/>
          <w:b/>
          <w:sz w:val="16"/>
          <w:szCs w:val="16"/>
        </w:rPr>
      </w:pPr>
    </w:p>
    <w:p w14:paraId="74733E5E"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Se debería acercar al tiburón lo más posible al buque sin ejercer demasiada tensión en la brazolada para evitar que un anzuelo suelto o la brazolada se rompa y lance los anzuelos, los pesos u otras partes a gran velocidad hacia el buque y la tripulación </w:t>
      </w:r>
    </w:p>
    <w:p w14:paraId="042C8A39"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Se debería sujetar firmemente el lado alejado de la línea principal del palangre al buque para evitar que cualquier parte del arte que quede en el agua tire de la línea y del animal.</w:t>
      </w:r>
    </w:p>
    <w:p w14:paraId="3BBF59BD"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Si el animal está enganchado al anzuelo y el anzuelo puede verse en el cuerpo o en la boca, se debería utilizar un desanzuelador o un cortador de pernos de mango largo para quitar la barba del anzuelo y, a continuación, extraer el anzuelo.</w:t>
      </w:r>
    </w:p>
    <w:p w14:paraId="36E287DE"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b/>
          <w:sz w:val="20"/>
          <w:szCs w:val="20"/>
        </w:rPr>
      </w:pPr>
      <w:r w:rsidRPr="00F73E65">
        <w:rPr>
          <w:rFonts w:ascii="Cambria" w:eastAsia="Calibri" w:hAnsi="Cambria" w:cs="Times New Roman"/>
          <w:sz w:val="20"/>
          <w:szCs w:val="22"/>
        </w:rPr>
        <w:lastRenderedPageBreak/>
        <w:t>Si no es posible retirar el anzuelo o no se puede ver el anzuelo, se debería cortar la línea principal (o brazolada o bajo de línea) tan cerca del anzuelo como sea posible (idealmente dejando la menor cantidad posible de material de la línea y/o del bajo de línea y sin pesos atados al animal).</w:t>
      </w:r>
      <w:r w:rsidRPr="00F73E65">
        <w:rPr>
          <w:rFonts w:ascii="Cambria" w:eastAsia="Calibri" w:hAnsi="Cambria" w:cs="Times New Roman"/>
          <w:color w:val="FF0000"/>
          <w:sz w:val="20"/>
          <w:szCs w:val="22"/>
        </w:rPr>
        <w:t xml:space="preserve"> </w:t>
      </w:r>
    </w:p>
    <w:p w14:paraId="2B83322E" w14:textId="77777777" w:rsidR="004F40DC" w:rsidRPr="00F73E65" w:rsidRDefault="004F40DC" w:rsidP="004F40DC">
      <w:pPr>
        <w:contextualSpacing/>
        <w:jc w:val="both"/>
        <w:rPr>
          <w:rFonts w:ascii="Cambria" w:eastAsia="Calibri" w:hAnsi="Cambria" w:cs="Times New Roman"/>
          <w:b/>
          <w:sz w:val="16"/>
          <w:szCs w:val="16"/>
        </w:rPr>
      </w:pPr>
    </w:p>
    <w:p w14:paraId="6328E314" w14:textId="09CF5602" w:rsidR="004F40DC" w:rsidRPr="00F73E65" w:rsidRDefault="004F40DC" w:rsidP="004F40DC">
      <w:pPr>
        <w:contextualSpacing/>
        <w:jc w:val="both"/>
        <w:rPr>
          <w:rFonts w:ascii="Cambria" w:eastAsia="Calibri" w:hAnsi="Cambria" w:cs="Times New Roman"/>
          <w:b/>
          <w:sz w:val="20"/>
          <w:szCs w:val="20"/>
        </w:rPr>
      </w:pPr>
      <w:r w:rsidRPr="00F73E65">
        <w:rPr>
          <w:rFonts w:ascii="Cambria" w:eastAsia="Calibri" w:hAnsi="Cambria" w:cs="Times New Roman"/>
          <w:b/>
          <w:sz w:val="20"/>
          <w:szCs w:val="22"/>
        </w:rPr>
        <w:t>Prácticas de manipulación segura específicas de las pesquerías de cerco</w:t>
      </w:r>
    </w:p>
    <w:p w14:paraId="329C6456" w14:textId="77777777" w:rsidR="004F40DC" w:rsidRPr="00F73E65" w:rsidRDefault="004F40DC" w:rsidP="004F40DC">
      <w:pPr>
        <w:contextualSpacing/>
        <w:jc w:val="both"/>
        <w:rPr>
          <w:rFonts w:ascii="Cambria" w:eastAsia="Calibri" w:hAnsi="Cambria" w:cs="Times New Roman"/>
          <w:b/>
          <w:sz w:val="16"/>
          <w:szCs w:val="16"/>
        </w:rPr>
      </w:pPr>
    </w:p>
    <w:p w14:paraId="34C20A90"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Si está en la red de cerco: se debería examinar detenidamente la red con la mayor antelación posible para detectar tiburones lo antes posible y poder reaccionar rápidamente. Se debería evitar izarlo con la red hacia el halador de la red. Se debería aminorar la velocidad para reducir la tensión de la red y permitir que el animal enredado pueda sacarse de la red. Si es necesario, pueden utilizarse cortadores para cortar la red.</w:t>
      </w:r>
    </w:p>
    <w:p w14:paraId="131C0F8E" w14:textId="77777777" w:rsidR="004F40DC" w:rsidRPr="00F73E65" w:rsidRDefault="004F40DC" w:rsidP="00B93309">
      <w:pPr>
        <w:ind w:left="540" w:hanging="360"/>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 </w:t>
      </w:r>
    </w:p>
    <w:p w14:paraId="368D7AE0" w14:textId="504A1310"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Si está en el salabardo o en </w:t>
      </w:r>
      <w:r w:rsidR="007369A1" w:rsidRPr="00F73E65">
        <w:rPr>
          <w:rFonts w:ascii="Cambria" w:eastAsia="Calibri" w:hAnsi="Cambria" w:cs="Times New Roman"/>
          <w:sz w:val="20"/>
          <w:szCs w:val="22"/>
        </w:rPr>
        <w:t xml:space="preserve">la </w:t>
      </w:r>
      <w:r w:rsidRPr="00F73E65">
        <w:rPr>
          <w:rFonts w:ascii="Cambria" w:eastAsia="Calibri" w:hAnsi="Cambria" w:cs="Times New Roman"/>
          <w:sz w:val="20"/>
          <w:szCs w:val="22"/>
        </w:rPr>
        <w:t>cubierta: se debería utilizar una red de carga de malla grande o una eslinga de lona o un dispositivo similar</w:t>
      </w:r>
      <w:r w:rsidR="00D6723D" w:rsidRPr="00F73E65">
        <w:rPr>
          <w:rFonts w:ascii="Cambria" w:eastAsia="Calibri" w:hAnsi="Cambria" w:cs="Times New Roman"/>
          <w:sz w:val="20"/>
          <w:szCs w:val="22"/>
        </w:rPr>
        <w:t xml:space="preserve"> diseñado </w:t>
      </w:r>
      <w:r w:rsidR="007369A1" w:rsidRPr="00F73E65">
        <w:rPr>
          <w:rFonts w:ascii="Cambria" w:eastAsia="Calibri" w:hAnsi="Cambria" w:cs="Times New Roman"/>
          <w:sz w:val="20"/>
          <w:szCs w:val="22"/>
        </w:rPr>
        <w:t xml:space="preserve">a </w:t>
      </w:r>
      <w:r w:rsidR="00D6723D" w:rsidRPr="00F73E65">
        <w:rPr>
          <w:rFonts w:ascii="Cambria" w:eastAsia="Calibri" w:hAnsi="Cambria" w:cs="Times New Roman"/>
          <w:sz w:val="20"/>
          <w:szCs w:val="22"/>
        </w:rPr>
        <w:t>este efecto</w:t>
      </w:r>
      <w:r w:rsidRPr="00F73E65">
        <w:rPr>
          <w:rFonts w:ascii="Cambria" w:eastAsia="Calibri" w:hAnsi="Cambria" w:cs="Times New Roman"/>
          <w:sz w:val="20"/>
          <w:szCs w:val="22"/>
        </w:rPr>
        <w:t>. Si el diseño del buque lo permite, el tiburón podría liberarse también vaciando directamente el salabardo en una tolva y rampa de liberación colocada en un ángulo que conecte con una apertura en la borda de la cubierta superior, sin que la tripulación tenga que levantarlo o manipularlo.</w:t>
      </w:r>
    </w:p>
    <w:p w14:paraId="6CAFB75E" w14:textId="77777777" w:rsidR="004F40DC" w:rsidRPr="00F73E65" w:rsidRDefault="004F40DC" w:rsidP="00B93309">
      <w:pPr>
        <w:ind w:left="540" w:hanging="360"/>
        <w:jc w:val="both"/>
        <w:rPr>
          <w:rFonts w:ascii="Cambria" w:eastAsia="Calibri" w:hAnsi="Cambria" w:cs="Times New Roman"/>
          <w:sz w:val="16"/>
          <w:szCs w:val="16"/>
        </w:rPr>
      </w:pPr>
    </w:p>
    <w:p w14:paraId="2C1A82BE" w14:textId="77777777" w:rsidR="004F40DC" w:rsidRPr="00F73E65" w:rsidRDefault="004F40DC" w:rsidP="004F40DC">
      <w:pPr>
        <w:contextualSpacing/>
        <w:jc w:val="both"/>
        <w:rPr>
          <w:rFonts w:ascii="Cambria" w:eastAsia="Calibri" w:hAnsi="Cambria" w:cs="Times New Roman"/>
          <w:b/>
          <w:sz w:val="20"/>
          <w:szCs w:val="20"/>
        </w:rPr>
      </w:pPr>
      <w:r w:rsidRPr="00F73E65">
        <w:rPr>
          <w:rFonts w:ascii="Cambria" w:eastAsia="Calibri" w:hAnsi="Cambria" w:cs="Times New Roman"/>
          <w:b/>
          <w:sz w:val="20"/>
          <w:szCs w:val="22"/>
        </w:rPr>
        <w:t>EN NINGÚN CASO SE DEBE (en todas las pesquerías)</w:t>
      </w:r>
    </w:p>
    <w:p w14:paraId="10167497" w14:textId="77777777" w:rsidR="004F40DC" w:rsidRPr="00F73E65" w:rsidRDefault="004F40DC" w:rsidP="004F40DC">
      <w:pPr>
        <w:contextualSpacing/>
        <w:jc w:val="both"/>
        <w:rPr>
          <w:rFonts w:ascii="Cambria" w:eastAsia="Calibri" w:hAnsi="Cambria" w:cs="Times New Roman"/>
          <w:b/>
          <w:sz w:val="16"/>
          <w:szCs w:val="16"/>
        </w:rPr>
      </w:pPr>
    </w:p>
    <w:p w14:paraId="488375DC" w14:textId="4683BBBC" w:rsidR="004F40DC" w:rsidRPr="00F73E65" w:rsidRDefault="003737E2"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En la medida en que sea viable, </w:t>
      </w:r>
      <w:r w:rsidR="007369A1" w:rsidRPr="00F73E65">
        <w:rPr>
          <w:rFonts w:ascii="Cambria" w:eastAsia="Calibri" w:hAnsi="Cambria" w:cs="Times New Roman"/>
          <w:sz w:val="20"/>
          <w:szCs w:val="22"/>
        </w:rPr>
        <w:t>izar</w:t>
      </w:r>
      <w:r w:rsidR="004F40DC" w:rsidRPr="00F73E65">
        <w:rPr>
          <w:rFonts w:ascii="Cambria" w:eastAsia="Calibri" w:hAnsi="Cambria" w:cs="Times New Roman"/>
          <w:sz w:val="20"/>
          <w:szCs w:val="22"/>
        </w:rPr>
        <w:t xml:space="preserve"> a los tiburones </w:t>
      </w:r>
      <w:r w:rsidR="007369A1" w:rsidRPr="00F73E65">
        <w:rPr>
          <w:rFonts w:ascii="Cambria" w:eastAsia="Calibri" w:hAnsi="Cambria" w:cs="Times New Roman"/>
          <w:sz w:val="20"/>
          <w:szCs w:val="22"/>
        </w:rPr>
        <w:t xml:space="preserve">sacándolos </w:t>
      </w:r>
      <w:r w:rsidR="004F40DC" w:rsidRPr="00F73E65">
        <w:rPr>
          <w:rFonts w:ascii="Cambria" w:eastAsia="Calibri" w:hAnsi="Cambria" w:cs="Times New Roman"/>
          <w:sz w:val="20"/>
          <w:szCs w:val="22"/>
        </w:rPr>
        <w:t>del agua utilizando la brazolada, especialmente si están enganchados</w:t>
      </w:r>
      <w:r w:rsidRPr="00F73E65">
        <w:rPr>
          <w:rFonts w:ascii="Cambria" w:eastAsia="Calibri" w:hAnsi="Cambria" w:cs="Times New Roman"/>
          <w:sz w:val="20"/>
          <w:szCs w:val="22"/>
        </w:rPr>
        <w:t>, a menos que sea necesario levantar al tiburón para identificar la especie</w:t>
      </w:r>
      <w:r w:rsidR="004F40DC" w:rsidRPr="00F73E65">
        <w:rPr>
          <w:rFonts w:ascii="Cambria" w:eastAsia="Calibri" w:hAnsi="Cambria" w:cs="Times New Roman"/>
          <w:sz w:val="20"/>
          <w:szCs w:val="22"/>
        </w:rPr>
        <w:t xml:space="preserve">. </w:t>
      </w:r>
    </w:p>
    <w:p w14:paraId="764D4AD1"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Levantar a los tiburones usando cables o alambres finos o solo por la cola.</w:t>
      </w:r>
    </w:p>
    <w:p w14:paraId="0E3C2239"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Golpear al tiburón contra cualquier superficie para liberarlo de la línea.</w:t>
      </w:r>
    </w:p>
    <w:p w14:paraId="33F9A692"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Tratar de extraer un anzuelo que se ha ingerido profundamente y que no puede verse. </w:t>
      </w:r>
    </w:p>
    <w:p w14:paraId="0B77FBEB"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Tratar de quitar el anzuelo tirando con fuerza de la brazolada.</w:t>
      </w:r>
    </w:p>
    <w:p w14:paraId="150827C9"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Cortar la cola o cualquier otra parte de su cuerpo.</w:t>
      </w:r>
    </w:p>
    <w:p w14:paraId="74EB1372"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Cortar o agujerear el cuerpo del tiburón.</w:t>
      </w:r>
    </w:p>
    <w:p w14:paraId="7955FCEA"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Golpear o patear a un tiburón, o introducir las manos en las hendiduras branquiales.</w:t>
      </w:r>
    </w:p>
    <w:p w14:paraId="72D48AA0"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Exponer al tiburón a los rayos solares durante mucho tiempo.</w:t>
      </w:r>
    </w:p>
    <w:p w14:paraId="5ED7126F"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Enrollar los dedos, las manos o los brazos en la línea al izar un tiburón o una raya (esto puede provocar lesiones graves).</w:t>
      </w:r>
    </w:p>
    <w:p w14:paraId="7BEB2554" w14:textId="77777777" w:rsidR="004F40DC" w:rsidRPr="00F73E65" w:rsidRDefault="004F40DC" w:rsidP="004F40DC">
      <w:pPr>
        <w:ind w:left="720"/>
        <w:contextualSpacing/>
        <w:jc w:val="both"/>
        <w:rPr>
          <w:rFonts w:ascii="Cambria" w:eastAsia="Calibri" w:hAnsi="Cambria" w:cs="Times New Roman"/>
          <w:sz w:val="16"/>
          <w:szCs w:val="16"/>
        </w:rPr>
      </w:pPr>
    </w:p>
    <w:p w14:paraId="07041522" w14:textId="77777777" w:rsidR="004F40DC" w:rsidRPr="00F73E65" w:rsidRDefault="004F40DC" w:rsidP="004F40DC">
      <w:pPr>
        <w:contextualSpacing/>
        <w:jc w:val="both"/>
        <w:rPr>
          <w:rFonts w:ascii="Cambria" w:eastAsia="Times New Roman" w:hAnsi="Cambria" w:cs="Segoe UI"/>
          <w:b/>
          <w:sz w:val="20"/>
          <w:szCs w:val="20"/>
        </w:rPr>
      </w:pPr>
      <w:r w:rsidRPr="00F73E65">
        <w:rPr>
          <w:rFonts w:ascii="Cambria" w:eastAsia="Calibri" w:hAnsi="Cambria" w:cs="Times New Roman"/>
          <w:b/>
          <w:sz w:val="20"/>
          <w:szCs w:val="22"/>
        </w:rPr>
        <w:t xml:space="preserve">Dispositivos útiles para una manipulación y liberación seguras </w:t>
      </w:r>
    </w:p>
    <w:p w14:paraId="42AB7884" w14:textId="77777777" w:rsidR="004F40DC" w:rsidRPr="00F73E65" w:rsidRDefault="004F40DC" w:rsidP="004F40DC">
      <w:pPr>
        <w:contextualSpacing/>
        <w:jc w:val="both"/>
        <w:rPr>
          <w:rFonts w:ascii="Cambria" w:eastAsia="Times New Roman" w:hAnsi="Cambria" w:cs="Segoe UI"/>
          <w:b/>
          <w:sz w:val="12"/>
          <w:szCs w:val="12"/>
        </w:rPr>
      </w:pPr>
    </w:p>
    <w:p w14:paraId="473B3E83" w14:textId="64A105B3"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Guantes (la piel del tiburón es áspera; </w:t>
      </w:r>
      <w:r w:rsidR="00231F52" w:rsidRPr="00F73E65">
        <w:rPr>
          <w:rFonts w:ascii="Cambria" w:eastAsia="Calibri" w:hAnsi="Cambria" w:cs="Times New Roman"/>
          <w:sz w:val="20"/>
          <w:szCs w:val="22"/>
        </w:rPr>
        <w:t>esto garantiza</w:t>
      </w:r>
      <w:r w:rsidRPr="00F73E65">
        <w:rPr>
          <w:rFonts w:ascii="Cambria" w:eastAsia="Calibri" w:hAnsi="Cambria" w:cs="Times New Roman"/>
          <w:sz w:val="20"/>
          <w:szCs w:val="22"/>
        </w:rPr>
        <w:t xml:space="preserve"> una manipulación segura del tiburón y protege las manos de la tripulación de las mordeduras)</w:t>
      </w:r>
      <w:r w:rsidR="00231F52" w:rsidRPr="00F73E65">
        <w:rPr>
          <w:rFonts w:ascii="Cambria" w:eastAsia="Calibri" w:hAnsi="Cambria" w:cs="Times New Roman"/>
          <w:sz w:val="20"/>
          <w:szCs w:val="22"/>
        </w:rPr>
        <w:t>.</w:t>
      </w:r>
      <w:r w:rsidRPr="00F73E65">
        <w:rPr>
          <w:rFonts w:ascii="Cambria" w:eastAsia="Calibri" w:hAnsi="Cambria" w:cs="Times New Roman"/>
          <w:sz w:val="20"/>
          <w:szCs w:val="22"/>
        </w:rPr>
        <w:t xml:space="preserve"> </w:t>
      </w:r>
    </w:p>
    <w:p w14:paraId="46DA0A45" w14:textId="7F1D0730"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Toalla o paño (se puede colocar una toalla o paño empapado en agua de mar sobre los ojos del tiburón; se utiliza para calmar a los tiburones)</w:t>
      </w:r>
      <w:r w:rsidR="00231F52" w:rsidRPr="00F73E65">
        <w:rPr>
          <w:rFonts w:ascii="Cambria" w:eastAsia="Calibri" w:hAnsi="Cambria" w:cs="Times New Roman"/>
          <w:sz w:val="20"/>
          <w:szCs w:val="22"/>
        </w:rPr>
        <w:t>.</w:t>
      </w:r>
    </w:p>
    <w:p w14:paraId="35C8DB60" w14:textId="67D31902"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Dispositivos desanzueladores (por ejemplo, desanzueladores en forma de cola de cerdo, cortadores de pernos o pinzas)</w:t>
      </w:r>
      <w:r w:rsidR="00231F52" w:rsidRPr="00F73E65">
        <w:rPr>
          <w:rFonts w:ascii="Cambria" w:eastAsia="Calibri" w:hAnsi="Cambria" w:cs="Times New Roman"/>
          <w:sz w:val="20"/>
          <w:szCs w:val="22"/>
        </w:rPr>
        <w:t>.</w:t>
      </w:r>
    </w:p>
    <w:p w14:paraId="7594B156" w14:textId="287360F5"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Arnés o camilla para tiburones (si es necesario)</w:t>
      </w:r>
      <w:r w:rsidR="00231F52" w:rsidRPr="00F73E65">
        <w:rPr>
          <w:rFonts w:ascii="Cambria" w:eastAsia="Calibri" w:hAnsi="Cambria" w:cs="Times New Roman"/>
          <w:sz w:val="20"/>
          <w:szCs w:val="22"/>
        </w:rPr>
        <w:t>.</w:t>
      </w:r>
      <w:r w:rsidRPr="00F73E65">
        <w:rPr>
          <w:rFonts w:ascii="Cambria" w:eastAsia="Calibri" w:hAnsi="Cambria" w:cs="Times New Roman"/>
          <w:sz w:val="20"/>
          <w:szCs w:val="22"/>
        </w:rPr>
        <w:t xml:space="preserve"> </w:t>
      </w:r>
    </w:p>
    <w:p w14:paraId="64642AAC" w14:textId="6D5B5AD0"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Soga de cola (para atar un tiburón enganchado si hay que sacarlo del agua)</w:t>
      </w:r>
      <w:r w:rsidR="00231F52" w:rsidRPr="00F73E65">
        <w:rPr>
          <w:rFonts w:ascii="Cambria" w:eastAsia="Calibri" w:hAnsi="Cambria" w:cs="Times New Roman"/>
          <w:sz w:val="20"/>
          <w:szCs w:val="22"/>
        </w:rPr>
        <w:t>.</w:t>
      </w:r>
    </w:p>
    <w:p w14:paraId="71C60131"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Manguera de agua salada (si prevé que se necesitarán más de cinco minutos para liberar un tiburón, coloque una manguera en su boca para que vaya entrando una cantidad moderada de agua en ella. Asegúrese de que la bomba de cubierta ha estado funcionando varios minutos antes de colocarla en la boca de un tiburón).</w:t>
      </w:r>
    </w:p>
    <w:p w14:paraId="5428A68B" w14:textId="5CAB00B5"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Dispositivo de medición (por ejemplo, marcar un poste, cable o un flotador</w:t>
      </w:r>
      <w:r w:rsidR="00231F52" w:rsidRPr="00F73E65">
        <w:rPr>
          <w:rFonts w:ascii="Cambria" w:eastAsia="Calibri" w:hAnsi="Cambria" w:cs="Times New Roman"/>
          <w:sz w:val="20"/>
          <w:szCs w:val="22"/>
        </w:rPr>
        <w:t xml:space="preserve"> </w:t>
      </w:r>
      <w:r w:rsidRPr="00F73E65">
        <w:rPr>
          <w:rFonts w:ascii="Cambria" w:eastAsia="Calibri" w:hAnsi="Cambria" w:cs="Times New Roman"/>
          <w:sz w:val="20"/>
          <w:szCs w:val="22"/>
        </w:rPr>
        <w:t>o una cinta métrica)</w:t>
      </w:r>
      <w:r w:rsidR="00231F52" w:rsidRPr="00F73E65">
        <w:rPr>
          <w:rFonts w:ascii="Cambria" w:eastAsia="Calibri" w:hAnsi="Cambria" w:cs="Times New Roman"/>
          <w:sz w:val="20"/>
          <w:szCs w:val="22"/>
        </w:rPr>
        <w:t>.</w:t>
      </w:r>
      <w:r w:rsidRPr="00F73E65">
        <w:rPr>
          <w:rFonts w:ascii="Cambria" w:eastAsia="Calibri" w:hAnsi="Cambria" w:cs="Times New Roman"/>
          <w:sz w:val="20"/>
          <w:szCs w:val="22"/>
        </w:rPr>
        <w:t xml:space="preserve"> </w:t>
      </w:r>
    </w:p>
    <w:p w14:paraId="3689F225" w14:textId="77777777" w:rsidR="004F40DC" w:rsidRPr="00F73E65" w:rsidRDefault="004F40DC" w:rsidP="00E1251A">
      <w:pPr>
        <w:numPr>
          <w:ilvl w:val="0"/>
          <w:numId w:val="3"/>
        </w:numPr>
        <w:spacing w:after="160" w:line="259" w:lineRule="auto"/>
        <w:ind w:left="540"/>
        <w:contextualSpacing/>
        <w:jc w:val="both"/>
        <w:rPr>
          <w:rFonts w:ascii="Cambria" w:eastAsia="Calibri" w:hAnsi="Cambria" w:cs="Times New Roman"/>
          <w:sz w:val="20"/>
          <w:szCs w:val="20"/>
        </w:rPr>
      </w:pPr>
      <w:r w:rsidRPr="00F73E65">
        <w:rPr>
          <w:rFonts w:ascii="Cambria" w:eastAsia="Calibri" w:hAnsi="Cambria" w:cs="Times New Roman"/>
          <w:sz w:val="20"/>
          <w:szCs w:val="22"/>
        </w:rPr>
        <w:t xml:space="preserve">Hoja de datos para registrar todas las capturas. </w:t>
      </w:r>
    </w:p>
    <w:p w14:paraId="7C87971E" w14:textId="2FA6A0A8" w:rsidR="007657A2" w:rsidRPr="00F73E65" w:rsidRDefault="004F40DC" w:rsidP="00E1251A">
      <w:pPr>
        <w:numPr>
          <w:ilvl w:val="0"/>
          <w:numId w:val="3"/>
        </w:numPr>
        <w:spacing w:after="160" w:line="259" w:lineRule="auto"/>
        <w:ind w:left="540"/>
        <w:contextualSpacing/>
        <w:jc w:val="both"/>
        <w:rPr>
          <w:rFonts w:cs="Times New Roman"/>
          <w:sz w:val="20"/>
          <w:szCs w:val="20"/>
        </w:rPr>
      </w:pPr>
      <w:r w:rsidRPr="00F73E65">
        <w:rPr>
          <w:rFonts w:ascii="Cambria" w:eastAsia="Calibri" w:hAnsi="Cambria" w:cs="Times New Roman"/>
          <w:sz w:val="20"/>
          <w:szCs w:val="22"/>
        </w:rPr>
        <w:t>Equipo de marcado (si procede).</w:t>
      </w:r>
    </w:p>
    <w:p w14:paraId="410AC811" w14:textId="77777777" w:rsidR="00983396" w:rsidRPr="005C0429" w:rsidRDefault="00983396" w:rsidP="007369A1">
      <w:pPr>
        <w:spacing w:after="160" w:line="259" w:lineRule="auto"/>
        <w:ind w:left="851"/>
        <w:contextualSpacing/>
        <w:jc w:val="both"/>
        <w:rPr>
          <w:rFonts w:cs="Times New Roman"/>
          <w:sz w:val="20"/>
          <w:szCs w:val="20"/>
        </w:rPr>
      </w:pPr>
    </w:p>
    <w:sectPr w:rsidR="00983396" w:rsidRPr="005C0429"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F5D7" w14:textId="77777777" w:rsidR="00BC055E" w:rsidRDefault="00BC055E" w:rsidP="000E2849">
      <w:r>
        <w:separator/>
      </w:r>
    </w:p>
  </w:endnote>
  <w:endnote w:type="continuationSeparator" w:id="0">
    <w:p w14:paraId="50DD0957" w14:textId="77777777" w:rsidR="00BC055E" w:rsidRDefault="00BC055E"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5918" w14:textId="40901F69" w:rsidR="002576BF" w:rsidRPr="00980575" w:rsidRDefault="00980575" w:rsidP="00980575">
    <w:pPr>
      <w:tabs>
        <w:tab w:val="center" w:pos="4535"/>
        <w:tab w:val="center" w:pos="4680"/>
        <w:tab w:val="left" w:pos="6150"/>
        <w:tab w:val="right" w:pos="9360"/>
      </w:tabs>
      <w:jc w:val="center"/>
      <w:rPr>
        <w:rFonts w:ascii="Cambria" w:eastAsia="Cambria" w:hAnsi="Cambria" w:cs="Cambria"/>
        <w:color w:val="000000"/>
        <w:sz w:val="20"/>
        <w:szCs w:val="22"/>
        <w:lang w:val="en-GB" w:eastAsia="en-GB"/>
      </w:rPr>
    </w:pPr>
    <w:r w:rsidRPr="00980575">
      <w:rPr>
        <w:rFonts w:ascii="Cambria" w:eastAsia="Cambria" w:hAnsi="Cambria" w:cs="Cambria"/>
        <w:color w:val="000000"/>
        <w:sz w:val="20"/>
        <w:szCs w:val="20"/>
        <w:lang w:val="en-GB" w:eastAsia="en-GB"/>
      </w:rPr>
      <w:fldChar w:fldCharType="begin"/>
    </w:r>
    <w:r w:rsidRPr="00980575">
      <w:rPr>
        <w:rFonts w:ascii="Cambria" w:eastAsia="Cambria" w:hAnsi="Cambria" w:cs="Cambria"/>
        <w:color w:val="000000"/>
        <w:sz w:val="20"/>
        <w:szCs w:val="20"/>
        <w:lang w:val="en-GB" w:eastAsia="en-GB"/>
      </w:rPr>
      <w:instrText xml:space="preserve"> PAGE </w:instrText>
    </w:r>
    <w:r w:rsidRPr="00980575">
      <w:rPr>
        <w:rFonts w:ascii="Cambria" w:eastAsia="Cambria" w:hAnsi="Cambria" w:cs="Cambria"/>
        <w:color w:val="000000"/>
        <w:sz w:val="20"/>
        <w:szCs w:val="20"/>
        <w:lang w:val="en-GB" w:eastAsia="en-GB"/>
      </w:rPr>
      <w:fldChar w:fldCharType="separate"/>
    </w:r>
    <w:r w:rsidRPr="00980575">
      <w:rPr>
        <w:rFonts w:ascii="Cambria" w:eastAsia="Cambria" w:hAnsi="Cambria" w:cs="Cambria"/>
        <w:color w:val="000000"/>
        <w:sz w:val="20"/>
        <w:szCs w:val="20"/>
        <w:lang w:val="en-GB" w:eastAsia="en-GB"/>
      </w:rPr>
      <w:t>1</w:t>
    </w:r>
    <w:r w:rsidRPr="00980575">
      <w:rPr>
        <w:rFonts w:ascii="Cambria" w:eastAsia="Cambria" w:hAnsi="Cambria" w:cs="Cambria"/>
        <w:color w:val="000000"/>
        <w:sz w:val="20"/>
        <w:szCs w:val="20"/>
        <w:lang w:val="en-GB" w:eastAsia="en-GB"/>
      </w:rPr>
      <w:fldChar w:fldCharType="end"/>
    </w:r>
    <w:r w:rsidRPr="00980575">
      <w:rPr>
        <w:rFonts w:ascii="Cambria" w:eastAsia="Cambria" w:hAnsi="Cambria" w:cs="Cambria"/>
        <w:color w:val="000000"/>
        <w:sz w:val="20"/>
        <w:szCs w:val="20"/>
        <w:lang w:val="en-GB" w:eastAsia="en-GB"/>
      </w:rPr>
      <w:t xml:space="preserve"> / </w:t>
    </w:r>
    <w:r w:rsidRPr="00980575">
      <w:rPr>
        <w:rFonts w:ascii="Cambria" w:eastAsia="Cambria" w:hAnsi="Cambria" w:cs="Cambria"/>
        <w:color w:val="000000"/>
        <w:sz w:val="20"/>
        <w:szCs w:val="20"/>
        <w:lang w:val="en-GB" w:eastAsia="en-GB"/>
      </w:rPr>
      <w:fldChar w:fldCharType="begin"/>
    </w:r>
    <w:r w:rsidRPr="00980575">
      <w:rPr>
        <w:rFonts w:ascii="Cambria" w:eastAsia="Cambria" w:hAnsi="Cambria" w:cs="Cambria"/>
        <w:color w:val="000000"/>
        <w:sz w:val="20"/>
        <w:szCs w:val="20"/>
        <w:lang w:val="en-GB" w:eastAsia="en-GB"/>
      </w:rPr>
      <w:instrText xml:space="preserve"> NUMPAGES  </w:instrText>
    </w:r>
    <w:r w:rsidRPr="00980575">
      <w:rPr>
        <w:rFonts w:ascii="Cambria" w:eastAsia="Cambria" w:hAnsi="Cambria" w:cs="Cambria"/>
        <w:color w:val="000000"/>
        <w:sz w:val="20"/>
        <w:szCs w:val="20"/>
        <w:lang w:val="en-GB" w:eastAsia="en-GB"/>
      </w:rPr>
      <w:fldChar w:fldCharType="separate"/>
    </w:r>
    <w:r w:rsidRPr="00980575">
      <w:rPr>
        <w:rFonts w:ascii="Cambria" w:eastAsia="Cambria" w:hAnsi="Cambria" w:cs="Cambria"/>
        <w:color w:val="000000"/>
        <w:sz w:val="20"/>
        <w:szCs w:val="20"/>
        <w:lang w:val="en-GB" w:eastAsia="en-GB"/>
      </w:rPr>
      <w:t>8</w:t>
    </w:r>
    <w:r w:rsidRPr="00980575">
      <w:rPr>
        <w:rFonts w:ascii="Cambria" w:eastAsia="Cambria" w:hAnsi="Cambria" w:cs="Cambria"/>
        <w:color w:val="000000"/>
        <w:sz w:val="20"/>
        <w:szCs w:val="20"/>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3201" w14:textId="77777777" w:rsidR="00BC055E" w:rsidRDefault="00BC055E" w:rsidP="000E2849">
      <w:r>
        <w:separator/>
      </w:r>
    </w:p>
  </w:footnote>
  <w:footnote w:type="continuationSeparator" w:id="0">
    <w:p w14:paraId="558802C6" w14:textId="77777777" w:rsidR="00BC055E" w:rsidRDefault="00BC055E" w:rsidP="000E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B4B1" w14:textId="6A884035" w:rsidR="001C216B" w:rsidRPr="001C216B" w:rsidRDefault="001C216B" w:rsidP="001C216B">
    <w:pPr>
      <w:tabs>
        <w:tab w:val="center" w:pos="4680"/>
        <w:tab w:val="left" w:pos="6520"/>
        <w:tab w:val="right" w:pos="9360"/>
        <w:tab w:val="right" w:pos="14240"/>
      </w:tabs>
      <w:spacing w:after="5" w:line="249" w:lineRule="auto"/>
      <w:ind w:left="436" w:right="47" w:hanging="434"/>
      <w:jc w:val="right"/>
      <w:rPr>
        <w:rFonts w:ascii="Cambria" w:eastAsia="Cambria" w:hAnsi="Cambria" w:cs="Times New Roman"/>
        <w:b/>
        <w:bCs/>
        <w:color w:val="000000"/>
        <w:sz w:val="20"/>
        <w:szCs w:val="20"/>
        <w:lang w:val="en-GB" w:eastAsia="en-GB"/>
      </w:rPr>
    </w:pPr>
    <w:r w:rsidRPr="001C216B">
      <w:rPr>
        <w:rFonts w:ascii="Cambria" w:eastAsia="Cambria" w:hAnsi="Cambria" w:cs="Times New Roman"/>
        <w:b/>
        <w:bCs/>
        <w:color w:val="000000"/>
        <w:sz w:val="20"/>
        <w:szCs w:val="20"/>
        <w:lang w:val="en-GB" w:eastAsia="en-GB"/>
      </w:rPr>
      <w:t>PA</w:t>
    </w:r>
    <w:bookmarkStart w:id="1" w:name="_Hlk107908354"/>
    <w:bookmarkStart w:id="2" w:name="_Hlk107908355"/>
    <w:bookmarkStart w:id="3" w:name="_Hlk107908359"/>
    <w:bookmarkStart w:id="4" w:name="_Hlk107908360"/>
    <w:bookmarkStart w:id="5" w:name="_Hlk107908361"/>
    <w:bookmarkStart w:id="6" w:name="_Hlk107908362"/>
    <w:r w:rsidRPr="001C216B">
      <w:rPr>
        <w:rFonts w:ascii="Cambria" w:eastAsia="Cambria" w:hAnsi="Cambria" w:cs="Times New Roman"/>
        <w:b/>
        <w:bCs/>
        <w:color w:val="000000"/>
        <w:sz w:val="20"/>
        <w:szCs w:val="20"/>
        <w:lang w:val="en-GB" w:eastAsia="en-GB"/>
      </w:rPr>
      <w:t>4_814</w:t>
    </w:r>
    <w:r w:rsidR="005C0429">
      <w:rPr>
        <w:rFonts w:ascii="Cambria" w:eastAsia="Cambria" w:hAnsi="Cambria" w:cs="Times New Roman"/>
        <w:b/>
        <w:bCs/>
        <w:color w:val="000000"/>
        <w:sz w:val="20"/>
        <w:szCs w:val="20"/>
        <w:lang w:val="en-GB" w:eastAsia="en-GB"/>
      </w:rPr>
      <w:t>A</w:t>
    </w:r>
    <w:r w:rsidRPr="001C216B">
      <w:rPr>
        <w:rFonts w:ascii="Cambria" w:eastAsia="Cambria" w:hAnsi="Cambria" w:cs="Times New Roman"/>
        <w:b/>
        <w:bCs/>
        <w:color w:val="000000"/>
        <w:sz w:val="20"/>
        <w:szCs w:val="20"/>
        <w:lang w:val="en-GB" w:eastAsia="en-GB"/>
      </w:rPr>
      <w:t>/2025</w:t>
    </w:r>
  </w:p>
  <w:p w14:paraId="4CAF3C33" w14:textId="74E5515D" w:rsidR="001C216B" w:rsidRPr="001C216B" w:rsidRDefault="001C216B" w:rsidP="001C216B">
    <w:pPr>
      <w:tabs>
        <w:tab w:val="left" w:pos="7320"/>
      </w:tabs>
      <w:spacing w:after="5" w:line="240" w:lineRule="exact"/>
      <w:ind w:left="436" w:right="47" w:hanging="434"/>
      <w:jc w:val="right"/>
      <w:rPr>
        <w:rFonts w:ascii="Cambria" w:eastAsia="Cambria" w:hAnsi="Cambria" w:cs="Cambria"/>
        <w:color w:val="000000"/>
        <w:sz w:val="20"/>
        <w:szCs w:val="22"/>
        <w:lang w:val="en-GB" w:eastAsia="en-GB"/>
      </w:rPr>
    </w:pPr>
    <w:r w:rsidRPr="001C216B">
      <w:rPr>
        <w:rFonts w:ascii="Cambria" w:eastAsia="Cambria" w:hAnsi="Cambria" w:cs="Times New Roman"/>
        <w:b/>
        <w:bCs/>
        <w:color w:val="000000"/>
        <w:sz w:val="16"/>
        <w:szCs w:val="16"/>
        <w:lang w:val="es-ES_tradnl" w:eastAsia="en-GB"/>
      </w:rPr>
      <w:fldChar w:fldCharType="begin"/>
    </w:r>
    <w:r w:rsidRPr="001C216B">
      <w:rPr>
        <w:rFonts w:ascii="Cambria" w:eastAsia="Cambria" w:hAnsi="Cambria" w:cs="Times New Roman"/>
        <w:b/>
        <w:bCs/>
        <w:color w:val="000000"/>
        <w:sz w:val="16"/>
        <w:szCs w:val="16"/>
        <w:lang w:val="es-ES_tradnl" w:eastAsia="en-GB"/>
      </w:rPr>
      <w:instrText xml:space="preserve"> TIME \@ "dd/MM/yyyy H:mm" </w:instrText>
    </w:r>
    <w:r w:rsidRPr="001C216B">
      <w:rPr>
        <w:rFonts w:ascii="Cambria" w:eastAsia="Cambria" w:hAnsi="Cambria" w:cs="Times New Roman"/>
        <w:b/>
        <w:bCs/>
        <w:color w:val="000000"/>
        <w:sz w:val="16"/>
        <w:szCs w:val="16"/>
        <w:lang w:val="es-ES_tradnl" w:eastAsia="en-GB"/>
      </w:rPr>
      <w:fldChar w:fldCharType="separate"/>
    </w:r>
    <w:r w:rsidR="003400D5">
      <w:rPr>
        <w:rFonts w:ascii="Cambria" w:eastAsia="Cambria" w:hAnsi="Cambria" w:cs="Times New Roman"/>
        <w:b/>
        <w:bCs/>
        <w:noProof/>
        <w:color w:val="000000"/>
        <w:sz w:val="16"/>
        <w:szCs w:val="16"/>
        <w:lang w:val="es-ES_tradnl" w:eastAsia="en-GB"/>
      </w:rPr>
      <w:t>24/11/2025 10:58</w:t>
    </w:r>
    <w:r w:rsidRPr="001C216B">
      <w:rPr>
        <w:rFonts w:ascii="Cambria" w:eastAsia="Cambria" w:hAnsi="Cambria" w:cs="Times New Roman"/>
        <w:b/>
        <w:bCs/>
        <w:color w:val="000000"/>
        <w:sz w:val="16"/>
        <w:szCs w:val="16"/>
        <w:lang w:val="es-ES_tradnl" w:eastAsia="en-GB"/>
      </w:rPr>
      <w:fldChar w:fldCharType="end"/>
    </w:r>
    <w:bookmarkEnd w:id="1"/>
    <w:bookmarkEnd w:id="2"/>
    <w:bookmarkEnd w:id="3"/>
    <w:bookmarkEnd w:id="4"/>
    <w:bookmarkEnd w:id="5"/>
    <w:bookmarkEnd w:id="6"/>
    <w:r w:rsidRPr="001C216B">
      <w:rPr>
        <w:rFonts w:ascii="Cambria" w:eastAsia="Cambria" w:hAnsi="Cambria" w:cs="Cambria"/>
        <w:color w:val="000000"/>
        <w:sz w:val="20"/>
        <w:szCs w:val="22"/>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C85"/>
    <w:multiLevelType w:val="hybridMultilevel"/>
    <w:tmpl w:val="7DE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C6CC3"/>
    <w:multiLevelType w:val="hybridMultilevel"/>
    <w:tmpl w:val="B8285460"/>
    <w:lvl w:ilvl="0" w:tplc="682CCE2E">
      <w:start w:val="3"/>
      <w:numFmt w:val="bullet"/>
      <w:lvlText w:val="-"/>
      <w:lvlJc w:val="left"/>
      <w:pPr>
        <w:ind w:left="-132" w:hanging="360"/>
      </w:pPr>
      <w:rPr>
        <w:rFonts w:ascii="Calibri" w:eastAsiaTheme="minorHAnsi" w:hAnsi="Calibri" w:cs="Calibri" w:hint="default"/>
        <w:color w:val="auto"/>
      </w:rPr>
    </w:lvl>
    <w:lvl w:ilvl="1" w:tplc="04090003">
      <w:start w:val="1"/>
      <w:numFmt w:val="bullet"/>
      <w:lvlText w:val="o"/>
      <w:lvlJc w:val="left"/>
      <w:pPr>
        <w:ind w:left="588" w:hanging="360"/>
      </w:pPr>
      <w:rPr>
        <w:rFonts w:ascii="Courier New" w:hAnsi="Courier New" w:cs="Courier New" w:hint="default"/>
      </w:rPr>
    </w:lvl>
    <w:lvl w:ilvl="2" w:tplc="04090005" w:tentative="1">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2" w15:restartNumberingAfterBreak="0">
    <w:nsid w:val="2F7D0374"/>
    <w:multiLevelType w:val="hybridMultilevel"/>
    <w:tmpl w:val="BA92E368"/>
    <w:lvl w:ilvl="0" w:tplc="9DCC3DB6">
      <w:start w:val="4"/>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3A837D7E"/>
    <w:multiLevelType w:val="hybridMultilevel"/>
    <w:tmpl w:val="89D08952"/>
    <w:lvl w:ilvl="0" w:tplc="EBBE5E1A">
      <w:start w:val="19"/>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9B37790"/>
    <w:multiLevelType w:val="hybridMultilevel"/>
    <w:tmpl w:val="65C8063E"/>
    <w:lvl w:ilvl="0" w:tplc="F6EAF092">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9FCAA3BA">
      <w:start w:val="1"/>
      <w:numFmt w:val="lowerLetter"/>
      <w:lvlText w:val="%2"/>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83A84336">
      <w:start w:val="1"/>
      <w:numFmt w:val="lowerRoman"/>
      <w:lvlText w:val="%3"/>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E13A2D9A">
      <w:start w:val="1"/>
      <w:numFmt w:val="decimal"/>
      <w:lvlText w:val="%4"/>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E160C750">
      <w:start w:val="1"/>
      <w:numFmt w:val="lowerLetter"/>
      <w:lvlText w:val="%5"/>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BD44870A">
      <w:start w:val="1"/>
      <w:numFmt w:val="lowerRoman"/>
      <w:lvlText w:val="%6"/>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EC2E5316">
      <w:start w:val="1"/>
      <w:numFmt w:val="decimal"/>
      <w:lvlText w:val="%7"/>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E7043C00">
      <w:start w:val="1"/>
      <w:numFmt w:val="lowerLetter"/>
      <w:lvlText w:val="%8"/>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258CC288">
      <w:start w:val="1"/>
      <w:numFmt w:val="lowerRoman"/>
      <w:lvlText w:val="%9"/>
      <w:lvlJc w:val="left"/>
      <w:pPr>
        <w:ind w:left="61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5CA859F4"/>
    <w:multiLevelType w:val="hybridMultilevel"/>
    <w:tmpl w:val="33A2429E"/>
    <w:lvl w:ilvl="0" w:tplc="04090017">
      <w:start w:val="1"/>
      <w:numFmt w:val="lowerLetter"/>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9" w15:restartNumberingAfterBreak="0">
    <w:nsid w:val="63B85DE2"/>
    <w:multiLevelType w:val="hybridMultilevel"/>
    <w:tmpl w:val="E202298A"/>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77362809"/>
    <w:multiLevelType w:val="hybridMultilevel"/>
    <w:tmpl w:val="EED2796E"/>
    <w:lvl w:ilvl="0" w:tplc="F37A1B6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576045">
    <w:abstractNumId w:val="5"/>
  </w:num>
  <w:num w:numId="2" w16cid:durableId="161700078">
    <w:abstractNumId w:val="3"/>
  </w:num>
  <w:num w:numId="3" w16cid:durableId="925572618">
    <w:abstractNumId w:val="1"/>
  </w:num>
  <w:num w:numId="4" w16cid:durableId="1948461515">
    <w:abstractNumId w:val="9"/>
  </w:num>
  <w:num w:numId="5" w16cid:durableId="1554776340">
    <w:abstractNumId w:val="10"/>
  </w:num>
  <w:num w:numId="6" w16cid:durableId="599992839">
    <w:abstractNumId w:val="7"/>
  </w:num>
  <w:num w:numId="7" w16cid:durableId="220486470">
    <w:abstractNumId w:val="2"/>
  </w:num>
  <w:num w:numId="8" w16cid:durableId="8991669">
    <w:abstractNumId w:val="4"/>
  </w:num>
  <w:num w:numId="9" w16cid:durableId="19373229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166884">
    <w:abstractNumId w:val="8"/>
  </w:num>
  <w:num w:numId="11" w16cid:durableId="188752476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7C"/>
    <w:rsid w:val="000006C1"/>
    <w:rsid w:val="00000D49"/>
    <w:rsid w:val="000059CF"/>
    <w:rsid w:val="00005DF8"/>
    <w:rsid w:val="00013B5F"/>
    <w:rsid w:val="00014FC7"/>
    <w:rsid w:val="00017DEB"/>
    <w:rsid w:val="00017F60"/>
    <w:rsid w:val="00025D07"/>
    <w:rsid w:val="00027FDC"/>
    <w:rsid w:val="0003048D"/>
    <w:rsid w:val="000313AE"/>
    <w:rsid w:val="000316E7"/>
    <w:rsid w:val="00032FD6"/>
    <w:rsid w:val="00033826"/>
    <w:rsid w:val="0003530E"/>
    <w:rsid w:val="00041EB5"/>
    <w:rsid w:val="00045512"/>
    <w:rsid w:val="00047C99"/>
    <w:rsid w:val="000504DF"/>
    <w:rsid w:val="00053C4F"/>
    <w:rsid w:val="00056BA0"/>
    <w:rsid w:val="00057C0F"/>
    <w:rsid w:val="00064845"/>
    <w:rsid w:val="00066D11"/>
    <w:rsid w:val="00070026"/>
    <w:rsid w:val="00070502"/>
    <w:rsid w:val="00072018"/>
    <w:rsid w:val="0007255C"/>
    <w:rsid w:val="00072B49"/>
    <w:rsid w:val="00076461"/>
    <w:rsid w:val="00076DF2"/>
    <w:rsid w:val="000771E5"/>
    <w:rsid w:val="000773C4"/>
    <w:rsid w:val="000805D9"/>
    <w:rsid w:val="0008134D"/>
    <w:rsid w:val="0008146C"/>
    <w:rsid w:val="0008338E"/>
    <w:rsid w:val="00083400"/>
    <w:rsid w:val="0008428E"/>
    <w:rsid w:val="00084E78"/>
    <w:rsid w:val="00084F5A"/>
    <w:rsid w:val="00085E22"/>
    <w:rsid w:val="00086985"/>
    <w:rsid w:val="00090D61"/>
    <w:rsid w:val="00092FDC"/>
    <w:rsid w:val="00093FFD"/>
    <w:rsid w:val="00094D80"/>
    <w:rsid w:val="000963F5"/>
    <w:rsid w:val="000A0FC0"/>
    <w:rsid w:val="000A251F"/>
    <w:rsid w:val="000A34F3"/>
    <w:rsid w:val="000A362C"/>
    <w:rsid w:val="000A5058"/>
    <w:rsid w:val="000A57A5"/>
    <w:rsid w:val="000A6517"/>
    <w:rsid w:val="000A686F"/>
    <w:rsid w:val="000B0CD7"/>
    <w:rsid w:val="000B21AB"/>
    <w:rsid w:val="000B3690"/>
    <w:rsid w:val="000B375B"/>
    <w:rsid w:val="000B38D0"/>
    <w:rsid w:val="000B526E"/>
    <w:rsid w:val="000B5434"/>
    <w:rsid w:val="000B6001"/>
    <w:rsid w:val="000C04B5"/>
    <w:rsid w:val="000C2256"/>
    <w:rsid w:val="000C3A6C"/>
    <w:rsid w:val="000C41ED"/>
    <w:rsid w:val="000C49DB"/>
    <w:rsid w:val="000C4DDC"/>
    <w:rsid w:val="000C7D17"/>
    <w:rsid w:val="000D2015"/>
    <w:rsid w:val="000D2687"/>
    <w:rsid w:val="000D41BF"/>
    <w:rsid w:val="000E0514"/>
    <w:rsid w:val="000E2849"/>
    <w:rsid w:val="000E463D"/>
    <w:rsid w:val="000E4F4E"/>
    <w:rsid w:val="000E6D57"/>
    <w:rsid w:val="000E7C38"/>
    <w:rsid w:val="000F09F1"/>
    <w:rsid w:val="000F0D56"/>
    <w:rsid w:val="000F2EEE"/>
    <w:rsid w:val="000F371C"/>
    <w:rsid w:val="000F38EB"/>
    <w:rsid w:val="000F59EB"/>
    <w:rsid w:val="000F729F"/>
    <w:rsid w:val="000F7A95"/>
    <w:rsid w:val="000F7F76"/>
    <w:rsid w:val="00101E9F"/>
    <w:rsid w:val="001044B6"/>
    <w:rsid w:val="001072FA"/>
    <w:rsid w:val="001106FB"/>
    <w:rsid w:val="001115CE"/>
    <w:rsid w:val="00111A68"/>
    <w:rsid w:val="00113577"/>
    <w:rsid w:val="00114653"/>
    <w:rsid w:val="001156B6"/>
    <w:rsid w:val="00117F66"/>
    <w:rsid w:val="00120FC5"/>
    <w:rsid w:val="001226B7"/>
    <w:rsid w:val="00123939"/>
    <w:rsid w:val="0012486A"/>
    <w:rsid w:val="00126A76"/>
    <w:rsid w:val="00126E11"/>
    <w:rsid w:val="00130C60"/>
    <w:rsid w:val="0013354C"/>
    <w:rsid w:val="00133F46"/>
    <w:rsid w:val="00141B92"/>
    <w:rsid w:val="0014422A"/>
    <w:rsid w:val="001446B3"/>
    <w:rsid w:val="00153A2C"/>
    <w:rsid w:val="00154255"/>
    <w:rsid w:val="00155433"/>
    <w:rsid w:val="00156D18"/>
    <w:rsid w:val="001621A3"/>
    <w:rsid w:val="00165612"/>
    <w:rsid w:val="0016718F"/>
    <w:rsid w:val="001674D1"/>
    <w:rsid w:val="00167AB6"/>
    <w:rsid w:val="001756AC"/>
    <w:rsid w:val="00176512"/>
    <w:rsid w:val="0017701D"/>
    <w:rsid w:val="001771FF"/>
    <w:rsid w:val="00177B78"/>
    <w:rsid w:val="001801B4"/>
    <w:rsid w:val="001821FF"/>
    <w:rsid w:val="00182331"/>
    <w:rsid w:val="00182D0B"/>
    <w:rsid w:val="00183533"/>
    <w:rsid w:val="0019209A"/>
    <w:rsid w:val="00193C42"/>
    <w:rsid w:val="001A192E"/>
    <w:rsid w:val="001A3C66"/>
    <w:rsid w:val="001A49A3"/>
    <w:rsid w:val="001A5540"/>
    <w:rsid w:val="001B0EFD"/>
    <w:rsid w:val="001B1F15"/>
    <w:rsid w:val="001B4ED7"/>
    <w:rsid w:val="001B7264"/>
    <w:rsid w:val="001C216B"/>
    <w:rsid w:val="001C2292"/>
    <w:rsid w:val="001C29C1"/>
    <w:rsid w:val="001C400C"/>
    <w:rsid w:val="001C475C"/>
    <w:rsid w:val="001C774E"/>
    <w:rsid w:val="001D1088"/>
    <w:rsid w:val="001D2A55"/>
    <w:rsid w:val="001D43FF"/>
    <w:rsid w:val="001D4A60"/>
    <w:rsid w:val="001D7B4C"/>
    <w:rsid w:val="001E30E7"/>
    <w:rsid w:val="001E4A8A"/>
    <w:rsid w:val="001E61E9"/>
    <w:rsid w:val="001E6EA7"/>
    <w:rsid w:val="001F1233"/>
    <w:rsid w:val="001F1619"/>
    <w:rsid w:val="001F5689"/>
    <w:rsid w:val="001F733E"/>
    <w:rsid w:val="001F7BE5"/>
    <w:rsid w:val="00200017"/>
    <w:rsid w:val="002041D6"/>
    <w:rsid w:val="00204D0F"/>
    <w:rsid w:val="00205648"/>
    <w:rsid w:val="00206038"/>
    <w:rsid w:val="00210231"/>
    <w:rsid w:val="00210515"/>
    <w:rsid w:val="0021330E"/>
    <w:rsid w:val="00214D2B"/>
    <w:rsid w:val="002152B0"/>
    <w:rsid w:val="00215976"/>
    <w:rsid w:val="00216017"/>
    <w:rsid w:val="00216053"/>
    <w:rsid w:val="00216EFC"/>
    <w:rsid w:val="002201B5"/>
    <w:rsid w:val="002204B6"/>
    <w:rsid w:val="0022056B"/>
    <w:rsid w:val="00220B9E"/>
    <w:rsid w:val="00221012"/>
    <w:rsid w:val="002210DB"/>
    <w:rsid w:val="00223D5E"/>
    <w:rsid w:val="00225EE8"/>
    <w:rsid w:val="00226A44"/>
    <w:rsid w:val="00227ABD"/>
    <w:rsid w:val="00227B35"/>
    <w:rsid w:val="00231F52"/>
    <w:rsid w:val="0023351B"/>
    <w:rsid w:val="002347D1"/>
    <w:rsid w:val="002348DC"/>
    <w:rsid w:val="00236A30"/>
    <w:rsid w:val="00236C2F"/>
    <w:rsid w:val="00241715"/>
    <w:rsid w:val="00242427"/>
    <w:rsid w:val="00242BAB"/>
    <w:rsid w:val="00243810"/>
    <w:rsid w:val="00243C53"/>
    <w:rsid w:val="00251584"/>
    <w:rsid w:val="00253633"/>
    <w:rsid w:val="00253EEA"/>
    <w:rsid w:val="00254546"/>
    <w:rsid w:val="002549F8"/>
    <w:rsid w:val="00256B72"/>
    <w:rsid w:val="00256CAC"/>
    <w:rsid w:val="002570AD"/>
    <w:rsid w:val="002576BF"/>
    <w:rsid w:val="00263047"/>
    <w:rsid w:val="00267A1B"/>
    <w:rsid w:val="00270B70"/>
    <w:rsid w:val="00271677"/>
    <w:rsid w:val="002738E9"/>
    <w:rsid w:val="00275F64"/>
    <w:rsid w:val="00276A3C"/>
    <w:rsid w:val="00276FDB"/>
    <w:rsid w:val="002818AB"/>
    <w:rsid w:val="002827C2"/>
    <w:rsid w:val="00283DE5"/>
    <w:rsid w:val="002904FB"/>
    <w:rsid w:val="0029109F"/>
    <w:rsid w:val="00293220"/>
    <w:rsid w:val="00294A37"/>
    <w:rsid w:val="00296085"/>
    <w:rsid w:val="002965A4"/>
    <w:rsid w:val="002A0F44"/>
    <w:rsid w:val="002A1BF8"/>
    <w:rsid w:val="002A41F7"/>
    <w:rsid w:val="002A4CD7"/>
    <w:rsid w:val="002A6301"/>
    <w:rsid w:val="002A660D"/>
    <w:rsid w:val="002A7DD4"/>
    <w:rsid w:val="002A7E17"/>
    <w:rsid w:val="002B16F1"/>
    <w:rsid w:val="002B1AC2"/>
    <w:rsid w:val="002B1E32"/>
    <w:rsid w:val="002B2072"/>
    <w:rsid w:val="002B2AAC"/>
    <w:rsid w:val="002B44C8"/>
    <w:rsid w:val="002B6C62"/>
    <w:rsid w:val="002C0148"/>
    <w:rsid w:val="002C293F"/>
    <w:rsid w:val="002C4FA0"/>
    <w:rsid w:val="002C6224"/>
    <w:rsid w:val="002C665F"/>
    <w:rsid w:val="002C6B9E"/>
    <w:rsid w:val="002C7638"/>
    <w:rsid w:val="002D4C13"/>
    <w:rsid w:val="002D6F04"/>
    <w:rsid w:val="002D70A8"/>
    <w:rsid w:val="002E45C4"/>
    <w:rsid w:val="002F0C8C"/>
    <w:rsid w:val="002F2BC0"/>
    <w:rsid w:val="002F2C9E"/>
    <w:rsid w:val="002F3C9F"/>
    <w:rsid w:val="002F72B8"/>
    <w:rsid w:val="00302026"/>
    <w:rsid w:val="00304966"/>
    <w:rsid w:val="0030691A"/>
    <w:rsid w:val="003070BA"/>
    <w:rsid w:val="003105BA"/>
    <w:rsid w:val="00311160"/>
    <w:rsid w:val="00311A33"/>
    <w:rsid w:val="00311F15"/>
    <w:rsid w:val="00312806"/>
    <w:rsid w:val="00313C87"/>
    <w:rsid w:val="003148EA"/>
    <w:rsid w:val="00314A3D"/>
    <w:rsid w:val="00315212"/>
    <w:rsid w:val="003158BD"/>
    <w:rsid w:val="003164D7"/>
    <w:rsid w:val="00316E8A"/>
    <w:rsid w:val="003218A2"/>
    <w:rsid w:val="00321E5A"/>
    <w:rsid w:val="00323E21"/>
    <w:rsid w:val="00324B62"/>
    <w:rsid w:val="00324C95"/>
    <w:rsid w:val="00326A5D"/>
    <w:rsid w:val="00327F24"/>
    <w:rsid w:val="003309F5"/>
    <w:rsid w:val="0033326E"/>
    <w:rsid w:val="00335BFE"/>
    <w:rsid w:val="0033711F"/>
    <w:rsid w:val="003400D5"/>
    <w:rsid w:val="00341129"/>
    <w:rsid w:val="003440E2"/>
    <w:rsid w:val="003461CD"/>
    <w:rsid w:val="003504F5"/>
    <w:rsid w:val="00350C6C"/>
    <w:rsid w:val="003551AA"/>
    <w:rsid w:val="00355FCA"/>
    <w:rsid w:val="00356E34"/>
    <w:rsid w:val="00357831"/>
    <w:rsid w:val="0036099E"/>
    <w:rsid w:val="00363CD9"/>
    <w:rsid w:val="00364B73"/>
    <w:rsid w:val="003662A8"/>
    <w:rsid w:val="003663E0"/>
    <w:rsid w:val="00366DC3"/>
    <w:rsid w:val="00367C14"/>
    <w:rsid w:val="0037036B"/>
    <w:rsid w:val="003737E2"/>
    <w:rsid w:val="00373FC8"/>
    <w:rsid w:val="0037599E"/>
    <w:rsid w:val="003763B9"/>
    <w:rsid w:val="00376D54"/>
    <w:rsid w:val="003774A9"/>
    <w:rsid w:val="003801B4"/>
    <w:rsid w:val="00381FBF"/>
    <w:rsid w:val="00382CCE"/>
    <w:rsid w:val="00383568"/>
    <w:rsid w:val="00383F3C"/>
    <w:rsid w:val="00385298"/>
    <w:rsid w:val="00387420"/>
    <w:rsid w:val="003922E9"/>
    <w:rsid w:val="00396A73"/>
    <w:rsid w:val="003A210C"/>
    <w:rsid w:val="003A3C33"/>
    <w:rsid w:val="003A5342"/>
    <w:rsid w:val="003A63EA"/>
    <w:rsid w:val="003B1DE9"/>
    <w:rsid w:val="003B3072"/>
    <w:rsid w:val="003B4226"/>
    <w:rsid w:val="003B4246"/>
    <w:rsid w:val="003B61DB"/>
    <w:rsid w:val="003B65D2"/>
    <w:rsid w:val="003B7816"/>
    <w:rsid w:val="003C029C"/>
    <w:rsid w:val="003C2914"/>
    <w:rsid w:val="003C2E65"/>
    <w:rsid w:val="003C3D30"/>
    <w:rsid w:val="003C458B"/>
    <w:rsid w:val="003C48A5"/>
    <w:rsid w:val="003C7CC9"/>
    <w:rsid w:val="003D4A42"/>
    <w:rsid w:val="003D566B"/>
    <w:rsid w:val="003D70DE"/>
    <w:rsid w:val="003E05EC"/>
    <w:rsid w:val="003E0CFB"/>
    <w:rsid w:val="003E4192"/>
    <w:rsid w:val="003E5B18"/>
    <w:rsid w:val="003E794C"/>
    <w:rsid w:val="00400A63"/>
    <w:rsid w:val="004011C3"/>
    <w:rsid w:val="00403304"/>
    <w:rsid w:val="00407FF9"/>
    <w:rsid w:val="00410DC2"/>
    <w:rsid w:val="00411C6B"/>
    <w:rsid w:val="004127B3"/>
    <w:rsid w:val="00412E5E"/>
    <w:rsid w:val="00412F1A"/>
    <w:rsid w:val="00413A33"/>
    <w:rsid w:val="00413D99"/>
    <w:rsid w:val="004140D7"/>
    <w:rsid w:val="00414611"/>
    <w:rsid w:val="00414C24"/>
    <w:rsid w:val="00414E2B"/>
    <w:rsid w:val="00415495"/>
    <w:rsid w:val="00416644"/>
    <w:rsid w:val="004221B5"/>
    <w:rsid w:val="004250FA"/>
    <w:rsid w:val="00425E48"/>
    <w:rsid w:val="004263E5"/>
    <w:rsid w:val="00427D9A"/>
    <w:rsid w:val="004360F0"/>
    <w:rsid w:val="004409B0"/>
    <w:rsid w:val="0044364A"/>
    <w:rsid w:val="00445DDB"/>
    <w:rsid w:val="00447645"/>
    <w:rsid w:val="0044798A"/>
    <w:rsid w:val="00451237"/>
    <w:rsid w:val="00451F86"/>
    <w:rsid w:val="00453267"/>
    <w:rsid w:val="00457EAB"/>
    <w:rsid w:val="00460FB6"/>
    <w:rsid w:val="00461B06"/>
    <w:rsid w:val="00462A19"/>
    <w:rsid w:val="00463D40"/>
    <w:rsid w:val="00463F30"/>
    <w:rsid w:val="00464C27"/>
    <w:rsid w:val="004658EC"/>
    <w:rsid w:val="00477543"/>
    <w:rsid w:val="0047758C"/>
    <w:rsid w:val="004777B4"/>
    <w:rsid w:val="00477E1F"/>
    <w:rsid w:val="00480039"/>
    <w:rsid w:val="00481955"/>
    <w:rsid w:val="0048410B"/>
    <w:rsid w:val="004847ED"/>
    <w:rsid w:val="00484B6F"/>
    <w:rsid w:val="00491046"/>
    <w:rsid w:val="004919E1"/>
    <w:rsid w:val="0049406D"/>
    <w:rsid w:val="00494DC3"/>
    <w:rsid w:val="0049634E"/>
    <w:rsid w:val="00496806"/>
    <w:rsid w:val="004A04D7"/>
    <w:rsid w:val="004A0802"/>
    <w:rsid w:val="004A32CC"/>
    <w:rsid w:val="004A32F6"/>
    <w:rsid w:val="004A50F8"/>
    <w:rsid w:val="004A5717"/>
    <w:rsid w:val="004A7C45"/>
    <w:rsid w:val="004B1D3B"/>
    <w:rsid w:val="004B294A"/>
    <w:rsid w:val="004C088B"/>
    <w:rsid w:val="004C255E"/>
    <w:rsid w:val="004C278E"/>
    <w:rsid w:val="004C6C32"/>
    <w:rsid w:val="004C742D"/>
    <w:rsid w:val="004C7999"/>
    <w:rsid w:val="004D440E"/>
    <w:rsid w:val="004D48D8"/>
    <w:rsid w:val="004D643B"/>
    <w:rsid w:val="004D72B7"/>
    <w:rsid w:val="004D7603"/>
    <w:rsid w:val="004E08E9"/>
    <w:rsid w:val="004E18A5"/>
    <w:rsid w:val="004E18D8"/>
    <w:rsid w:val="004E384E"/>
    <w:rsid w:val="004E3F67"/>
    <w:rsid w:val="004E4609"/>
    <w:rsid w:val="004E54C6"/>
    <w:rsid w:val="004E625B"/>
    <w:rsid w:val="004F219C"/>
    <w:rsid w:val="004F2598"/>
    <w:rsid w:val="004F3279"/>
    <w:rsid w:val="004F40DC"/>
    <w:rsid w:val="004F4EC8"/>
    <w:rsid w:val="0050049C"/>
    <w:rsid w:val="00500541"/>
    <w:rsid w:val="005008A5"/>
    <w:rsid w:val="00500A47"/>
    <w:rsid w:val="00500FF7"/>
    <w:rsid w:val="005028EB"/>
    <w:rsid w:val="00503752"/>
    <w:rsid w:val="0051182B"/>
    <w:rsid w:val="005148D2"/>
    <w:rsid w:val="00515952"/>
    <w:rsid w:val="00515C03"/>
    <w:rsid w:val="00516A87"/>
    <w:rsid w:val="00516AF6"/>
    <w:rsid w:val="00520674"/>
    <w:rsid w:val="00523C7A"/>
    <w:rsid w:val="00523CA1"/>
    <w:rsid w:val="00530881"/>
    <w:rsid w:val="0053179E"/>
    <w:rsid w:val="00531E3E"/>
    <w:rsid w:val="005353FF"/>
    <w:rsid w:val="00535CC2"/>
    <w:rsid w:val="00535E94"/>
    <w:rsid w:val="00540058"/>
    <w:rsid w:val="005455D2"/>
    <w:rsid w:val="0054677A"/>
    <w:rsid w:val="00546C67"/>
    <w:rsid w:val="005473AC"/>
    <w:rsid w:val="005500DF"/>
    <w:rsid w:val="005501D0"/>
    <w:rsid w:val="00551030"/>
    <w:rsid w:val="00553F93"/>
    <w:rsid w:val="00560219"/>
    <w:rsid w:val="005602CD"/>
    <w:rsid w:val="005616E3"/>
    <w:rsid w:val="00561D46"/>
    <w:rsid w:val="00563F18"/>
    <w:rsid w:val="00565465"/>
    <w:rsid w:val="005668FB"/>
    <w:rsid w:val="005700D6"/>
    <w:rsid w:val="005702A8"/>
    <w:rsid w:val="00574877"/>
    <w:rsid w:val="00580537"/>
    <w:rsid w:val="00580B5D"/>
    <w:rsid w:val="00580E26"/>
    <w:rsid w:val="00582226"/>
    <w:rsid w:val="00583A59"/>
    <w:rsid w:val="00583FB3"/>
    <w:rsid w:val="00586902"/>
    <w:rsid w:val="00590E59"/>
    <w:rsid w:val="0059210A"/>
    <w:rsid w:val="00592D12"/>
    <w:rsid w:val="00592D45"/>
    <w:rsid w:val="00592D98"/>
    <w:rsid w:val="00594088"/>
    <w:rsid w:val="00595E83"/>
    <w:rsid w:val="0059708A"/>
    <w:rsid w:val="005A1456"/>
    <w:rsid w:val="005A227F"/>
    <w:rsid w:val="005B0F06"/>
    <w:rsid w:val="005B0F51"/>
    <w:rsid w:val="005B13DE"/>
    <w:rsid w:val="005B170C"/>
    <w:rsid w:val="005B27A3"/>
    <w:rsid w:val="005B2EE1"/>
    <w:rsid w:val="005B56B5"/>
    <w:rsid w:val="005B681E"/>
    <w:rsid w:val="005B6C1B"/>
    <w:rsid w:val="005B6FED"/>
    <w:rsid w:val="005B71A9"/>
    <w:rsid w:val="005C0429"/>
    <w:rsid w:val="005C166B"/>
    <w:rsid w:val="005C1BDA"/>
    <w:rsid w:val="005C4E44"/>
    <w:rsid w:val="005C5505"/>
    <w:rsid w:val="005C5C0E"/>
    <w:rsid w:val="005C767E"/>
    <w:rsid w:val="005D0324"/>
    <w:rsid w:val="005D4FA3"/>
    <w:rsid w:val="005D547D"/>
    <w:rsid w:val="005D5BB3"/>
    <w:rsid w:val="005E3FA1"/>
    <w:rsid w:val="005E7350"/>
    <w:rsid w:val="005E739A"/>
    <w:rsid w:val="005F129F"/>
    <w:rsid w:val="005F1770"/>
    <w:rsid w:val="005F20BA"/>
    <w:rsid w:val="005F320F"/>
    <w:rsid w:val="005F3FCF"/>
    <w:rsid w:val="005F501A"/>
    <w:rsid w:val="005F581F"/>
    <w:rsid w:val="005F79FE"/>
    <w:rsid w:val="005F7A9F"/>
    <w:rsid w:val="005F7E20"/>
    <w:rsid w:val="00600230"/>
    <w:rsid w:val="00601CDC"/>
    <w:rsid w:val="00602255"/>
    <w:rsid w:val="00602D6A"/>
    <w:rsid w:val="00603964"/>
    <w:rsid w:val="006042F6"/>
    <w:rsid w:val="00610211"/>
    <w:rsid w:val="0061188E"/>
    <w:rsid w:val="0061388E"/>
    <w:rsid w:val="006138CE"/>
    <w:rsid w:val="00613DB3"/>
    <w:rsid w:val="006152F0"/>
    <w:rsid w:val="00620BF3"/>
    <w:rsid w:val="00622168"/>
    <w:rsid w:val="00622952"/>
    <w:rsid w:val="00626298"/>
    <w:rsid w:val="0062775A"/>
    <w:rsid w:val="006307B1"/>
    <w:rsid w:val="0063242C"/>
    <w:rsid w:val="00632EC0"/>
    <w:rsid w:val="00636C33"/>
    <w:rsid w:val="00637D20"/>
    <w:rsid w:val="00642D74"/>
    <w:rsid w:val="00642EDA"/>
    <w:rsid w:val="00643F16"/>
    <w:rsid w:val="00646A2F"/>
    <w:rsid w:val="00652CC0"/>
    <w:rsid w:val="00654A55"/>
    <w:rsid w:val="00655480"/>
    <w:rsid w:val="00656231"/>
    <w:rsid w:val="00656674"/>
    <w:rsid w:val="00665A5C"/>
    <w:rsid w:val="006666C3"/>
    <w:rsid w:val="00671008"/>
    <w:rsid w:val="00671759"/>
    <w:rsid w:val="00672621"/>
    <w:rsid w:val="00673D72"/>
    <w:rsid w:val="0067468A"/>
    <w:rsid w:val="0067494D"/>
    <w:rsid w:val="00675171"/>
    <w:rsid w:val="00676E3A"/>
    <w:rsid w:val="006771DD"/>
    <w:rsid w:val="00680CCC"/>
    <w:rsid w:val="00680EEB"/>
    <w:rsid w:val="006813BA"/>
    <w:rsid w:val="00681CD1"/>
    <w:rsid w:val="00682E5F"/>
    <w:rsid w:val="00684368"/>
    <w:rsid w:val="006856AE"/>
    <w:rsid w:val="006869BB"/>
    <w:rsid w:val="006921ED"/>
    <w:rsid w:val="0069445C"/>
    <w:rsid w:val="006953CC"/>
    <w:rsid w:val="00695D49"/>
    <w:rsid w:val="00695FC7"/>
    <w:rsid w:val="006A00C1"/>
    <w:rsid w:val="006A0FBD"/>
    <w:rsid w:val="006A2252"/>
    <w:rsid w:val="006A22D3"/>
    <w:rsid w:val="006A28BE"/>
    <w:rsid w:val="006A2A1F"/>
    <w:rsid w:val="006A3DD2"/>
    <w:rsid w:val="006A46FB"/>
    <w:rsid w:val="006A71C1"/>
    <w:rsid w:val="006A7DDD"/>
    <w:rsid w:val="006B1C7C"/>
    <w:rsid w:val="006B1D9F"/>
    <w:rsid w:val="006B3E1B"/>
    <w:rsid w:val="006B416F"/>
    <w:rsid w:val="006B4A1E"/>
    <w:rsid w:val="006B7CE7"/>
    <w:rsid w:val="006C29B8"/>
    <w:rsid w:val="006C4960"/>
    <w:rsid w:val="006C54FC"/>
    <w:rsid w:val="006C713D"/>
    <w:rsid w:val="006C7B17"/>
    <w:rsid w:val="006C7FD4"/>
    <w:rsid w:val="006D03D8"/>
    <w:rsid w:val="006D0DF6"/>
    <w:rsid w:val="006D2B19"/>
    <w:rsid w:val="006D2D34"/>
    <w:rsid w:val="006D3D06"/>
    <w:rsid w:val="006D42FF"/>
    <w:rsid w:val="006D44FA"/>
    <w:rsid w:val="006D65B2"/>
    <w:rsid w:val="006D7F52"/>
    <w:rsid w:val="006E490B"/>
    <w:rsid w:val="006E53ED"/>
    <w:rsid w:val="006E5D7C"/>
    <w:rsid w:val="006E697C"/>
    <w:rsid w:val="006F19B1"/>
    <w:rsid w:val="006F3AB4"/>
    <w:rsid w:val="006F4CA4"/>
    <w:rsid w:val="006F68E1"/>
    <w:rsid w:val="006F6DFD"/>
    <w:rsid w:val="006F6E92"/>
    <w:rsid w:val="006F70C7"/>
    <w:rsid w:val="007003F2"/>
    <w:rsid w:val="00701EBE"/>
    <w:rsid w:val="00705B69"/>
    <w:rsid w:val="00706FE7"/>
    <w:rsid w:val="00710053"/>
    <w:rsid w:val="007101F7"/>
    <w:rsid w:val="0071276D"/>
    <w:rsid w:val="00712E7E"/>
    <w:rsid w:val="0071337B"/>
    <w:rsid w:val="0071432B"/>
    <w:rsid w:val="0071651A"/>
    <w:rsid w:val="00716DB6"/>
    <w:rsid w:val="007170D6"/>
    <w:rsid w:val="007208A1"/>
    <w:rsid w:val="00721B81"/>
    <w:rsid w:val="00721F84"/>
    <w:rsid w:val="0072252E"/>
    <w:rsid w:val="00722AEF"/>
    <w:rsid w:val="007240C8"/>
    <w:rsid w:val="0072497C"/>
    <w:rsid w:val="007254CB"/>
    <w:rsid w:val="0072779D"/>
    <w:rsid w:val="00727EF9"/>
    <w:rsid w:val="00730674"/>
    <w:rsid w:val="00730810"/>
    <w:rsid w:val="007369A1"/>
    <w:rsid w:val="00737853"/>
    <w:rsid w:val="00737D8A"/>
    <w:rsid w:val="007409D6"/>
    <w:rsid w:val="00742B8E"/>
    <w:rsid w:val="0074484F"/>
    <w:rsid w:val="00744B3B"/>
    <w:rsid w:val="0075044E"/>
    <w:rsid w:val="00751294"/>
    <w:rsid w:val="007512DA"/>
    <w:rsid w:val="00752B7B"/>
    <w:rsid w:val="00753F0C"/>
    <w:rsid w:val="00755386"/>
    <w:rsid w:val="00755EEC"/>
    <w:rsid w:val="007569C6"/>
    <w:rsid w:val="00760080"/>
    <w:rsid w:val="00760B41"/>
    <w:rsid w:val="0076116D"/>
    <w:rsid w:val="007657A2"/>
    <w:rsid w:val="00766D1B"/>
    <w:rsid w:val="007712D8"/>
    <w:rsid w:val="0077130C"/>
    <w:rsid w:val="00771D32"/>
    <w:rsid w:val="007738F1"/>
    <w:rsid w:val="00775B2B"/>
    <w:rsid w:val="00776089"/>
    <w:rsid w:val="00780C6A"/>
    <w:rsid w:val="0078151D"/>
    <w:rsid w:val="00781B08"/>
    <w:rsid w:val="007830B6"/>
    <w:rsid w:val="007868C1"/>
    <w:rsid w:val="007924C8"/>
    <w:rsid w:val="00797E04"/>
    <w:rsid w:val="007A146B"/>
    <w:rsid w:val="007A1B9C"/>
    <w:rsid w:val="007A1C6B"/>
    <w:rsid w:val="007A6A88"/>
    <w:rsid w:val="007A7FEC"/>
    <w:rsid w:val="007B1172"/>
    <w:rsid w:val="007B1C5C"/>
    <w:rsid w:val="007B248B"/>
    <w:rsid w:val="007B34A7"/>
    <w:rsid w:val="007B58B1"/>
    <w:rsid w:val="007B655C"/>
    <w:rsid w:val="007C0805"/>
    <w:rsid w:val="007C13CA"/>
    <w:rsid w:val="007C1D90"/>
    <w:rsid w:val="007C2C4D"/>
    <w:rsid w:val="007C61D8"/>
    <w:rsid w:val="007D2285"/>
    <w:rsid w:val="007D2781"/>
    <w:rsid w:val="007D35DB"/>
    <w:rsid w:val="007D7761"/>
    <w:rsid w:val="007E0690"/>
    <w:rsid w:val="007E0D1A"/>
    <w:rsid w:val="007E10AB"/>
    <w:rsid w:val="007E10C6"/>
    <w:rsid w:val="007E13B0"/>
    <w:rsid w:val="007E1A69"/>
    <w:rsid w:val="007E282D"/>
    <w:rsid w:val="007E4C9C"/>
    <w:rsid w:val="007E7949"/>
    <w:rsid w:val="007E7993"/>
    <w:rsid w:val="007F0C0A"/>
    <w:rsid w:val="007F5830"/>
    <w:rsid w:val="007F6DF0"/>
    <w:rsid w:val="007F7DCF"/>
    <w:rsid w:val="008025B7"/>
    <w:rsid w:val="008030FB"/>
    <w:rsid w:val="00803813"/>
    <w:rsid w:val="00804432"/>
    <w:rsid w:val="00806630"/>
    <w:rsid w:val="00807FC6"/>
    <w:rsid w:val="008127D9"/>
    <w:rsid w:val="008138C8"/>
    <w:rsid w:val="0081517A"/>
    <w:rsid w:val="00815C35"/>
    <w:rsid w:val="008174D7"/>
    <w:rsid w:val="00820986"/>
    <w:rsid w:val="00831B91"/>
    <w:rsid w:val="008323DA"/>
    <w:rsid w:val="00832CCE"/>
    <w:rsid w:val="0083334A"/>
    <w:rsid w:val="00835C5F"/>
    <w:rsid w:val="00840B29"/>
    <w:rsid w:val="008415AE"/>
    <w:rsid w:val="008454C4"/>
    <w:rsid w:val="00846202"/>
    <w:rsid w:val="00850403"/>
    <w:rsid w:val="0085196C"/>
    <w:rsid w:val="00860807"/>
    <w:rsid w:val="00860E65"/>
    <w:rsid w:val="00860F04"/>
    <w:rsid w:val="00861068"/>
    <w:rsid w:val="00864F5B"/>
    <w:rsid w:val="00874F0F"/>
    <w:rsid w:val="008775A2"/>
    <w:rsid w:val="008776DC"/>
    <w:rsid w:val="0088140E"/>
    <w:rsid w:val="00881D0A"/>
    <w:rsid w:val="008820FE"/>
    <w:rsid w:val="00883966"/>
    <w:rsid w:val="00883DB7"/>
    <w:rsid w:val="00885257"/>
    <w:rsid w:val="008859E7"/>
    <w:rsid w:val="0088743F"/>
    <w:rsid w:val="00891016"/>
    <w:rsid w:val="00893796"/>
    <w:rsid w:val="00895A04"/>
    <w:rsid w:val="00897842"/>
    <w:rsid w:val="008A1522"/>
    <w:rsid w:val="008A1E0F"/>
    <w:rsid w:val="008A29D9"/>
    <w:rsid w:val="008A36A7"/>
    <w:rsid w:val="008A3A66"/>
    <w:rsid w:val="008A7E83"/>
    <w:rsid w:val="008B06DB"/>
    <w:rsid w:val="008B22CD"/>
    <w:rsid w:val="008B6F51"/>
    <w:rsid w:val="008C05F6"/>
    <w:rsid w:val="008C30BD"/>
    <w:rsid w:val="008D1099"/>
    <w:rsid w:val="008D12AE"/>
    <w:rsid w:val="008D2EA9"/>
    <w:rsid w:val="008D4E78"/>
    <w:rsid w:val="008D5503"/>
    <w:rsid w:val="008D69A6"/>
    <w:rsid w:val="008E01FA"/>
    <w:rsid w:val="008E035C"/>
    <w:rsid w:val="008E0424"/>
    <w:rsid w:val="008E0846"/>
    <w:rsid w:val="008E134F"/>
    <w:rsid w:val="008E20CD"/>
    <w:rsid w:val="008E28BC"/>
    <w:rsid w:val="008E34A3"/>
    <w:rsid w:val="008E414D"/>
    <w:rsid w:val="008E42BD"/>
    <w:rsid w:val="008E6B18"/>
    <w:rsid w:val="008F1367"/>
    <w:rsid w:val="008F5930"/>
    <w:rsid w:val="009010FC"/>
    <w:rsid w:val="009029E4"/>
    <w:rsid w:val="00904E4A"/>
    <w:rsid w:val="00905FB4"/>
    <w:rsid w:val="00906280"/>
    <w:rsid w:val="00912351"/>
    <w:rsid w:val="00917919"/>
    <w:rsid w:val="009231F9"/>
    <w:rsid w:val="00924691"/>
    <w:rsid w:val="00924C7F"/>
    <w:rsid w:val="009269CA"/>
    <w:rsid w:val="00927505"/>
    <w:rsid w:val="00927F87"/>
    <w:rsid w:val="009337B0"/>
    <w:rsid w:val="00942483"/>
    <w:rsid w:val="009456AB"/>
    <w:rsid w:val="00946578"/>
    <w:rsid w:val="00947E06"/>
    <w:rsid w:val="009502CC"/>
    <w:rsid w:val="0095149D"/>
    <w:rsid w:val="00952467"/>
    <w:rsid w:val="00954DEE"/>
    <w:rsid w:val="00957D34"/>
    <w:rsid w:val="009616D1"/>
    <w:rsid w:val="00961893"/>
    <w:rsid w:val="0096329E"/>
    <w:rsid w:val="00965BED"/>
    <w:rsid w:val="00967B4F"/>
    <w:rsid w:val="009708B0"/>
    <w:rsid w:val="00975AA1"/>
    <w:rsid w:val="00976506"/>
    <w:rsid w:val="009776B6"/>
    <w:rsid w:val="00980575"/>
    <w:rsid w:val="00983396"/>
    <w:rsid w:val="00994F38"/>
    <w:rsid w:val="009952AD"/>
    <w:rsid w:val="009A10B7"/>
    <w:rsid w:val="009A20F5"/>
    <w:rsid w:val="009A484B"/>
    <w:rsid w:val="009A4AFB"/>
    <w:rsid w:val="009A4C31"/>
    <w:rsid w:val="009A57F5"/>
    <w:rsid w:val="009A73DA"/>
    <w:rsid w:val="009B03DB"/>
    <w:rsid w:val="009B04C9"/>
    <w:rsid w:val="009B2513"/>
    <w:rsid w:val="009B3622"/>
    <w:rsid w:val="009B3688"/>
    <w:rsid w:val="009B409A"/>
    <w:rsid w:val="009B513D"/>
    <w:rsid w:val="009B733E"/>
    <w:rsid w:val="009C16D6"/>
    <w:rsid w:val="009C1DE6"/>
    <w:rsid w:val="009C3AFE"/>
    <w:rsid w:val="009C3C66"/>
    <w:rsid w:val="009C4DD6"/>
    <w:rsid w:val="009C6E46"/>
    <w:rsid w:val="009D01F3"/>
    <w:rsid w:val="009D6B2B"/>
    <w:rsid w:val="009E1244"/>
    <w:rsid w:val="009E16AA"/>
    <w:rsid w:val="009E3105"/>
    <w:rsid w:val="009E3F1C"/>
    <w:rsid w:val="009F2E6D"/>
    <w:rsid w:val="009F5104"/>
    <w:rsid w:val="009F542F"/>
    <w:rsid w:val="009F6B84"/>
    <w:rsid w:val="009F6CC0"/>
    <w:rsid w:val="00A00820"/>
    <w:rsid w:val="00A010A9"/>
    <w:rsid w:val="00A01D0C"/>
    <w:rsid w:val="00A031BB"/>
    <w:rsid w:val="00A033AA"/>
    <w:rsid w:val="00A03F1E"/>
    <w:rsid w:val="00A07A16"/>
    <w:rsid w:val="00A102C8"/>
    <w:rsid w:val="00A10893"/>
    <w:rsid w:val="00A12078"/>
    <w:rsid w:val="00A138D6"/>
    <w:rsid w:val="00A13A75"/>
    <w:rsid w:val="00A14CC8"/>
    <w:rsid w:val="00A17274"/>
    <w:rsid w:val="00A21608"/>
    <w:rsid w:val="00A22BC4"/>
    <w:rsid w:val="00A22CE4"/>
    <w:rsid w:val="00A22F30"/>
    <w:rsid w:val="00A24253"/>
    <w:rsid w:val="00A25E9C"/>
    <w:rsid w:val="00A26357"/>
    <w:rsid w:val="00A26871"/>
    <w:rsid w:val="00A2691A"/>
    <w:rsid w:val="00A26FB0"/>
    <w:rsid w:val="00A311D9"/>
    <w:rsid w:val="00A3274C"/>
    <w:rsid w:val="00A32B74"/>
    <w:rsid w:val="00A33503"/>
    <w:rsid w:val="00A36460"/>
    <w:rsid w:val="00A376B1"/>
    <w:rsid w:val="00A3776E"/>
    <w:rsid w:val="00A41945"/>
    <w:rsid w:val="00A4316F"/>
    <w:rsid w:val="00A4649D"/>
    <w:rsid w:val="00A466C7"/>
    <w:rsid w:val="00A4793B"/>
    <w:rsid w:val="00A4799B"/>
    <w:rsid w:val="00A509FD"/>
    <w:rsid w:val="00A50E8A"/>
    <w:rsid w:val="00A51EAB"/>
    <w:rsid w:val="00A52EAD"/>
    <w:rsid w:val="00A54CAC"/>
    <w:rsid w:val="00A5534E"/>
    <w:rsid w:val="00A641C1"/>
    <w:rsid w:val="00A66C7B"/>
    <w:rsid w:val="00A67B1E"/>
    <w:rsid w:val="00A706AF"/>
    <w:rsid w:val="00A70A91"/>
    <w:rsid w:val="00A74CF7"/>
    <w:rsid w:val="00A7562E"/>
    <w:rsid w:val="00A75AF8"/>
    <w:rsid w:val="00A77B1F"/>
    <w:rsid w:val="00A81465"/>
    <w:rsid w:val="00A83145"/>
    <w:rsid w:val="00A84760"/>
    <w:rsid w:val="00A9111A"/>
    <w:rsid w:val="00A92C79"/>
    <w:rsid w:val="00A9348C"/>
    <w:rsid w:val="00A95EF0"/>
    <w:rsid w:val="00AA2133"/>
    <w:rsid w:val="00AA39A1"/>
    <w:rsid w:val="00AA6388"/>
    <w:rsid w:val="00AA7109"/>
    <w:rsid w:val="00AB1F3F"/>
    <w:rsid w:val="00AB25A5"/>
    <w:rsid w:val="00AB3222"/>
    <w:rsid w:val="00AB3C89"/>
    <w:rsid w:val="00AB3F52"/>
    <w:rsid w:val="00AB5BDC"/>
    <w:rsid w:val="00AC0139"/>
    <w:rsid w:val="00AC0FC2"/>
    <w:rsid w:val="00AC213B"/>
    <w:rsid w:val="00AC42C6"/>
    <w:rsid w:val="00AC4CE6"/>
    <w:rsid w:val="00AC7020"/>
    <w:rsid w:val="00AC74CF"/>
    <w:rsid w:val="00AC79CE"/>
    <w:rsid w:val="00AD2244"/>
    <w:rsid w:val="00AD238A"/>
    <w:rsid w:val="00AD2F9E"/>
    <w:rsid w:val="00AD36D1"/>
    <w:rsid w:val="00AD42C3"/>
    <w:rsid w:val="00AD512C"/>
    <w:rsid w:val="00AD68D1"/>
    <w:rsid w:val="00AE2FC9"/>
    <w:rsid w:val="00AE32EA"/>
    <w:rsid w:val="00AE5088"/>
    <w:rsid w:val="00AF2EB8"/>
    <w:rsid w:val="00AF3E87"/>
    <w:rsid w:val="00AF6564"/>
    <w:rsid w:val="00AF6568"/>
    <w:rsid w:val="00AF7400"/>
    <w:rsid w:val="00AF7F31"/>
    <w:rsid w:val="00B0267A"/>
    <w:rsid w:val="00B02EEB"/>
    <w:rsid w:val="00B04D02"/>
    <w:rsid w:val="00B04E29"/>
    <w:rsid w:val="00B078B7"/>
    <w:rsid w:val="00B14A57"/>
    <w:rsid w:val="00B162D3"/>
    <w:rsid w:val="00B164DF"/>
    <w:rsid w:val="00B175E4"/>
    <w:rsid w:val="00B20BFE"/>
    <w:rsid w:val="00B22886"/>
    <w:rsid w:val="00B268BB"/>
    <w:rsid w:val="00B27E79"/>
    <w:rsid w:val="00B27FBD"/>
    <w:rsid w:val="00B3019C"/>
    <w:rsid w:val="00B31743"/>
    <w:rsid w:val="00B32B2D"/>
    <w:rsid w:val="00B346A0"/>
    <w:rsid w:val="00B357D6"/>
    <w:rsid w:val="00B35CD2"/>
    <w:rsid w:val="00B47197"/>
    <w:rsid w:val="00B50B4E"/>
    <w:rsid w:val="00B50CD0"/>
    <w:rsid w:val="00B5162F"/>
    <w:rsid w:val="00B5200C"/>
    <w:rsid w:val="00B5335D"/>
    <w:rsid w:val="00B539DA"/>
    <w:rsid w:val="00B542A8"/>
    <w:rsid w:val="00B54607"/>
    <w:rsid w:val="00B56F8F"/>
    <w:rsid w:val="00B60612"/>
    <w:rsid w:val="00B60FF1"/>
    <w:rsid w:val="00B613E4"/>
    <w:rsid w:val="00B62A7A"/>
    <w:rsid w:val="00B6357C"/>
    <w:rsid w:val="00B63D1E"/>
    <w:rsid w:val="00B7678C"/>
    <w:rsid w:val="00B77F7F"/>
    <w:rsid w:val="00B81C35"/>
    <w:rsid w:val="00B8223C"/>
    <w:rsid w:val="00B83E61"/>
    <w:rsid w:val="00B84135"/>
    <w:rsid w:val="00B87FC7"/>
    <w:rsid w:val="00B91798"/>
    <w:rsid w:val="00B92F1C"/>
    <w:rsid w:val="00B92F40"/>
    <w:rsid w:val="00B93309"/>
    <w:rsid w:val="00BA01B1"/>
    <w:rsid w:val="00BA1E05"/>
    <w:rsid w:val="00BA4E1B"/>
    <w:rsid w:val="00BB0F38"/>
    <w:rsid w:val="00BB1499"/>
    <w:rsid w:val="00BB2B93"/>
    <w:rsid w:val="00BB3455"/>
    <w:rsid w:val="00BB38F8"/>
    <w:rsid w:val="00BB3C2B"/>
    <w:rsid w:val="00BB42D7"/>
    <w:rsid w:val="00BB4643"/>
    <w:rsid w:val="00BB5516"/>
    <w:rsid w:val="00BC055E"/>
    <w:rsid w:val="00BC11CA"/>
    <w:rsid w:val="00BC1284"/>
    <w:rsid w:val="00BC144B"/>
    <w:rsid w:val="00BC2698"/>
    <w:rsid w:val="00BC2FA2"/>
    <w:rsid w:val="00BC329B"/>
    <w:rsid w:val="00BC40EC"/>
    <w:rsid w:val="00BC4718"/>
    <w:rsid w:val="00BD2F4B"/>
    <w:rsid w:val="00BD574C"/>
    <w:rsid w:val="00BD5A31"/>
    <w:rsid w:val="00BD650F"/>
    <w:rsid w:val="00BD77E6"/>
    <w:rsid w:val="00BE3BE3"/>
    <w:rsid w:val="00BE4771"/>
    <w:rsid w:val="00BE58CF"/>
    <w:rsid w:val="00BF04B5"/>
    <w:rsid w:val="00BF0614"/>
    <w:rsid w:val="00BF3334"/>
    <w:rsid w:val="00BF6B86"/>
    <w:rsid w:val="00C00526"/>
    <w:rsid w:val="00C00931"/>
    <w:rsid w:val="00C0161A"/>
    <w:rsid w:val="00C0216E"/>
    <w:rsid w:val="00C038CD"/>
    <w:rsid w:val="00C04D24"/>
    <w:rsid w:val="00C05743"/>
    <w:rsid w:val="00C06F7E"/>
    <w:rsid w:val="00C1499F"/>
    <w:rsid w:val="00C14CB6"/>
    <w:rsid w:val="00C152FF"/>
    <w:rsid w:val="00C16F0A"/>
    <w:rsid w:val="00C2016B"/>
    <w:rsid w:val="00C21EEF"/>
    <w:rsid w:val="00C2351F"/>
    <w:rsid w:val="00C24061"/>
    <w:rsid w:val="00C26450"/>
    <w:rsid w:val="00C26517"/>
    <w:rsid w:val="00C308C0"/>
    <w:rsid w:val="00C30C22"/>
    <w:rsid w:val="00C318AD"/>
    <w:rsid w:val="00C32A1E"/>
    <w:rsid w:val="00C3569F"/>
    <w:rsid w:val="00C358FA"/>
    <w:rsid w:val="00C400C5"/>
    <w:rsid w:val="00C41559"/>
    <w:rsid w:val="00C42F06"/>
    <w:rsid w:val="00C43CC4"/>
    <w:rsid w:val="00C44408"/>
    <w:rsid w:val="00C45F21"/>
    <w:rsid w:val="00C46869"/>
    <w:rsid w:val="00C51D9F"/>
    <w:rsid w:val="00C53F58"/>
    <w:rsid w:val="00C6073E"/>
    <w:rsid w:val="00C60ED9"/>
    <w:rsid w:val="00C624B0"/>
    <w:rsid w:val="00C6771C"/>
    <w:rsid w:val="00C710D7"/>
    <w:rsid w:val="00C7110E"/>
    <w:rsid w:val="00C7187B"/>
    <w:rsid w:val="00C71BC9"/>
    <w:rsid w:val="00C752D9"/>
    <w:rsid w:val="00C75C08"/>
    <w:rsid w:val="00C81BB9"/>
    <w:rsid w:val="00C844B8"/>
    <w:rsid w:val="00C8498D"/>
    <w:rsid w:val="00C84A41"/>
    <w:rsid w:val="00C84CFE"/>
    <w:rsid w:val="00C856C9"/>
    <w:rsid w:val="00C86AA1"/>
    <w:rsid w:val="00C929B7"/>
    <w:rsid w:val="00C93BF7"/>
    <w:rsid w:val="00C94769"/>
    <w:rsid w:val="00C9497A"/>
    <w:rsid w:val="00C9662D"/>
    <w:rsid w:val="00C967DE"/>
    <w:rsid w:val="00CA1427"/>
    <w:rsid w:val="00CA3EFA"/>
    <w:rsid w:val="00CA544E"/>
    <w:rsid w:val="00CA5EC2"/>
    <w:rsid w:val="00CA6FDB"/>
    <w:rsid w:val="00CB2075"/>
    <w:rsid w:val="00CB2C57"/>
    <w:rsid w:val="00CB3138"/>
    <w:rsid w:val="00CB425C"/>
    <w:rsid w:val="00CB5E6E"/>
    <w:rsid w:val="00CB7E21"/>
    <w:rsid w:val="00CC05FC"/>
    <w:rsid w:val="00CC370A"/>
    <w:rsid w:val="00CC3749"/>
    <w:rsid w:val="00CC4154"/>
    <w:rsid w:val="00CC56C7"/>
    <w:rsid w:val="00CD2A02"/>
    <w:rsid w:val="00CD2DEB"/>
    <w:rsid w:val="00CE09A1"/>
    <w:rsid w:val="00CE1EDB"/>
    <w:rsid w:val="00CE2512"/>
    <w:rsid w:val="00CE26C5"/>
    <w:rsid w:val="00CE2A62"/>
    <w:rsid w:val="00CE3459"/>
    <w:rsid w:val="00CE4126"/>
    <w:rsid w:val="00CE6039"/>
    <w:rsid w:val="00CE6ED9"/>
    <w:rsid w:val="00CF0FE2"/>
    <w:rsid w:val="00CF52B5"/>
    <w:rsid w:val="00D00103"/>
    <w:rsid w:val="00D00874"/>
    <w:rsid w:val="00D01B7C"/>
    <w:rsid w:val="00D0653B"/>
    <w:rsid w:val="00D07447"/>
    <w:rsid w:val="00D10C54"/>
    <w:rsid w:val="00D12572"/>
    <w:rsid w:val="00D14553"/>
    <w:rsid w:val="00D16396"/>
    <w:rsid w:val="00D201C2"/>
    <w:rsid w:val="00D20208"/>
    <w:rsid w:val="00D217B4"/>
    <w:rsid w:val="00D223A7"/>
    <w:rsid w:val="00D2454B"/>
    <w:rsid w:val="00D2553F"/>
    <w:rsid w:val="00D319F3"/>
    <w:rsid w:val="00D32CB8"/>
    <w:rsid w:val="00D33117"/>
    <w:rsid w:val="00D34AE8"/>
    <w:rsid w:val="00D406A2"/>
    <w:rsid w:val="00D427A1"/>
    <w:rsid w:val="00D43755"/>
    <w:rsid w:val="00D43ED8"/>
    <w:rsid w:val="00D44A21"/>
    <w:rsid w:val="00D450E7"/>
    <w:rsid w:val="00D47D60"/>
    <w:rsid w:val="00D50375"/>
    <w:rsid w:val="00D511F5"/>
    <w:rsid w:val="00D521C9"/>
    <w:rsid w:val="00D54DA6"/>
    <w:rsid w:val="00D56B8B"/>
    <w:rsid w:val="00D60A8D"/>
    <w:rsid w:val="00D61FE0"/>
    <w:rsid w:val="00D62018"/>
    <w:rsid w:val="00D641DE"/>
    <w:rsid w:val="00D647DA"/>
    <w:rsid w:val="00D66F63"/>
    <w:rsid w:val="00D6723D"/>
    <w:rsid w:val="00D709CC"/>
    <w:rsid w:val="00D70BE3"/>
    <w:rsid w:val="00D71EA3"/>
    <w:rsid w:val="00D73394"/>
    <w:rsid w:val="00D7370F"/>
    <w:rsid w:val="00D77D3A"/>
    <w:rsid w:val="00D80333"/>
    <w:rsid w:val="00D828C4"/>
    <w:rsid w:val="00D83035"/>
    <w:rsid w:val="00D84B18"/>
    <w:rsid w:val="00D84FD2"/>
    <w:rsid w:val="00D85EA5"/>
    <w:rsid w:val="00D92A1E"/>
    <w:rsid w:val="00D94B04"/>
    <w:rsid w:val="00D959F5"/>
    <w:rsid w:val="00D97603"/>
    <w:rsid w:val="00DA14A9"/>
    <w:rsid w:val="00DA25F2"/>
    <w:rsid w:val="00DA452D"/>
    <w:rsid w:val="00DA683F"/>
    <w:rsid w:val="00DA74AF"/>
    <w:rsid w:val="00DB1692"/>
    <w:rsid w:val="00DB2146"/>
    <w:rsid w:val="00DB2188"/>
    <w:rsid w:val="00DB2E20"/>
    <w:rsid w:val="00DB37C1"/>
    <w:rsid w:val="00DB4EE7"/>
    <w:rsid w:val="00DC1245"/>
    <w:rsid w:val="00DC3258"/>
    <w:rsid w:val="00DC4DE9"/>
    <w:rsid w:val="00DC6287"/>
    <w:rsid w:val="00DC788B"/>
    <w:rsid w:val="00DD1EFB"/>
    <w:rsid w:val="00DD45A2"/>
    <w:rsid w:val="00DD63B7"/>
    <w:rsid w:val="00DD71CF"/>
    <w:rsid w:val="00DE268D"/>
    <w:rsid w:val="00DE4145"/>
    <w:rsid w:val="00DE4CBF"/>
    <w:rsid w:val="00DE5598"/>
    <w:rsid w:val="00DE66C1"/>
    <w:rsid w:val="00DE7559"/>
    <w:rsid w:val="00DF01EB"/>
    <w:rsid w:val="00DF05EC"/>
    <w:rsid w:val="00DF31D1"/>
    <w:rsid w:val="00DF3E6B"/>
    <w:rsid w:val="00E0068E"/>
    <w:rsid w:val="00E01D74"/>
    <w:rsid w:val="00E0200A"/>
    <w:rsid w:val="00E0284F"/>
    <w:rsid w:val="00E06FAE"/>
    <w:rsid w:val="00E07BC3"/>
    <w:rsid w:val="00E1155E"/>
    <w:rsid w:val="00E11BB2"/>
    <w:rsid w:val="00E1251A"/>
    <w:rsid w:val="00E13B2D"/>
    <w:rsid w:val="00E15303"/>
    <w:rsid w:val="00E16D9D"/>
    <w:rsid w:val="00E202C6"/>
    <w:rsid w:val="00E20506"/>
    <w:rsid w:val="00E226BC"/>
    <w:rsid w:val="00E22DCB"/>
    <w:rsid w:val="00E234B6"/>
    <w:rsid w:val="00E2708A"/>
    <w:rsid w:val="00E3016F"/>
    <w:rsid w:val="00E3116E"/>
    <w:rsid w:val="00E34440"/>
    <w:rsid w:val="00E35EDC"/>
    <w:rsid w:val="00E3618D"/>
    <w:rsid w:val="00E36B02"/>
    <w:rsid w:val="00E372CC"/>
    <w:rsid w:val="00E4206D"/>
    <w:rsid w:val="00E4317C"/>
    <w:rsid w:val="00E43489"/>
    <w:rsid w:val="00E44560"/>
    <w:rsid w:val="00E44DA5"/>
    <w:rsid w:val="00E455C6"/>
    <w:rsid w:val="00E50224"/>
    <w:rsid w:val="00E5033F"/>
    <w:rsid w:val="00E505B4"/>
    <w:rsid w:val="00E5381E"/>
    <w:rsid w:val="00E54B1B"/>
    <w:rsid w:val="00E54FC4"/>
    <w:rsid w:val="00E550B4"/>
    <w:rsid w:val="00E55AE9"/>
    <w:rsid w:val="00E60433"/>
    <w:rsid w:val="00E6082A"/>
    <w:rsid w:val="00E6144D"/>
    <w:rsid w:val="00E61964"/>
    <w:rsid w:val="00E61A17"/>
    <w:rsid w:val="00E61DDE"/>
    <w:rsid w:val="00E62146"/>
    <w:rsid w:val="00E627DB"/>
    <w:rsid w:val="00E639FF"/>
    <w:rsid w:val="00E6770F"/>
    <w:rsid w:val="00E7022B"/>
    <w:rsid w:val="00E719FA"/>
    <w:rsid w:val="00E7261C"/>
    <w:rsid w:val="00E73910"/>
    <w:rsid w:val="00E75B23"/>
    <w:rsid w:val="00E770BE"/>
    <w:rsid w:val="00E77AAB"/>
    <w:rsid w:val="00E80E48"/>
    <w:rsid w:val="00E81BDE"/>
    <w:rsid w:val="00E81D19"/>
    <w:rsid w:val="00E83247"/>
    <w:rsid w:val="00E8650A"/>
    <w:rsid w:val="00E8707C"/>
    <w:rsid w:val="00E87D3A"/>
    <w:rsid w:val="00E9043A"/>
    <w:rsid w:val="00E923BF"/>
    <w:rsid w:val="00E9277A"/>
    <w:rsid w:val="00E94865"/>
    <w:rsid w:val="00E9517E"/>
    <w:rsid w:val="00E95EBC"/>
    <w:rsid w:val="00E95FF1"/>
    <w:rsid w:val="00EA038A"/>
    <w:rsid w:val="00EA2248"/>
    <w:rsid w:val="00EA3223"/>
    <w:rsid w:val="00EA5772"/>
    <w:rsid w:val="00EA7678"/>
    <w:rsid w:val="00EA789C"/>
    <w:rsid w:val="00EB3775"/>
    <w:rsid w:val="00EB3778"/>
    <w:rsid w:val="00EB3B82"/>
    <w:rsid w:val="00EB3F3D"/>
    <w:rsid w:val="00EC01EA"/>
    <w:rsid w:val="00EC0A26"/>
    <w:rsid w:val="00EC1377"/>
    <w:rsid w:val="00EC239F"/>
    <w:rsid w:val="00EC3974"/>
    <w:rsid w:val="00EC7055"/>
    <w:rsid w:val="00EC7D8F"/>
    <w:rsid w:val="00ED0205"/>
    <w:rsid w:val="00ED04E0"/>
    <w:rsid w:val="00ED0E66"/>
    <w:rsid w:val="00ED1C72"/>
    <w:rsid w:val="00ED3575"/>
    <w:rsid w:val="00ED3955"/>
    <w:rsid w:val="00ED574B"/>
    <w:rsid w:val="00ED5F1F"/>
    <w:rsid w:val="00ED6376"/>
    <w:rsid w:val="00EE4686"/>
    <w:rsid w:val="00EE4B57"/>
    <w:rsid w:val="00EE6052"/>
    <w:rsid w:val="00EE6C81"/>
    <w:rsid w:val="00EE7925"/>
    <w:rsid w:val="00EF3ADE"/>
    <w:rsid w:val="00EF439B"/>
    <w:rsid w:val="00EF4DDA"/>
    <w:rsid w:val="00EF537B"/>
    <w:rsid w:val="00F00E5B"/>
    <w:rsid w:val="00F00F7F"/>
    <w:rsid w:val="00F01F58"/>
    <w:rsid w:val="00F02082"/>
    <w:rsid w:val="00F02A9F"/>
    <w:rsid w:val="00F034EA"/>
    <w:rsid w:val="00F06139"/>
    <w:rsid w:val="00F1049F"/>
    <w:rsid w:val="00F12601"/>
    <w:rsid w:val="00F131AE"/>
    <w:rsid w:val="00F14941"/>
    <w:rsid w:val="00F1562D"/>
    <w:rsid w:val="00F17567"/>
    <w:rsid w:val="00F205B4"/>
    <w:rsid w:val="00F2165F"/>
    <w:rsid w:val="00F21C10"/>
    <w:rsid w:val="00F222A1"/>
    <w:rsid w:val="00F255B9"/>
    <w:rsid w:val="00F25628"/>
    <w:rsid w:val="00F26345"/>
    <w:rsid w:val="00F26CF4"/>
    <w:rsid w:val="00F2740D"/>
    <w:rsid w:val="00F27593"/>
    <w:rsid w:val="00F3372E"/>
    <w:rsid w:val="00F33734"/>
    <w:rsid w:val="00F352D6"/>
    <w:rsid w:val="00F36438"/>
    <w:rsid w:val="00F435E3"/>
    <w:rsid w:val="00F466DA"/>
    <w:rsid w:val="00F50B44"/>
    <w:rsid w:val="00F5297C"/>
    <w:rsid w:val="00F52F4B"/>
    <w:rsid w:val="00F536F2"/>
    <w:rsid w:val="00F554C7"/>
    <w:rsid w:val="00F560B1"/>
    <w:rsid w:val="00F60466"/>
    <w:rsid w:val="00F60822"/>
    <w:rsid w:val="00F6104D"/>
    <w:rsid w:val="00F62194"/>
    <w:rsid w:val="00F6250F"/>
    <w:rsid w:val="00F6302A"/>
    <w:rsid w:val="00F63501"/>
    <w:rsid w:val="00F63797"/>
    <w:rsid w:val="00F64755"/>
    <w:rsid w:val="00F65FA0"/>
    <w:rsid w:val="00F70492"/>
    <w:rsid w:val="00F71FA5"/>
    <w:rsid w:val="00F72064"/>
    <w:rsid w:val="00F72F37"/>
    <w:rsid w:val="00F73E65"/>
    <w:rsid w:val="00F74D98"/>
    <w:rsid w:val="00F7514F"/>
    <w:rsid w:val="00F75EC7"/>
    <w:rsid w:val="00F830E2"/>
    <w:rsid w:val="00F837DC"/>
    <w:rsid w:val="00F83A8D"/>
    <w:rsid w:val="00F8501B"/>
    <w:rsid w:val="00F8604F"/>
    <w:rsid w:val="00F912CE"/>
    <w:rsid w:val="00F91808"/>
    <w:rsid w:val="00F9347D"/>
    <w:rsid w:val="00F93B4E"/>
    <w:rsid w:val="00F9443D"/>
    <w:rsid w:val="00FA2396"/>
    <w:rsid w:val="00FA7D1C"/>
    <w:rsid w:val="00FB41A1"/>
    <w:rsid w:val="00FC010E"/>
    <w:rsid w:val="00FC050A"/>
    <w:rsid w:val="00FC05AE"/>
    <w:rsid w:val="00FC0F0F"/>
    <w:rsid w:val="00FC106B"/>
    <w:rsid w:val="00FC1D90"/>
    <w:rsid w:val="00FC4722"/>
    <w:rsid w:val="00FC53A4"/>
    <w:rsid w:val="00FC6092"/>
    <w:rsid w:val="00FC640D"/>
    <w:rsid w:val="00FC7A3C"/>
    <w:rsid w:val="00FD01E3"/>
    <w:rsid w:val="00FD0437"/>
    <w:rsid w:val="00FD28AF"/>
    <w:rsid w:val="00FD2DAD"/>
    <w:rsid w:val="00FE38F1"/>
    <w:rsid w:val="00FE4D30"/>
    <w:rsid w:val="00FF1047"/>
    <w:rsid w:val="00FF1664"/>
    <w:rsid w:val="00FF3DDF"/>
    <w:rsid w:val="00FF41ED"/>
    <w:rsid w:val="00FF4F72"/>
    <w:rsid w:val="00FF6B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BFEBD"/>
  <w15:docId w15:val="{82859501-1EE3-43CC-9A4E-123C248D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52"/>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983396"/>
    <w:pPr>
      <w:keepNext/>
      <w:jc w:val="center"/>
      <w:outlineLvl w:val="4"/>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unhideWhenUsed/>
    <w:rsid w:val="00B22886"/>
  </w:style>
  <w:style w:type="character" w:customStyle="1" w:styleId="CommentTextChar">
    <w:name w:val="Comment Text Char"/>
    <w:basedOn w:val="DefaultParagraphFont"/>
    <w:link w:val="CommentText"/>
    <w:uiPriority w:val="99"/>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es-ES"/>
    </w:rPr>
  </w:style>
  <w:style w:type="paragraph" w:styleId="Revision">
    <w:name w:val="Revision"/>
    <w:hidden/>
    <w:uiPriority w:val="99"/>
    <w:semiHidden/>
    <w:rsid w:val="002A660D"/>
  </w:style>
  <w:style w:type="table" w:styleId="TableGrid">
    <w:name w:val="Table Grid"/>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81BDE"/>
    <w:rPr>
      <w:sz w:val="20"/>
      <w:szCs w:val="20"/>
    </w:rPr>
  </w:style>
  <w:style w:type="character" w:customStyle="1" w:styleId="FootnoteTextChar">
    <w:name w:val="Footnote Text Char"/>
    <w:basedOn w:val="DefaultParagraphFont"/>
    <w:link w:val="FootnoteText"/>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es-ES"/>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B542A8"/>
    <w:pPr>
      <w:spacing w:before="100" w:beforeAutospacing="1" w:after="100" w:afterAutospacing="1"/>
    </w:pPr>
    <w:rPr>
      <w:rFonts w:ascii="Times New Roman" w:eastAsia="Calibri" w:hAnsi="Times New Roman" w:cs="Times New Roman"/>
      <w:lang w:eastAsia="en-GB"/>
    </w:rPr>
  </w:style>
  <w:style w:type="character" w:customStyle="1" w:styleId="normaltextrun">
    <w:name w:val="normaltextrun"/>
    <w:basedOn w:val="DefaultParagraphFont"/>
    <w:rsid w:val="006D03D8"/>
  </w:style>
  <w:style w:type="table" w:customStyle="1" w:styleId="TableGrid5">
    <w:name w:val="Table Grid5"/>
    <w:basedOn w:val="TableNormal"/>
    <w:next w:val="TableGrid"/>
    <w:uiPriority w:val="39"/>
    <w:rsid w:val="00523C7A"/>
    <w:rPr>
      <w:rFonts w:eastAsia="Calibri"/>
      <w:sz w:val="22"/>
      <w:szCs w:val="22"/>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83396"/>
    <w:rPr>
      <w:rFonts w:ascii="Times New Roman" w:eastAsia="Times New Roman" w:hAnsi="Times New Roman" w:cs="Times New Roman"/>
      <w:b/>
      <w:bCs/>
      <w:sz w:val="28"/>
    </w:rPr>
  </w:style>
  <w:style w:type="table" w:customStyle="1" w:styleId="TableGrid6">
    <w:name w:val="Table Grid6"/>
    <w:basedOn w:val="TableNormal"/>
    <w:next w:val="TableGrid"/>
    <w:uiPriority w:val="39"/>
    <w:rsid w:val="00BB42D7"/>
    <w:rPr>
      <w:rFonts w:eastAsia="Calibri"/>
      <w:sz w:val="22"/>
      <w:szCs w:val="22"/>
      <w:lang w:val="en-GB"/>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664825202">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951280783">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555581436">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197586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cat.int/Documents/Recs/compendiopdf-s/2022-11-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2_2025/n_2/CV08202000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01DC6-D5B8-4339-B6D5-6934B4D287D6}">
  <ds:schemaRefs>
    <ds:schemaRef ds:uri="http://schemas.microsoft.com/sharepoint/v3/contenttype/forms"/>
  </ds:schemaRefs>
</ds:datastoreItem>
</file>

<file path=customXml/itemProps2.xml><?xml version="1.0" encoding="utf-8"?>
<ds:datastoreItem xmlns:ds="http://schemas.openxmlformats.org/officeDocument/2006/customXml" ds:itemID="{4312D7DF-5D70-42BC-AAD9-38D06EA8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24513-537E-48E3-8D4C-64B3A4CB0C52}">
  <ds:schemaRefs>
    <ds:schemaRef ds:uri="http://schemas.openxmlformats.org/officeDocument/2006/bibliography"/>
  </ds:schemaRefs>
</ds:datastoreItem>
</file>

<file path=customXml/itemProps4.xml><?xml version="1.0" encoding="utf-8"?>
<ds:datastoreItem xmlns:ds="http://schemas.openxmlformats.org/officeDocument/2006/customXml" ds:itemID="{857B874D-1596-4DCE-BC26-F1EDA33B1497}">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5057</Words>
  <Characters>28831</Characters>
  <Application>Microsoft Office Word</Application>
  <DocSecurity>0</DocSecurity>
  <Lines>240</Lines>
  <Paragraphs>67</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33821</CharactersWithSpaces>
  <SharedDoc>false</SharedDoc>
  <HLinks>
    <vt:vector size="12" baseType="variant">
      <vt:variant>
        <vt:i4>4521992</vt:i4>
      </vt:variant>
      <vt:variant>
        <vt:i4>3</vt:i4>
      </vt:variant>
      <vt:variant>
        <vt:i4>0</vt:i4>
      </vt:variant>
      <vt:variant>
        <vt:i4>5</vt:i4>
      </vt:variant>
      <vt:variant>
        <vt:lpwstr>https://www.iccat.int/Documents/Recs/compendiopdf-s/2022-11-s.pdf</vt:lpwstr>
      </vt:variant>
      <vt:variant>
        <vt:lpwstr/>
      </vt:variant>
      <vt:variant>
        <vt:i4>851975</vt:i4>
      </vt:variant>
      <vt:variant>
        <vt:i4>0</vt:i4>
      </vt:variant>
      <vt:variant>
        <vt:i4>0</vt:i4>
      </vt:variant>
      <vt:variant>
        <vt:i4>5</vt:i4>
      </vt:variant>
      <vt:variant>
        <vt:lpwstr>https://www.iccat.int/Documents/CVSP/CV082_2025/n_2/CV082020007.pdf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García</dc:creator>
  <cp:keywords/>
  <cp:lastModifiedBy>María José García</cp:lastModifiedBy>
  <cp:revision>2</cp:revision>
  <dcterms:created xsi:type="dcterms:W3CDTF">2025-11-24T10:40:00Z</dcterms:created>
  <dcterms:modified xsi:type="dcterms:W3CDTF">2025-11-24T10:40:00Z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