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D735" w14:textId="77777777" w:rsidR="0098759E" w:rsidRPr="004F12EC" w:rsidRDefault="0098759E" w:rsidP="004F12EC">
      <w:pPr>
        <w:widowControl w:val="0"/>
        <w:autoSpaceDE w:val="0"/>
        <w:autoSpaceDN w:val="0"/>
        <w:adjustRightInd w:val="0"/>
        <w:jc w:val="both"/>
        <w:rPr>
          <w:rFonts w:eastAsia="MS Mincho" w:cs="Times New Roman"/>
          <w:b/>
          <w:bCs/>
          <w:iCs/>
          <w:sz w:val="20"/>
          <w:szCs w:val="20"/>
          <w:lang w:eastAsia="ja-JP"/>
        </w:rPr>
      </w:pPr>
    </w:p>
    <w:p w14:paraId="69055805" w14:textId="49C7F72A" w:rsidR="00057397" w:rsidRPr="004F12EC" w:rsidRDefault="00057397" w:rsidP="00387801">
      <w:pPr>
        <w:pBdr>
          <w:top w:val="nil"/>
          <w:left w:val="nil"/>
          <w:bottom w:val="nil"/>
          <w:right w:val="nil"/>
          <w:between w:val="nil"/>
        </w:pBdr>
        <w:tabs>
          <w:tab w:val="left" w:pos="646"/>
        </w:tabs>
        <w:ind w:left="425"/>
        <w:jc w:val="center"/>
        <w:rPr>
          <w:b/>
          <w:spacing w:val="-2"/>
          <w:sz w:val="20"/>
          <w:szCs w:val="20"/>
        </w:rPr>
      </w:pPr>
      <w:r w:rsidRPr="004F12EC">
        <w:rPr>
          <w:b/>
          <w:sz w:val="20"/>
          <w:szCs w:val="20"/>
        </w:rPr>
        <w:t>Page de garde accompagnant les nouvelles propositions</w:t>
      </w:r>
    </w:p>
    <w:p w14:paraId="0D0E9EFF" w14:textId="77777777" w:rsidR="00057397" w:rsidRPr="004F12EC" w:rsidRDefault="00057397" w:rsidP="00387801">
      <w:pPr>
        <w:widowControl w:val="0"/>
        <w:jc w:val="center"/>
        <w:rPr>
          <w:i/>
          <w:sz w:val="20"/>
          <w:szCs w:val="20"/>
        </w:rPr>
      </w:pPr>
      <w:bookmarkStart w:id="0" w:name="_Hlk213764607"/>
      <w:r w:rsidRPr="004F12EC">
        <w:rPr>
          <w:i/>
          <w:sz w:val="20"/>
          <w:szCs w:val="20"/>
        </w:rPr>
        <w:t>(Document présenté par l’Union européenne)</w:t>
      </w:r>
    </w:p>
    <w:p w14:paraId="04F654B0" w14:textId="77777777" w:rsidR="00057397" w:rsidRPr="004F12EC" w:rsidRDefault="00057397" w:rsidP="004F12EC">
      <w:pPr>
        <w:widowControl w:val="0"/>
        <w:jc w:val="both"/>
        <w:rPr>
          <w:i/>
          <w:sz w:val="20"/>
          <w:szCs w:val="20"/>
        </w:rPr>
      </w:pPr>
    </w:p>
    <w:bookmarkEnd w:id="0"/>
    <w:p w14:paraId="791B9251" w14:textId="77777777" w:rsidR="00057397" w:rsidRPr="004F12EC" w:rsidRDefault="00057397" w:rsidP="004F12EC">
      <w:pPr>
        <w:widowControl w:val="0"/>
        <w:autoSpaceDE w:val="0"/>
        <w:autoSpaceDN w:val="0"/>
        <w:jc w:val="both"/>
        <w:rPr>
          <w:b/>
          <w:bCs/>
          <w:sz w:val="20"/>
          <w:szCs w:val="20"/>
        </w:rPr>
      </w:pPr>
    </w:p>
    <w:p w14:paraId="31C917FA" w14:textId="0BCB7039" w:rsidR="00057397" w:rsidRPr="004F12EC" w:rsidRDefault="00057397" w:rsidP="004F12EC">
      <w:pPr>
        <w:widowControl w:val="0"/>
        <w:autoSpaceDE w:val="0"/>
        <w:autoSpaceDN w:val="0"/>
        <w:jc w:val="both"/>
        <w:rPr>
          <w:color w:val="EE0000"/>
          <w:sz w:val="20"/>
          <w:szCs w:val="20"/>
        </w:rPr>
      </w:pPr>
      <w:r w:rsidRPr="004F12EC">
        <w:rPr>
          <w:b/>
          <w:sz w:val="20"/>
          <w:szCs w:val="20"/>
        </w:rPr>
        <w:t xml:space="preserve">Titre de la proposition de projet de Recommandation/Résolution </w:t>
      </w:r>
      <w:r w:rsidRPr="004F12EC">
        <w:rPr>
          <w:b/>
          <w:color w:val="EE0000"/>
          <w:sz w:val="20"/>
          <w:szCs w:val="20"/>
        </w:rPr>
        <w:t xml:space="preserve">: </w:t>
      </w:r>
      <w:r w:rsidRPr="004F12EC">
        <w:rPr>
          <w:color w:val="EE0000"/>
          <w:sz w:val="20"/>
          <w:szCs w:val="20"/>
        </w:rPr>
        <w:t xml:space="preserve">Projet de </w:t>
      </w:r>
      <w:r w:rsidR="000952CE" w:rsidRPr="004F12EC">
        <w:rPr>
          <w:color w:val="EE0000"/>
          <w:sz w:val="20"/>
          <w:szCs w:val="20"/>
        </w:rPr>
        <w:t xml:space="preserve">Recommandation </w:t>
      </w:r>
      <w:r w:rsidRPr="004F12EC">
        <w:rPr>
          <w:color w:val="EE0000"/>
          <w:sz w:val="20"/>
          <w:szCs w:val="20"/>
        </w:rPr>
        <w:t xml:space="preserve">de l’ICCAT visant à amender la Recommandation 22-11 sur la conservation du stock de requin-taupe bleu de l'Atlantique Sud capturé en association avec les pêcheries de l’ICCAT </w:t>
      </w:r>
    </w:p>
    <w:p w14:paraId="0AA990B0" w14:textId="77777777" w:rsidR="00057397" w:rsidRPr="004F12EC" w:rsidRDefault="00057397" w:rsidP="004F12EC">
      <w:pPr>
        <w:widowControl w:val="0"/>
        <w:autoSpaceDE w:val="0"/>
        <w:autoSpaceDN w:val="0"/>
        <w:jc w:val="both"/>
        <w:rPr>
          <w:b/>
          <w:bCs/>
          <w:sz w:val="20"/>
          <w:szCs w:val="20"/>
        </w:rPr>
      </w:pPr>
    </w:p>
    <w:p w14:paraId="262072A0" w14:textId="77777777" w:rsidR="00057397" w:rsidRPr="004F12EC" w:rsidRDefault="00057397" w:rsidP="004F12EC">
      <w:pPr>
        <w:widowControl w:val="0"/>
        <w:autoSpaceDE w:val="0"/>
        <w:autoSpaceDN w:val="0"/>
        <w:jc w:val="both"/>
        <w:rPr>
          <w:i/>
          <w:iCs/>
          <w:color w:val="FF0000"/>
          <w:sz w:val="20"/>
          <w:szCs w:val="20"/>
        </w:rPr>
      </w:pPr>
      <w:r w:rsidRPr="004F12EC">
        <w:rPr>
          <w:b/>
          <w:sz w:val="20"/>
          <w:szCs w:val="20"/>
        </w:rPr>
        <w:t xml:space="preserve">Titre de la ou des Recommandations ou Résolutions en vigueur traitant des mêmes questions ou de questions connexes : </w:t>
      </w:r>
      <w:r w:rsidRPr="004F12EC">
        <w:rPr>
          <w:i/>
          <w:color w:val="FF0000"/>
          <w:sz w:val="20"/>
          <w:szCs w:val="20"/>
        </w:rPr>
        <w:t>Recommandation de l’ICCAT sur la conservation du stock de requin-taupe bleu de l'Atlantique Sud capturé en association avec les pêcheries de l’ICCAT (Rec. 22-11)</w:t>
      </w:r>
    </w:p>
    <w:p w14:paraId="45DA30ED" w14:textId="77777777" w:rsidR="00057397" w:rsidRPr="004F12EC" w:rsidRDefault="00057397" w:rsidP="004F12EC">
      <w:pPr>
        <w:widowControl w:val="0"/>
        <w:autoSpaceDE w:val="0"/>
        <w:autoSpaceDN w:val="0"/>
        <w:jc w:val="both"/>
        <w:rPr>
          <w:sz w:val="20"/>
          <w:szCs w:val="20"/>
        </w:rPr>
      </w:pPr>
    </w:p>
    <w:p w14:paraId="5E93D4E7" w14:textId="77777777" w:rsidR="00057397" w:rsidRPr="004F12EC" w:rsidRDefault="00057397" w:rsidP="004F12EC">
      <w:pPr>
        <w:widowControl w:val="0"/>
        <w:autoSpaceDE w:val="0"/>
        <w:autoSpaceDN w:val="0"/>
        <w:jc w:val="both"/>
        <w:rPr>
          <w:sz w:val="20"/>
          <w:szCs w:val="20"/>
        </w:rPr>
      </w:pPr>
    </w:p>
    <w:p w14:paraId="685B95D4" w14:textId="0C9E81A1" w:rsidR="00057397" w:rsidRPr="004F12EC" w:rsidRDefault="00057397" w:rsidP="004F12EC">
      <w:pPr>
        <w:widowControl w:val="0"/>
        <w:numPr>
          <w:ilvl w:val="0"/>
          <w:numId w:val="39"/>
        </w:numPr>
        <w:tabs>
          <w:tab w:val="left" w:pos="426"/>
        </w:tabs>
        <w:autoSpaceDE w:val="0"/>
        <w:autoSpaceDN w:val="0"/>
        <w:ind w:left="0" w:right="47" w:firstLine="0"/>
        <w:jc w:val="both"/>
        <w:rPr>
          <w:color w:val="FF0000"/>
          <w:sz w:val="20"/>
          <w:szCs w:val="20"/>
        </w:rPr>
      </w:pPr>
      <w:r w:rsidRPr="004F12EC">
        <w:rPr>
          <w:sz w:val="20"/>
          <w:szCs w:val="20"/>
        </w:rPr>
        <w:t xml:space="preserve">Cela crée-t-il de nouvelles </w:t>
      </w:r>
      <w:r w:rsidRPr="004F12EC">
        <w:rPr>
          <w:b/>
          <w:sz w:val="20"/>
          <w:szCs w:val="20"/>
        </w:rPr>
        <w:t xml:space="preserve">obligations de déclaration </w:t>
      </w:r>
      <w:r w:rsidRPr="004F12EC">
        <w:rPr>
          <w:sz w:val="20"/>
          <w:szCs w:val="20"/>
        </w:rPr>
        <w:t>pour les CPC ?     Oui ¨</w:t>
      </w:r>
      <w:r w:rsidRPr="004F12EC">
        <w:rPr>
          <w:sz w:val="20"/>
          <w:szCs w:val="20"/>
        </w:rPr>
        <w:tab/>
      </w:r>
      <w:proofErr w:type="gramStart"/>
      <w:r w:rsidRPr="004F12EC">
        <w:rPr>
          <w:color w:val="FF0000"/>
          <w:sz w:val="20"/>
          <w:szCs w:val="20"/>
        </w:rPr>
        <w:t xml:space="preserve">Non </w:t>
      </w:r>
      <w:r w:rsidR="00DE2BDB" w:rsidRPr="004F12EC">
        <w:rPr>
          <w:color w:val="FF0000"/>
          <w:sz w:val="20"/>
          <w:szCs w:val="20"/>
        </w:rPr>
        <w:t>X</w:t>
      </w:r>
      <w:proofErr w:type="gramEnd"/>
    </w:p>
    <w:p w14:paraId="1C8FE625" w14:textId="77777777" w:rsidR="00057397" w:rsidRPr="004F12EC" w:rsidRDefault="00057397" w:rsidP="004F12EC">
      <w:pPr>
        <w:widowControl w:val="0"/>
        <w:autoSpaceDE w:val="0"/>
        <w:autoSpaceDN w:val="0"/>
        <w:jc w:val="both"/>
        <w:rPr>
          <w:sz w:val="20"/>
          <w:szCs w:val="20"/>
        </w:rPr>
      </w:pPr>
    </w:p>
    <w:p w14:paraId="577CE425" w14:textId="77777777" w:rsidR="00057397" w:rsidRPr="004F12EC" w:rsidRDefault="00057397" w:rsidP="004F12EC">
      <w:pPr>
        <w:widowControl w:val="0"/>
        <w:autoSpaceDE w:val="0"/>
        <w:autoSpaceDN w:val="0"/>
        <w:jc w:val="both"/>
        <w:rPr>
          <w:sz w:val="20"/>
          <w:szCs w:val="20"/>
        </w:rPr>
      </w:pPr>
      <w:r w:rsidRPr="004F12EC">
        <w:rPr>
          <w:sz w:val="20"/>
          <w:szCs w:val="20"/>
        </w:rPr>
        <w:t>Brève description de la ou des nouvelle(s) obligation(s) de déclaration :</w:t>
      </w:r>
    </w:p>
    <w:p w14:paraId="6D493CF3" w14:textId="77777777" w:rsidR="00057397" w:rsidRPr="004F12EC" w:rsidRDefault="00057397" w:rsidP="004F12EC">
      <w:pPr>
        <w:widowControl w:val="0"/>
        <w:autoSpaceDE w:val="0"/>
        <w:autoSpaceDN w:val="0"/>
        <w:jc w:val="both"/>
        <w:rPr>
          <w:sz w:val="20"/>
          <w:szCs w:val="20"/>
        </w:rPr>
      </w:pPr>
    </w:p>
    <w:p w14:paraId="2DB42A7E" w14:textId="77777777" w:rsidR="00057397" w:rsidRPr="004F12EC" w:rsidRDefault="00057397" w:rsidP="004F12EC">
      <w:pPr>
        <w:widowControl w:val="0"/>
        <w:autoSpaceDE w:val="0"/>
        <w:autoSpaceDN w:val="0"/>
        <w:jc w:val="both"/>
        <w:rPr>
          <w:sz w:val="20"/>
          <w:szCs w:val="20"/>
        </w:rPr>
      </w:pPr>
    </w:p>
    <w:p w14:paraId="382BD1FF" w14:textId="77777777" w:rsidR="008C7100" w:rsidRPr="004F12EC" w:rsidRDefault="00057397" w:rsidP="004F12EC">
      <w:pPr>
        <w:widowControl w:val="0"/>
        <w:numPr>
          <w:ilvl w:val="0"/>
          <w:numId w:val="39"/>
        </w:numPr>
        <w:tabs>
          <w:tab w:val="left" w:pos="426"/>
        </w:tabs>
        <w:autoSpaceDE w:val="0"/>
        <w:autoSpaceDN w:val="0"/>
        <w:ind w:left="0" w:right="47" w:firstLine="0"/>
        <w:jc w:val="both"/>
        <w:rPr>
          <w:sz w:val="20"/>
          <w:szCs w:val="20"/>
        </w:rPr>
      </w:pPr>
      <w:r w:rsidRPr="004F12EC">
        <w:rPr>
          <w:sz w:val="20"/>
          <w:szCs w:val="20"/>
        </w:rPr>
        <w:t xml:space="preserve">Cela nécessite-t-il une contribution ou un </w:t>
      </w:r>
      <w:r w:rsidRPr="004F12EC">
        <w:rPr>
          <w:b/>
          <w:sz w:val="20"/>
          <w:szCs w:val="20"/>
        </w:rPr>
        <w:t>travail</w:t>
      </w:r>
      <w:r w:rsidRPr="004F12EC">
        <w:rPr>
          <w:sz w:val="20"/>
          <w:szCs w:val="20"/>
        </w:rPr>
        <w:t xml:space="preserve"> supplémentaire </w:t>
      </w:r>
      <w:r w:rsidRPr="004F12EC">
        <w:rPr>
          <w:b/>
          <w:sz w:val="20"/>
          <w:szCs w:val="20"/>
        </w:rPr>
        <w:t>de la part du SCRS</w:t>
      </w:r>
      <w:r w:rsidRPr="004F12EC">
        <w:rPr>
          <w:sz w:val="20"/>
          <w:szCs w:val="20"/>
        </w:rPr>
        <w:t xml:space="preserve"> ?    </w:t>
      </w:r>
    </w:p>
    <w:p w14:paraId="755B107F" w14:textId="77777777" w:rsidR="008C7100" w:rsidRPr="004F12EC" w:rsidRDefault="008C7100" w:rsidP="004F12EC">
      <w:pPr>
        <w:widowControl w:val="0"/>
        <w:tabs>
          <w:tab w:val="left" w:pos="426"/>
        </w:tabs>
        <w:autoSpaceDE w:val="0"/>
        <w:autoSpaceDN w:val="0"/>
        <w:ind w:right="47"/>
        <w:jc w:val="both"/>
        <w:rPr>
          <w:sz w:val="20"/>
          <w:szCs w:val="20"/>
        </w:rPr>
      </w:pPr>
    </w:p>
    <w:p w14:paraId="73CEF31F" w14:textId="4977C05D" w:rsidR="00057397" w:rsidRPr="004F12EC" w:rsidRDefault="00057397" w:rsidP="004F12EC">
      <w:pPr>
        <w:widowControl w:val="0"/>
        <w:tabs>
          <w:tab w:val="left" w:pos="426"/>
        </w:tabs>
        <w:autoSpaceDE w:val="0"/>
        <w:autoSpaceDN w:val="0"/>
        <w:ind w:right="47"/>
        <w:jc w:val="both"/>
        <w:rPr>
          <w:sz w:val="20"/>
          <w:szCs w:val="20"/>
        </w:rPr>
      </w:pPr>
      <w:r w:rsidRPr="004F12EC">
        <w:rPr>
          <w:sz w:val="20"/>
          <w:szCs w:val="20"/>
        </w:rPr>
        <w:t xml:space="preserve">Oui </w:t>
      </w:r>
      <w:r w:rsidRPr="004F12EC">
        <w:rPr>
          <w:sz w:val="20"/>
          <w:szCs w:val="20"/>
        </w:rPr>
        <w:tab/>
      </w:r>
      <w:proofErr w:type="gramStart"/>
      <w:r w:rsidRPr="004F12EC">
        <w:rPr>
          <w:color w:val="EE0000"/>
          <w:sz w:val="20"/>
          <w:szCs w:val="20"/>
        </w:rPr>
        <w:t xml:space="preserve">Non </w:t>
      </w:r>
      <w:r w:rsidR="00152FCF" w:rsidRPr="004F12EC">
        <w:rPr>
          <w:color w:val="EE0000"/>
          <w:sz w:val="20"/>
          <w:szCs w:val="20"/>
        </w:rPr>
        <w:t>X</w:t>
      </w:r>
      <w:proofErr w:type="gramEnd"/>
    </w:p>
    <w:p w14:paraId="6551D3D0" w14:textId="77777777" w:rsidR="00057397" w:rsidRPr="004F12EC" w:rsidRDefault="00057397" w:rsidP="004F12EC">
      <w:pPr>
        <w:widowControl w:val="0"/>
        <w:autoSpaceDE w:val="0"/>
        <w:autoSpaceDN w:val="0"/>
        <w:jc w:val="both"/>
        <w:rPr>
          <w:sz w:val="20"/>
          <w:szCs w:val="20"/>
        </w:rPr>
      </w:pPr>
    </w:p>
    <w:p w14:paraId="0F37AD9B" w14:textId="32498A58" w:rsidR="00057397" w:rsidRPr="004F12EC" w:rsidRDefault="00057397" w:rsidP="004F12EC">
      <w:pPr>
        <w:widowControl w:val="0"/>
        <w:autoSpaceDE w:val="0"/>
        <w:autoSpaceDN w:val="0"/>
        <w:jc w:val="both"/>
        <w:rPr>
          <w:color w:val="FF0000"/>
          <w:sz w:val="20"/>
          <w:szCs w:val="20"/>
        </w:rPr>
      </w:pPr>
      <w:r w:rsidRPr="004F12EC">
        <w:rPr>
          <w:sz w:val="20"/>
          <w:szCs w:val="20"/>
        </w:rPr>
        <w:t>Ce travail est-il déjà inclus dans le plan de travail actuel du SCRS</w:t>
      </w:r>
      <w:r w:rsidR="00484B3E" w:rsidRPr="004F12EC">
        <w:rPr>
          <w:sz w:val="20"/>
          <w:szCs w:val="20"/>
        </w:rPr>
        <w:t> ?</w:t>
      </w:r>
      <w:r w:rsidRPr="004F12EC">
        <w:rPr>
          <w:color w:val="FF0000"/>
          <w:sz w:val="20"/>
          <w:szCs w:val="20"/>
        </w:rPr>
        <w:t xml:space="preserve"> </w:t>
      </w:r>
    </w:p>
    <w:p w14:paraId="660BBB05" w14:textId="77777777" w:rsidR="00057397" w:rsidRPr="004F12EC" w:rsidRDefault="00057397" w:rsidP="004F12EC">
      <w:pPr>
        <w:widowControl w:val="0"/>
        <w:autoSpaceDE w:val="0"/>
        <w:autoSpaceDN w:val="0"/>
        <w:jc w:val="both"/>
        <w:rPr>
          <w:sz w:val="20"/>
          <w:szCs w:val="20"/>
        </w:rPr>
      </w:pPr>
      <w:r w:rsidRPr="004F12EC">
        <w:rPr>
          <w:sz w:val="20"/>
          <w:szCs w:val="20"/>
        </w:rPr>
        <w:t xml:space="preserve"> </w:t>
      </w:r>
    </w:p>
    <w:p w14:paraId="6B1292FE" w14:textId="77777777" w:rsidR="00057397" w:rsidRPr="004F12EC" w:rsidRDefault="00057397" w:rsidP="004F12EC">
      <w:pPr>
        <w:widowControl w:val="0"/>
        <w:autoSpaceDE w:val="0"/>
        <w:autoSpaceDN w:val="0"/>
        <w:jc w:val="both"/>
        <w:rPr>
          <w:sz w:val="20"/>
          <w:szCs w:val="20"/>
        </w:rPr>
      </w:pPr>
      <w:r w:rsidRPr="004F12EC">
        <w:rPr>
          <w:sz w:val="20"/>
          <w:szCs w:val="20"/>
        </w:rPr>
        <w:t>Brève description des nouveaux travaux scientifiques requis (évaluation des stocks, analyse, consultant externe) :</w:t>
      </w:r>
    </w:p>
    <w:p w14:paraId="429E14DB" w14:textId="77777777" w:rsidR="00057397" w:rsidRPr="004F12EC" w:rsidRDefault="00057397" w:rsidP="004F12EC">
      <w:pPr>
        <w:widowControl w:val="0"/>
        <w:autoSpaceDE w:val="0"/>
        <w:autoSpaceDN w:val="0"/>
        <w:jc w:val="both"/>
        <w:rPr>
          <w:sz w:val="20"/>
          <w:szCs w:val="20"/>
        </w:rPr>
      </w:pPr>
    </w:p>
    <w:p w14:paraId="3B2590C7" w14:textId="77777777" w:rsidR="00057397" w:rsidRPr="004F12EC" w:rsidRDefault="00057397" w:rsidP="004F12EC">
      <w:pPr>
        <w:widowControl w:val="0"/>
        <w:autoSpaceDE w:val="0"/>
        <w:autoSpaceDN w:val="0"/>
        <w:jc w:val="both"/>
        <w:rPr>
          <w:i/>
          <w:iCs/>
          <w:color w:val="FF0000"/>
          <w:sz w:val="20"/>
          <w:szCs w:val="20"/>
        </w:rPr>
      </w:pPr>
    </w:p>
    <w:p w14:paraId="2B2FE9A0" w14:textId="77777777" w:rsidR="00057397" w:rsidRPr="004F12EC" w:rsidRDefault="00057397" w:rsidP="004F12EC">
      <w:pPr>
        <w:widowControl w:val="0"/>
        <w:numPr>
          <w:ilvl w:val="0"/>
          <w:numId w:val="39"/>
        </w:numPr>
        <w:tabs>
          <w:tab w:val="left" w:pos="426"/>
        </w:tabs>
        <w:autoSpaceDE w:val="0"/>
        <w:autoSpaceDN w:val="0"/>
        <w:ind w:left="0" w:right="47" w:firstLine="0"/>
        <w:jc w:val="both"/>
        <w:rPr>
          <w:sz w:val="20"/>
          <w:szCs w:val="20"/>
        </w:rPr>
      </w:pPr>
      <w:r w:rsidRPr="004F12EC">
        <w:rPr>
          <w:sz w:val="20"/>
          <w:szCs w:val="20"/>
        </w:rPr>
        <w:t xml:space="preserve">Cela implique-t-il la création d'un </w:t>
      </w:r>
      <w:r w:rsidRPr="004F12EC">
        <w:rPr>
          <w:b/>
          <w:sz w:val="20"/>
          <w:szCs w:val="20"/>
        </w:rPr>
        <w:t xml:space="preserve">nouveau groupe de travail ou d'un processus intersessions </w:t>
      </w:r>
      <w:r w:rsidRPr="004F12EC">
        <w:rPr>
          <w:sz w:val="20"/>
          <w:szCs w:val="20"/>
        </w:rPr>
        <w:t xml:space="preserve">? </w:t>
      </w:r>
    </w:p>
    <w:p w14:paraId="682275F7" w14:textId="6EFF1CEF" w:rsidR="00057397" w:rsidRPr="004F12EC" w:rsidRDefault="00057397" w:rsidP="004F12EC">
      <w:pPr>
        <w:widowControl w:val="0"/>
        <w:tabs>
          <w:tab w:val="left" w:pos="426"/>
        </w:tabs>
        <w:autoSpaceDE w:val="0"/>
        <w:autoSpaceDN w:val="0"/>
        <w:jc w:val="both"/>
        <w:rPr>
          <w:sz w:val="20"/>
          <w:szCs w:val="20"/>
        </w:rPr>
      </w:pPr>
      <w:r w:rsidRPr="004F12EC">
        <w:rPr>
          <w:sz w:val="20"/>
          <w:szCs w:val="20"/>
        </w:rPr>
        <w:t xml:space="preserve">   Oui ¨</w:t>
      </w:r>
      <w:r w:rsidRPr="004F12EC">
        <w:rPr>
          <w:sz w:val="20"/>
          <w:szCs w:val="20"/>
        </w:rPr>
        <w:tab/>
      </w:r>
      <w:proofErr w:type="gramStart"/>
      <w:r w:rsidRPr="004F12EC">
        <w:rPr>
          <w:color w:val="FF0000"/>
          <w:sz w:val="20"/>
          <w:szCs w:val="20"/>
        </w:rPr>
        <w:t xml:space="preserve">Non </w:t>
      </w:r>
      <w:r w:rsidR="002F6552" w:rsidRPr="004F12EC">
        <w:rPr>
          <w:color w:val="FF0000"/>
          <w:sz w:val="20"/>
          <w:szCs w:val="20"/>
        </w:rPr>
        <w:t>X</w:t>
      </w:r>
      <w:proofErr w:type="gramEnd"/>
    </w:p>
    <w:p w14:paraId="0D147294" w14:textId="77777777" w:rsidR="00057397" w:rsidRPr="004F12EC" w:rsidRDefault="00057397" w:rsidP="004F12EC">
      <w:pPr>
        <w:widowControl w:val="0"/>
        <w:autoSpaceDE w:val="0"/>
        <w:autoSpaceDN w:val="0"/>
        <w:jc w:val="both"/>
        <w:rPr>
          <w:sz w:val="20"/>
          <w:szCs w:val="20"/>
        </w:rPr>
      </w:pPr>
    </w:p>
    <w:p w14:paraId="647C562E" w14:textId="77777777" w:rsidR="00057397" w:rsidRPr="004F12EC" w:rsidRDefault="00057397" w:rsidP="004F12EC">
      <w:pPr>
        <w:widowControl w:val="0"/>
        <w:autoSpaceDE w:val="0"/>
        <w:autoSpaceDN w:val="0"/>
        <w:jc w:val="both"/>
        <w:rPr>
          <w:sz w:val="20"/>
          <w:szCs w:val="20"/>
        </w:rPr>
      </w:pPr>
    </w:p>
    <w:p w14:paraId="11030851" w14:textId="77777777" w:rsidR="00057397" w:rsidRPr="004F12EC" w:rsidRDefault="00057397" w:rsidP="004F12EC">
      <w:pPr>
        <w:widowControl w:val="0"/>
        <w:numPr>
          <w:ilvl w:val="0"/>
          <w:numId w:val="39"/>
        </w:numPr>
        <w:tabs>
          <w:tab w:val="left" w:pos="426"/>
        </w:tabs>
        <w:autoSpaceDE w:val="0"/>
        <w:autoSpaceDN w:val="0"/>
        <w:ind w:left="0" w:right="47" w:firstLine="0"/>
        <w:jc w:val="both"/>
        <w:rPr>
          <w:sz w:val="20"/>
          <w:szCs w:val="20"/>
        </w:rPr>
      </w:pPr>
      <w:r w:rsidRPr="004F12EC">
        <w:rPr>
          <w:sz w:val="20"/>
          <w:szCs w:val="20"/>
        </w:rPr>
        <w:t xml:space="preserve">Cela nécessite-t-il un nouveau </w:t>
      </w:r>
      <w:r w:rsidRPr="004F12EC">
        <w:rPr>
          <w:b/>
          <w:sz w:val="20"/>
          <w:szCs w:val="20"/>
        </w:rPr>
        <w:t xml:space="preserve">programme ou des activités supplémentaires à gérer par le Secrétariat </w:t>
      </w:r>
      <w:r w:rsidRPr="004F12EC">
        <w:rPr>
          <w:sz w:val="20"/>
          <w:szCs w:val="20"/>
        </w:rPr>
        <w:t xml:space="preserve">?  </w:t>
      </w:r>
    </w:p>
    <w:p w14:paraId="3C62CA97" w14:textId="77777777" w:rsidR="00057397" w:rsidRPr="004F12EC" w:rsidRDefault="00057397" w:rsidP="004F12EC">
      <w:pPr>
        <w:widowControl w:val="0"/>
        <w:autoSpaceDE w:val="0"/>
        <w:autoSpaceDN w:val="0"/>
        <w:jc w:val="both"/>
        <w:rPr>
          <w:spacing w:val="-2"/>
          <w:sz w:val="20"/>
          <w:szCs w:val="20"/>
        </w:rPr>
      </w:pPr>
    </w:p>
    <w:p w14:paraId="3502E16A" w14:textId="3BC04B87" w:rsidR="00057397" w:rsidRPr="004F12EC" w:rsidRDefault="00057397" w:rsidP="004F12EC">
      <w:pPr>
        <w:widowControl w:val="0"/>
        <w:autoSpaceDE w:val="0"/>
        <w:autoSpaceDN w:val="0"/>
        <w:jc w:val="both"/>
        <w:rPr>
          <w:sz w:val="20"/>
          <w:szCs w:val="20"/>
        </w:rPr>
      </w:pPr>
      <w:r w:rsidRPr="004F12EC">
        <w:rPr>
          <w:sz w:val="20"/>
          <w:szCs w:val="20"/>
        </w:rPr>
        <w:t xml:space="preserve">Oui </w:t>
      </w:r>
      <w:r w:rsidRPr="004F12EC">
        <w:rPr>
          <w:sz w:val="20"/>
          <w:szCs w:val="20"/>
        </w:rPr>
        <w:t></w:t>
      </w:r>
      <w:r w:rsidRPr="004F12EC">
        <w:rPr>
          <w:sz w:val="20"/>
          <w:szCs w:val="20"/>
        </w:rPr>
        <w:tab/>
      </w:r>
      <w:r w:rsidRPr="004F12EC">
        <w:rPr>
          <w:color w:val="FF0000"/>
          <w:sz w:val="20"/>
          <w:szCs w:val="20"/>
        </w:rPr>
        <w:t xml:space="preserve">Non </w:t>
      </w:r>
      <w:r w:rsidRPr="004F12EC">
        <w:rPr>
          <w:sz w:val="20"/>
          <w:szCs w:val="20"/>
        </w:rPr>
        <w:t>¨</w:t>
      </w:r>
      <w:r w:rsidR="001600BF" w:rsidRPr="004F12EC">
        <w:rPr>
          <w:color w:val="EE0000"/>
          <w:sz w:val="20"/>
          <w:szCs w:val="20"/>
        </w:rPr>
        <w:t>X</w:t>
      </w:r>
    </w:p>
    <w:p w14:paraId="4A8E8230" w14:textId="77777777" w:rsidR="00057397" w:rsidRPr="004F12EC" w:rsidRDefault="00057397" w:rsidP="004F12EC">
      <w:pPr>
        <w:widowControl w:val="0"/>
        <w:autoSpaceDE w:val="0"/>
        <w:autoSpaceDN w:val="0"/>
        <w:jc w:val="both"/>
        <w:rPr>
          <w:sz w:val="20"/>
          <w:szCs w:val="20"/>
        </w:rPr>
      </w:pPr>
    </w:p>
    <w:p w14:paraId="58254DBE" w14:textId="77777777" w:rsidR="00057397" w:rsidRPr="004F12EC" w:rsidRDefault="00057397" w:rsidP="004F12EC">
      <w:pPr>
        <w:widowControl w:val="0"/>
        <w:autoSpaceDE w:val="0"/>
        <w:autoSpaceDN w:val="0"/>
        <w:jc w:val="both"/>
        <w:rPr>
          <w:spacing w:val="-2"/>
          <w:sz w:val="20"/>
          <w:szCs w:val="20"/>
        </w:rPr>
      </w:pPr>
      <w:r w:rsidRPr="004F12EC">
        <w:rPr>
          <w:sz w:val="20"/>
          <w:szCs w:val="20"/>
        </w:rPr>
        <w:t>Brève description du nouveau travail requis pour le Secrétariat :</w:t>
      </w:r>
    </w:p>
    <w:p w14:paraId="0F3B74E7" w14:textId="77777777" w:rsidR="00057397" w:rsidRPr="004F12EC" w:rsidRDefault="00057397" w:rsidP="004F12EC">
      <w:pPr>
        <w:widowControl w:val="0"/>
        <w:autoSpaceDE w:val="0"/>
        <w:autoSpaceDN w:val="0"/>
        <w:jc w:val="both"/>
        <w:rPr>
          <w:spacing w:val="-2"/>
          <w:sz w:val="20"/>
          <w:szCs w:val="20"/>
        </w:rPr>
      </w:pPr>
    </w:p>
    <w:p w14:paraId="77007F5B" w14:textId="77777777" w:rsidR="00057397" w:rsidRPr="004F12EC" w:rsidRDefault="00057397" w:rsidP="004F12EC">
      <w:pPr>
        <w:widowControl w:val="0"/>
        <w:autoSpaceDE w:val="0"/>
        <w:autoSpaceDN w:val="0"/>
        <w:jc w:val="both"/>
        <w:rPr>
          <w:spacing w:val="-2"/>
          <w:sz w:val="20"/>
          <w:szCs w:val="20"/>
        </w:rPr>
      </w:pPr>
    </w:p>
    <w:p w14:paraId="6922C429" w14:textId="77777777" w:rsidR="00057397" w:rsidRPr="004F12EC" w:rsidRDefault="00057397" w:rsidP="004F12EC">
      <w:pPr>
        <w:pStyle w:val="ListParagraph"/>
        <w:widowControl w:val="0"/>
        <w:numPr>
          <w:ilvl w:val="0"/>
          <w:numId w:val="39"/>
        </w:numPr>
        <w:tabs>
          <w:tab w:val="left" w:pos="426"/>
        </w:tabs>
        <w:autoSpaceDE w:val="0"/>
        <w:autoSpaceDN w:val="0"/>
        <w:ind w:left="426" w:right="47" w:hanging="426"/>
        <w:jc w:val="both"/>
        <w:rPr>
          <w:spacing w:val="-2"/>
          <w:sz w:val="20"/>
          <w:szCs w:val="20"/>
        </w:rPr>
      </w:pPr>
      <w:r w:rsidRPr="004F12EC">
        <w:rPr>
          <w:sz w:val="20"/>
          <w:szCs w:val="20"/>
        </w:rPr>
        <w:t>Quel est le calendrier proposé pour la mise en œuvre, et existe-t-il des calendriers spécifiques différents pour certaines CPC, pêcheries, régions, etc. ?</w:t>
      </w:r>
    </w:p>
    <w:p w14:paraId="75CC4DB4" w14:textId="77777777" w:rsidR="00057397" w:rsidRPr="004F12EC" w:rsidRDefault="00057397" w:rsidP="004F12EC">
      <w:pPr>
        <w:widowControl w:val="0"/>
        <w:autoSpaceDE w:val="0"/>
        <w:autoSpaceDN w:val="0"/>
        <w:jc w:val="both"/>
        <w:rPr>
          <w:spacing w:val="-2"/>
          <w:sz w:val="20"/>
          <w:szCs w:val="20"/>
        </w:rPr>
      </w:pPr>
    </w:p>
    <w:p w14:paraId="39CDF96A" w14:textId="77777777" w:rsidR="00057397" w:rsidRPr="004F12EC" w:rsidRDefault="00057397" w:rsidP="004F12EC">
      <w:pPr>
        <w:widowControl w:val="0"/>
        <w:autoSpaceDE w:val="0"/>
        <w:autoSpaceDN w:val="0"/>
        <w:jc w:val="both"/>
        <w:rPr>
          <w:color w:val="FF0000"/>
          <w:spacing w:val="-2"/>
          <w:sz w:val="20"/>
          <w:szCs w:val="20"/>
        </w:rPr>
      </w:pPr>
      <w:r w:rsidRPr="004F12EC">
        <w:rPr>
          <w:color w:val="FF0000"/>
          <w:sz w:val="20"/>
          <w:szCs w:val="20"/>
        </w:rPr>
        <w:t xml:space="preserve">Entrée en vigueur en 2026. </w:t>
      </w:r>
    </w:p>
    <w:p w14:paraId="2DE61746" w14:textId="77777777" w:rsidR="00057397" w:rsidRPr="004F12EC" w:rsidRDefault="00057397" w:rsidP="004F12EC">
      <w:pPr>
        <w:widowControl w:val="0"/>
        <w:autoSpaceDE w:val="0"/>
        <w:autoSpaceDN w:val="0"/>
        <w:jc w:val="both"/>
        <w:rPr>
          <w:spacing w:val="-2"/>
          <w:sz w:val="20"/>
          <w:szCs w:val="20"/>
        </w:rPr>
      </w:pPr>
    </w:p>
    <w:p w14:paraId="6F17A202" w14:textId="77777777" w:rsidR="00057397" w:rsidRPr="004F12EC" w:rsidRDefault="00057397" w:rsidP="004F12EC">
      <w:pPr>
        <w:widowControl w:val="0"/>
        <w:autoSpaceDE w:val="0"/>
        <w:autoSpaceDN w:val="0"/>
        <w:jc w:val="both"/>
        <w:rPr>
          <w:spacing w:val="-2"/>
          <w:sz w:val="20"/>
          <w:szCs w:val="20"/>
        </w:rPr>
      </w:pPr>
    </w:p>
    <w:p w14:paraId="78AF0ECD" w14:textId="77777777" w:rsidR="00057397" w:rsidRPr="004F12EC" w:rsidRDefault="00057397" w:rsidP="004F12EC">
      <w:pPr>
        <w:pStyle w:val="ListParagraph"/>
        <w:widowControl w:val="0"/>
        <w:numPr>
          <w:ilvl w:val="0"/>
          <w:numId w:val="39"/>
        </w:numPr>
        <w:tabs>
          <w:tab w:val="left" w:pos="426"/>
        </w:tabs>
        <w:autoSpaceDE w:val="0"/>
        <w:autoSpaceDN w:val="0"/>
        <w:ind w:left="426" w:right="47" w:hanging="426"/>
        <w:jc w:val="both"/>
        <w:rPr>
          <w:spacing w:val="-2"/>
          <w:sz w:val="20"/>
          <w:szCs w:val="20"/>
        </w:rPr>
      </w:pPr>
      <w:r w:rsidRPr="004F12EC">
        <w:rPr>
          <w:sz w:val="20"/>
          <w:szCs w:val="20"/>
        </w:rPr>
        <w:t>Existe-t-il d'autres informations pertinentes concernant les implications de la proposition en termes de ressources et de charge de travail ?</w:t>
      </w:r>
    </w:p>
    <w:p w14:paraId="6ED7B3D9" w14:textId="77777777" w:rsidR="00057397" w:rsidRPr="004F12EC" w:rsidRDefault="00057397" w:rsidP="004F12EC">
      <w:pPr>
        <w:pBdr>
          <w:top w:val="nil"/>
          <w:left w:val="nil"/>
          <w:bottom w:val="nil"/>
          <w:right w:val="nil"/>
          <w:between w:val="nil"/>
        </w:pBdr>
        <w:tabs>
          <w:tab w:val="left" w:pos="646"/>
        </w:tabs>
        <w:jc w:val="both"/>
        <w:rPr>
          <w:rFonts w:eastAsia="Yu Mincho"/>
          <w:b/>
          <w:bCs/>
          <w:sz w:val="20"/>
          <w:szCs w:val="20"/>
          <w:lang w:eastAsia="ja-JP"/>
        </w:rPr>
      </w:pPr>
    </w:p>
    <w:p w14:paraId="641B82E4" w14:textId="77777777" w:rsidR="00057397" w:rsidRPr="004F12EC" w:rsidRDefault="00057397" w:rsidP="004F12EC">
      <w:pPr>
        <w:jc w:val="both"/>
        <w:rPr>
          <w:rFonts w:eastAsia="Yu Mincho"/>
          <w:b/>
          <w:bCs/>
          <w:sz w:val="20"/>
          <w:szCs w:val="20"/>
        </w:rPr>
      </w:pPr>
      <w:r w:rsidRPr="004F12EC">
        <w:rPr>
          <w:sz w:val="20"/>
          <w:szCs w:val="20"/>
        </w:rPr>
        <w:br w:type="page"/>
      </w:r>
    </w:p>
    <w:p w14:paraId="2ED66C37" w14:textId="5D0A112D" w:rsidR="00B2102A" w:rsidRPr="004F12EC" w:rsidRDefault="00A33683" w:rsidP="00ED7BD8">
      <w:pPr>
        <w:jc w:val="right"/>
        <w:rPr>
          <w:b/>
          <w:sz w:val="20"/>
          <w:szCs w:val="20"/>
        </w:rPr>
      </w:pPr>
      <w:r w:rsidRPr="004F12EC">
        <w:rPr>
          <w:b/>
          <w:sz w:val="20"/>
          <w:szCs w:val="20"/>
        </w:rPr>
        <w:lastRenderedPageBreak/>
        <w:t>Original : anglais</w:t>
      </w:r>
    </w:p>
    <w:p w14:paraId="07AECC27" w14:textId="77777777" w:rsidR="00A33683" w:rsidRPr="004F12EC" w:rsidRDefault="00A33683" w:rsidP="004F12EC">
      <w:pPr>
        <w:jc w:val="both"/>
        <w:rPr>
          <w:b/>
          <w:sz w:val="20"/>
          <w:szCs w:val="20"/>
        </w:rPr>
      </w:pPr>
    </w:p>
    <w:p w14:paraId="0E7956CC" w14:textId="52C99E78" w:rsidR="00057397" w:rsidRPr="004F12EC" w:rsidRDefault="00057397" w:rsidP="00ED7BD8">
      <w:pPr>
        <w:jc w:val="center"/>
        <w:rPr>
          <w:b/>
          <w:bCs/>
          <w:sz w:val="20"/>
          <w:szCs w:val="20"/>
        </w:rPr>
      </w:pPr>
      <w:r w:rsidRPr="004F12EC">
        <w:rPr>
          <w:b/>
          <w:sz w:val="20"/>
          <w:szCs w:val="20"/>
        </w:rPr>
        <w:t xml:space="preserve">Note explicative sur le Projet de </w:t>
      </w:r>
      <w:r w:rsidR="000952CE" w:rsidRPr="004F12EC">
        <w:rPr>
          <w:b/>
          <w:sz w:val="20"/>
          <w:szCs w:val="20"/>
        </w:rPr>
        <w:t xml:space="preserve">Recommandation </w:t>
      </w:r>
      <w:r w:rsidRPr="004F12EC">
        <w:rPr>
          <w:b/>
          <w:sz w:val="20"/>
          <w:szCs w:val="20"/>
        </w:rPr>
        <w:t>de l’ICCAT visant à amender la Recommandation 22-11 sur la conservation du stock de requin-taupe bleu de l'Atlantique Sud</w:t>
      </w:r>
    </w:p>
    <w:p w14:paraId="60038E26" w14:textId="1BD14686" w:rsidR="00057397" w:rsidRPr="004F12EC" w:rsidRDefault="00057397" w:rsidP="00ED7BD8">
      <w:pPr>
        <w:jc w:val="center"/>
        <w:rPr>
          <w:b/>
          <w:bCs/>
          <w:sz w:val="20"/>
          <w:szCs w:val="20"/>
        </w:rPr>
      </w:pPr>
      <w:proofErr w:type="gramStart"/>
      <w:r w:rsidRPr="004F12EC">
        <w:rPr>
          <w:b/>
          <w:sz w:val="20"/>
          <w:szCs w:val="20"/>
        </w:rPr>
        <w:t>capturé</w:t>
      </w:r>
      <w:proofErr w:type="gramEnd"/>
      <w:r w:rsidRPr="004F12EC">
        <w:rPr>
          <w:b/>
          <w:sz w:val="20"/>
          <w:szCs w:val="20"/>
        </w:rPr>
        <w:t xml:space="preserve"> en association avec les pêcheries de l’ICCAT</w:t>
      </w:r>
    </w:p>
    <w:p w14:paraId="037130EF" w14:textId="77777777" w:rsidR="00057397" w:rsidRPr="004F12EC" w:rsidRDefault="00057397" w:rsidP="00ED7BD8">
      <w:pPr>
        <w:jc w:val="center"/>
        <w:rPr>
          <w:b/>
          <w:bCs/>
          <w:sz w:val="20"/>
          <w:szCs w:val="20"/>
        </w:rPr>
      </w:pPr>
    </w:p>
    <w:p w14:paraId="286EEE3C" w14:textId="77777777" w:rsidR="00057397" w:rsidRPr="004F12EC" w:rsidRDefault="00057397" w:rsidP="00ED7BD8">
      <w:pPr>
        <w:jc w:val="center"/>
        <w:rPr>
          <w:i/>
          <w:iCs/>
          <w:sz w:val="20"/>
          <w:szCs w:val="20"/>
        </w:rPr>
      </w:pPr>
      <w:r w:rsidRPr="004F12EC">
        <w:rPr>
          <w:i/>
          <w:sz w:val="20"/>
          <w:szCs w:val="20"/>
        </w:rPr>
        <w:t>(Document présenté par l’Union européenne)</w:t>
      </w:r>
    </w:p>
    <w:p w14:paraId="42B62A1F" w14:textId="77777777" w:rsidR="00057397" w:rsidRPr="004F12EC" w:rsidRDefault="00057397" w:rsidP="00ED7BD8">
      <w:pPr>
        <w:tabs>
          <w:tab w:val="center" w:pos="3942"/>
          <w:tab w:val="center" w:pos="4663"/>
          <w:tab w:val="center" w:pos="5383"/>
          <w:tab w:val="center" w:pos="6103"/>
          <w:tab w:val="center" w:pos="6823"/>
          <w:tab w:val="right" w:pos="9120"/>
        </w:tabs>
        <w:jc w:val="center"/>
        <w:rPr>
          <w:sz w:val="20"/>
          <w:szCs w:val="20"/>
        </w:rPr>
      </w:pPr>
    </w:p>
    <w:p w14:paraId="617AB52F" w14:textId="77777777" w:rsidR="00057397" w:rsidRPr="004F12EC" w:rsidRDefault="00057397" w:rsidP="004F12EC">
      <w:pPr>
        <w:ind w:left="-12" w:right="36"/>
        <w:jc w:val="both"/>
        <w:rPr>
          <w:sz w:val="20"/>
          <w:szCs w:val="20"/>
        </w:rPr>
      </w:pPr>
      <w:r w:rsidRPr="004F12EC">
        <w:rPr>
          <w:sz w:val="20"/>
          <w:szCs w:val="20"/>
        </w:rPr>
        <w:t xml:space="preserve">Cette proposition répond à la dernière </w:t>
      </w:r>
      <w:hyperlink r:id="rId11" w:history="1">
        <w:r w:rsidRPr="004F12EC">
          <w:rPr>
            <w:rStyle w:val="Hyperlink"/>
            <w:sz w:val="20"/>
            <w:szCs w:val="20"/>
            <w:u w:val="none"/>
          </w:rPr>
          <w:t>évaluation du stock de requin-taupe bleu de 2025</w:t>
        </w:r>
      </w:hyperlink>
      <w:r w:rsidRPr="004F12EC">
        <w:rPr>
          <w:sz w:val="20"/>
          <w:szCs w:val="20"/>
        </w:rPr>
        <w:t xml:space="preserve"> du SCRS qui confirme que le stock de requin-taupe bleu de l'Atlantique Sud se trouve probablement dans le quadrant rouge de la matrice de stratégie de Kobe II (50,5%) avec une probabilité de 66,9% d'être surexploité et 66,5% de faire l’objet de surpêche. Malgré les engagements antérieurs inclus dans le plan de gestion convenu (</w:t>
      </w:r>
      <w:hyperlink r:id="rId12" w:history="1">
        <w:r w:rsidRPr="004F12EC">
          <w:rPr>
            <w:rStyle w:val="Hyperlink"/>
            <w:sz w:val="20"/>
            <w:szCs w:val="20"/>
            <w:u w:val="none"/>
          </w:rPr>
          <w:t>Rec. 22-11</w:t>
        </w:r>
      </w:hyperlink>
      <w:r w:rsidRPr="004F12EC">
        <w:rPr>
          <w:sz w:val="20"/>
          <w:szCs w:val="20"/>
        </w:rPr>
        <w:t>) de respecter des mesures strictes et d'accroître la surveillance de l'état du stock, des incertitudes significatives persistent en ce qui concerne la mortalité par pêche totale. La plupart des CPC dont les flottilles interagissent avec le stock ne déclarent pas les données sur les rejets de manière exhaustive, et plusieurs CPC n'ont pas encore fourni de méthodologies pour estimer les rejets morts ou les remises à l'eau de poissons vivants.</w:t>
      </w:r>
    </w:p>
    <w:p w14:paraId="3B85C8AE" w14:textId="77777777" w:rsidR="00057397" w:rsidRPr="004F12EC" w:rsidRDefault="00057397" w:rsidP="004F12EC">
      <w:pPr>
        <w:ind w:left="-12" w:right="36"/>
        <w:jc w:val="both"/>
        <w:rPr>
          <w:sz w:val="20"/>
          <w:szCs w:val="20"/>
        </w:rPr>
      </w:pPr>
    </w:p>
    <w:p w14:paraId="167097AD" w14:textId="77777777" w:rsidR="00057397" w:rsidRPr="004F12EC" w:rsidRDefault="00057397" w:rsidP="004F12EC">
      <w:pPr>
        <w:ind w:left="-12" w:right="36"/>
        <w:jc w:val="both"/>
        <w:rPr>
          <w:sz w:val="20"/>
          <w:szCs w:val="20"/>
        </w:rPr>
      </w:pPr>
      <w:r w:rsidRPr="004F12EC">
        <w:rPr>
          <w:sz w:val="20"/>
          <w:szCs w:val="20"/>
        </w:rPr>
        <w:t xml:space="preserve">Comme ces éléments clés du plan de gestion précédemment convenu n'ont pas été entièrement mis en œuvre, la capacité du SCRS à évaluer les ponctions totales et à formuler un avis de gestion fiable a été limitée. La méthodologie adoptée en 2022 pour calculer la tolérance de rétention est fondée sur l’application intégrale par les CPC et ne tient donc pas compte de ces incertitudes. </w:t>
      </w:r>
    </w:p>
    <w:p w14:paraId="787780DD" w14:textId="77777777" w:rsidR="00057397" w:rsidRPr="004F12EC" w:rsidRDefault="00057397" w:rsidP="004F12EC">
      <w:pPr>
        <w:ind w:left="-12" w:right="36"/>
        <w:jc w:val="both"/>
        <w:rPr>
          <w:sz w:val="20"/>
          <w:szCs w:val="20"/>
        </w:rPr>
      </w:pPr>
    </w:p>
    <w:p w14:paraId="1B97A742" w14:textId="77777777" w:rsidR="00057397" w:rsidRPr="004F12EC" w:rsidRDefault="00057397" w:rsidP="004F12EC">
      <w:pPr>
        <w:ind w:left="-12" w:right="36"/>
        <w:jc w:val="both"/>
        <w:rPr>
          <w:sz w:val="20"/>
          <w:szCs w:val="20"/>
        </w:rPr>
      </w:pPr>
      <w:r w:rsidRPr="004F12EC">
        <w:rPr>
          <w:sz w:val="20"/>
          <w:szCs w:val="20"/>
        </w:rPr>
        <w:t>L'objectif de cette proposition est de reconstituer le stock et de rétablir les possibilités de pêche le plus tôt possible pour toutes les flottilles. Pour ce faire, elle établit une interdiction temporaire totale de rétention et donne à la Commission la possibilité d'évaluer l'évolution du stock sur la base de l'avis du SCRS.</w:t>
      </w:r>
    </w:p>
    <w:p w14:paraId="23F843F4" w14:textId="77777777" w:rsidR="00057397" w:rsidRPr="004F12EC" w:rsidRDefault="00057397" w:rsidP="004F12EC">
      <w:pPr>
        <w:ind w:left="-12" w:right="36"/>
        <w:jc w:val="both"/>
        <w:rPr>
          <w:sz w:val="20"/>
          <w:szCs w:val="20"/>
        </w:rPr>
      </w:pPr>
    </w:p>
    <w:p w14:paraId="0653AB3B" w14:textId="77777777" w:rsidR="00057397" w:rsidRPr="004F12EC" w:rsidRDefault="00057397" w:rsidP="004F12EC">
      <w:pPr>
        <w:ind w:left="-12" w:right="36"/>
        <w:jc w:val="both"/>
        <w:rPr>
          <w:sz w:val="20"/>
          <w:szCs w:val="20"/>
        </w:rPr>
      </w:pPr>
      <w:r w:rsidRPr="004F12EC">
        <w:rPr>
          <w:sz w:val="20"/>
          <w:szCs w:val="20"/>
        </w:rPr>
        <w:t>Une interdiction totale de rétention est le moyen le plus efficace de réduire la mortalité par pêche dans les conditions actuelles d'incertitude et de faciliter un contrôle efficace de la mesure. Elle garantit une application uniforme entre toutes les CPC, en évitant les lacunes potentielles, et fournit un régime clair et applicable pour le contrôle et l’application.</w:t>
      </w:r>
    </w:p>
    <w:p w14:paraId="52DCA3C4" w14:textId="77777777" w:rsidR="00057397" w:rsidRPr="004F12EC" w:rsidRDefault="00057397" w:rsidP="004F12EC">
      <w:pPr>
        <w:ind w:left="-12" w:right="36"/>
        <w:jc w:val="both"/>
        <w:rPr>
          <w:sz w:val="20"/>
          <w:szCs w:val="20"/>
        </w:rPr>
      </w:pPr>
    </w:p>
    <w:p w14:paraId="75836BEB" w14:textId="77777777" w:rsidR="00057397" w:rsidRPr="004F12EC" w:rsidRDefault="00057397" w:rsidP="004F12EC">
      <w:pPr>
        <w:ind w:left="-12" w:right="36"/>
        <w:jc w:val="both"/>
        <w:rPr>
          <w:sz w:val="20"/>
          <w:szCs w:val="20"/>
        </w:rPr>
      </w:pPr>
      <w:r w:rsidRPr="004F12EC">
        <w:rPr>
          <w:sz w:val="20"/>
          <w:szCs w:val="20"/>
        </w:rPr>
        <w:t>La mesure maintient également certaines des obligations existantes en matière de collecte de données, exigeant des CPC qu'elles continuent à estimer les sources de mortalité et qu'elles assurent le suivi de leur engagement à augmenter la couverture des observateurs ou de la surveillance électronique. Ces mesures devraient permettre au SCRS de réévaluer le stock et de donner un avis à la Commission lorsqu'elle envisagera de rouvrir les possibilités de pêche une fois qu'un rétablissement suffisant aura été démontré.</w:t>
      </w:r>
    </w:p>
    <w:p w14:paraId="4DD00EC8" w14:textId="77777777" w:rsidR="00057397" w:rsidRPr="004F12EC" w:rsidRDefault="00057397" w:rsidP="004F12EC">
      <w:pPr>
        <w:ind w:left="-12" w:right="36"/>
        <w:jc w:val="both"/>
        <w:rPr>
          <w:sz w:val="20"/>
          <w:szCs w:val="20"/>
        </w:rPr>
      </w:pPr>
    </w:p>
    <w:p w14:paraId="603193F0" w14:textId="41D3E499" w:rsidR="00057397" w:rsidRPr="004F12EC" w:rsidRDefault="00057397" w:rsidP="004F12EC">
      <w:pPr>
        <w:jc w:val="both"/>
        <w:rPr>
          <w:rFonts w:eastAsia="MS Mincho" w:cs="Times New Roman"/>
          <w:b/>
          <w:bCs/>
          <w:iCs/>
          <w:sz w:val="20"/>
          <w:szCs w:val="20"/>
          <w:lang w:eastAsia="ja-JP"/>
        </w:rPr>
      </w:pPr>
    </w:p>
    <w:p w14:paraId="06A900C2" w14:textId="77777777" w:rsidR="00001253" w:rsidRPr="004F12EC" w:rsidRDefault="00001253" w:rsidP="004F12EC">
      <w:pPr>
        <w:jc w:val="both"/>
        <w:rPr>
          <w:rFonts w:eastAsia="MS Mincho" w:cs="Times New Roman"/>
          <w:b/>
          <w:bCs/>
          <w:iCs/>
          <w:sz w:val="20"/>
          <w:szCs w:val="20"/>
          <w:lang w:eastAsia="ja-JP"/>
        </w:rPr>
      </w:pPr>
      <w:r w:rsidRPr="004F12EC">
        <w:rPr>
          <w:rFonts w:eastAsia="MS Mincho" w:cs="Times New Roman"/>
          <w:b/>
          <w:bCs/>
          <w:iCs/>
          <w:sz w:val="20"/>
          <w:szCs w:val="20"/>
          <w:lang w:eastAsia="ja-JP"/>
        </w:rPr>
        <w:br w:type="page"/>
      </w:r>
    </w:p>
    <w:p w14:paraId="226D9808" w14:textId="3C6B97BD" w:rsidR="003158BD" w:rsidRPr="004F12EC" w:rsidRDefault="0098759E" w:rsidP="005E184A">
      <w:pPr>
        <w:widowControl w:val="0"/>
        <w:autoSpaceDE w:val="0"/>
        <w:autoSpaceDN w:val="0"/>
        <w:adjustRightInd w:val="0"/>
        <w:jc w:val="right"/>
        <w:rPr>
          <w:rFonts w:eastAsia="MS Mincho" w:cs="Times New Roman"/>
          <w:b/>
          <w:bCs/>
          <w:iCs/>
          <w:sz w:val="20"/>
          <w:szCs w:val="20"/>
          <w:lang w:eastAsia="ja-JP"/>
        </w:rPr>
      </w:pPr>
      <w:r w:rsidRPr="004F12EC">
        <w:rPr>
          <w:rFonts w:eastAsia="MS Mincho" w:cs="Times New Roman"/>
          <w:b/>
          <w:bCs/>
          <w:iCs/>
          <w:sz w:val="20"/>
          <w:szCs w:val="20"/>
          <w:lang w:eastAsia="ja-JP"/>
        </w:rPr>
        <w:lastRenderedPageBreak/>
        <w:t>Original : anglais</w:t>
      </w:r>
    </w:p>
    <w:p w14:paraId="1F925D42" w14:textId="77777777" w:rsidR="00AC3A50" w:rsidRPr="004F12EC" w:rsidRDefault="00AC3A50" w:rsidP="004F12EC">
      <w:pPr>
        <w:widowControl w:val="0"/>
        <w:autoSpaceDE w:val="0"/>
        <w:autoSpaceDN w:val="0"/>
        <w:adjustRightInd w:val="0"/>
        <w:jc w:val="both"/>
        <w:rPr>
          <w:rFonts w:eastAsia="MS Mincho" w:cs="Times New Roman"/>
          <w:b/>
          <w:bCs/>
          <w:i/>
          <w:sz w:val="20"/>
          <w:szCs w:val="20"/>
          <w:lang w:eastAsia="ja-JP"/>
        </w:rPr>
      </w:pPr>
    </w:p>
    <w:p w14:paraId="29DD5F0D" w14:textId="435022B8" w:rsidR="00AC3A50" w:rsidRPr="004F12EC" w:rsidRDefault="00001253" w:rsidP="005E184A">
      <w:pPr>
        <w:jc w:val="center"/>
        <w:rPr>
          <w:b/>
          <w:sz w:val="20"/>
          <w:szCs w:val="20"/>
        </w:rPr>
      </w:pPr>
      <w:r w:rsidRPr="004F12EC">
        <w:rPr>
          <w:b/>
          <w:sz w:val="20"/>
          <w:szCs w:val="20"/>
        </w:rPr>
        <w:t xml:space="preserve">Projet de </w:t>
      </w:r>
      <w:r w:rsidR="000952CE" w:rsidRPr="004F12EC">
        <w:rPr>
          <w:b/>
          <w:sz w:val="20"/>
          <w:szCs w:val="20"/>
        </w:rPr>
        <w:t xml:space="preserve">Recommandation </w:t>
      </w:r>
      <w:r w:rsidRPr="004F12EC">
        <w:rPr>
          <w:b/>
          <w:sz w:val="20"/>
          <w:szCs w:val="20"/>
        </w:rPr>
        <w:t>de l’ICCAT visant à amender la Recommandation 22-11 sur la conservation du stock de requin-taupe bleu de l'Atlantique Sud capturé en association avec les pêcheries de l’ICCAT</w:t>
      </w:r>
    </w:p>
    <w:p w14:paraId="0E6D886D" w14:textId="77777777" w:rsidR="00C357F5" w:rsidRPr="004F12EC" w:rsidRDefault="00C357F5" w:rsidP="004F12EC">
      <w:pPr>
        <w:widowControl w:val="0"/>
        <w:autoSpaceDE w:val="0"/>
        <w:autoSpaceDN w:val="0"/>
        <w:adjustRightInd w:val="0"/>
        <w:jc w:val="both"/>
        <w:rPr>
          <w:rFonts w:eastAsia="MS Mincho" w:cs="Times New Roman"/>
          <w:b/>
          <w:bCs/>
          <w:i/>
          <w:sz w:val="20"/>
          <w:szCs w:val="20"/>
          <w:lang w:eastAsia="ja-JP"/>
        </w:rPr>
      </w:pPr>
    </w:p>
    <w:p w14:paraId="11AB0BBE" w14:textId="77777777" w:rsidR="00C357F5" w:rsidRPr="004F12EC" w:rsidRDefault="00C357F5" w:rsidP="004F12EC">
      <w:pPr>
        <w:widowControl w:val="0"/>
        <w:autoSpaceDE w:val="0"/>
        <w:autoSpaceDN w:val="0"/>
        <w:adjustRightInd w:val="0"/>
        <w:jc w:val="both"/>
        <w:rPr>
          <w:rFonts w:eastAsia="MS Mincho" w:cs="Times New Roman"/>
          <w:b/>
          <w:bCs/>
          <w:i/>
          <w:sz w:val="20"/>
          <w:szCs w:val="20"/>
          <w:lang w:eastAsia="ja-JP"/>
        </w:rPr>
      </w:pPr>
    </w:p>
    <w:p w14:paraId="5BD4E1A3" w14:textId="6FE11B33" w:rsidR="00D33117" w:rsidRPr="004F12EC" w:rsidRDefault="00D33117" w:rsidP="004F12EC">
      <w:pPr>
        <w:widowControl w:val="0"/>
        <w:autoSpaceDE w:val="0"/>
        <w:autoSpaceDN w:val="0"/>
        <w:adjustRightInd w:val="0"/>
        <w:ind w:firstLine="426"/>
        <w:jc w:val="both"/>
        <w:rPr>
          <w:rFonts w:eastAsia="Cambria" w:cs="Cambria"/>
          <w:sz w:val="20"/>
          <w:szCs w:val="20"/>
        </w:rPr>
      </w:pPr>
      <w:r w:rsidRPr="004F12EC">
        <w:rPr>
          <w:i/>
          <w:iCs/>
          <w:sz w:val="20"/>
          <w:szCs w:val="20"/>
        </w:rPr>
        <w:t>RECONNAISSANT</w:t>
      </w:r>
      <w:r w:rsidRPr="004F12EC">
        <w:rPr>
          <w:sz w:val="20"/>
          <w:szCs w:val="20"/>
        </w:rPr>
        <w:t xml:space="preserve"> que les requins-taupes bleus </w:t>
      </w:r>
      <w:r w:rsidR="00B40105" w:rsidRPr="004F12EC">
        <w:rPr>
          <w:sz w:val="20"/>
          <w:szCs w:val="20"/>
        </w:rPr>
        <w:t xml:space="preserve">de l’Atlantique </w:t>
      </w:r>
      <w:r w:rsidR="00C45E2F" w:rsidRPr="004F12EC">
        <w:rPr>
          <w:sz w:val="20"/>
          <w:szCs w:val="20"/>
        </w:rPr>
        <w:t>Sud</w:t>
      </w:r>
      <w:r w:rsidR="00B40105" w:rsidRPr="004F12EC">
        <w:rPr>
          <w:sz w:val="20"/>
          <w:szCs w:val="20"/>
        </w:rPr>
        <w:t xml:space="preserve"> </w:t>
      </w:r>
      <w:proofErr w:type="gramStart"/>
      <w:r w:rsidRPr="004F12EC">
        <w:rPr>
          <w:sz w:val="20"/>
          <w:szCs w:val="20"/>
        </w:rPr>
        <w:t>sont</w:t>
      </w:r>
      <w:proofErr w:type="gramEnd"/>
      <w:r w:rsidRPr="004F12EC">
        <w:rPr>
          <w:sz w:val="20"/>
          <w:szCs w:val="20"/>
        </w:rPr>
        <w:t xml:space="preserve"> principalement capturés en association avec les pêcheries de l’ICCAT et que la Commission a adopté des mesures de gestion s'appliquant aux espèces de requins considérées vulnérables à la surpêche dans les pêcheries de l'ICCAT</w:t>
      </w:r>
      <w:r w:rsidR="00630CF6" w:rsidRPr="004F12EC">
        <w:rPr>
          <w:sz w:val="20"/>
          <w:szCs w:val="20"/>
        </w:rPr>
        <w:t> ;</w:t>
      </w:r>
    </w:p>
    <w:p w14:paraId="10E12001" w14:textId="00001D89" w:rsidR="00D33117" w:rsidRPr="004F12EC" w:rsidRDefault="00D33117" w:rsidP="004F12EC">
      <w:pPr>
        <w:ind w:firstLine="426"/>
        <w:jc w:val="both"/>
        <w:rPr>
          <w:rFonts w:eastAsia="Cambria" w:cs="Cambria"/>
          <w:i/>
          <w:sz w:val="20"/>
          <w:szCs w:val="20"/>
        </w:rPr>
      </w:pPr>
    </w:p>
    <w:p w14:paraId="266A8625" w14:textId="2423EF7A" w:rsidR="00C45E2F" w:rsidRPr="004F12EC" w:rsidRDefault="00C45E2F" w:rsidP="004F12EC">
      <w:pPr>
        <w:ind w:firstLine="426"/>
        <w:jc w:val="both"/>
        <w:rPr>
          <w:rFonts w:eastAsia="Cambria" w:cs="Cambria"/>
          <w:sz w:val="20"/>
          <w:szCs w:val="20"/>
        </w:rPr>
      </w:pPr>
      <w:r w:rsidRPr="004F12EC">
        <w:rPr>
          <w:i/>
          <w:iCs/>
          <w:sz w:val="20"/>
          <w:szCs w:val="20"/>
        </w:rPr>
        <w:t>NOTANT</w:t>
      </w:r>
      <w:r w:rsidRPr="004F12EC">
        <w:rPr>
          <w:sz w:val="20"/>
          <w:szCs w:val="20"/>
        </w:rPr>
        <w:t xml:space="preserve"> que l</w:t>
      </w:r>
      <w:r w:rsidR="00630CF6" w:rsidRPr="004F12EC">
        <w:rPr>
          <w:sz w:val="20"/>
          <w:szCs w:val="20"/>
        </w:rPr>
        <w:t>’</w:t>
      </w:r>
      <w:r w:rsidRPr="004F12EC">
        <w:rPr>
          <w:sz w:val="20"/>
          <w:szCs w:val="20"/>
        </w:rPr>
        <w:t xml:space="preserve">évaluation du SCRS de 2019 </w:t>
      </w:r>
      <w:r w:rsidR="00630CF6" w:rsidRPr="004F12EC">
        <w:rPr>
          <w:sz w:val="20"/>
          <w:szCs w:val="20"/>
        </w:rPr>
        <w:t>a</w:t>
      </w:r>
      <w:r w:rsidRPr="004F12EC">
        <w:rPr>
          <w:sz w:val="20"/>
          <w:szCs w:val="20"/>
        </w:rPr>
        <w:t xml:space="preserve"> conclu que le développement de la pêche dans l</w:t>
      </w:r>
      <w:r w:rsidR="00884856" w:rsidRPr="004F12EC">
        <w:rPr>
          <w:sz w:val="20"/>
          <w:szCs w:val="20"/>
        </w:rPr>
        <w:t>’Atlantique</w:t>
      </w:r>
      <w:r w:rsidRPr="004F12EC">
        <w:rPr>
          <w:sz w:val="20"/>
          <w:szCs w:val="20"/>
        </w:rPr>
        <w:t xml:space="preserve"> Sud suit de manière prévisible celui d</w:t>
      </w:r>
      <w:r w:rsidR="00403EF5" w:rsidRPr="004F12EC">
        <w:rPr>
          <w:sz w:val="20"/>
          <w:szCs w:val="20"/>
        </w:rPr>
        <w:t>e l’Atlantique</w:t>
      </w:r>
      <w:r w:rsidRPr="004F12EC">
        <w:rPr>
          <w:sz w:val="20"/>
          <w:szCs w:val="20"/>
        </w:rPr>
        <w:t xml:space="preserve"> Nord et que les caractéristiques biologiques du stock sont similaires, il existe un risque important que </w:t>
      </w:r>
      <w:r w:rsidR="00905DD6" w:rsidRPr="004F12EC">
        <w:rPr>
          <w:sz w:val="20"/>
          <w:szCs w:val="20"/>
        </w:rPr>
        <w:t xml:space="preserve">le </w:t>
      </w:r>
      <w:r w:rsidRPr="004F12EC">
        <w:rPr>
          <w:sz w:val="20"/>
          <w:szCs w:val="20"/>
        </w:rPr>
        <w:t>stock du Sud connaisse une évolution similaire à celle du stock du Nord. Si le stock diminue, il aura besoin, comme le stock du Nord, de beaucoup de temps pour se rétablir, même après d'importantes réductions des captures ;</w:t>
      </w:r>
    </w:p>
    <w:p w14:paraId="2F895B16" w14:textId="2D482F6E" w:rsidR="00D33117" w:rsidRPr="004F12EC" w:rsidRDefault="00D33117" w:rsidP="004F12EC">
      <w:pPr>
        <w:ind w:firstLine="426"/>
        <w:jc w:val="both"/>
        <w:rPr>
          <w:rFonts w:eastAsia="Cambria" w:cs="Cambria"/>
          <w:sz w:val="20"/>
          <w:szCs w:val="20"/>
        </w:rPr>
      </w:pPr>
    </w:p>
    <w:p w14:paraId="7AE8ADE4" w14:textId="54D4A080" w:rsidR="00C45E2F" w:rsidRPr="004F12EC" w:rsidRDefault="00C45E2F" w:rsidP="004F12EC">
      <w:pPr>
        <w:ind w:firstLine="426"/>
        <w:jc w:val="both"/>
        <w:rPr>
          <w:sz w:val="20"/>
          <w:szCs w:val="20"/>
        </w:rPr>
      </w:pPr>
      <w:r w:rsidRPr="004F12EC">
        <w:rPr>
          <w:i/>
          <w:iCs/>
          <w:sz w:val="20"/>
          <w:szCs w:val="20"/>
        </w:rPr>
        <w:t>RECONNAISSANT</w:t>
      </w:r>
      <w:r w:rsidRPr="004F12EC">
        <w:rPr>
          <w:sz w:val="20"/>
          <w:szCs w:val="20"/>
        </w:rPr>
        <w:t xml:space="preserve"> qu'en 20</w:t>
      </w:r>
      <w:r w:rsidR="00403EF5" w:rsidRPr="004F12EC">
        <w:rPr>
          <w:sz w:val="20"/>
          <w:szCs w:val="20"/>
        </w:rPr>
        <w:t>25</w:t>
      </w:r>
      <w:r w:rsidRPr="004F12EC">
        <w:rPr>
          <w:sz w:val="20"/>
          <w:szCs w:val="20"/>
        </w:rPr>
        <w:t xml:space="preserve">, le SCRS a conclu que la probabilité combinée que le stock soit surexploité était de </w:t>
      </w:r>
      <w:r w:rsidR="009C5248" w:rsidRPr="004F12EC">
        <w:rPr>
          <w:sz w:val="20"/>
          <w:szCs w:val="20"/>
        </w:rPr>
        <w:t xml:space="preserve">66,9 %, </w:t>
      </w:r>
      <w:r w:rsidRPr="004F12EC">
        <w:rPr>
          <w:sz w:val="20"/>
          <w:szCs w:val="20"/>
        </w:rPr>
        <w:t xml:space="preserve">et que celle qu'il subisse une surpêche était de </w:t>
      </w:r>
      <w:r w:rsidR="004E435B" w:rsidRPr="004F12EC">
        <w:rPr>
          <w:sz w:val="20"/>
          <w:szCs w:val="20"/>
        </w:rPr>
        <w:t>66</w:t>
      </w:r>
      <w:r w:rsidRPr="004F12EC">
        <w:rPr>
          <w:sz w:val="20"/>
          <w:szCs w:val="20"/>
        </w:rPr>
        <w:t>,</w:t>
      </w:r>
      <w:r w:rsidR="009C5248" w:rsidRPr="004F12EC">
        <w:rPr>
          <w:sz w:val="20"/>
          <w:szCs w:val="20"/>
        </w:rPr>
        <w:t>5</w:t>
      </w:r>
      <w:r w:rsidR="00630CF6" w:rsidRPr="004F12EC">
        <w:rPr>
          <w:sz w:val="20"/>
          <w:szCs w:val="20"/>
        </w:rPr>
        <w:t> </w:t>
      </w:r>
      <w:r w:rsidRPr="004F12EC">
        <w:rPr>
          <w:sz w:val="20"/>
          <w:szCs w:val="20"/>
        </w:rPr>
        <w:t>%, les résultats pour l'Atlantique Sud étant considérés comme très incertains en raison du conflit entre les données de capture et de CPUE ;</w:t>
      </w:r>
    </w:p>
    <w:p w14:paraId="7EDA60E6" w14:textId="77777777" w:rsidR="00C45E2F" w:rsidRPr="004F12EC" w:rsidRDefault="00C45E2F" w:rsidP="004F12EC">
      <w:pPr>
        <w:ind w:firstLine="426"/>
        <w:jc w:val="both"/>
        <w:rPr>
          <w:rFonts w:eastAsia="Cambria" w:cs="Cambria"/>
          <w:sz w:val="20"/>
          <w:szCs w:val="20"/>
        </w:rPr>
      </w:pPr>
    </w:p>
    <w:p w14:paraId="43781B81" w14:textId="7A3CB9CB" w:rsidR="00D33117" w:rsidRPr="004F12EC" w:rsidRDefault="00D33117" w:rsidP="004F12EC">
      <w:pPr>
        <w:widowControl w:val="0"/>
        <w:tabs>
          <w:tab w:val="left" w:pos="426"/>
        </w:tabs>
        <w:autoSpaceDE w:val="0"/>
        <w:autoSpaceDN w:val="0"/>
        <w:adjustRightInd w:val="0"/>
        <w:ind w:firstLine="426"/>
        <w:jc w:val="both"/>
        <w:rPr>
          <w:rFonts w:eastAsia="MS Mincho" w:cs="Times New Roman"/>
          <w:bCs/>
          <w:sz w:val="20"/>
          <w:szCs w:val="20"/>
        </w:rPr>
      </w:pPr>
      <w:r w:rsidRPr="004F12EC">
        <w:rPr>
          <w:i/>
          <w:iCs/>
          <w:sz w:val="20"/>
          <w:szCs w:val="20"/>
        </w:rPr>
        <w:t>RAPPELANT</w:t>
      </w:r>
      <w:r w:rsidRPr="004F12EC">
        <w:rPr>
          <w:sz w:val="20"/>
          <w:szCs w:val="20"/>
        </w:rPr>
        <w:t xml:space="preserve"> que, conformément à sa Convention, l'objectif déclaré de l’ICCAT consiste à maintenir les stocks à des niveaux qui permett</w:t>
      </w:r>
      <w:r w:rsidR="00F32048" w:rsidRPr="004F12EC">
        <w:rPr>
          <w:sz w:val="20"/>
          <w:szCs w:val="20"/>
        </w:rPr>
        <w:t>ro</w:t>
      </w:r>
      <w:r w:rsidRPr="004F12EC">
        <w:rPr>
          <w:sz w:val="20"/>
          <w:szCs w:val="20"/>
        </w:rPr>
        <w:t xml:space="preserve">nt la </w:t>
      </w:r>
      <w:r w:rsidR="00905DD6" w:rsidRPr="004F12EC">
        <w:rPr>
          <w:sz w:val="20"/>
          <w:szCs w:val="20"/>
        </w:rPr>
        <w:t>production</w:t>
      </w:r>
      <w:r w:rsidRPr="004F12EC">
        <w:rPr>
          <w:sz w:val="20"/>
          <w:szCs w:val="20"/>
        </w:rPr>
        <w:t xml:space="preserve"> maximale équilibrée</w:t>
      </w:r>
      <w:r w:rsidR="00905DD6" w:rsidRPr="004F12EC">
        <w:rPr>
          <w:sz w:val="20"/>
          <w:szCs w:val="20"/>
        </w:rPr>
        <w:t xml:space="preserve"> (MSE) ;</w:t>
      </w:r>
    </w:p>
    <w:p w14:paraId="71C40CC3" w14:textId="0345FB27" w:rsidR="00722AEF" w:rsidRPr="004F12EC" w:rsidRDefault="00722AEF" w:rsidP="004F12EC">
      <w:pPr>
        <w:widowControl w:val="0"/>
        <w:tabs>
          <w:tab w:val="left" w:pos="426"/>
        </w:tabs>
        <w:autoSpaceDE w:val="0"/>
        <w:autoSpaceDN w:val="0"/>
        <w:adjustRightInd w:val="0"/>
        <w:ind w:firstLine="426"/>
        <w:jc w:val="both"/>
        <w:rPr>
          <w:rFonts w:eastAsia="MS Mincho" w:cs="Times New Roman"/>
          <w:bCs/>
          <w:sz w:val="20"/>
          <w:szCs w:val="20"/>
          <w:lang w:eastAsia="ja-JP"/>
        </w:rPr>
      </w:pPr>
    </w:p>
    <w:p w14:paraId="28313D67" w14:textId="58FF866B" w:rsidR="00C45E2F" w:rsidRPr="004F12EC" w:rsidRDefault="00AB3382" w:rsidP="004F12EC">
      <w:pPr>
        <w:ind w:firstLine="426"/>
        <w:jc w:val="both"/>
        <w:rPr>
          <w:sz w:val="20"/>
          <w:szCs w:val="20"/>
        </w:rPr>
      </w:pPr>
      <w:r w:rsidRPr="004F12EC">
        <w:rPr>
          <w:i/>
          <w:iCs/>
          <w:sz w:val="20"/>
          <w:szCs w:val="20"/>
        </w:rPr>
        <w:t xml:space="preserve">RAPPELANT </w:t>
      </w:r>
      <w:r w:rsidRPr="004F12EC">
        <w:rPr>
          <w:sz w:val="20"/>
          <w:szCs w:val="20"/>
        </w:rPr>
        <w:t>son engagement en 2022</w:t>
      </w:r>
      <w:r w:rsidRPr="004F12EC">
        <w:rPr>
          <w:i/>
          <w:iCs/>
          <w:sz w:val="20"/>
          <w:szCs w:val="20"/>
        </w:rPr>
        <w:t xml:space="preserve"> </w:t>
      </w:r>
      <w:r w:rsidR="00C45E2F" w:rsidRPr="004F12EC">
        <w:rPr>
          <w:sz w:val="20"/>
          <w:szCs w:val="20"/>
        </w:rPr>
        <w:t>à prendre immédiatement des mesures pour mettre un terme à la surpêche du stock de requin-taupe bleu de l’Atlantique Su</w:t>
      </w:r>
      <w:r w:rsidR="00630CF6" w:rsidRPr="004F12EC">
        <w:rPr>
          <w:sz w:val="20"/>
          <w:szCs w:val="20"/>
        </w:rPr>
        <w:t>d</w:t>
      </w:r>
      <w:r w:rsidR="00C45E2F" w:rsidRPr="004F12EC">
        <w:rPr>
          <w:sz w:val="20"/>
          <w:szCs w:val="20"/>
        </w:rPr>
        <w:t xml:space="preserve"> en tant que première mesure du développement d’un cadre de gestion de la pêcherie ;</w:t>
      </w:r>
    </w:p>
    <w:p w14:paraId="3D99C74D" w14:textId="77777777" w:rsidR="00D33117" w:rsidRPr="004F12EC" w:rsidRDefault="00D33117" w:rsidP="004F12EC">
      <w:pPr>
        <w:ind w:firstLine="426"/>
        <w:jc w:val="both"/>
        <w:rPr>
          <w:sz w:val="20"/>
          <w:szCs w:val="20"/>
        </w:rPr>
      </w:pPr>
    </w:p>
    <w:p w14:paraId="4F7FA8BE" w14:textId="04CDAEFA" w:rsidR="00D33117" w:rsidRPr="004F12EC" w:rsidRDefault="00D33117" w:rsidP="004F12EC">
      <w:pPr>
        <w:ind w:firstLine="426"/>
        <w:jc w:val="both"/>
        <w:rPr>
          <w:rFonts w:eastAsia="Cambria" w:cs="Cambria"/>
          <w:sz w:val="20"/>
          <w:szCs w:val="20"/>
        </w:rPr>
      </w:pPr>
      <w:r w:rsidRPr="004F12EC">
        <w:rPr>
          <w:i/>
          <w:iCs/>
          <w:sz w:val="20"/>
          <w:szCs w:val="20"/>
        </w:rPr>
        <w:t>COMPTE TENU DU FAIT</w:t>
      </w:r>
      <w:r w:rsidRPr="004F12EC">
        <w:rPr>
          <w:sz w:val="20"/>
          <w:szCs w:val="20"/>
        </w:rPr>
        <w:t xml:space="preserve"> que la </w:t>
      </w:r>
      <w:r w:rsidRPr="004F12EC">
        <w:rPr>
          <w:i/>
          <w:iCs/>
          <w:sz w:val="20"/>
          <w:szCs w:val="20"/>
        </w:rPr>
        <w:t>Recommandation de l'ICCAT sur les principes de la prise de décisions sur des mesures de conservation et de gestion de l’ICCAT</w:t>
      </w:r>
      <w:r w:rsidRPr="004F12EC">
        <w:rPr>
          <w:sz w:val="20"/>
          <w:szCs w:val="20"/>
        </w:rPr>
        <w:t xml:space="preserve"> (Rec. 11-13) demande à la Commission d'adopter immédiatement des mesures de gestion conçues pour entraîner une probabilité élevée de mettre fin à la surpêche dans un délai aussi court que possible et d'adopter un plan pour rétablir le stock en tenant compte, </w:t>
      </w:r>
      <w:r w:rsidR="00F32048" w:rsidRPr="004F12EC">
        <w:rPr>
          <w:sz w:val="20"/>
          <w:szCs w:val="20"/>
        </w:rPr>
        <w:t>entre autres</w:t>
      </w:r>
      <w:r w:rsidRPr="004F12EC">
        <w:rPr>
          <w:sz w:val="20"/>
          <w:szCs w:val="20"/>
        </w:rPr>
        <w:t>, de sa biologie et de l'avis du SCRS ;</w:t>
      </w:r>
    </w:p>
    <w:p w14:paraId="6F795DB5" w14:textId="4CF8EB71" w:rsidR="00C30C22" w:rsidRPr="004F12EC" w:rsidRDefault="00C30C22" w:rsidP="004F12EC">
      <w:pPr>
        <w:kinsoku w:val="0"/>
        <w:overflowPunct w:val="0"/>
        <w:autoSpaceDE w:val="0"/>
        <w:autoSpaceDN w:val="0"/>
        <w:adjustRightInd w:val="0"/>
        <w:ind w:left="40" w:right="115" w:firstLine="426"/>
        <w:jc w:val="both"/>
        <w:rPr>
          <w:rFonts w:cs="Cambria"/>
          <w:sz w:val="20"/>
          <w:szCs w:val="20"/>
        </w:rPr>
      </w:pPr>
    </w:p>
    <w:p w14:paraId="2062E0A4" w14:textId="0ECA4B0B" w:rsidR="00C45E2F" w:rsidRPr="004F12EC" w:rsidRDefault="00C45E2F" w:rsidP="004F12EC">
      <w:pPr>
        <w:ind w:firstLine="426"/>
        <w:jc w:val="both"/>
        <w:rPr>
          <w:rFonts w:eastAsia="Cambria" w:cs="Cambria"/>
          <w:sz w:val="20"/>
          <w:szCs w:val="20"/>
        </w:rPr>
      </w:pPr>
      <w:r w:rsidRPr="004F12EC">
        <w:rPr>
          <w:i/>
          <w:iCs/>
          <w:sz w:val="20"/>
          <w:szCs w:val="20"/>
        </w:rPr>
        <w:t>CONSCIENTE</w:t>
      </w:r>
      <w:r w:rsidRPr="004F12EC">
        <w:rPr>
          <w:sz w:val="20"/>
          <w:szCs w:val="20"/>
        </w:rPr>
        <w:t xml:space="preserve"> que des mesures de gestion de précaution devraient être envisagées particulièrement pour les stocks ayant la plus grande vulnérabilité biologique et faisant l’objet de préoccupations de conservation, au sujet desquels il existe très peu de données et/ou dont les résultats de l'évaluation font l’objet d’une grande incertitude</w:t>
      </w:r>
      <w:r w:rsidR="00630CF6" w:rsidRPr="004F12EC">
        <w:rPr>
          <w:sz w:val="20"/>
          <w:szCs w:val="20"/>
        </w:rPr>
        <w:t> ;</w:t>
      </w:r>
    </w:p>
    <w:p w14:paraId="0790D4A8" w14:textId="77777777" w:rsidR="00C45E2F" w:rsidRPr="004F12EC" w:rsidRDefault="00C45E2F" w:rsidP="004F12EC">
      <w:pPr>
        <w:kinsoku w:val="0"/>
        <w:overflowPunct w:val="0"/>
        <w:autoSpaceDE w:val="0"/>
        <w:autoSpaceDN w:val="0"/>
        <w:adjustRightInd w:val="0"/>
        <w:ind w:left="40" w:right="115" w:firstLine="426"/>
        <w:jc w:val="both"/>
        <w:rPr>
          <w:rFonts w:cs="Cambria"/>
          <w:sz w:val="20"/>
          <w:szCs w:val="20"/>
        </w:rPr>
      </w:pPr>
    </w:p>
    <w:p w14:paraId="4B02A673" w14:textId="77777777" w:rsidR="008428AC" w:rsidRPr="004F12EC" w:rsidRDefault="008428AC" w:rsidP="004F12EC">
      <w:pPr>
        <w:ind w:firstLine="426"/>
        <w:jc w:val="both"/>
        <w:rPr>
          <w:rFonts w:eastAsia="Cambria" w:cs="Cambria"/>
          <w:sz w:val="20"/>
          <w:szCs w:val="20"/>
        </w:rPr>
      </w:pPr>
      <w:r w:rsidRPr="004F12EC">
        <w:rPr>
          <w:i/>
          <w:sz w:val="20"/>
          <w:szCs w:val="20"/>
        </w:rPr>
        <w:t xml:space="preserve">RAPPELANT </w:t>
      </w:r>
      <w:r w:rsidRPr="004F12EC">
        <w:rPr>
          <w:sz w:val="20"/>
          <w:szCs w:val="20"/>
        </w:rPr>
        <w:t>les évaluations des risques écologiques réalisées par le SCRS en 2008 et 2012, qui indiquent que le requin-taupe bleu occupe la troisième place dans le tableau de vulnérabilité ;</w:t>
      </w:r>
    </w:p>
    <w:p w14:paraId="339C4169" w14:textId="77777777" w:rsidR="00B40105" w:rsidRPr="004F12EC" w:rsidRDefault="00B40105" w:rsidP="004F12EC">
      <w:pPr>
        <w:ind w:firstLine="426"/>
        <w:jc w:val="both"/>
        <w:rPr>
          <w:rFonts w:eastAsia="Cambria" w:cs="Cambria"/>
          <w:b/>
          <w:sz w:val="20"/>
          <w:szCs w:val="20"/>
        </w:rPr>
      </w:pPr>
    </w:p>
    <w:p w14:paraId="28AA4CBC" w14:textId="7319A6DD" w:rsidR="00C45E2F" w:rsidRPr="004F12EC" w:rsidRDefault="00C45E2F" w:rsidP="004F12EC">
      <w:pPr>
        <w:ind w:firstLine="426"/>
        <w:jc w:val="both"/>
        <w:rPr>
          <w:rFonts w:eastAsia="MS Mincho" w:cs="Cambria"/>
          <w:sz w:val="20"/>
          <w:szCs w:val="20"/>
        </w:rPr>
      </w:pPr>
      <w:r w:rsidRPr="004F12EC">
        <w:rPr>
          <w:i/>
          <w:iCs/>
          <w:sz w:val="20"/>
          <w:szCs w:val="20"/>
        </w:rPr>
        <w:t>RAPPELANT</w:t>
      </w:r>
      <w:r w:rsidRPr="004F12EC">
        <w:rPr>
          <w:sz w:val="20"/>
          <w:szCs w:val="20"/>
        </w:rPr>
        <w:t xml:space="preserve"> </w:t>
      </w:r>
      <w:r w:rsidRPr="004F12EC">
        <w:rPr>
          <w:i/>
          <w:iCs/>
          <w:sz w:val="20"/>
          <w:szCs w:val="20"/>
        </w:rPr>
        <w:t>ÉGALEMENT</w:t>
      </w:r>
      <w:r w:rsidRPr="004F12EC">
        <w:rPr>
          <w:sz w:val="20"/>
          <w:szCs w:val="20"/>
        </w:rPr>
        <w:t xml:space="preserve"> l'approche convenue pour le requin-taupe bleu de l'Atlantique Nord et compte tenu de la difficulté de parvenir à un accord, il serait judicieux de suivre une approche similaire</w:t>
      </w:r>
      <w:r w:rsidR="00630CF6" w:rsidRPr="004F12EC">
        <w:rPr>
          <w:sz w:val="20"/>
          <w:szCs w:val="20"/>
        </w:rPr>
        <w:t> ;</w:t>
      </w:r>
    </w:p>
    <w:p w14:paraId="1AF2D1A1" w14:textId="5C784CBB" w:rsidR="005C6F82" w:rsidRPr="004F12EC" w:rsidRDefault="005C6F82" w:rsidP="004F12EC">
      <w:pPr>
        <w:ind w:firstLine="426"/>
        <w:jc w:val="both"/>
        <w:rPr>
          <w:sz w:val="20"/>
          <w:szCs w:val="20"/>
        </w:rPr>
      </w:pPr>
    </w:p>
    <w:p w14:paraId="15824557" w14:textId="654CDED8" w:rsidR="008428AC" w:rsidRPr="004F12EC" w:rsidRDefault="008428AC" w:rsidP="004F12EC">
      <w:pPr>
        <w:ind w:firstLine="426"/>
        <w:jc w:val="both"/>
        <w:rPr>
          <w:sz w:val="20"/>
          <w:szCs w:val="20"/>
        </w:rPr>
      </w:pPr>
      <w:r w:rsidRPr="004F12EC">
        <w:rPr>
          <w:i/>
          <w:iCs/>
          <w:sz w:val="20"/>
          <w:szCs w:val="20"/>
        </w:rPr>
        <w:t>CONSCIENTE</w:t>
      </w:r>
      <w:r w:rsidRPr="004F12EC">
        <w:rPr>
          <w:sz w:val="20"/>
          <w:szCs w:val="20"/>
        </w:rPr>
        <w:t xml:space="preserve"> </w:t>
      </w:r>
      <w:r w:rsidR="00C45E2F" w:rsidRPr="004F12EC">
        <w:rPr>
          <w:i/>
          <w:iCs/>
          <w:sz w:val="20"/>
          <w:szCs w:val="20"/>
        </w:rPr>
        <w:t>ÉGALEMENT</w:t>
      </w:r>
      <w:r w:rsidR="00C45E2F" w:rsidRPr="004F12EC">
        <w:rPr>
          <w:sz w:val="20"/>
          <w:szCs w:val="20"/>
        </w:rPr>
        <w:t xml:space="preserve"> </w:t>
      </w:r>
      <w:r w:rsidRPr="004F12EC">
        <w:rPr>
          <w:sz w:val="20"/>
          <w:szCs w:val="20"/>
        </w:rPr>
        <w:t xml:space="preserve">du fait que le SCRS a souligné que la déclaration de toutes les sources de mortalité était un élément essentiel pour réduire l'incertitude des résultats de l'évaluation des stocks, et en particulier la déclaration des rejets morts estimés pour toutes les pêcheries ; </w:t>
      </w:r>
    </w:p>
    <w:p w14:paraId="42F537F9" w14:textId="77777777" w:rsidR="00B40105" w:rsidRPr="004F12EC" w:rsidRDefault="00B40105" w:rsidP="004F12EC">
      <w:pPr>
        <w:ind w:firstLine="426"/>
        <w:jc w:val="both"/>
        <w:rPr>
          <w:rFonts w:eastAsia="Cambria" w:cs="Cambria"/>
          <w:sz w:val="20"/>
          <w:szCs w:val="20"/>
        </w:rPr>
      </w:pPr>
    </w:p>
    <w:p w14:paraId="56976AF2" w14:textId="2076AB52" w:rsidR="00722AEF" w:rsidRPr="004F12EC" w:rsidRDefault="00722AEF" w:rsidP="004F12EC">
      <w:pPr>
        <w:ind w:firstLine="426"/>
        <w:jc w:val="both"/>
        <w:rPr>
          <w:rFonts w:eastAsia="Cambria" w:cs="Cambria"/>
          <w:sz w:val="20"/>
          <w:szCs w:val="20"/>
        </w:rPr>
      </w:pPr>
      <w:r w:rsidRPr="004F12EC">
        <w:rPr>
          <w:i/>
          <w:iCs/>
          <w:sz w:val="20"/>
          <w:szCs w:val="20"/>
        </w:rPr>
        <w:t xml:space="preserve">RECONNAISSANT EN OUTRE </w:t>
      </w:r>
      <w:r w:rsidRPr="004F12EC">
        <w:rPr>
          <w:sz w:val="20"/>
          <w:szCs w:val="20"/>
        </w:rPr>
        <w:t xml:space="preserve">l’avis du SCRS selon lequel il est nécessaire que les Parties contractantes et Parties, Entités ou Entités de pêche non contractantes coopérantes (ci-après dénommées </w:t>
      </w:r>
      <w:r w:rsidR="00905DD6" w:rsidRPr="004F12EC">
        <w:rPr>
          <w:sz w:val="20"/>
          <w:szCs w:val="20"/>
        </w:rPr>
        <w:t>« </w:t>
      </w:r>
      <w:r w:rsidRPr="004F12EC">
        <w:rPr>
          <w:sz w:val="20"/>
          <w:szCs w:val="20"/>
        </w:rPr>
        <w:t>CPC</w:t>
      </w:r>
      <w:r w:rsidR="00905DD6" w:rsidRPr="004F12EC">
        <w:rPr>
          <w:sz w:val="20"/>
          <w:szCs w:val="20"/>
        </w:rPr>
        <w:t> »</w:t>
      </w:r>
      <w:r w:rsidRPr="004F12EC">
        <w:rPr>
          <w:sz w:val="20"/>
          <w:szCs w:val="20"/>
        </w:rPr>
        <w:t>) renforcent leurs efforts de suivi et de collecte des données pour étayer les futures évaluations des stocks, y compris mais sans s’y limiter, l’estimation du total de</w:t>
      </w:r>
      <w:r w:rsidR="00905DD6" w:rsidRPr="004F12EC">
        <w:rPr>
          <w:sz w:val="20"/>
          <w:szCs w:val="20"/>
        </w:rPr>
        <w:t>s</w:t>
      </w:r>
      <w:r w:rsidRPr="004F12EC">
        <w:rPr>
          <w:sz w:val="20"/>
          <w:szCs w:val="20"/>
        </w:rPr>
        <w:t xml:space="preserve"> rejets morts </w:t>
      </w:r>
      <w:r w:rsidR="005A5BCA" w:rsidRPr="004F12EC">
        <w:rPr>
          <w:sz w:val="20"/>
          <w:szCs w:val="20"/>
        </w:rPr>
        <w:t xml:space="preserve">et des remises à l’eau de spécimens vivants, </w:t>
      </w:r>
      <w:r w:rsidRPr="004F12EC">
        <w:rPr>
          <w:sz w:val="20"/>
          <w:szCs w:val="20"/>
        </w:rPr>
        <w:t xml:space="preserve">et l’estimation de la </w:t>
      </w:r>
      <w:r w:rsidR="00E935BE" w:rsidRPr="004F12EC">
        <w:rPr>
          <w:sz w:val="20"/>
          <w:szCs w:val="20"/>
        </w:rPr>
        <w:t>capture par unité d’effort (</w:t>
      </w:r>
      <w:r w:rsidRPr="004F12EC">
        <w:rPr>
          <w:sz w:val="20"/>
          <w:szCs w:val="20"/>
        </w:rPr>
        <w:t>CPUE</w:t>
      </w:r>
      <w:r w:rsidR="00E935BE" w:rsidRPr="004F12EC">
        <w:rPr>
          <w:sz w:val="20"/>
          <w:szCs w:val="20"/>
        </w:rPr>
        <w:t>)</w:t>
      </w:r>
      <w:r w:rsidRPr="004F12EC">
        <w:rPr>
          <w:sz w:val="20"/>
          <w:szCs w:val="20"/>
        </w:rPr>
        <w:t xml:space="preserve"> </w:t>
      </w:r>
      <w:r w:rsidR="00905DD6" w:rsidRPr="004F12EC">
        <w:rPr>
          <w:sz w:val="20"/>
          <w:szCs w:val="20"/>
        </w:rPr>
        <w:t>au moyen</w:t>
      </w:r>
      <w:r w:rsidRPr="004F12EC">
        <w:rPr>
          <w:sz w:val="20"/>
          <w:szCs w:val="20"/>
        </w:rPr>
        <w:t xml:space="preserve"> des données des observateurs ; </w:t>
      </w:r>
    </w:p>
    <w:p w14:paraId="5F2C7451" w14:textId="779C2F9C" w:rsidR="00BD1128" w:rsidRPr="004F12EC" w:rsidRDefault="00BD1128" w:rsidP="004F12EC">
      <w:pPr>
        <w:jc w:val="both"/>
        <w:rPr>
          <w:i/>
          <w:iCs/>
          <w:sz w:val="20"/>
          <w:szCs w:val="20"/>
        </w:rPr>
      </w:pPr>
    </w:p>
    <w:p w14:paraId="60A4FBD9" w14:textId="3B9E0EE8" w:rsidR="00C11C6F" w:rsidRPr="004F12EC" w:rsidRDefault="00722AEF" w:rsidP="004F12EC">
      <w:pPr>
        <w:ind w:firstLine="426"/>
        <w:jc w:val="both"/>
        <w:rPr>
          <w:sz w:val="20"/>
          <w:szCs w:val="20"/>
        </w:rPr>
      </w:pPr>
      <w:r w:rsidRPr="004F12EC">
        <w:rPr>
          <w:i/>
          <w:iCs/>
          <w:sz w:val="20"/>
          <w:szCs w:val="20"/>
        </w:rPr>
        <w:t>RÉPONDANT EN OUTRE</w:t>
      </w:r>
      <w:r w:rsidRPr="004F12EC">
        <w:rPr>
          <w:sz w:val="20"/>
          <w:szCs w:val="20"/>
        </w:rPr>
        <w:t xml:space="preserve"> à la nécessité d'effectuer des recherches supplémentaires sur les méthodes visant à réduire les interactions entre les requins-taupes bleus et les pêcheries de l'ICCAT, y compris l'identification des zones à interactions élevées</w:t>
      </w:r>
      <w:r w:rsidR="00BD1128" w:rsidRPr="004F12EC">
        <w:rPr>
          <w:sz w:val="20"/>
          <w:szCs w:val="20"/>
        </w:rPr>
        <w:t> ;</w:t>
      </w:r>
    </w:p>
    <w:p w14:paraId="76F1B077" w14:textId="3DDB7752" w:rsidR="001106FB" w:rsidRPr="004F12EC" w:rsidRDefault="001106FB" w:rsidP="005E184A">
      <w:pPr>
        <w:widowControl w:val="0"/>
        <w:autoSpaceDE w:val="0"/>
        <w:autoSpaceDN w:val="0"/>
        <w:adjustRightInd w:val="0"/>
        <w:jc w:val="center"/>
        <w:rPr>
          <w:rFonts w:eastAsia="MS Mincho" w:cs="Times New Roman"/>
          <w:sz w:val="20"/>
          <w:szCs w:val="20"/>
        </w:rPr>
      </w:pPr>
      <w:r w:rsidRPr="004F12EC">
        <w:rPr>
          <w:sz w:val="20"/>
          <w:szCs w:val="20"/>
        </w:rPr>
        <w:lastRenderedPageBreak/>
        <w:t>LA COMMISSION INTERNATIONALE POUR LA CONSERVATION</w:t>
      </w:r>
    </w:p>
    <w:p w14:paraId="310BB5ED" w14:textId="234C0968" w:rsidR="001106FB" w:rsidRPr="004F12EC" w:rsidRDefault="001106FB" w:rsidP="005E184A">
      <w:pPr>
        <w:widowControl w:val="0"/>
        <w:autoSpaceDE w:val="0"/>
        <w:autoSpaceDN w:val="0"/>
        <w:adjustRightInd w:val="0"/>
        <w:jc w:val="center"/>
        <w:rPr>
          <w:rFonts w:eastAsia="MS Mincho" w:cs="Times New Roman"/>
          <w:sz w:val="20"/>
          <w:szCs w:val="20"/>
        </w:rPr>
      </w:pPr>
      <w:r w:rsidRPr="004F12EC">
        <w:rPr>
          <w:sz w:val="20"/>
          <w:szCs w:val="20"/>
        </w:rPr>
        <w:t>DES THONIDÉS DE L’ATLANTIQUE (ICCAT) RECOMMANDE CE QUI SUIT</w:t>
      </w:r>
      <w:r w:rsidR="006D099C" w:rsidRPr="004F12EC">
        <w:rPr>
          <w:sz w:val="20"/>
          <w:szCs w:val="20"/>
        </w:rPr>
        <w:t xml:space="preserve"> </w:t>
      </w:r>
      <w:r w:rsidRPr="004F12EC">
        <w:rPr>
          <w:sz w:val="20"/>
          <w:szCs w:val="20"/>
        </w:rPr>
        <w:t>:</w:t>
      </w:r>
    </w:p>
    <w:p w14:paraId="294EFFC5" w14:textId="77777777" w:rsidR="001106FB" w:rsidRPr="004F12EC" w:rsidRDefault="001106FB" w:rsidP="004F12EC">
      <w:pPr>
        <w:widowControl w:val="0"/>
        <w:autoSpaceDE w:val="0"/>
        <w:autoSpaceDN w:val="0"/>
        <w:adjustRightInd w:val="0"/>
        <w:jc w:val="both"/>
        <w:rPr>
          <w:rFonts w:eastAsia="MS Mincho" w:cs="Times New Roman"/>
          <w:sz w:val="20"/>
          <w:szCs w:val="20"/>
          <w:lang w:eastAsia="ja-JP"/>
        </w:rPr>
      </w:pPr>
    </w:p>
    <w:p w14:paraId="416EF4CC" w14:textId="4AA4B1D0" w:rsidR="00000D49" w:rsidRPr="004F12EC" w:rsidRDefault="00D27E62" w:rsidP="004F12EC">
      <w:pPr>
        <w:widowControl w:val="0"/>
        <w:autoSpaceDE w:val="0"/>
        <w:autoSpaceDN w:val="0"/>
        <w:adjustRightInd w:val="0"/>
        <w:jc w:val="both"/>
        <w:rPr>
          <w:b/>
          <w:sz w:val="20"/>
          <w:szCs w:val="20"/>
        </w:rPr>
      </w:pPr>
      <w:r w:rsidRPr="004F12EC">
        <w:rPr>
          <w:b/>
          <w:sz w:val="20"/>
          <w:szCs w:val="20"/>
        </w:rPr>
        <w:t>Objectifs du plan de gestion</w:t>
      </w:r>
    </w:p>
    <w:p w14:paraId="2B4657B9" w14:textId="77777777" w:rsidR="00D27E62" w:rsidRPr="004F12EC" w:rsidRDefault="00D27E62" w:rsidP="004F12EC">
      <w:pPr>
        <w:widowControl w:val="0"/>
        <w:autoSpaceDE w:val="0"/>
        <w:autoSpaceDN w:val="0"/>
        <w:adjustRightInd w:val="0"/>
        <w:jc w:val="both"/>
        <w:rPr>
          <w:rFonts w:eastAsia="MS Mincho" w:cs="Times New Roman"/>
          <w:sz w:val="20"/>
          <w:szCs w:val="20"/>
          <w:lang w:eastAsia="ja-JP"/>
        </w:rPr>
      </w:pPr>
    </w:p>
    <w:p w14:paraId="0F61982B" w14:textId="27A29AE1" w:rsidR="004D3570" w:rsidRPr="004F12EC" w:rsidRDefault="00BB02C1" w:rsidP="004F12EC">
      <w:pPr>
        <w:ind w:left="426" w:hanging="426"/>
        <w:contextualSpacing/>
        <w:jc w:val="both"/>
        <w:rPr>
          <w:sz w:val="20"/>
          <w:szCs w:val="20"/>
        </w:rPr>
      </w:pPr>
      <w:r w:rsidRPr="004F12EC">
        <w:rPr>
          <w:sz w:val="20"/>
          <w:szCs w:val="20"/>
        </w:rPr>
        <w:t>1.</w:t>
      </w:r>
      <w:r w:rsidRPr="004F12EC">
        <w:rPr>
          <w:sz w:val="20"/>
          <w:szCs w:val="20"/>
        </w:rPr>
        <w:tab/>
      </w:r>
      <w:r w:rsidR="00AF6568" w:rsidRPr="004F12EC">
        <w:rPr>
          <w:sz w:val="20"/>
          <w:szCs w:val="20"/>
        </w:rPr>
        <w:t xml:space="preserve">Les Parties contractantes et les Parties, Entités ou Entités de pêche non-contractantes coopérantes (ci-après dénommées </w:t>
      </w:r>
      <w:r w:rsidR="003A44E8" w:rsidRPr="004F12EC">
        <w:rPr>
          <w:sz w:val="20"/>
          <w:szCs w:val="20"/>
        </w:rPr>
        <w:t>« </w:t>
      </w:r>
      <w:r w:rsidR="00AF6568" w:rsidRPr="004F12EC">
        <w:rPr>
          <w:sz w:val="20"/>
          <w:szCs w:val="20"/>
        </w:rPr>
        <w:t>CPC</w:t>
      </w:r>
      <w:r w:rsidR="003A44E8" w:rsidRPr="004F12EC">
        <w:rPr>
          <w:sz w:val="20"/>
          <w:szCs w:val="20"/>
        </w:rPr>
        <w:t> »</w:t>
      </w:r>
      <w:r w:rsidR="00AF6568" w:rsidRPr="004F12EC">
        <w:rPr>
          <w:sz w:val="20"/>
          <w:szCs w:val="20"/>
        </w:rPr>
        <w:t xml:space="preserve">) devront mettre en œuvre un </w:t>
      </w:r>
      <w:r w:rsidR="004D3570" w:rsidRPr="004F12EC">
        <w:rPr>
          <w:sz w:val="20"/>
          <w:szCs w:val="20"/>
        </w:rPr>
        <w:t>plan de gestion de la pêcherie</w:t>
      </w:r>
      <w:r w:rsidR="00AF6568" w:rsidRPr="004F12EC">
        <w:rPr>
          <w:sz w:val="20"/>
          <w:szCs w:val="20"/>
        </w:rPr>
        <w:t xml:space="preserve"> </w:t>
      </w:r>
      <w:r w:rsidR="00905DD6" w:rsidRPr="004F12EC">
        <w:rPr>
          <w:sz w:val="20"/>
          <w:szCs w:val="20"/>
        </w:rPr>
        <w:t>de</w:t>
      </w:r>
      <w:r w:rsidR="00AF6568" w:rsidRPr="004F12EC">
        <w:rPr>
          <w:sz w:val="20"/>
          <w:szCs w:val="20"/>
        </w:rPr>
        <w:t xml:space="preserve"> requin-taupe bleu de l'Atlantique </w:t>
      </w:r>
      <w:r w:rsidR="004D3570" w:rsidRPr="004F12EC">
        <w:rPr>
          <w:sz w:val="20"/>
          <w:szCs w:val="20"/>
        </w:rPr>
        <w:t>Sud</w:t>
      </w:r>
      <w:r w:rsidR="00AF6568" w:rsidRPr="004F12EC">
        <w:rPr>
          <w:sz w:val="20"/>
          <w:szCs w:val="20"/>
        </w:rPr>
        <w:t xml:space="preserve"> à partir de </w:t>
      </w:r>
      <w:r w:rsidR="004D3570" w:rsidRPr="004F12EC">
        <w:rPr>
          <w:sz w:val="20"/>
          <w:szCs w:val="20"/>
        </w:rPr>
        <w:t>2023</w:t>
      </w:r>
      <w:r w:rsidR="00AF6568" w:rsidRPr="004F12EC">
        <w:rPr>
          <w:sz w:val="20"/>
          <w:szCs w:val="20"/>
        </w:rPr>
        <w:t xml:space="preserve"> afin de </w:t>
      </w:r>
      <w:r w:rsidR="004D3570" w:rsidRPr="004F12EC">
        <w:rPr>
          <w:sz w:val="20"/>
          <w:szCs w:val="20"/>
        </w:rPr>
        <w:t xml:space="preserve">contrecarrer </w:t>
      </w:r>
      <w:r w:rsidR="00AF6568" w:rsidRPr="004F12EC">
        <w:rPr>
          <w:sz w:val="20"/>
          <w:szCs w:val="20"/>
        </w:rPr>
        <w:t>immédiatement la surpêche et d'atteindre progressivement des niveaux de biomasse suffisants pour soutenir la PME</w:t>
      </w:r>
      <w:r w:rsidR="00D20FAF" w:rsidRPr="004F12EC">
        <w:rPr>
          <w:sz w:val="20"/>
          <w:szCs w:val="20"/>
        </w:rPr>
        <w:t>.</w:t>
      </w:r>
      <w:r w:rsidR="00AF6568" w:rsidRPr="004F12EC">
        <w:rPr>
          <w:sz w:val="20"/>
          <w:szCs w:val="20"/>
        </w:rPr>
        <w:t xml:space="preserve"> </w:t>
      </w:r>
    </w:p>
    <w:p w14:paraId="559C1351" w14:textId="77777777" w:rsidR="00060BB8" w:rsidRPr="004F12EC" w:rsidRDefault="00060BB8" w:rsidP="004F12EC">
      <w:pPr>
        <w:ind w:left="426" w:hanging="426"/>
        <w:contextualSpacing/>
        <w:jc w:val="both"/>
        <w:rPr>
          <w:sz w:val="20"/>
          <w:szCs w:val="20"/>
        </w:rPr>
      </w:pPr>
    </w:p>
    <w:p w14:paraId="4D689190" w14:textId="77777777" w:rsidR="00CD1068" w:rsidRPr="004F12EC" w:rsidRDefault="00060BB8" w:rsidP="004F12EC">
      <w:pPr>
        <w:ind w:left="426" w:hanging="426"/>
        <w:contextualSpacing/>
        <w:jc w:val="both"/>
        <w:rPr>
          <w:sz w:val="20"/>
          <w:szCs w:val="20"/>
          <w:u w:val="single"/>
        </w:rPr>
      </w:pPr>
      <w:r w:rsidRPr="004F12EC">
        <w:rPr>
          <w:sz w:val="20"/>
          <w:szCs w:val="20"/>
        </w:rPr>
        <w:t>2.</w:t>
      </w:r>
      <w:r w:rsidRPr="004F12EC">
        <w:rPr>
          <w:sz w:val="20"/>
          <w:szCs w:val="20"/>
        </w:rPr>
        <w:tab/>
      </w:r>
      <w:r w:rsidR="00B060D1" w:rsidRPr="004F12EC">
        <w:rPr>
          <w:sz w:val="20"/>
          <w:szCs w:val="20"/>
        </w:rPr>
        <w:t xml:space="preserve">Afin de rétablir les possibilités de pêche le plus tôt possible, l'objectif de la présente </w:t>
      </w:r>
      <w:r w:rsidR="00825B71" w:rsidRPr="004F12EC">
        <w:rPr>
          <w:sz w:val="20"/>
          <w:szCs w:val="20"/>
        </w:rPr>
        <w:t>R</w:t>
      </w:r>
      <w:r w:rsidR="00B060D1" w:rsidRPr="004F12EC">
        <w:rPr>
          <w:sz w:val="20"/>
          <w:szCs w:val="20"/>
        </w:rPr>
        <w:t xml:space="preserve">ecommandation devra être de faire en sorte que le stock se trouve dans le quadrant vert de la </w:t>
      </w:r>
      <w:r w:rsidR="00B060D1" w:rsidRPr="004F12EC">
        <w:rPr>
          <w:color w:val="000000" w:themeColor="text1"/>
          <w:sz w:val="20"/>
          <w:szCs w:val="20"/>
        </w:rPr>
        <w:t>matrice de stratégie de Kobe II</w:t>
      </w:r>
      <w:r w:rsidR="00B060D1" w:rsidRPr="004F12EC">
        <w:rPr>
          <w:sz w:val="20"/>
          <w:szCs w:val="20"/>
        </w:rPr>
        <w:t xml:space="preserve"> avec une probabilité d'au moins 70% le plus tôt possible et au plus tard en 2050.</w:t>
      </w:r>
      <w:r w:rsidR="004A5834" w:rsidRPr="004F12EC">
        <w:rPr>
          <w:sz w:val="20"/>
          <w:szCs w:val="20"/>
        </w:rPr>
        <w:t xml:space="preserve"> </w:t>
      </w:r>
      <w:r w:rsidR="00CD1068" w:rsidRPr="004F12EC">
        <w:rPr>
          <w:sz w:val="20"/>
          <w:szCs w:val="20"/>
          <w:u w:val="single"/>
        </w:rPr>
        <w:t>La Commission reconnaît que les 70% sont plus élevés que les pourcentages généralement utilisés pour d'autres stocks de l’ICCAT. Ces pourcentages ne constituent pas un précédent pour les discussions futures de la Commission.</w:t>
      </w:r>
    </w:p>
    <w:p w14:paraId="5860728F" w14:textId="3FA50D11" w:rsidR="00B060D1" w:rsidRPr="004F12EC" w:rsidRDefault="00B060D1" w:rsidP="004F12EC">
      <w:pPr>
        <w:ind w:left="426" w:hanging="426"/>
        <w:contextualSpacing/>
        <w:jc w:val="both"/>
        <w:rPr>
          <w:sz w:val="20"/>
          <w:szCs w:val="20"/>
        </w:rPr>
      </w:pPr>
    </w:p>
    <w:p w14:paraId="4CCBE91B" w14:textId="30C57A81" w:rsidR="001A7E66" w:rsidRPr="004F12EC" w:rsidRDefault="001A7E66" w:rsidP="004F12EC">
      <w:pPr>
        <w:ind w:left="426" w:hanging="426"/>
        <w:contextualSpacing/>
        <w:jc w:val="both"/>
        <w:rPr>
          <w:sz w:val="20"/>
          <w:szCs w:val="20"/>
          <w:u w:val="single"/>
        </w:rPr>
      </w:pPr>
      <w:r w:rsidRPr="004F12EC">
        <w:rPr>
          <w:sz w:val="20"/>
          <w:szCs w:val="20"/>
          <w:u w:val="single"/>
        </w:rPr>
        <w:t>3.</w:t>
      </w:r>
      <w:r w:rsidRPr="004F12EC">
        <w:rPr>
          <w:sz w:val="20"/>
          <w:szCs w:val="20"/>
          <w:u w:val="single"/>
        </w:rPr>
        <w:tab/>
        <w:t>Pour atteindre cet objectif, la présente recommandation fixe l'objectif de mortalité maximale à 1.000</w:t>
      </w:r>
      <w:r w:rsidR="005E184A">
        <w:rPr>
          <w:sz w:val="20"/>
          <w:szCs w:val="20"/>
          <w:u w:val="single"/>
        </w:rPr>
        <w:t> </w:t>
      </w:r>
      <w:r w:rsidRPr="004F12EC">
        <w:rPr>
          <w:sz w:val="20"/>
          <w:szCs w:val="20"/>
          <w:u w:val="single"/>
        </w:rPr>
        <w:t xml:space="preserve">t. </w:t>
      </w:r>
    </w:p>
    <w:p w14:paraId="45BA9D01" w14:textId="77777777" w:rsidR="001A7E66" w:rsidRDefault="001A7E66" w:rsidP="004F12EC">
      <w:pPr>
        <w:ind w:left="429"/>
        <w:jc w:val="both"/>
        <w:rPr>
          <w:sz w:val="20"/>
          <w:szCs w:val="20"/>
          <w:u w:val="single"/>
        </w:rPr>
      </w:pPr>
      <w:r w:rsidRPr="004F12EC">
        <w:rPr>
          <w:sz w:val="20"/>
          <w:szCs w:val="20"/>
          <w:u w:val="single"/>
        </w:rPr>
        <w:t xml:space="preserve">  </w:t>
      </w:r>
    </w:p>
    <w:p w14:paraId="005FB150" w14:textId="77777777" w:rsidR="001F2E58" w:rsidRPr="004F12EC" w:rsidRDefault="001F2E58" w:rsidP="004F12EC">
      <w:pPr>
        <w:ind w:left="429"/>
        <w:jc w:val="both"/>
        <w:rPr>
          <w:sz w:val="20"/>
          <w:szCs w:val="20"/>
          <w:u w:val="single"/>
        </w:rPr>
      </w:pPr>
    </w:p>
    <w:p w14:paraId="2326144B" w14:textId="1905567A" w:rsidR="001A7E66" w:rsidRPr="00B95F4B" w:rsidRDefault="001A7E66" w:rsidP="004F12EC">
      <w:pPr>
        <w:ind w:left="2"/>
        <w:jc w:val="both"/>
        <w:rPr>
          <w:b/>
          <w:bCs/>
          <w:sz w:val="20"/>
          <w:szCs w:val="20"/>
          <w:u w:val="single"/>
        </w:rPr>
      </w:pPr>
      <w:r w:rsidRPr="00B95F4B">
        <w:rPr>
          <w:b/>
          <w:bCs/>
          <w:sz w:val="20"/>
          <w:szCs w:val="20"/>
          <w:u w:val="single"/>
        </w:rPr>
        <w:t xml:space="preserve">Processus de détermination de la rétention admissible </w:t>
      </w:r>
    </w:p>
    <w:p w14:paraId="22CA7A8B" w14:textId="77777777" w:rsidR="001A7E66" w:rsidRPr="004F12EC" w:rsidRDefault="001A7E66" w:rsidP="004F12EC">
      <w:pPr>
        <w:ind w:left="426" w:hanging="426"/>
        <w:contextualSpacing/>
        <w:jc w:val="both"/>
        <w:rPr>
          <w:sz w:val="20"/>
          <w:szCs w:val="20"/>
        </w:rPr>
      </w:pPr>
    </w:p>
    <w:p w14:paraId="43E41CC3" w14:textId="5E2E5063" w:rsidR="002D0243" w:rsidRPr="004F12EC" w:rsidRDefault="001475B2" w:rsidP="005E184A">
      <w:pPr>
        <w:ind w:left="426" w:hanging="426"/>
        <w:contextualSpacing/>
        <w:jc w:val="both"/>
        <w:rPr>
          <w:sz w:val="20"/>
          <w:szCs w:val="20"/>
          <w:u w:val="single"/>
        </w:rPr>
      </w:pPr>
      <w:r w:rsidRPr="004F12EC">
        <w:rPr>
          <w:sz w:val="20"/>
          <w:szCs w:val="20"/>
        </w:rPr>
        <w:t>4</w:t>
      </w:r>
      <w:r w:rsidR="006400D4" w:rsidRPr="004F12EC">
        <w:rPr>
          <w:sz w:val="20"/>
          <w:szCs w:val="20"/>
        </w:rPr>
        <w:t>.</w:t>
      </w:r>
      <w:r w:rsidR="006400D4" w:rsidRPr="004F12EC">
        <w:rPr>
          <w:sz w:val="20"/>
          <w:szCs w:val="20"/>
        </w:rPr>
        <w:tab/>
      </w:r>
      <w:r w:rsidR="002D0243" w:rsidRPr="005E184A">
        <w:rPr>
          <w:sz w:val="20"/>
          <w:szCs w:val="20"/>
        </w:rPr>
        <w:t xml:space="preserve">Compte tenu de l'état du stock et de l'incertitude des données utilisées par le SCRS pour fournir un avis, les CPC devront mettre en œuvre </w:t>
      </w:r>
      <w:r w:rsidR="002D0243" w:rsidRPr="004F12EC">
        <w:rPr>
          <w:sz w:val="20"/>
          <w:szCs w:val="20"/>
          <w:u w:val="single"/>
        </w:rPr>
        <w:t xml:space="preserve">une tolérance de rétention maximale. </w:t>
      </w:r>
    </w:p>
    <w:p w14:paraId="26B07E22" w14:textId="21304799" w:rsidR="00B060D1" w:rsidRPr="004F12EC" w:rsidRDefault="00B060D1" w:rsidP="004F12EC">
      <w:pPr>
        <w:ind w:left="426" w:hanging="426"/>
        <w:contextualSpacing/>
        <w:jc w:val="both"/>
        <w:rPr>
          <w:sz w:val="20"/>
          <w:szCs w:val="20"/>
        </w:rPr>
      </w:pPr>
    </w:p>
    <w:p w14:paraId="41E183C1" w14:textId="6A63F170" w:rsidR="00CE69CF" w:rsidRPr="004F12EC" w:rsidRDefault="00CE69CF" w:rsidP="00122FE5">
      <w:pPr>
        <w:ind w:left="426" w:hanging="426"/>
        <w:contextualSpacing/>
        <w:jc w:val="both"/>
        <w:rPr>
          <w:sz w:val="20"/>
          <w:szCs w:val="20"/>
          <w:u w:val="single"/>
        </w:rPr>
      </w:pPr>
      <w:r w:rsidRPr="004F12EC">
        <w:rPr>
          <w:sz w:val="20"/>
          <w:szCs w:val="20"/>
          <w:u w:val="single"/>
        </w:rPr>
        <w:t>5.</w:t>
      </w:r>
      <w:r w:rsidRPr="004F12EC">
        <w:rPr>
          <w:sz w:val="20"/>
          <w:szCs w:val="20"/>
          <w:u w:val="single"/>
        </w:rPr>
        <w:tab/>
      </w:r>
      <w:r w:rsidRPr="00517E80">
        <w:rPr>
          <w:sz w:val="20"/>
          <w:szCs w:val="20"/>
          <w:u w:val="single"/>
        </w:rPr>
        <w:t>La tolérance de</w:t>
      </w:r>
      <w:r w:rsidRPr="004F12EC">
        <w:rPr>
          <w:sz w:val="20"/>
          <w:szCs w:val="20"/>
          <w:u w:val="single"/>
        </w:rPr>
        <w:t xml:space="preserve"> </w:t>
      </w:r>
      <w:r w:rsidRPr="00245828">
        <w:rPr>
          <w:sz w:val="20"/>
          <w:szCs w:val="20"/>
        </w:rPr>
        <w:t>rétention</w:t>
      </w:r>
      <w:r w:rsidRPr="004F12EC">
        <w:rPr>
          <w:sz w:val="20"/>
          <w:szCs w:val="20"/>
          <w:u w:val="single"/>
        </w:rPr>
        <w:t xml:space="preserve"> des CPC pour 2026 devra être la suivante.</w:t>
      </w:r>
    </w:p>
    <w:p w14:paraId="02F9BD58" w14:textId="77777777" w:rsidR="00CE69CF" w:rsidRPr="004F12EC" w:rsidRDefault="00CE69CF" w:rsidP="004F12EC">
      <w:pPr>
        <w:ind w:left="426" w:hanging="426"/>
        <w:contextualSpacing/>
        <w:jc w:val="both"/>
        <w:rPr>
          <w:sz w:val="20"/>
          <w:szCs w:val="20"/>
        </w:rPr>
      </w:pPr>
    </w:p>
    <w:tbl>
      <w:tblPr>
        <w:tblStyle w:val="TableGrid"/>
        <w:tblW w:w="0" w:type="auto"/>
        <w:jc w:val="center"/>
        <w:tblLook w:val="04A0" w:firstRow="1" w:lastRow="0" w:firstColumn="1" w:lastColumn="0" w:noHBand="0" w:noVBand="1"/>
      </w:tblPr>
      <w:tblGrid>
        <w:gridCol w:w="1838"/>
        <w:gridCol w:w="2105"/>
      </w:tblGrid>
      <w:tr w:rsidR="00BE03B1" w:rsidRPr="00245828" w14:paraId="4C899194" w14:textId="77777777" w:rsidTr="005303D3">
        <w:trPr>
          <w:jc w:val="center"/>
        </w:trPr>
        <w:tc>
          <w:tcPr>
            <w:tcW w:w="1838" w:type="dxa"/>
          </w:tcPr>
          <w:p w14:paraId="55BB7A4C" w14:textId="77777777" w:rsidR="00BE03B1" w:rsidRPr="00245828" w:rsidRDefault="00BE03B1" w:rsidP="004F12EC">
            <w:pPr>
              <w:jc w:val="both"/>
              <w:rPr>
                <w:rFonts w:asciiTheme="minorHAnsi" w:hAnsiTheme="minorHAnsi"/>
                <w:i/>
                <w:iCs/>
                <w:sz w:val="20"/>
                <w:szCs w:val="20"/>
                <w:u w:val="single"/>
              </w:rPr>
            </w:pPr>
            <w:r w:rsidRPr="00245828">
              <w:rPr>
                <w:rFonts w:asciiTheme="minorHAnsi" w:hAnsiTheme="minorHAnsi"/>
                <w:i/>
                <w:iCs/>
                <w:sz w:val="20"/>
                <w:szCs w:val="20"/>
                <w:u w:val="single"/>
              </w:rPr>
              <w:t>CPC</w:t>
            </w:r>
          </w:p>
        </w:tc>
        <w:tc>
          <w:tcPr>
            <w:tcW w:w="2105" w:type="dxa"/>
          </w:tcPr>
          <w:p w14:paraId="144F9811" w14:textId="3B260E42" w:rsidR="00BE03B1" w:rsidRPr="00245828" w:rsidRDefault="00BE03B1" w:rsidP="00574A10">
            <w:pPr>
              <w:ind w:firstLine="2"/>
              <w:jc w:val="center"/>
              <w:rPr>
                <w:rFonts w:asciiTheme="minorHAnsi" w:hAnsiTheme="minorHAnsi"/>
                <w:i/>
                <w:iCs/>
                <w:sz w:val="20"/>
                <w:szCs w:val="20"/>
                <w:u w:val="single"/>
              </w:rPr>
            </w:pPr>
            <w:r w:rsidRPr="00245828">
              <w:rPr>
                <w:rFonts w:asciiTheme="minorHAnsi" w:hAnsiTheme="minorHAnsi"/>
                <w:i/>
                <w:iCs/>
                <w:sz w:val="20"/>
                <w:szCs w:val="20"/>
                <w:u w:val="single"/>
              </w:rPr>
              <w:t>Tolérance de rétention (t)</w:t>
            </w:r>
          </w:p>
        </w:tc>
      </w:tr>
      <w:tr w:rsidR="00BE03B1" w:rsidRPr="00245828" w14:paraId="22207005" w14:textId="77777777" w:rsidTr="005303D3">
        <w:trPr>
          <w:jc w:val="center"/>
        </w:trPr>
        <w:tc>
          <w:tcPr>
            <w:tcW w:w="1838" w:type="dxa"/>
          </w:tcPr>
          <w:p w14:paraId="54A2A698" w14:textId="77777777"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Angola</w:t>
            </w:r>
          </w:p>
        </w:tc>
        <w:tc>
          <w:tcPr>
            <w:tcW w:w="2105" w:type="dxa"/>
          </w:tcPr>
          <w:p w14:paraId="7EDDE829"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0,00</w:t>
            </w:r>
          </w:p>
        </w:tc>
      </w:tr>
      <w:tr w:rsidR="00BE03B1" w:rsidRPr="00245828" w14:paraId="4AD2F0C7" w14:textId="77777777" w:rsidTr="005303D3">
        <w:trPr>
          <w:jc w:val="center"/>
        </w:trPr>
        <w:tc>
          <w:tcPr>
            <w:tcW w:w="1838" w:type="dxa"/>
          </w:tcPr>
          <w:p w14:paraId="517644DC" w14:textId="77777777"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Belize</w:t>
            </w:r>
          </w:p>
        </w:tc>
        <w:tc>
          <w:tcPr>
            <w:tcW w:w="2105" w:type="dxa"/>
          </w:tcPr>
          <w:p w14:paraId="413C8BFB"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6,48</w:t>
            </w:r>
          </w:p>
        </w:tc>
      </w:tr>
      <w:tr w:rsidR="00BE03B1" w:rsidRPr="00245828" w14:paraId="4494CB86" w14:textId="77777777" w:rsidTr="005303D3">
        <w:trPr>
          <w:jc w:val="center"/>
        </w:trPr>
        <w:tc>
          <w:tcPr>
            <w:tcW w:w="1838" w:type="dxa"/>
          </w:tcPr>
          <w:p w14:paraId="196BDEE8" w14:textId="2EF9AA8A"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Brésil</w:t>
            </w:r>
          </w:p>
        </w:tc>
        <w:tc>
          <w:tcPr>
            <w:tcW w:w="2105" w:type="dxa"/>
          </w:tcPr>
          <w:p w14:paraId="5A53313D"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45,85</w:t>
            </w:r>
          </w:p>
        </w:tc>
      </w:tr>
      <w:tr w:rsidR="00BE03B1" w:rsidRPr="00245828" w14:paraId="53C36405" w14:textId="77777777" w:rsidTr="005303D3">
        <w:trPr>
          <w:jc w:val="center"/>
        </w:trPr>
        <w:tc>
          <w:tcPr>
            <w:tcW w:w="1838" w:type="dxa"/>
          </w:tcPr>
          <w:p w14:paraId="1B50AFC5" w14:textId="7A9EAFEA"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Chine RP</w:t>
            </w:r>
          </w:p>
        </w:tc>
        <w:tc>
          <w:tcPr>
            <w:tcW w:w="2105" w:type="dxa"/>
          </w:tcPr>
          <w:p w14:paraId="0173D51D"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1,42</w:t>
            </w:r>
          </w:p>
        </w:tc>
      </w:tr>
      <w:tr w:rsidR="00BE03B1" w:rsidRPr="00245828" w14:paraId="1993E88B" w14:textId="77777777" w:rsidTr="005303D3">
        <w:trPr>
          <w:jc w:val="center"/>
        </w:trPr>
        <w:tc>
          <w:tcPr>
            <w:tcW w:w="1838" w:type="dxa"/>
          </w:tcPr>
          <w:p w14:paraId="09E0ED49" w14:textId="34547909"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Taipei chinois</w:t>
            </w:r>
          </w:p>
        </w:tc>
        <w:tc>
          <w:tcPr>
            <w:tcW w:w="2105" w:type="dxa"/>
          </w:tcPr>
          <w:p w14:paraId="14FBC3D1"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30,93</w:t>
            </w:r>
          </w:p>
        </w:tc>
      </w:tr>
      <w:tr w:rsidR="00BE03B1" w:rsidRPr="00245828" w14:paraId="6D70C275" w14:textId="77777777" w:rsidTr="005303D3">
        <w:trPr>
          <w:jc w:val="center"/>
        </w:trPr>
        <w:tc>
          <w:tcPr>
            <w:tcW w:w="1838" w:type="dxa"/>
          </w:tcPr>
          <w:p w14:paraId="5A4CD823" w14:textId="77777777"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Côte d'Ivoire</w:t>
            </w:r>
          </w:p>
        </w:tc>
        <w:tc>
          <w:tcPr>
            <w:tcW w:w="2105" w:type="dxa"/>
          </w:tcPr>
          <w:p w14:paraId="510CA708"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4,18</w:t>
            </w:r>
          </w:p>
        </w:tc>
      </w:tr>
      <w:tr w:rsidR="00BE03B1" w:rsidRPr="00245828" w14:paraId="46FEB732" w14:textId="77777777" w:rsidTr="005303D3">
        <w:trPr>
          <w:jc w:val="center"/>
        </w:trPr>
        <w:tc>
          <w:tcPr>
            <w:tcW w:w="1838" w:type="dxa"/>
          </w:tcPr>
          <w:p w14:paraId="19E0F991" w14:textId="77777777"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Curaçao</w:t>
            </w:r>
          </w:p>
        </w:tc>
        <w:tc>
          <w:tcPr>
            <w:tcW w:w="2105" w:type="dxa"/>
          </w:tcPr>
          <w:p w14:paraId="66D2FB47"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0</w:t>
            </w:r>
          </w:p>
        </w:tc>
      </w:tr>
      <w:tr w:rsidR="00BE03B1" w:rsidRPr="00245828" w14:paraId="6293575A" w14:textId="77777777" w:rsidTr="005303D3">
        <w:trPr>
          <w:jc w:val="center"/>
        </w:trPr>
        <w:tc>
          <w:tcPr>
            <w:tcW w:w="1838" w:type="dxa"/>
          </w:tcPr>
          <w:p w14:paraId="34C6E24A" w14:textId="77777777"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El Salvador</w:t>
            </w:r>
          </w:p>
        </w:tc>
        <w:tc>
          <w:tcPr>
            <w:tcW w:w="2105" w:type="dxa"/>
          </w:tcPr>
          <w:p w14:paraId="4CE404A7"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0</w:t>
            </w:r>
          </w:p>
        </w:tc>
      </w:tr>
      <w:tr w:rsidR="00BE03B1" w:rsidRPr="00245828" w14:paraId="198D59D9" w14:textId="77777777" w:rsidTr="005303D3">
        <w:trPr>
          <w:jc w:val="center"/>
        </w:trPr>
        <w:tc>
          <w:tcPr>
            <w:tcW w:w="1838" w:type="dxa"/>
          </w:tcPr>
          <w:p w14:paraId="498B0BFC" w14:textId="7EFD48DF" w:rsidR="00BE03B1" w:rsidRPr="00245828" w:rsidRDefault="00E727BE" w:rsidP="004F12EC">
            <w:pPr>
              <w:jc w:val="both"/>
              <w:rPr>
                <w:rFonts w:asciiTheme="minorHAnsi" w:hAnsiTheme="minorHAnsi"/>
                <w:sz w:val="20"/>
                <w:szCs w:val="20"/>
                <w:u w:val="single"/>
              </w:rPr>
            </w:pPr>
            <w:r w:rsidRPr="00245828">
              <w:rPr>
                <w:rFonts w:asciiTheme="minorHAnsi" w:hAnsiTheme="minorHAnsi"/>
                <w:sz w:val="20"/>
                <w:szCs w:val="20"/>
                <w:u w:val="single"/>
              </w:rPr>
              <w:t>UE</w:t>
            </w:r>
          </w:p>
        </w:tc>
        <w:tc>
          <w:tcPr>
            <w:tcW w:w="2105" w:type="dxa"/>
          </w:tcPr>
          <w:p w14:paraId="765798C9"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257,27</w:t>
            </w:r>
          </w:p>
        </w:tc>
      </w:tr>
      <w:tr w:rsidR="00BE03B1" w:rsidRPr="00245828" w14:paraId="220B4298" w14:textId="77777777" w:rsidTr="005303D3">
        <w:trPr>
          <w:jc w:val="center"/>
        </w:trPr>
        <w:tc>
          <w:tcPr>
            <w:tcW w:w="1838" w:type="dxa"/>
          </w:tcPr>
          <w:p w14:paraId="5EBC9300" w14:textId="77777777"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Guatemala</w:t>
            </w:r>
          </w:p>
        </w:tc>
        <w:tc>
          <w:tcPr>
            <w:tcW w:w="2105" w:type="dxa"/>
          </w:tcPr>
          <w:p w14:paraId="0360578C"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0</w:t>
            </w:r>
          </w:p>
        </w:tc>
      </w:tr>
      <w:tr w:rsidR="00BE03B1" w:rsidRPr="00245828" w14:paraId="22BEA808" w14:textId="77777777" w:rsidTr="005303D3">
        <w:trPr>
          <w:jc w:val="center"/>
        </w:trPr>
        <w:tc>
          <w:tcPr>
            <w:tcW w:w="1838" w:type="dxa"/>
          </w:tcPr>
          <w:p w14:paraId="2506858E" w14:textId="2CBF5C6E"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Jap</w:t>
            </w:r>
            <w:r w:rsidR="00E727BE" w:rsidRPr="00245828">
              <w:rPr>
                <w:rFonts w:asciiTheme="minorHAnsi" w:hAnsiTheme="minorHAnsi"/>
                <w:sz w:val="20"/>
                <w:szCs w:val="20"/>
                <w:u w:val="single"/>
              </w:rPr>
              <w:t>o</w:t>
            </w:r>
            <w:r w:rsidRPr="00245828">
              <w:rPr>
                <w:rFonts w:asciiTheme="minorHAnsi" w:hAnsiTheme="minorHAnsi"/>
                <w:sz w:val="20"/>
                <w:szCs w:val="20"/>
                <w:u w:val="single"/>
              </w:rPr>
              <w:t>n</w:t>
            </w:r>
          </w:p>
        </w:tc>
        <w:tc>
          <w:tcPr>
            <w:tcW w:w="2105" w:type="dxa"/>
          </w:tcPr>
          <w:p w14:paraId="063E653E"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26,32</w:t>
            </w:r>
          </w:p>
        </w:tc>
      </w:tr>
      <w:tr w:rsidR="00BE03B1" w:rsidRPr="00245828" w14:paraId="06E583BF" w14:textId="77777777" w:rsidTr="005303D3">
        <w:trPr>
          <w:jc w:val="center"/>
        </w:trPr>
        <w:tc>
          <w:tcPr>
            <w:tcW w:w="1838" w:type="dxa"/>
          </w:tcPr>
          <w:p w14:paraId="074110B4" w14:textId="3934AC03" w:rsidR="00BE03B1" w:rsidRPr="00245828" w:rsidRDefault="00E727BE" w:rsidP="004F12EC">
            <w:pPr>
              <w:jc w:val="both"/>
              <w:rPr>
                <w:rFonts w:asciiTheme="minorHAnsi" w:hAnsiTheme="minorHAnsi"/>
                <w:sz w:val="20"/>
                <w:szCs w:val="20"/>
                <w:u w:val="single"/>
              </w:rPr>
            </w:pPr>
            <w:r w:rsidRPr="00245828">
              <w:rPr>
                <w:rFonts w:asciiTheme="minorHAnsi" w:hAnsiTheme="minorHAnsi"/>
                <w:sz w:val="20"/>
                <w:szCs w:val="20"/>
                <w:u w:val="single"/>
              </w:rPr>
              <w:t>Corée</w:t>
            </w:r>
          </w:p>
        </w:tc>
        <w:tc>
          <w:tcPr>
            <w:tcW w:w="2105" w:type="dxa"/>
          </w:tcPr>
          <w:p w14:paraId="662A7C0A"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1,80</w:t>
            </w:r>
          </w:p>
        </w:tc>
      </w:tr>
      <w:tr w:rsidR="00BE03B1" w:rsidRPr="00245828" w14:paraId="331850E2" w14:textId="77777777" w:rsidTr="005303D3">
        <w:trPr>
          <w:jc w:val="center"/>
        </w:trPr>
        <w:tc>
          <w:tcPr>
            <w:tcW w:w="1838" w:type="dxa"/>
          </w:tcPr>
          <w:p w14:paraId="2DFBF062" w14:textId="05B051A9"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Namibi</w:t>
            </w:r>
            <w:r w:rsidR="00E727BE" w:rsidRPr="00245828">
              <w:rPr>
                <w:rFonts w:asciiTheme="minorHAnsi" w:hAnsiTheme="minorHAnsi"/>
                <w:sz w:val="20"/>
                <w:szCs w:val="20"/>
                <w:u w:val="single"/>
              </w:rPr>
              <w:t>e</w:t>
            </w:r>
          </w:p>
        </w:tc>
        <w:tc>
          <w:tcPr>
            <w:tcW w:w="2105" w:type="dxa"/>
          </w:tcPr>
          <w:p w14:paraId="3541A9B5"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166,95</w:t>
            </w:r>
          </w:p>
        </w:tc>
      </w:tr>
      <w:tr w:rsidR="00BE03B1" w:rsidRPr="00245828" w14:paraId="1B487F77" w14:textId="77777777" w:rsidTr="005303D3">
        <w:trPr>
          <w:jc w:val="center"/>
        </w:trPr>
        <w:tc>
          <w:tcPr>
            <w:tcW w:w="1838" w:type="dxa"/>
          </w:tcPr>
          <w:p w14:paraId="46E3B68F" w14:textId="77777777"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Panama</w:t>
            </w:r>
          </w:p>
        </w:tc>
        <w:tc>
          <w:tcPr>
            <w:tcW w:w="2105" w:type="dxa"/>
          </w:tcPr>
          <w:p w14:paraId="28DF583A"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0</w:t>
            </w:r>
          </w:p>
        </w:tc>
      </w:tr>
      <w:tr w:rsidR="00BE03B1" w:rsidRPr="00245828" w14:paraId="3F3268D3" w14:textId="77777777" w:rsidTr="005303D3">
        <w:trPr>
          <w:jc w:val="center"/>
        </w:trPr>
        <w:tc>
          <w:tcPr>
            <w:tcW w:w="1838" w:type="dxa"/>
          </w:tcPr>
          <w:p w14:paraId="474EBC44" w14:textId="77777777"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Philippines</w:t>
            </w:r>
          </w:p>
        </w:tc>
        <w:tc>
          <w:tcPr>
            <w:tcW w:w="2105" w:type="dxa"/>
          </w:tcPr>
          <w:p w14:paraId="329953D9"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1,99</w:t>
            </w:r>
          </w:p>
        </w:tc>
      </w:tr>
      <w:tr w:rsidR="00BE03B1" w:rsidRPr="00245828" w14:paraId="519799E5" w14:textId="77777777" w:rsidTr="005303D3">
        <w:trPr>
          <w:jc w:val="center"/>
        </w:trPr>
        <w:tc>
          <w:tcPr>
            <w:tcW w:w="1838" w:type="dxa"/>
          </w:tcPr>
          <w:p w14:paraId="0BEC3AF3" w14:textId="2DF9D0E0" w:rsidR="00BE03B1" w:rsidRPr="00245828" w:rsidRDefault="00E727BE" w:rsidP="004F12EC">
            <w:pPr>
              <w:jc w:val="both"/>
              <w:rPr>
                <w:rFonts w:asciiTheme="minorHAnsi" w:hAnsiTheme="minorHAnsi"/>
                <w:sz w:val="20"/>
                <w:szCs w:val="20"/>
                <w:u w:val="single"/>
              </w:rPr>
            </w:pPr>
            <w:r w:rsidRPr="00245828">
              <w:rPr>
                <w:rFonts w:asciiTheme="minorHAnsi" w:hAnsiTheme="minorHAnsi"/>
                <w:sz w:val="20"/>
                <w:szCs w:val="20"/>
                <w:u w:val="single"/>
              </w:rPr>
              <w:t>Sénégal</w:t>
            </w:r>
          </w:p>
        </w:tc>
        <w:tc>
          <w:tcPr>
            <w:tcW w:w="2105" w:type="dxa"/>
          </w:tcPr>
          <w:p w14:paraId="009E3D05"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2,16</w:t>
            </w:r>
          </w:p>
        </w:tc>
      </w:tr>
      <w:tr w:rsidR="00BE03B1" w:rsidRPr="00245828" w14:paraId="4E3CA6CA" w14:textId="77777777" w:rsidTr="005303D3">
        <w:trPr>
          <w:jc w:val="center"/>
        </w:trPr>
        <w:tc>
          <w:tcPr>
            <w:tcW w:w="1838" w:type="dxa"/>
          </w:tcPr>
          <w:p w14:paraId="3FF7BF0F" w14:textId="2FC99ED9" w:rsidR="00BE03B1" w:rsidRPr="00245828" w:rsidRDefault="00E727BE" w:rsidP="004F12EC">
            <w:pPr>
              <w:jc w:val="both"/>
              <w:rPr>
                <w:rFonts w:asciiTheme="minorHAnsi" w:hAnsiTheme="minorHAnsi"/>
                <w:sz w:val="20"/>
                <w:szCs w:val="20"/>
                <w:u w:val="single"/>
              </w:rPr>
            </w:pPr>
            <w:r w:rsidRPr="00245828">
              <w:rPr>
                <w:rFonts w:asciiTheme="minorHAnsi" w:hAnsiTheme="minorHAnsi"/>
                <w:sz w:val="20"/>
                <w:szCs w:val="20"/>
                <w:u w:val="single"/>
              </w:rPr>
              <w:t>Afrique du Sud</w:t>
            </w:r>
          </w:p>
        </w:tc>
        <w:tc>
          <w:tcPr>
            <w:tcW w:w="2105" w:type="dxa"/>
          </w:tcPr>
          <w:p w14:paraId="1E6971BA"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91,53</w:t>
            </w:r>
          </w:p>
        </w:tc>
      </w:tr>
      <w:tr w:rsidR="00BE03B1" w:rsidRPr="00245828" w14:paraId="5D1DEE15" w14:textId="77777777" w:rsidTr="005303D3">
        <w:trPr>
          <w:jc w:val="center"/>
        </w:trPr>
        <w:tc>
          <w:tcPr>
            <w:tcW w:w="1838" w:type="dxa"/>
          </w:tcPr>
          <w:p w14:paraId="07D77265" w14:textId="6E595903" w:rsidR="00BE03B1" w:rsidRPr="00245828" w:rsidRDefault="00E727BE" w:rsidP="004F12EC">
            <w:pPr>
              <w:jc w:val="both"/>
              <w:rPr>
                <w:rFonts w:asciiTheme="minorHAnsi" w:hAnsiTheme="minorHAnsi"/>
                <w:sz w:val="20"/>
                <w:szCs w:val="20"/>
                <w:u w:val="single"/>
              </w:rPr>
            </w:pPr>
            <w:r w:rsidRPr="00245828">
              <w:rPr>
                <w:rFonts w:asciiTheme="minorHAnsi" w:hAnsiTheme="minorHAnsi"/>
                <w:sz w:val="20"/>
                <w:szCs w:val="20"/>
                <w:u w:val="single"/>
              </w:rPr>
              <w:t>Royaume-Uni</w:t>
            </w:r>
          </w:p>
        </w:tc>
        <w:tc>
          <w:tcPr>
            <w:tcW w:w="2105" w:type="dxa"/>
          </w:tcPr>
          <w:p w14:paraId="6F4C4C74"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0,04</w:t>
            </w:r>
          </w:p>
        </w:tc>
      </w:tr>
      <w:tr w:rsidR="00BE03B1" w:rsidRPr="00245828" w14:paraId="69DCCB19" w14:textId="77777777" w:rsidTr="005303D3">
        <w:trPr>
          <w:jc w:val="center"/>
        </w:trPr>
        <w:tc>
          <w:tcPr>
            <w:tcW w:w="1838" w:type="dxa"/>
          </w:tcPr>
          <w:p w14:paraId="604383DA" w14:textId="77777777" w:rsidR="00BE03B1" w:rsidRPr="00245828" w:rsidRDefault="00BE03B1" w:rsidP="004F12EC">
            <w:pPr>
              <w:jc w:val="both"/>
              <w:rPr>
                <w:rFonts w:asciiTheme="minorHAnsi" w:hAnsiTheme="minorHAnsi"/>
                <w:sz w:val="20"/>
                <w:szCs w:val="20"/>
                <w:u w:val="single"/>
              </w:rPr>
            </w:pPr>
            <w:r w:rsidRPr="00245828">
              <w:rPr>
                <w:rFonts w:asciiTheme="minorHAnsi" w:hAnsiTheme="minorHAnsi"/>
                <w:sz w:val="20"/>
                <w:szCs w:val="20"/>
                <w:u w:val="single"/>
              </w:rPr>
              <w:t>Uruguay</w:t>
            </w:r>
          </w:p>
        </w:tc>
        <w:tc>
          <w:tcPr>
            <w:tcW w:w="2105" w:type="dxa"/>
          </w:tcPr>
          <w:p w14:paraId="19263570" w14:textId="77777777" w:rsidR="00BE03B1" w:rsidRPr="00245828" w:rsidRDefault="00BE03B1" w:rsidP="00490B20">
            <w:pPr>
              <w:jc w:val="center"/>
              <w:rPr>
                <w:rFonts w:asciiTheme="minorHAnsi" w:hAnsiTheme="minorHAnsi"/>
                <w:sz w:val="20"/>
                <w:szCs w:val="20"/>
                <w:u w:val="single"/>
              </w:rPr>
            </w:pPr>
            <w:r w:rsidRPr="00245828">
              <w:rPr>
                <w:rFonts w:asciiTheme="minorHAnsi" w:hAnsiTheme="minorHAnsi"/>
                <w:sz w:val="20"/>
                <w:szCs w:val="20"/>
                <w:u w:val="single"/>
              </w:rPr>
              <w:t>0,08</w:t>
            </w:r>
          </w:p>
        </w:tc>
      </w:tr>
    </w:tbl>
    <w:p w14:paraId="5BE3A768" w14:textId="77777777" w:rsidR="00B060D1" w:rsidRPr="004F12EC" w:rsidRDefault="00B060D1" w:rsidP="004F12EC">
      <w:pPr>
        <w:ind w:left="427" w:right="36"/>
        <w:jc w:val="both"/>
        <w:rPr>
          <w:sz w:val="20"/>
          <w:szCs w:val="20"/>
        </w:rPr>
      </w:pPr>
    </w:p>
    <w:p w14:paraId="0DEDC8FD" w14:textId="64A929F3" w:rsidR="00C66097" w:rsidRPr="004F12EC" w:rsidRDefault="00C66097" w:rsidP="000B757B">
      <w:pPr>
        <w:ind w:left="426" w:hanging="426"/>
        <w:contextualSpacing/>
        <w:jc w:val="both"/>
        <w:rPr>
          <w:sz w:val="20"/>
          <w:szCs w:val="20"/>
          <w:u w:val="single"/>
        </w:rPr>
      </w:pPr>
      <w:r w:rsidRPr="004F12EC">
        <w:rPr>
          <w:sz w:val="20"/>
          <w:szCs w:val="20"/>
          <w:u w:val="single"/>
        </w:rPr>
        <w:t>6.</w:t>
      </w:r>
      <w:r w:rsidRPr="004F12EC">
        <w:rPr>
          <w:sz w:val="20"/>
          <w:szCs w:val="20"/>
          <w:u w:val="single"/>
        </w:rPr>
        <w:tab/>
        <w:t>Les tolérances de rétention décrites au paragraphe 5 ne constituent pas un droit à long terme et sont sans préjudice de tout futur processus d’allocation.</w:t>
      </w:r>
    </w:p>
    <w:p w14:paraId="0C6108F1" w14:textId="77777777" w:rsidR="00C66097" w:rsidRPr="004F12EC" w:rsidRDefault="00C66097" w:rsidP="004F12EC">
      <w:pPr>
        <w:ind w:left="426" w:hanging="426"/>
        <w:contextualSpacing/>
        <w:jc w:val="both"/>
        <w:rPr>
          <w:sz w:val="20"/>
          <w:szCs w:val="20"/>
          <w:u w:val="single"/>
        </w:rPr>
      </w:pPr>
    </w:p>
    <w:p w14:paraId="10C6F21C" w14:textId="0B0EEA5C" w:rsidR="00C66097" w:rsidRPr="004F12EC" w:rsidRDefault="00DB1207" w:rsidP="004F12EC">
      <w:pPr>
        <w:ind w:left="426" w:hanging="426"/>
        <w:contextualSpacing/>
        <w:jc w:val="both"/>
        <w:rPr>
          <w:sz w:val="20"/>
          <w:szCs w:val="20"/>
          <w:u w:val="single"/>
        </w:rPr>
      </w:pPr>
      <w:r w:rsidRPr="004F12EC">
        <w:rPr>
          <w:sz w:val="20"/>
          <w:szCs w:val="20"/>
          <w:u w:val="single"/>
        </w:rPr>
        <w:t>7.</w:t>
      </w:r>
      <w:r w:rsidRPr="004F12EC">
        <w:rPr>
          <w:sz w:val="20"/>
          <w:szCs w:val="20"/>
          <w:u w:val="single"/>
        </w:rPr>
        <w:tab/>
        <w:t>Pour les années suivantes, le SCRS utilisera l'</w:t>
      </w:r>
      <w:r w:rsidRPr="008377D6">
        <w:rPr>
          <w:b/>
          <w:bCs/>
          <w:sz w:val="20"/>
          <w:szCs w:val="20"/>
          <w:u w:val="single"/>
        </w:rPr>
        <w:t>annexe 1</w:t>
      </w:r>
      <w:r w:rsidRPr="004F12EC">
        <w:rPr>
          <w:sz w:val="20"/>
          <w:szCs w:val="20"/>
          <w:u w:val="single"/>
        </w:rPr>
        <w:t xml:space="preserve"> pour calculer le niveau de rétention possible, y compris les tolérances de rétention individuelles des CPC éligibles, autorisées pour l'année suivante, et communiquera les résultats à la Commission. Le Secrétariat fournira </w:t>
      </w:r>
      <w:r w:rsidR="006F4179" w:rsidRPr="004F12EC">
        <w:rPr>
          <w:sz w:val="20"/>
          <w:szCs w:val="20"/>
          <w:u w:val="single"/>
        </w:rPr>
        <w:t>à la Sous-commission 4</w:t>
      </w:r>
      <w:r w:rsidRPr="004F12EC">
        <w:rPr>
          <w:sz w:val="20"/>
          <w:szCs w:val="20"/>
          <w:u w:val="single"/>
        </w:rPr>
        <w:t xml:space="preserve"> un document comprenant les rétentions </w:t>
      </w:r>
      <w:r w:rsidR="006F4179" w:rsidRPr="004F12EC">
        <w:rPr>
          <w:sz w:val="20"/>
          <w:szCs w:val="20"/>
          <w:u w:val="single"/>
        </w:rPr>
        <w:t>admissibles</w:t>
      </w:r>
      <w:r w:rsidRPr="004F12EC">
        <w:rPr>
          <w:sz w:val="20"/>
          <w:szCs w:val="20"/>
          <w:u w:val="single"/>
        </w:rPr>
        <w:t xml:space="preserve"> des CPC sur la base </w:t>
      </w:r>
      <w:r w:rsidR="006F4179" w:rsidRPr="004F12EC">
        <w:rPr>
          <w:sz w:val="20"/>
          <w:szCs w:val="20"/>
          <w:u w:val="single"/>
        </w:rPr>
        <w:t xml:space="preserve">de l’avis </w:t>
      </w:r>
      <w:r w:rsidRPr="004F12EC">
        <w:rPr>
          <w:sz w:val="20"/>
          <w:szCs w:val="20"/>
          <w:u w:val="single"/>
        </w:rPr>
        <w:t xml:space="preserve">du SCRS et des remboursements potentiels. La Commission </w:t>
      </w:r>
      <w:r w:rsidR="00467C0A" w:rsidRPr="004F12EC">
        <w:rPr>
          <w:sz w:val="20"/>
          <w:szCs w:val="20"/>
          <w:u w:val="single"/>
        </w:rPr>
        <w:t xml:space="preserve">devra </w:t>
      </w:r>
      <w:r w:rsidRPr="004F12EC">
        <w:rPr>
          <w:sz w:val="20"/>
          <w:szCs w:val="20"/>
          <w:u w:val="single"/>
        </w:rPr>
        <w:t xml:space="preserve">valider la rétention </w:t>
      </w:r>
      <w:r w:rsidR="00467C0A" w:rsidRPr="004F12EC">
        <w:rPr>
          <w:sz w:val="20"/>
          <w:szCs w:val="20"/>
          <w:u w:val="single"/>
        </w:rPr>
        <w:t xml:space="preserve">admissible </w:t>
      </w:r>
      <w:r w:rsidRPr="004F12EC">
        <w:rPr>
          <w:sz w:val="20"/>
          <w:szCs w:val="20"/>
          <w:u w:val="single"/>
        </w:rPr>
        <w:t>l'année suivante.</w:t>
      </w:r>
    </w:p>
    <w:p w14:paraId="0FF39026" w14:textId="77777777" w:rsidR="00C66097" w:rsidRPr="004F12EC" w:rsidRDefault="00C66097" w:rsidP="004F12EC">
      <w:pPr>
        <w:ind w:left="426" w:hanging="426"/>
        <w:contextualSpacing/>
        <w:jc w:val="both"/>
        <w:rPr>
          <w:sz w:val="20"/>
          <w:szCs w:val="20"/>
        </w:rPr>
      </w:pPr>
    </w:p>
    <w:p w14:paraId="79DADFDA" w14:textId="47DFC662" w:rsidR="00E44865" w:rsidRPr="004F12EC" w:rsidRDefault="00E44865" w:rsidP="004F12EC">
      <w:pPr>
        <w:ind w:left="426" w:hanging="426"/>
        <w:contextualSpacing/>
        <w:jc w:val="both"/>
        <w:rPr>
          <w:sz w:val="20"/>
          <w:szCs w:val="20"/>
          <w:u w:val="single"/>
        </w:rPr>
      </w:pPr>
      <w:r w:rsidRPr="004F12EC">
        <w:rPr>
          <w:sz w:val="20"/>
          <w:szCs w:val="20"/>
          <w:u w:val="single"/>
        </w:rPr>
        <w:lastRenderedPageBreak/>
        <w:t>8.</w:t>
      </w:r>
      <w:r w:rsidRPr="004F12EC">
        <w:rPr>
          <w:sz w:val="20"/>
          <w:szCs w:val="20"/>
          <w:u w:val="single"/>
        </w:rPr>
        <w:tab/>
        <w:t xml:space="preserve">Toute rétention admissible ne devra être autorisée que lorsque le poisson est mort au moment de la remontée et que le navire dispose d'un observateur ou d'un système de surveillance électronique (EMS) opérationnel à bord pour vérifier l'état des requins. </w:t>
      </w:r>
    </w:p>
    <w:p w14:paraId="5CCAAD46" w14:textId="77777777" w:rsidR="00E44865" w:rsidRPr="004F12EC" w:rsidRDefault="00E44865" w:rsidP="004F12EC">
      <w:pPr>
        <w:pStyle w:val="ListParagraph"/>
        <w:jc w:val="both"/>
        <w:rPr>
          <w:sz w:val="20"/>
          <w:szCs w:val="20"/>
          <w:u w:val="single"/>
        </w:rPr>
      </w:pPr>
    </w:p>
    <w:p w14:paraId="666632AA" w14:textId="48EB81C0" w:rsidR="00E44865" w:rsidRPr="00CE53C2" w:rsidRDefault="00E44865" w:rsidP="007616B9">
      <w:pPr>
        <w:pStyle w:val="ListParagraph"/>
        <w:numPr>
          <w:ilvl w:val="1"/>
          <w:numId w:val="40"/>
        </w:numPr>
        <w:spacing w:after="5" w:line="247" w:lineRule="auto"/>
        <w:ind w:left="1134" w:right="36" w:hanging="425"/>
        <w:jc w:val="both"/>
        <w:rPr>
          <w:sz w:val="20"/>
          <w:szCs w:val="20"/>
          <w:u w:val="single"/>
        </w:rPr>
      </w:pPr>
      <w:r w:rsidRPr="004F12EC">
        <w:rPr>
          <w:sz w:val="20"/>
          <w:szCs w:val="20"/>
          <w:u w:val="single"/>
        </w:rPr>
        <w:t xml:space="preserve">Les navires de </w:t>
      </w:r>
      <w:r w:rsidRPr="00CE53C2">
        <w:rPr>
          <w:sz w:val="20"/>
          <w:szCs w:val="20"/>
          <w:u w:val="single"/>
        </w:rPr>
        <w:t xml:space="preserve">12 mètres ou moins ne pourront pas retenir plus d’un spécimen de requin-taupe bleu de l'Atlantique Sud </w:t>
      </w:r>
      <w:r w:rsidR="006E2DE1" w:rsidRPr="00CE53C2">
        <w:rPr>
          <w:sz w:val="20"/>
          <w:szCs w:val="20"/>
          <w:u w:val="single"/>
        </w:rPr>
        <w:t xml:space="preserve">par navire </w:t>
      </w:r>
      <w:r w:rsidRPr="00CE53C2">
        <w:rPr>
          <w:sz w:val="20"/>
          <w:szCs w:val="20"/>
          <w:u w:val="single"/>
        </w:rPr>
        <w:t xml:space="preserve">au cours d'une sortie de pêche.  </w:t>
      </w:r>
    </w:p>
    <w:p w14:paraId="79B29499" w14:textId="77777777" w:rsidR="00E44865" w:rsidRPr="00CE53C2" w:rsidRDefault="00E44865" w:rsidP="004F12EC">
      <w:pPr>
        <w:spacing w:after="31" w:line="256" w:lineRule="auto"/>
        <w:ind w:left="851"/>
        <w:jc w:val="both"/>
        <w:rPr>
          <w:sz w:val="20"/>
          <w:szCs w:val="20"/>
          <w:u w:val="single"/>
        </w:rPr>
      </w:pPr>
      <w:r w:rsidRPr="00CE53C2">
        <w:rPr>
          <w:sz w:val="20"/>
          <w:szCs w:val="20"/>
          <w:u w:val="single"/>
        </w:rPr>
        <w:t xml:space="preserve"> </w:t>
      </w:r>
    </w:p>
    <w:p w14:paraId="52FBA08D" w14:textId="77777777" w:rsidR="00E44865" w:rsidRPr="00CE53C2" w:rsidRDefault="00E44865" w:rsidP="007616B9">
      <w:pPr>
        <w:pStyle w:val="ListParagraph"/>
        <w:numPr>
          <w:ilvl w:val="1"/>
          <w:numId w:val="40"/>
        </w:numPr>
        <w:spacing w:after="5" w:line="247" w:lineRule="auto"/>
        <w:ind w:left="1134" w:right="36" w:hanging="425"/>
        <w:jc w:val="both"/>
        <w:rPr>
          <w:sz w:val="20"/>
          <w:szCs w:val="20"/>
          <w:u w:val="single"/>
        </w:rPr>
      </w:pPr>
      <w:r w:rsidRPr="00CE53C2">
        <w:rPr>
          <w:sz w:val="20"/>
          <w:szCs w:val="20"/>
          <w:u w:val="single"/>
        </w:rPr>
        <w:t xml:space="preserve">Aux fins du présent paragraphe, une sortie de pêche est définie comme la période qui commence lorsqu'un navire de pêche quitte un quai, un poste d'amarrage, une plage, une digue, une rampe ou un port pour effectuer des opérations de pêche et qui se termine par le retour à un quai, un poste d'amarrage, une plage, une digue, une rampe ou un port.  </w:t>
      </w:r>
    </w:p>
    <w:p w14:paraId="1A4B1B84" w14:textId="77777777" w:rsidR="00E44865" w:rsidRPr="00CE53C2" w:rsidRDefault="00E44865" w:rsidP="004F12EC">
      <w:pPr>
        <w:pStyle w:val="ListParagraph"/>
        <w:ind w:left="1080" w:right="36"/>
        <w:jc w:val="both"/>
        <w:rPr>
          <w:sz w:val="20"/>
          <w:szCs w:val="20"/>
          <w:u w:val="single"/>
        </w:rPr>
      </w:pPr>
    </w:p>
    <w:p w14:paraId="5D20E0AD" w14:textId="3FDF74F4" w:rsidR="00F95F28" w:rsidRPr="00CE53C2" w:rsidRDefault="00F95F28" w:rsidP="004F12EC">
      <w:pPr>
        <w:ind w:left="426" w:hanging="426"/>
        <w:contextualSpacing/>
        <w:jc w:val="both"/>
        <w:rPr>
          <w:sz w:val="20"/>
          <w:szCs w:val="20"/>
          <w:u w:val="single"/>
        </w:rPr>
      </w:pPr>
      <w:r w:rsidRPr="00CE53C2">
        <w:rPr>
          <w:sz w:val="20"/>
          <w:szCs w:val="20"/>
          <w:u w:val="single"/>
        </w:rPr>
        <w:t>9.</w:t>
      </w:r>
      <w:r w:rsidRPr="00CE53C2">
        <w:rPr>
          <w:sz w:val="20"/>
          <w:szCs w:val="20"/>
          <w:u w:val="single"/>
        </w:rPr>
        <w:tab/>
        <w:t>Les CPC dont les navires de pêche retiennent du requin-taupe bleu de l’Atlantique Sud</w:t>
      </w:r>
      <w:r w:rsidR="002D00F7" w:rsidRPr="00CE53C2">
        <w:rPr>
          <w:sz w:val="20"/>
          <w:szCs w:val="20"/>
          <w:u w:val="single"/>
        </w:rPr>
        <w:t xml:space="preserve"> </w:t>
      </w:r>
      <w:r w:rsidR="005C23F9" w:rsidRPr="00CE53C2">
        <w:rPr>
          <w:sz w:val="20"/>
          <w:szCs w:val="20"/>
        </w:rPr>
        <w:t>devront</w:t>
      </w:r>
      <w:r w:rsidRPr="00CE53C2">
        <w:rPr>
          <w:sz w:val="20"/>
          <w:szCs w:val="20"/>
        </w:rPr>
        <w:t xml:space="preserve"> interdire</w:t>
      </w:r>
      <w:r w:rsidRPr="00CE53C2">
        <w:rPr>
          <w:sz w:val="20"/>
          <w:szCs w:val="20"/>
          <w:u w:val="single"/>
        </w:rPr>
        <w:t xml:space="preserve"> aux navires de pêche battant leur pavillon </w:t>
      </w:r>
      <w:r w:rsidRPr="00CE53C2">
        <w:rPr>
          <w:sz w:val="20"/>
          <w:szCs w:val="20"/>
        </w:rPr>
        <w:t>de transborder, en totalité ou en partie, le requin-taupe bleu de l'Atlantique Sud capturé en association avec les pêcheries de l'ICCAT.</w:t>
      </w:r>
      <w:r w:rsidRPr="00CE53C2">
        <w:rPr>
          <w:sz w:val="20"/>
          <w:szCs w:val="20"/>
          <w:u w:val="single"/>
        </w:rPr>
        <w:t xml:space="preserve"> </w:t>
      </w:r>
    </w:p>
    <w:p w14:paraId="4692435C" w14:textId="0D7183A4" w:rsidR="00C53562" w:rsidRPr="00CE53C2" w:rsidRDefault="00C53562" w:rsidP="004F12EC">
      <w:pPr>
        <w:pStyle w:val="gmail-m-5908448473476167748paragraph"/>
        <w:spacing w:before="0" w:beforeAutospacing="0" w:after="0" w:afterAutospacing="0"/>
        <w:ind w:left="851" w:hanging="431"/>
        <w:jc w:val="both"/>
        <w:textAlignment w:val="baseline"/>
        <w:rPr>
          <w:rFonts w:asciiTheme="minorHAnsi" w:hAnsiTheme="minorHAnsi"/>
          <w:sz w:val="20"/>
          <w:szCs w:val="20"/>
          <w:lang w:val="fr-FR"/>
        </w:rPr>
      </w:pPr>
    </w:p>
    <w:p w14:paraId="4AC8C192" w14:textId="77777777" w:rsidR="00052237" w:rsidRPr="00CE53C2" w:rsidRDefault="00052237" w:rsidP="004F12EC">
      <w:pPr>
        <w:pStyle w:val="gmail-m-5908448473476167748paragraph"/>
        <w:spacing w:before="0" w:beforeAutospacing="0" w:after="0" w:afterAutospacing="0"/>
        <w:ind w:left="851" w:hanging="431"/>
        <w:jc w:val="both"/>
        <w:textAlignment w:val="baseline"/>
        <w:rPr>
          <w:rFonts w:asciiTheme="minorHAnsi" w:hAnsiTheme="minorHAnsi"/>
          <w:sz w:val="20"/>
          <w:szCs w:val="20"/>
          <w:lang w:val="fr-FR"/>
        </w:rPr>
      </w:pPr>
    </w:p>
    <w:p w14:paraId="6F8DB3E5" w14:textId="0C7DA961" w:rsidR="00AF6568" w:rsidRPr="00CE53C2" w:rsidRDefault="00AF6568" w:rsidP="004F12EC">
      <w:pPr>
        <w:jc w:val="both"/>
        <w:rPr>
          <w:rFonts w:cs="Times New Roman"/>
          <w:b/>
          <w:color w:val="000000"/>
          <w:sz w:val="20"/>
          <w:szCs w:val="20"/>
        </w:rPr>
      </w:pPr>
      <w:r w:rsidRPr="00CE53C2">
        <w:rPr>
          <w:b/>
          <w:color w:val="000000"/>
          <w:sz w:val="20"/>
          <w:szCs w:val="20"/>
        </w:rPr>
        <w:t>Manipulation et remise à l'eau en toute sécurité</w:t>
      </w:r>
    </w:p>
    <w:p w14:paraId="2A3B4E0E" w14:textId="77777777" w:rsidR="005C5C0E" w:rsidRPr="00CE53C2" w:rsidRDefault="005C5C0E" w:rsidP="004F12EC">
      <w:pPr>
        <w:jc w:val="both"/>
        <w:rPr>
          <w:bCs/>
          <w:sz w:val="20"/>
          <w:szCs w:val="20"/>
        </w:rPr>
      </w:pPr>
    </w:p>
    <w:p w14:paraId="4C60BE6A" w14:textId="672F2392" w:rsidR="004B7133" w:rsidRPr="00CE53C2" w:rsidRDefault="001A54C5" w:rsidP="004F12EC">
      <w:pPr>
        <w:ind w:left="426" w:hanging="426"/>
        <w:jc w:val="both"/>
        <w:rPr>
          <w:sz w:val="20"/>
          <w:szCs w:val="20"/>
        </w:rPr>
      </w:pPr>
      <w:r w:rsidRPr="00CE53C2">
        <w:rPr>
          <w:sz w:val="20"/>
          <w:szCs w:val="20"/>
        </w:rPr>
        <w:t>10</w:t>
      </w:r>
      <w:r w:rsidR="000440CD" w:rsidRPr="00CE53C2">
        <w:rPr>
          <w:sz w:val="20"/>
          <w:szCs w:val="20"/>
        </w:rPr>
        <w:t>.</w:t>
      </w:r>
      <w:r w:rsidR="000440CD" w:rsidRPr="00CE53C2">
        <w:rPr>
          <w:sz w:val="20"/>
          <w:szCs w:val="20"/>
        </w:rPr>
        <w:tab/>
      </w:r>
      <w:r w:rsidR="00B73812" w:rsidRPr="00CE53C2">
        <w:rPr>
          <w:sz w:val="20"/>
          <w:szCs w:val="20"/>
        </w:rPr>
        <w:t>Les</w:t>
      </w:r>
      <w:r w:rsidR="00921219" w:rsidRPr="00CE53C2">
        <w:rPr>
          <w:sz w:val="20"/>
          <w:szCs w:val="20"/>
        </w:rPr>
        <w:t xml:space="preserve"> CPC devront </w:t>
      </w:r>
      <w:r w:rsidR="00AB790D" w:rsidRPr="00CE53C2">
        <w:rPr>
          <w:sz w:val="20"/>
          <w:szCs w:val="20"/>
        </w:rPr>
        <w:t>exiger que les</w:t>
      </w:r>
      <w:r w:rsidR="00921219" w:rsidRPr="00CE53C2">
        <w:rPr>
          <w:sz w:val="20"/>
          <w:szCs w:val="20"/>
        </w:rPr>
        <w:t xml:space="preserve"> navires battant leur pavillon </w:t>
      </w:r>
      <w:r w:rsidR="00AB790D" w:rsidRPr="00CE53C2">
        <w:rPr>
          <w:sz w:val="20"/>
          <w:szCs w:val="20"/>
        </w:rPr>
        <w:t>mettent en œuvre</w:t>
      </w:r>
      <w:r w:rsidR="009201CB" w:rsidRPr="00CE53C2">
        <w:rPr>
          <w:sz w:val="20"/>
          <w:szCs w:val="20"/>
        </w:rPr>
        <w:t xml:space="preserve">, </w:t>
      </w:r>
      <w:r w:rsidR="00921219" w:rsidRPr="00CE53C2">
        <w:rPr>
          <w:sz w:val="20"/>
          <w:szCs w:val="20"/>
        </w:rPr>
        <w:t>tout en tenant dûment compte de la sécurité de l’équipage</w:t>
      </w:r>
      <w:r w:rsidR="009201CB" w:rsidRPr="00CE53C2">
        <w:rPr>
          <w:sz w:val="20"/>
          <w:szCs w:val="20"/>
        </w:rPr>
        <w:t xml:space="preserve">, </w:t>
      </w:r>
      <w:r w:rsidR="003B5C68" w:rsidRPr="00CE53C2">
        <w:rPr>
          <w:sz w:val="20"/>
          <w:szCs w:val="20"/>
        </w:rPr>
        <w:t>l</w:t>
      </w:r>
      <w:r w:rsidR="009201CB" w:rsidRPr="00CE53C2">
        <w:rPr>
          <w:sz w:val="20"/>
          <w:szCs w:val="20"/>
        </w:rPr>
        <w:t>es</w:t>
      </w:r>
      <w:r w:rsidR="00921219" w:rsidRPr="00CE53C2">
        <w:rPr>
          <w:sz w:val="20"/>
          <w:szCs w:val="20"/>
        </w:rPr>
        <w:t xml:space="preserve"> normes minimales </w:t>
      </w:r>
      <w:r w:rsidR="0091130D" w:rsidRPr="00CE53C2">
        <w:rPr>
          <w:sz w:val="20"/>
          <w:szCs w:val="20"/>
        </w:rPr>
        <w:t>pour l</w:t>
      </w:r>
      <w:r w:rsidR="00E81A16" w:rsidRPr="00CE53C2">
        <w:rPr>
          <w:sz w:val="20"/>
          <w:szCs w:val="20"/>
        </w:rPr>
        <w:t>es</w:t>
      </w:r>
      <w:r w:rsidR="00AB790D" w:rsidRPr="00CE53C2">
        <w:rPr>
          <w:sz w:val="20"/>
          <w:szCs w:val="20"/>
        </w:rPr>
        <w:t xml:space="preserve"> procédures de </w:t>
      </w:r>
      <w:r w:rsidR="00921219" w:rsidRPr="00CE53C2">
        <w:rPr>
          <w:sz w:val="20"/>
          <w:szCs w:val="20"/>
        </w:rPr>
        <w:t xml:space="preserve">manipulation et </w:t>
      </w:r>
      <w:r w:rsidR="00AB790D" w:rsidRPr="00CE53C2">
        <w:rPr>
          <w:sz w:val="20"/>
          <w:szCs w:val="20"/>
        </w:rPr>
        <w:t>de</w:t>
      </w:r>
      <w:r w:rsidR="00921219" w:rsidRPr="00CE53C2">
        <w:rPr>
          <w:sz w:val="20"/>
          <w:szCs w:val="20"/>
        </w:rPr>
        <w:t xml:space="preserve"> remise à l'eau en toute sécurité d</w:t>
      </w:r>
      <w:r w:rsidR="003B5C68" w:rsidRPr="00CE53C2">
        <w:rPr>
          <w:sz w:val="20"/>
          <w:szCs w:val="20"/>
        </w:rPr>
        <w:t>u</w:t>
      </w:r>
      <w:r w:rsidR="00921219" w:rsidRPr="00CE53C2">
        <w:rPr>
          <w:sz w:val="20"/>
          <w:szCs w:val="20"/>
        </w:rPr>
        <w:t xml:space="preserve"> requin-taupe bleu</w:t>
      </w:r>
      <w:r w:rsidR="003B5C68" w:rsidRPr="00CE53C2">
        <w:rPr>
          <w:sz w:val="20"/>
          <w:szCs w:val="20"/>
        </w:rPr>
        <w:t xml:space="preserve"> </w:t>
      </w:r>
      <w:r w:rsidR="00921219" w:rsidRPr="00CE53C2">
        <w:rPr>
          <w:sz w:val="20"/>
          <w:szCs w:val="20"/>
        </w:rPr>
        <w:t xml:space="preserve">de l'Atlantique </w:t>
      </w:r>
      <w:r w:rsidR="004E035A" w:rsidRPr="00CE53C2">
        <w:rPr>
          <w:sz w:val="20"/>
          <w:szCs w:val="20"/>
        </w:rPr>
        <w:t xml:space="preserve">Sud </w:t>
      </w:r>
      <w:r w:rsidR="00921219" w:rsidRPr="00CE53C2">
        <w:rPr>
          <w:sz w:val="20"/>
          <w:szCs w:val="20"/>
        </w:rPr>
        <w:t>telles que prévues à l'</w:t>
      </w:r>
      <w:r w:rsidR="00921219" w:rsidRPr="00CE53C2">
        <w:rPr>
          <w:b/>
          <w:bCs/>
          <w:sz w:val="20"/>
          <w:szCs w:val="20"/>
        </w:rPr>
        <w:t>annexe</w:t>
      </w:r>
      <w:r w:rsidR="00B73812" w:rsidRPr="00CE53C2">
        <w:rPr>
          <w:b/>
          <w:bCs/>
          <w:sz w:val="20"/>
          <w:szCs w:val="20"/>
        </w:rPr>
        <w:t> </w:t>
      </w:r>
      <w:r w:rsidRPr="00CE53C2">
        <w:rPr>
          <w:b/>
          <w:bCs/>
          <w:sz w:val="20"/>
          <w:szCs w:val="20"/>
          <w:u w:val="single"/>
        </w:rPr>
        <w:t>2</w:t>
      </w:r>
      <w:r w:rsidR="00921219" w:rsidRPr="00CE53C2">
        <w:rPr>
          <w:sz w:val="20"/>
          <w:szCs w:val="20"/>
        </w:rPr>
        <w:t xml:space="preserve"> de la présente Recommandation</w:t>
      </w:r>
      <w:r w:rsidR="00574C32" w:rsidRPr="00CE53C2">
        <w:rPr>
          <w:sz w:val="20"/>
          <w:szCs w:val="20"/>
        </w:rPr>
        <w:t>, afin de remettre à l’eau rapidement et</w:t>
      </w:r>
      <w:r w:rsidR="00D9750B" w:rsidRPr="00CE53C2">
        <w:rPr>
          <w:sz w:val="20"/>
          <w:szCs w:val="20"/>
        </w:rPr>
        <w:t xml:space="preserve"> indemnes</w:t>
      </w:r>
      <w:r w:rsidR="00574C32" w:rsidRPr="00CE53C2">
        <w:rPr>
          <w:sz w:val="20"/>
          <w:szCs w:val="20"/>
        </w:rPr>
        <w:t xml:space="preserve">, dans la mesure du possible, les requins-taupes bleus vivants de l'Atlantique </w:t>
      </w:r>
      <w:r w:rsidR="004E035A" w:rsidRPr="00CE53C2">
        <w:rPr>
          <w:sz w:val="20"/>
          <w:szCs w:val="20"/>
        </w:rPr>
        <w:t xml:space="preserve">Sud </w:t>
      </w:r>
      <w:r w:rsidR="00574C32" w:rsidRPr="00CE53C2">
        <w:rPr>
          <w:sz w:val="20"/>
          <w:szCs w:val="20"/>
        </w:rPr>
        <w:t xml:space="preserve">et </w:t>
      </w:r>
      <w:r w:rsidR="00E81541" w:rsidRPr="00CE53C2">
        <w:rPr>
          <w:sz w:val="20"/>
          <w:szCs w:val="20"/>
        </w:rPr>
        <w:t>d’accroître</w:t>
      </w:r>
      <w:r w:rsidR="00574C32" w:rsidRPr="00CE53C2">
        <w:rPr>
          <w:sz w:val="20"/>
          <w:szCs w:val="20"/>
        </w:rPr>
        <w:t xml:space="preserve"> leur </w:t>
      </w:r>
      <w:r w:rsidR="00E81541" w:rsidRPr="00CE53C2">
        <w:rPr>
          <w:sz w:val="20"/>
          <w:szCs w:val="20"/>
        </w:rPr>
        <w:t>probabilité</w:t>
      </w:r>
      <w:r w:rsidR="00574C32" w:rsidRPr="00CE53C2">
        <w:rPr>
          <w:sz w:val="20"/>
          <w:szCs w:val="20"/>
        </w:rPr>
        <w:t xml:space="preserve"> de survie lorsqu'ils sont amenés le long du navire.</w:t>
      </w:r>
      <w:r w:rsidR="00AB790D" w:rsidRPr="00CE53C2">
        <w:rPr>
          <w:sz w:val="20"/>
          <w:szCs w:val="20"/>
        </w:rPr>
        <w:t xml:space="preserve"> La Commission pourrait envisager </w:t>
      </w:r>
      <w:r w:rsidR="00C22137" w:rsidRPr="00CE53C2">
        <w:rPr>
          <w:sz w:val="20"/>
          <w:szCs w:val="20"/>
        </w:rPr>
        <w:t xml:space="preserve">de réviser </w:t>
      </w:r>
      <w:r w:rsidR="00AB790D" w:rsidRPr="00CE53C2">
        <w:rPr>
          <w:sz w:val="20"/>
          <w:szCs w:val="20"/>
        </w:rPr>
        <w:t>l’</w:t>
      </w:r>
      <w:r w:rsidR="00AB790D" w:rsidRPr="00CE53C2">
        <w:rPr>
          <w:b/>
          <w:bCs/>
          <w:sz w:val="20"/>
          <w:szCs w:val="20"/>
        </w:rPr>
        <w:t xml:space="preserve">annexe </w:t>
      </w:r>
      <w:r w:rsidRPr="00CE53C2">
        <w:rPr>
          <w:b/>
          <w:bCs/>
          <w:sz w:val="20"/>
          <w:szCs w:val="20"/>
          <w:u w:val="single"/>
        </w:rPr>
        <w:t>2</w:t>
      </w:r>
      <w:r w:rsidR="00AB790D" w:rsidRPr="00CE53C2">
        <w:rPr>
          <w:b/>
          <w:bCs/>
          <w:sz w:val="20"/>
          <w:szCs w:val="20"/>
        </w:rPr>
        <w:t xml:space="preserve"> </w:t>
      </w:r>
      <w:r w:rsidR="00AB790D" w:rsidRPr="00CE53C2">
        <w:rPr>
          <w:sz w:val="20"/>
          <w:szCs w:val="20"/>
        </w:rPr>
        <w:t xml:space="preserve">si de </w:t>
      </w:r>
      <w:r w:rsidR="00921219" w:rsidRPr="00CE53C2">
        <w:rPr>
          <w:sz w:val="20"/>
          <w:szCs w:val="20"/>
        </w:rPr>
        <w:t xml:space="preserve">nouvelles informations </w:t>
      </w:r>
      <w:r w:rsidR="00AB790D" w:rsidRPr="00CE53C2">
        <w:rPr>
          <w:sz w:val="20"/>
          <w:szCs w:val="20"/>
        </w:rPr>
        <w:t xml:space="preserve">provenant du SCRS </w:t>
      </w:r>
      <w:r w:rsidR="00921219" w:rsidRPr="00CE53C2">
        <w:rPr>
          <w:sz w:val="20"/>
          <w:szCs w:val="20"/>
        </w:rPr>
        <w:t>sont disponible</w:t>
      </w:r>
      <w:r w:rsidR="00AB790D" w:rsidRPr="00CE53C2">
        <w:rPr>
          <w:sz w:val="20"/>
          <w:szCs w:val="20"/>
        </w:rPr>
        <w:t>s.</w:t>
      </w:r>
    </w:p>
    <w:p w14:paraId="1DE82322" w14:textId="77777777" w:rsidR="00C818C5" w:rsidRPr="00CE53C2" w:rsidRDefault="00C818C5" w:rsidP="004F12EC">
      <w:pPr>
        <w:ind w:left="426" w:hanging="426"/>
        <w:jc w:val="both"/>
        <w:rPr>
          <w:b/>
          <w:color w:val="000000"/>
          <w:sz w:val="20"/>
          <w:szCs w:val="20"/>
        </w:rPr>
      </w:pPr>
    </w:p>
    <w:p w14:paraId="44C70B7B" w14:textId="705A1EE9" w:rsidR="00000D49" w:rsidRPr="00CE53C2" w:rsidRDefault="00AF6568" w:rsidP="004F12EC">
      <w:pPr>
        <w:jc w:val="both"/>
        <w:rPr>
          <w:rFonts w:cs="Times New Roman"/>
          <w:b/>
          <w:color w:val="000000"/>
          <w:sz w:val="20"/>
          <w:szCs w:val="20"/>
        </w:rPr>
      </w:pPr>
      <w:r w:rsidRPr="00CE53C2">
        <w:rPr>
          <w:b/>
          <w:color w:val="000000"/>
          <w:sz w:val="20"/>
          <w:szCs w:val="20"/>
        </w:rPr>
        <w:t>Exigences en matière de déclaration de la mise en œuvre</w:t>
      </w:r>
    </w:p>
    <w:p w14:paraId="23105370" w14:textId="77777777" w:rsidR="00000D49" w:rsidRPr="00CE53C2" w:rsidRDefault="00000D49" w:rsidP="004F12EC">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498156E5" w14:textId="77777777" w:rsidR="00655A98" w:rsidRPr="00CE53C2" w:rsidRDefault="001A54C5" w:rsidP="004F12EC">
      <w:pPr>
        <w:ind w:left="426" w:hanging="426"/>
        <w:jc w:val="both"/>
        <w:rPr>
          <w:sz w:val="20"/>
          <w:szCs w:val="20"/>
          <w:u w:val="single"/>
        </w:rPr>
      </w:pPr>
      <w:r w:rsidRPr="00CE53C2">
        <w:rPr>
          <w:sz w:val="20"/>
          <w:szCs w:val="20"/>
        </w:rPr>
        <w:t>11</w:t>
      </w:r>
      <w:r w:rsidR="00C075FD" w:rsidRPr="00CE53C2">
        <w:rPr>
          <w:sz w:val="20"/>
          <w:szCs w:val="20"/>
        </w:rPr>
        <w:t>.</w:t>
      </w:r>
      <w:r w:rsidR="00C075FD" w:rsidRPr="00CE53C2">
        <w:rPr>
          <w:sz w:val="20"/>
          <w:szCs w:val="20"/>
        </w:rPr>
        <w:tab/>
      </w:r>
      <w:r w:rsidR="004D0176" w:rsidRPr="00CE53C2">
        <w:rPr>
          <w:sz w:val="20"/>
          <w:szCs w:val="20"/>
        </w:rPr>
        <w:t>Conformément à la Rec. 18-0</w:t>
      </w:r>
      <w:r w:rsidR="00AC4298" w:rsidRPr="00CE53C2">
        <w:rPr>
          <w:sz w:val="20"/>
          <w:szCs w:val="20"/>
        </w:rPr>
        <w:t>6</w:t>
      </w:r>
      <w:r w:rsidR="004D0176" w:rsidRPr="00CE53C2">
        <w:rPr>
          <w:sz w:val="20"/>
          <w:szCs w:val="20"/>
        </w:rPr>
        <w:t>, l</w:t>
      </w:r>
      <w:r w:rsidR="00C075FD" w:rsidRPr="00CE53C2">
        <w:rPr>
          <w:sz w:val="20"/>
          <w:szCs w:val="20"/>
        </w:rPr>
        <w:t xml:space="preserve">es CPC devront soumettre une feuille de contrôle de la mise en œuvre des mesures s'appliquant aux requins afin de fournir des informations sur la manière dont la présente </w:t>
      </w:r>
      <w:r w:rsidR="00AC4298" w:rsidRPr="00CE53C2">
        <w:rPr>
          <w:sz w:val="20"/>
          <w:szCs w:val="20"/>
        </w:rPr>
        <w:t xml:space="preserve">Recommandation </w:t>
      </w:r>
      <w:r w:rsidR="00C075FD" w:rsidRPr="00CE53C2">
        <w:rPr>
          <w:sz w:val="20"/>
          <w:szCs w:val="20"/>
        </w:rPr>
        <w:t xml:space="preserve">est mise en œuvre. </w:t>
      </w:r>
      <w:r w:rsidR="00AC0DF2" w:rsidRPr="00CE53C2">
        <w:rPr>
          <w:sz w:val="20"/>
          <w:szCs w:val="20"/>
        </w:rPr>
        <w:t xml:space="preserve"> </w:t>
      </w:r>
      <w:r w:rsidR="00655A98" w:rsidRPr="00CE53C2">
        <w:rPr>
          <w:sz w:val="20"/>
          <w:szCs w:val="20"/>
          <w:u w:val="single"/>
        </w:rPr>
        <w:t>Si le Comité d’application détermine qu'une CPC n'a pas fait de déclaration conformément à la Rec. 18-06, cette CPC devra immédiatement demander à ses navires de pêche de s'abstenir de retenir ou de débarquer des requins-taupes bleus de l'Atlantique Sud jusqu'à ce que la déclaration requise soit faite à l'ICCAT.</w:t>
      </w:r>
    </w:p>
    <w:p w14:paraId="78B7ACD5" w14:textId="77777777" w:rsidR="00A748B3" w:rsidRPr="00CE53C2" w:rsidRDefault="00A748B3" w:rsidP="004F12EC">
      <w:pPr>
        <w:tabs>
          <w:tab w:val="left" w:pos="426"/>
        </w:tabs>
        <w:ind w:left="426" w:hanging="426"/>
        <w:jc w:val="both"/>
        <w:rPr>
          <w:sz w:val="20"/>
          <w:szCs w:val="20"/>
        </w:rPr>
      </w:pPr>
    </w:p>
    <w:p w14:paraId="5491F329" w14:textId="68D86FDA" w:rsidR="000839E1" w:rsidRPr="00CE53C2" w:rsidRDefault="00655A98" w:rsidP="004F12EC">
      <w:pPr>
        <w:ind w:left="426" w:hanging="426"/>
        <w:jc w:val="both"/>
        <w:rPr>
          <w:sz w:val="20"/>
          <w:szCs w:val="20"/>
          <w:u w:val="single"/>
        </w:rPr>
      </w:pPr>
      <w:r w:rsidRPr="00CE53C2">
        <w:rPr>
          <w:sz w:val="20"/>
          <w:szCs w:val="20"/>
        </w:rPr>
        <w:t>12</w:t>
      </w:r>
      <w:r w:rsidR="00BB02C1" w:rsidRPr="00CE53C2">
        <w:rPr>
          <w:sz w:val="20"/>
          <w:szCs w:val="20"/>
        </w:rPr>
        <w:t>.</w:t>
      </w:r>
      <w:r w:rsidR="00BB02C1" w:rsidRPr="00CE53C2">
        <w:rPr>
          <w:sz w:val="20"/>
          <w:szCs w:val="20"/>
        </w:rPr>
        <w:tab/>
      </w:r>
      <w:r w:rsidR="000B375B" w:rsidRPr="00CE53C2">
        <w:rPr>
          <w:sz w:val="20"/>
          <w:szCs w:val="20"/>
        </w:rPr>
        <w:t xml:space="preserve">Les CPC devront déclarer au Secrétariat de l’ICCAT, conformément aux exigences de déclaration des données de l’ICCAT, les prises totales, y compris les </w:t>
      </w:r>
      <w:r w:rsidR="004D0176" w:rsidRPr="00CE53C2">
        <w:rPr>
          <w:sz w:val="20"/>
          <w:szCs w:val="20"/>
        </w:rPr>
        <w:t xml:space="preserve">éventuels </w:t>
      </w:r>
      <w:r w:rsidR="000B375B" w:rsidRPr="00CE53C2">
        <w:rPr>
          <w:sz w:val="20"/>
          <w:szCs w:val="20"/>
        </w:rPr>
        <w:t xml:space="preserve">débarquements, les rejets morts et les remises à l'eau de spécimens vivants, de requin-taupe bleu de l'Atlantique </w:t>
      </w:r>
      <w:r w:rsidR="004E035A" w:rsidRPr="00CE53C2">
        <w:rPr>
          <w:sz w:val="20"/>
          <w:szCs w:val="20"/>
        </w:rPr>
        <w:t>Sud</w:t>
      </w:r>
      <w:r w:rsidR="007C308D" w:rsidRPr="00CE53C2">
        <w:rPr>
          <w:sz w:val="20"/>
          <w:szCs w:val="20"/>
        </w:rPr>
        <w:t>.</w:t>
      </w:r>
      <w:r w:rsidRPr="00CE53C2">
        <w:rPr>
          <w:sz w:val="20"/>
          <w:szCs w:val="20"/>
        </w:rPr>
        <w:t xml:space="preserve"> </w:t>
      </w:r>
      <w:r w:rsidR="000839E1" w:rsidRPr="00CE53C2">
        <w:rPr>
          <w:sz w:val="20"/>
          <w:szCs w:val="20"/>
          <w:u w:val="single"/>
        </w:rPr>
        <w:t xml:space="preserve">La fréquence de déclaration devra être mensuelle pour tout débarquement admissible afin de suivre de près l'utilisation de la tolérance de rétention. Ce rapport devra être envoyé au Secrétariat de l'ICCAT dans les 30 jours suivant la fin du mois civil au cours duquel les captures ont été effectuées et chaque année pour les rejets morts, les remises à l’eau de spécimens vivants et les captures totales. Le Secrétariat de l’ICCAT devra notifier à toutes les CPC lorsqu'une CPC a atteint sa limite de rétention sur la base des débarquements déclarés mensuellement. Les CPC qui ne fournissent pas de rapports mensuels ne devront pas autoriser la rétention de requins-taupes bleus de l'Atlantique Sud. </w:t>
      </w:r>
    </w:p>
    <w:p w14:paraId="40A1691C" w14:textId="2E0B0DB3" w:rsidR="004D0176" w:rsidRPr="00CE53C2" w:rsidRDefault="004D0176" w:rsidP="004F12EC">
      <w:pPr>
        <w:ind w:left="426" w:hanging="426"/>
        <w:jc w:val="both"/>
        <w:rPr>
          <w:sz w:val="20"/>
          <w:szCs w:val="20"/>
        </w:rPr>
      </w:pPr>
    </w:p>
    <w:p w14:paraId="1E6E87E0" w14:textId="3798690A" w:rsidR="002748C5" w:rsidRPr="00CE53C2" w:rsidRDefault="002748C5" w:rsidP="004F12EC">
      <w:pPr>
        <w:ind w:left="426" w:hanging="426"/>
        <w:jc w:val="both"/>
        <w:rPr>
          <w:sz w:val="20"/>
          <w:szCs w:val="20"/>
          <w:u w:val="single"/>
        </w:rPr>
      </w:pPr>
      <w:r w:rsidRPr="00CE53C2">
        <w:rPr>
          <w:sz w:val="20"/>
          <w:szCs w:val="20"/>
          <w:u w:val="single"/>
        </w:rPr>
        <w:t>13.</w:t>
      </w:r>
      <w:r w:rsidRPr="00CE53C2">
        <w:rPr>
          <w:sz w:val="20"/>
          <w:szCs w:val="20"/>
          <w:u w:val="single"/>
        </w:rPr>
        <w:tab/>
        <w:t>Toute rétention par une CPC excédant sa tolérance de rétention, telle qu’établie aux paragraphes 5 et 7, entraînera une réduction de la tolérance de cette CPC l'année suivante d'un montant égal à l'excédent. La rétention par cette CPC devra être interdite jusqu'à ce que tout dépassement soit remboursé en totalité. Les transferts de sous-consommations par les CPC aux années suivantes ne devront pas être admissibles.</w:t>
      </w:r>
    </w:p>
    <w:p w14:paraId="3A63FD3E" w14:textId="77777777" w:rsidR="00B539C5" w:rsidRPr="00CE53C2" w:rsidRDefault="00B539C5" w:rsidP="004F12EC">
      <w:pPr>
        <w:ind w:left="426" w:hanging="426"/>
        <w:jc w:val="both"/>
        <w:rPr>
          <w:sz w:val="20"/>
          <w:szCs w:val="20"/>
        </w:rPr>
      </w:pPr>
    </w:p>
    <w:p w14:paraId="1FE492B2" w14:textId="25313C63" w:rsidR="001F2568" w:rsidRPr="00CE53C2" w:rsidRDefault="00F9793D" w:rsidP="004F12EC">
      <w:pPr>
        <w:ind w:left="426" w:hanging="426"/>
        <w:jc w:val="both"/>
        <w:rPr>
          <w:sz w:val="20"/>
          <w:szCs w:val="20"/>
          <w:u w:val="single"/>
        </w:rPr>
      </w:pPr>
      <w:r w:rsidRPr="00CE53C2">
        <w:rPr>
          <w:sz w:val="20"/>
          <w:szCs w:val="20"/>
        </w:rPr>
        <w:t>14</w:t>
      </w:r>
      <w:r w:rsidR="00B539C5" w:rsidRPr="00CE53C2">
        <w:rPr>
          <w:sz w:val="20"/>
          <w:szCs w:val="20"/>
        </w:rPr>
        <w:t>.</w:t>
      </w:r>
      <w:r w:rsidR="00B539C5" w:rsidRPr="00CE53C2">
        <w:rPr>
          <w:sz w:val="20"/>
          <w:szCs w:val="20"/>
        </w:rPr>
        <w:tab/>
      </w:r>
      <w:r w:rsidR="004E1C9E" w:rsidRPr="00CE53C2">
        <w:rPr>
          <w:sz w:val="20"/>
          <w:szCs w:val="20"/>
        </w:rPr>
        <w:t>Les</w:t>
      </w:r>
      <w:r w:rsidR="00AD5FE4" w:rsidRPr="00CE53C2">
        <w:rPr>
          <w:sz w:val="20"/>
          <w:szCs w:val="20"/>
        </w:rPr>
        <w:t xml:space="preserve"> CPC qui ont déclaré des captures moyennes annuelles (débarquements et rejets morts) de requin-taupe bleu de l'Atlantique </w:t>
      </w:r>
      <w:r w:rsidR="004E035A" w:rsidRPr="00CE53C2">
        <w:rPr>
          <w:sz w:val="20"/>
          <w:szCs w:val="20"/>
        </w:rPr>
        <w:t xml:space="preserve">Sud </w:t>
      </w:r>
      <w:r w:rsidR="00AD5FE4" w:rsidRPr="00CE53C2">
        <w:rPr>
          <w:sz w:val="20"/>
          <w:szCs w:val="20"/>
        </w:rPr>
        <w:t>supérieures à 1 t entre 2018</w:t>
      </w:r>
      <w:r w:rsidR="001D6EFC" w:rsidRPr="00CE53C2">
        <w:rPr>
          <w:sz w:val="20"/>
          <w:szCs w:val="20"/>
        </w:rPr>
        <w:t xml:space="preserve"> et </w:t>
      </w:r>
      <w:r w:rsidR="00AD5FE4" w:rsidRPr="00CE53C2">
        <w:rPr>
          <w:sz w:val="20"/>
          <w:szCs w:val="20"/>
        </w:rPr>
        <w:t xml:space="preserve">2020 devront présenter au SCRS la méthodologie statistique utilisée pour estimer les rejets morts et les </w:t>
      </w:r>
      <w:r w:rsidR="00BC5A31" w:rsidRPr="00CE53C2">
        <w:rPr>
          <w:sz w:val="20"/>
          <w:szCs w:val="20"/>
        </w:rPr>
        <w:t>remises à l’eau de spécimens</w:t>
      </w:r>
      <w:r w:rsidR="00AD5FE4" w:rsidRPr="00CE53C2">
        <w:rPr>
          <w:sz w:val="20"/>
          <w:szCs w:val="20"/>
        </w:rPr>
        <w:t xml:space="preserve"> vivants. Les CPC ayant des pêcheries artisanales et de petits métiers devront également fournir des informations sur leurs programmes de collecte de données. Le SCRS devra réviser et approuver les </w:t>
      </w:r>
      <w:r w:rsidR="00AD5FE4" w:rsidRPr="00CE53C2">
        <w:rPr>
          <w:sz w:val="20"/>
          <w:szCs w:val="20"/>
        </w:rPr>
        <w:lastRenderedPageBreak/>
        <w:t>méthodes et, s’il détermine que les méthodes ne sont pas scientifiquement fondées, le SCRS devra fournir des observations pertinentes aux CPC concernées afin de les améliorer.</w:t>
      </w:r>
      <w:r w:rsidRPr="00CE53C2">
        <w:rPr>
          <w:sz w:val="20"/>
          <w:szCs w:val="20"/>
        </w:rPr>
        <w:t xml:space="preserve"> </w:t>
      </w:r>
      <w:r w:rsidR="001F2568" w:rsidRPr="00CE53C2">
        <w:rPr>
          <w:sz w:val="20"/>
          <w:szCs w:val="20"/>
          <w:u w:val="single"/>
        </w:rPr>
        <w:t xml:space="preserve">Les CPC qui n'auront pas fourni leur estimation des rejets morts et des remises à l'eau de poissons vivants pour examen par le SCRS en 2027 ne devront pas autoriser la </w:t>
      </w:r>
      <w:r w:rsidR="00B80735" w:rsidRPr="00CE53C2">
        <w:rPr>
          <w:sz w:val="20"/>
          <w:szCs w:val="20"/>
          <w:u w:val="single"/>
        </w:rPr>
        <w:t>rétention</w:t>
      </w:r>
      <w:r w:rsidR="001F2568" w:rsidRPr="00CE53C2">
        <w:rPr>
          <w:sz w:val="20"/>
          <w:szCs w:val="20"/>
          <w:u w:val="single"/>
        </w:rPr>
        <w:t xml:space="preserve"> de requins-taupes bleus.   </w:t>
      </w:r>
    </w:p>
    <w:p w14:paraId="01E943C8" w14:textId="1EDC803F" w:rsidR="00AD5FE4" w:rsidRPr="00CE53C2" w:rsidRDefault="00AD5FE4" w:rsidP="004F12EC">
      <w:pPr>
        <w:ind w:left="426" w:hanging="426"/>
        <w:jc w:val="both"/>
        <w:rPr>
          <w:sz w:val="20"/>
          <w:szCs w:val="20"/>
        </w:rPr>
      </w:pPr>
    </w:p>
    <w:p w14:paraId="35222E23" w14:textId="77777777" w:rsidR="008156A4" w:rsidRPr="00CE53C2" w:rsidRDefault="001F2568" w:rsidP="004F12EC">
      <w:pPr>
        <w:ind w:left="426" w:hanging="426"/>
        <w:jc w:val="both"/>
        <w:rPr>
          <w:sz w:val="20"/>
          <w:szCs w:val="20"/>
          <w:u w:val="single"/>
        </w:rPr>
      </w:pPr>
      <w:r w:rsidRPr="00CE53C2">
        <w:rPr>
          <w:sz w:val="20"/>
          <w:szCs w:val="20"/>
        </w:rPr>
        <w:t>15</w:t>
      </w:r>
      <w:r w:rsidR="00B539C5" w:rsidRPr="00CE53C2">
        <w:rPr>
          <w:sz w:val="20"/>
          <w:szCs w:val="20"/>
        </w:rPr>
        <w:t>.</w:t>
      </w:r>
      <w:r w:rsidR="00B539C5" w:rsidRPr="00CE53C2">
        <w:rPr>
          <w:sz w:val="20"/>
          <w:szCs w:val="20"/>
        </w:rPr>
        <w:tab/>
      </w:r>
      <w:r w:rsidR="004D0176" w:rsidRPr="00CE53C2">
        <w:rPr>
          <w:sz w:val="20"/>
          <w:szCs w:val="20"/>
        </w:rPr>
        <w:t>Dans le cadre de leur soumission annuelle de</w:t>
      </w:r>
      <w:r w:rsidR="00FF5730" w:rsidRPr="00CE53C2">
        <w:rPr>
          <w:sz w:val="20"/>
          <w:szCs w:val="20"/>
        </w:rPr>
        <w:t>s</w:t>
      </w:r>
      <w:r w:rsidR="004D0176" w:rsidRPr="00CE53C2">
        <w:rPr>
          <w:sz w:val="20"/>
          <w:szCs w:val="20"/>
        </w:rPr>
        <w:t xml:space="preserve"> données des tâches 1 et 2, les CPC devront fournir toutes les données pertinentes </w:t>
      </w:r>
      <w:r w:rsidR="000440CD" w:rsidRPr="00CE53C2">
        <w:rPr>
          <w:sz w:val="20"/>
          <w:szCs w:val="20"/>
        </w:rPr>
        <w:t>concernant</w:t>
      </w:r>
      <w:r w:rsidR="004D0176" w:rsidRPr="00CE53C2">
        <w:rPr>
          <w:sz w:val="20"/>
          <w:szCs w:val="20"/>
        </w:rPr>
        <w:t xml:space="preserve"> le requin-taupe bleu de l'Atlantique </w:t>
      </w:r>
      <w:r w:rsidR="004E035A" w:rsidRPr="00CE53C2">
        <w:rPr>
          <w:sz w:val="20"/>
          <w:szCs w:val="20"/>
        </w:rPr>
        <w:t>Sud</w:t>
      </w:r>
      <w:r w:rsidR="004D0176" w:rsidRPr="00CE53C2">
        <w:rPr>
          <w:sz w:val="20"/>
          <w:szCs w:val="20"/>
        </w:rPr>
        <w:t>, y compris les estimations de</w:t>
      </w:r>
      <w:r w:rsidR="001D6EFC" w:rsidRPr="00CE53C2">
        <w:rPr>
          <w:sz w:val="20"/>
          <w:szCs w:val="20"/>
        </w:rPr>
        <w:t>s</w:t>
      </w:r>
      <w:r w:rsidR="004D0176" w:rsidRPr="00CE53C2">
        <w:rPr>
          <w:sz w:val="20"/>
          <w:szCs w:val="20"/>
        </w:rPr>
        <w:t xml:space="preserve"> </w:t>
      </w:r>
      <w:r w:rsidR="000B375B" w:rsidRPr="00CE53C2">
        <w:rPr>
          <w:sz w:val="20"/>
          <w:szCs w:val="20"/>
        </w:rPr>
        <w:t xml:space="preserve">rejets morts et </w:t>
      </w:r>
      <w:r w:rsidR="001D6EFC" w:rsidRPr="00CE53C2">
        <w:rPr>
          <w:sz w:val="20"/>
          <w:szCs w:val="20"/>
        </w:rPr>
        <w:t>des</w:t>
      </w:r>
      <w:r w:rsidR="000B375B" w:rsidRPr="00CE53C2">
        <w:rPr>
          <w:sz w:val="20"/>
          <w:szCs w:val="20"/>
        </w:rPr>
        <w:t xml:space="preserve"> remises à l'eau de spécimens vivants</w:t>
      </w:r>
      <w:r w:rsidR="00F21766" w:rsidRPr="00CE53C2">
        <w:rPr>
          <w:sz w:val="20"/>
          <w:szCs w:val="20"/>
        </w:rPr>
        <w:t xml:space="preserve">, </w:t>
      </w:r>
      <w:r w:rsidR="000440CD" w:rsidRPr="00CE53C2">
        <w:rPr>
          <w:sz w:val="20"/>
          <w:szCs w:val="20"/>
        </w:rPr>
        <w:t xml:space="preserve">en </w:t>
      </w:r>
      <w:r w:rsidR="00F21766" w:rsidRPr="00CE53C2">
        <w:rPr>
          <w:sz w:val="20"/>
          <w:szCs w:val="20"/>
        </w:rPr>
        <w:t xml:space="preserve">utilisant les méthodes approuvées par le SCRS au </w:t>
      </w:r>
      <w:r w:rsidR="0032369E" w:rsidRPr="00CE53C2">
        <w:rPr>
          <w:sz w:val="20"/>
          <w:szCs w:val="20"/>
        </w:rPr>
        <w:t xml:space="preserve">paragraphe </w:t>
      </w:r>
      <w:r w:rsidR="009E572D" w:rsidRPr="00CE53C2">
        <w:rPr>
          <w:sz w:val="20"/>
          <w:szCs w:val="20"/>
          <w:u w:val="single"/>
        </w:rPr>
        <w:t>14</w:t>
      </w:r>
      <w:r w:rsidR="00F21766" w:rsidRPr="00CE53C2">
        <w:rPr>
          <w:sz w:val="20"/>
          <w:szCs w:val="20"/>
        </w:rPr>
        <w:t>.</w:t>
      </w:r>
      <w:r w:rsidR="000B375B" w:rsidRPr="00CE53C2">
        <w:rPr>
          <w:sz w:val="20"/>
          <w:szCs w:val="20"/>
        </w:rPr>
        <w:t xml:space="preserve"> </w:t>
      </w:r>
      <w:r w:rsidR="004E035A" w:rsidRPr="00CE53C2">
        <w:rPr>
          <w:sz w:val="20"/>
          <w:szCs w:val="20"/>
        </w:rPr>
        <w:t xml:space="preserve">Le Secrétariat </w:t>
      </w:r>
      <w:r w:rsidR="001D6EFC" w:rsidRPr="00CE53C2">
        <w:rPr>
          <w:sz w:val="20"/>
          <w:szCs w:val="20"/>
        </w:rPr>
        <w:t xml:space="preserve">de l’ICCAT </w:t>
      </w:r>
      <w:r w:rsidR="004E035A" w:rsidRPr="00CE53C2">
        <w:rPr>
          <w:sz w:val="20"/>
          <w:szCs w:val="20"/>
        </w:rPr>
        <w:t xml:space="preserve">devra s'assurer que le tableau 1 des Résumés exécutifs comporte un espace pour y consigner également les </w:t>
      </w:r>
      <w:r w:rsidR="00003656" w:rsidRPr="00CE53C2">
        <w:rPr>
          <w:color w:val="000000" w:themeColor="text1"/>
          <w:sz w:val="20"/>
          <w:szCs w:val="20"/>
        </w:rPr>
        <w:t>remises à l’eau des spécimens vivants</w:t>
      </w:r>
      <w:r w:rsidR="004E035A" w:rsidRPr="00CE53C2">
        <w:rPr>
          <w:sz w:val="20"/>
          <w:szCs w:val="20"/>
        </w:rPr>
        <w:t xml:space="preserve"> déclarés.</w:t>
      </w:r>
      <w:r w:rsidR="009E572D" w:rsidRPr="00CE53C2">
        <w:rPr>
          <w:sz w:val="20"/>
          <w:szCs w:val="20"/>
        </w:rPr>
        <w:t xml:space="preserve"> </w:t>
      </w:r>
      <w:r w:rsidR="008156A4" w:rsidRPr="00CE53C2">
        <w:rPr>
          <w:sz w:val="20"/>
          <w:szCs w:val="20"/>
          <w:u w:val="single"/>
        </w:rPr>
        <w:t xml:space="preserve">Si le Comité d’application détermine que les CPC qui autorisent leurs navires à retenir à bord et à débarquer du requin-taupe bleu de l'Atlantique Sud ne déclarent pas leurs données de capture, y compris les rejets morts et les remises à l'eau de spécimens vivants, les CPC concernées devront demander à leurs navires de pêche de s’abstenir de retenir toute quantité de requin-taupe bleu de l'Atlantique Sud tant que ces données n’auront pas été déclarées. </w:t>
      </w:r>
    </w:p>
    <w:p w14:paraId="21F58A83" w14:textId="77777777" w:rsidR="004C775E" w:rsidRPr="00CE53C2" w:rsidRDefault="004C775E" w:rsidP="004F12EC">
      <w:pPr>
        <w:widowControl w:val="0"/>
        <w:tabs>
          <w:tab w:val="left" w:pos="284"/>
          <w:tab w:val="left" w:pos="3725"/>
        </w:tabs>
        <w:autoSpaceDE w:val="0"/>
        <w:autoSpaceDN w:val="0"/>
        <w:adjustRightInd w:val="0"/>
        <w:ind w:left="284" w:hanging="284"/>
        <w:jc w:val="both"/>
        <w:rPr>
          <w:color w:val="000000" w:themeColor="text1"/>
          <w:sz w:val="20"/>
          <w:szCs w:val="20"/>
        </w:rPr>
      </w:pPr>
    </w:p>
    <w:p w14:paraId="4F9D6AF0" w14:textId="6E394CE5" w:rsidR="00F06976" w:rsidRPr="00CE53C2" w:rsidRDefault="00931873" w:rsidP="004F12EC">
      <w:pPr>
        <w:ind w:left="426" w:hanging="426"/>
        <w:jc w:val="both"/>
        <w:rPr>
          <w:sz w:val="20"/>
          <w:szCs w:val="20"/>
          <w:u w:val="single"/>
        </w:rPr>
      </w:pPr>
      <w:r w:rsidRPr="00CE53C2">
        <w:rPr>
          <w:color w:val="000000" w:themeColor="text1"/>
          <w:sz w:val="20"/>
          <w:szCs w:val="20"/>
        </w:rPr>
        <w:t>1</w:t>
      </w:r>
      <w:r w:rsidR="00545C6D" w:rsidRPr="00CE53C2">
        <w:rPr>
          <w:color w:val="000000" w:themeColor="text1"/>
          <w:sz w:val="20"/>
          <w:szCs w:val="20"/>
        </w:rPr>
        <w:t>6</w:t>
      </w:r>
      <w:r w:rsidR="0032369E" w:rsidRPr="00CE53C2">
        <w:rPr>
          <w:color w:val="000000" w:themeColor="text1"/>
          <w:sz w:val="20"/>
          <w:szCs w:val="20"/>
        </w:rPr>
        <w:t>.</w:t>
      </w:r>
      <w:r w:rsidR="0032369E" w:rsidRPr="00CE53C2">
        <w:rPr>
          <w:color w:val="000000" w:themeColor="text1"/>
          <w:sz w:val="20"/>
          <w:szCs w:val="20"/>
        </w:rPr>
        <w:tab/>
      </w:r>
      <w:r w:rsidR="00804A09" w:rsidRPr="00CE53C2">
        <w:rPr>
          <w:color w:val="000000" w:themeColor="text1"/>
          <w:sz w:val="20"/>
          <w:szCs w:val="20"/>
        </w:rPr>
        <w:t xml:space="preserve">Afin de </w:t>
      </w:r>
      <w:r w:rsidR="00804A09" w:rsidRPr="00CE53C2">
        <w:rPr>
          <w:sz w:val="20"/>
          <w:szCs w:val="20"/>
        </w:rPr>
        <w:t>permettre</w:t>
      </w:r>
      <w:r w:rsidR="00804A09" w:rsidRPr="00CE53C2">
        <w:rPr>
          <w:color w:val="000000" w:themeColor="text1"/>
          <w:sz w:val="20"/>
          <w:szCs w:val="20"/>
        </w:rPr>
        <w:t xml:space="preserve"> de futures évaluations du stock, le</w:t>
      </w:r>
      <w:r w:rsidR="00BB02C1" w:rsidRPr="00CE53C2">
        <w:rPr>
          <w:color w:val="000000" w:themeColor="text1"/>
          <w:sz w:val="20"/>
          <w:szCs w:val="20"/>
        </w:rPr>
        <w:t xml:space="preserve"> SCRS devra évaluer l'exhaustivité des soumissions de</w:t>
      </w:r>
      <w:r w:rsidR="00117293" w:rsidRPr="00CE53C2">
        <w:rPr>
          <w:color w:val="000000" w:themeColor="text1"/>
          <w:sz w:val="20"/>
          <w:szCs w:val="20"/>
        </w:rPr>
        <w:t>s</w:t>
      </w:r>
      <w:r w:rsidR="00BB02C1" w:rsidRPr="00CE53C2">
        <w:rPr>
          <w:color w:val="000000" w:themeColor="text1"/>
          <w:sz w:val="20"/>
          <w:szCs w:val="20"/>
        </w:rPr>
        <w:t xml:space="preserve"> données des tâches 1 et 2, y compris les estimations du total des rejets morts et des </w:t>
      </w:r>
      <w:r w:rsidR="00117293" w:rsidRPr="00CE53C2">
        <w:rPr>
          <w:color w:val="000000" w:themeColor="text1"/>
          <w:sz w:val="20"/>
          <w:szCs w:val="20"/>
        </w:rPr>
        <w:t>remises à l’eau des spécimens</w:t>
      </w:r>
      <w:r w:rsidR="00BB02C1" w:rsidRPr="00CE53C2">
        <w:rPr>
          <w:color w:val="000000" w:themeColor="text1"/>
          <w:sz w:val="20"/>
          <w:szCs w:val="20"/>
        </w:rPr>
        <w:t xml:space="preserve"> vivants. </w:t>
      </w:r>
      <w:r w:rsidR="00F06976" w:rsidRPr="00CE53C2">
        <w:rPr>
          <w:sz w:val="20"/>
          <w:szCs w:val="20"/>
          <w:u w:val="single"/>
        </w:rPr>
        <w:t>Si, après avoir réalisé cette évaluation, le SCRS détermine qu'il existe des lacunes importantes dans la déclaration des données ou, à la suite de l'examen prévu au paragraphe</w:t>
      </w:r>
      <w:r w:rsidR="00C800C0" w:rsidRPr="00CE53C2">
        <w:rPr>
          <w:sz w:val="20"/>
          <w:szCs w:val="20"/>
          <w:u w:val="single"/>
        </w:rPr>
        <w:t> </w:t>
      </w:r>
      <w:r w:rsidR="00F06976" w:rsidRPr="00CE53C2">
        <w:rPr>
          <w:sz w:val="20"/>
          <w:szCs w:val="20"/>
          <w:u w:val="single"/>
        </w:rPr>
        <w:t>14, que la méthodologie utilisée par une ou plusieurs CPC pour estimer les rejets de poissons morts et les remises à l’eau de spécimens vivants n'est pas scientifiquement valable, le SCRS devra informer la Commission que les données de ces CPC sont considérées comme inappropriées pour être incluses dans le calcul de la tolérance de rétention. Dans ce cas, le SCRS devra estimer les rejets morts et les remises à l’eau de spécimens vivants pour ces CPC afin d’utiliser ces estimations dans le calcul de la tolérance de rétention.</w:t>
      </w:r>
    </w:p>
    <w:p w14:paraId="3F54430A" w14:textId="651C60BD" w:rsidR="00FB4968" w:rsidRPr="00CE53C2" w:rsidRDefault="00FB4968" w:rsidP="004F12EC">
      <w:pPr>
        <w:tabs>
          <w:tab w:val="left" w:pos="426"/>
        </w:tabs>
        <w:ind w:left="426" w:hanging="426"/>
        <w:jc w:val="both"/>
        <w:rPr>
          <w:rFonts w:cs="Times New Roman"/>
          <w:sz w:val="20"/>
          <w:szCs w:val="20"/>
        </w:rPr>
      </w:pPr>
    </w:p>
    <w:p w14:paraId="628C222E" w14:textId="37708FDA" w:rsidR="006A00C1" w:rsidRPr="00CE53C2" w:rsidRDefault="002738E9" w:rsidP="004F12EC">
      <w:pPr>
        <w:widowControl w:val="0"/>
        <w:autoSpaceDE w:val="0"/>
        <w:autoSpaceDN w:val="0"/>
        <w:adjustRightInd w:val="0"/>
        <w:ind w:left="284" w:hanging="284"/>
        <w:jc w:val="both"/>
        <w:rPr>
          <w:rFonts w:eastAsia="MS Mincho" w:cs="Times New Roman"/>
          <w:b/>
          <w:sz w:val="20"/>
          <w:szCs w:val="20"/>
        </w:rPr>
      </w:pPr>
      <w:r w:rsidRPr="00CE53C2">
        <w:rPr>
          <w:b/>
          <w:sz w:val="20"/>
          <w:szCs w:val="20"/>
        </w:rPr>
        <w:t>Échantillonnage biologique et couverture des observateurs</w:t>
      </w:r>
    </w:p>
    <w:p w14:paraId="0FC11770" w14:textId="77777777" w:rsidR="000440CD" w:rsidRPr="00CE53C2" w:rsidRDefault="000440CD" w:rsidP="004F12EC">
      <w:pPr>
        <w:widowControl w:val="0"/>
        <w:autoSpaceDE w:val="0"/>
        <w:autoSpaceDN w:val="0"/>
        <w:adjustRightInd w:val="0"/>
        <w:ind w:left="284" w:hanging="284"/>
        <w:jc w:val="both"/>
        <w:rPr>
          <w:rFonts w:eastAsia="MS Mincho" w:cs="Times New Roman"/>
          <w:sz w:val="20"/>
          <w:szCs w:val="20"/>
          <w:lang w:eastAsia="ja-JP"/>
        </w:rPr>
      </w:pPr>
    </w:p>
    <w:p w14:paraId="09072FDA" w14:textId="68F14236" w:rsidR="004B7133" w:rsidRPr="00CE53C2" w:rsidRDefault="00931873" w:rsidP="004F12EC">
      <w:pPr>
        <w:ind w:left="426" w:hanging="426"/>
        <w:jc w:val="both"/>
        <w:rPr>
          <w:sz w:val="20"/>
          <w:szCs w:val="20"/>
        </w:rPr>
      </w:pPr>
      <w:r w:rsidRPr="00CE53C2">
        <w:rPr>
          <w:sz w:val="20"/>
          <w:szCs w:val="20"/>
        </w:rPr>
        <w:t>1</w:t>
      </w:r>
      <w:r w:rsidR="00F06976" w:rsidRPr="00CE53C2">
        <w:rPr>
          <w:sz w:val="20"/>
          <w:szCs w:val="20"/>
        </w:rPr>
        <w:t>7</w:t>
      </w:r>
      <w:r w:rsidR="00BB02C1" w:rsidRPr="00CE53C2">
        <w:rPr>
          <w:sz w:val="20"/>
          <w:szCs w:val="20"/>
        </w:rPr>
        <w:t>.</w:t>
      </w:r>
      <w:r w:rsidR="00BB02C1" w:rsidRPr="00CE53C2">
        <w:rPr>
          <w:sz w:val="20"/>
          <w:szCs w:val="20"/>
        </w:rPr>
        <w:tab/>
      </w:r>
      <w:r w:rsidR="000813D3" w:rsidRPr="00CE53C2">
        <w:rPr>
          <w:sz w:val="20"/>
          <w:szCs w:val="20"/>
        </w:rPr>
        <w:t>L</w:t>
      </w:r>
      <w:r w:rsidR="005C1A96" w:rsidRPr="00CE53C2">
        <w:rPr>
          <w:sz w:val="20"/>
          <w:szCs w:val="20"/>
        </w:rPr>
        <w:t xml:space="preserve">es CPC devront </w:t>
      </w:r>
      <w:r w:rsidR="00516D42" w:rsidRPr="00CE53C2">
        <w:rPr>
          <w:sz w:val="20"/>
          <w:szCs w:val="20"/>
          <w:u w:val="single"/>
        </w:rPr>
        <w:t>s’efforcer</w:t>
      </w:r>
      <w:r w:rsidR="00327A70" w:rsidRPr="00CE53C2">
        <w:rPr>
          <w:sz w:val="20"/>
          <w:szCs w:val="20"/>
        </w:rPr>
        <w:t xml:space="preserve"> progressivement </w:t>
      </w:r>
      <w:r w:rsidR="00C5192F" w:rsidRPr="00CE53C2">
        <w:rPr>
          <w:sz w:val="20"/>
          <w:szCs w:val="20"/>
        </w:rPr>
        <w:t xml:space="preserve">jusqu’à </w:t>
      </w:r>
      <w:r w:rsidR="00FB4968" w:rsidRPr="00CE53C2">
        <w:rPr>
          <w:sz w:val="20"/>
          <w:szCs w:val="20"/>
        </w:rPr>
        <w:t xml:space="preserve">10% </w:t>
      </w:r>
      <w:r w:rsidR="005C1A96" w:rsidRPr="00CE53C2">
        <w:rPr>
          <w:sz w:val="20"/>
          <w:szCs w:val="20"/>
        </w:rPr>
        <w:t xml:space="preserve">la couverture d'observateurs, y compris </w:t>
      </w:r>
      <w:r w:rsidR="00EC5E16" w:rsidRPr="00CE53C2">
        <w:rPr>
          <w:sz w:val="20"/>
          <w:szCs w:val="20"/>
        </w:rPr>
        <w:t xml:space="preserve">par le biais </w:t>
      </w:r>
      <w:r w:rsidR="00EC5E16" w:rsidRPr="00CE53C2">
        <w:rPr>
          <w:sz w:val="20"/>
          <w:szCs w:val="20"/>
          <w:u w:val="single"/>
        </w:rPr>
        <w:t>d</w:t>
      </w:r>
      <w:r w:rsidR="007A02EE" w:rsidRPr="00CE53C2">
        <w:rPr>
          <w:sz w:val="20"/>
          <w:szCs w:val="20"/>
          <w:u w:val="single"/>
        </w:rPr>
        <w:t>es systèmes de surveillance des navires</w:t>
      </w:r>
      <w:r w:rsidR="00A40BE7" w:rsidRPr="00CE53C2">
        <w:rPr>
          <w:sz w:val="20"/>
          <w:szCs w:val="20"/>
        </w:rPr>
        <w:t xml:space="preserve"> </w:t>
      </w:r>
      <w:r w:rsidR="007A02EE" w:rsidRPr="00CE53C2">
        <w:rPr>
          <w:sz w:val="20"/>
          <w:szCs w:val="20"/>
        </w:rPr>
        <w:t>(</w:t>
      </w:r>
      <w:r w:rsidR="005C1A96" w:rsidRPr="00CE53C2">
        <w:rPr>
          <w:sz w:val="20"/>
          <w:szCs w:val="20"/>
        </w:rPr>
        <w:t>EMS</w:t>
      </w:r>
      <w:r w:rsidR="007A02EE" w:rsidRPr="00CE53C2">
        <w:rPr>
          <w:sz w:val="20"/>
          <w:szCs w:val="20"/>
        </w:rPr>
        <w:t>)</w:t>
      </w:r>
      <w:r w:rsidR="00003656" w:rsidRPr="00CE53C2">
        <w:rPr>
          <w:sz w:val="20"/>
          <w:szCs w:val="20"/>
        </w:rPr>
        <w:t xml:space="preserve">, </w:t>
      </w:r>
      <w:r w:rsidR="005C1A96" w:rsidRPr="00CE53C2">
        <w:rPr>
          <w:sz w:val="20"/>
          <w:szCs w:val="20"/>
        </w:rPr>
        <w:t xml:space="preserve">de tous les palangriers </w:t>
      </w:r>
      <w:r w:rsidR="00290F58" w:rsidRPr="00CE53C2">
        <w:rPr>
          <w:sz w:val="20"/>
          <w:szCs w:val="20"/>
        </w:rPr>
        <w:t xml:space="preserve">dans les pêcheries </w:t>
      </w:r>
      <w:r w:rsidR="005C1A96" w:rsidRPr="00CE53C2">
        <w:rPr>
          <w:sz w:val="20"/>
          <w:szCs w:val="20"/>
        </w:rPr>
        <w:t xml:space="preserve">de l’ICCAT </w:t>
      </w:r>
      <w:r w:rsidR="008C32B7" w:rsidRPr="00CE53C2">
        <w:rPr>
          <w:sz w:val="20"/>
          <w:szCs w:val="20"/>
        </w:rPr>
        <w:t xml:space="preserve">qui pourraient avoir une interaction potentielle avec les requins-taupes bleus de l'Atlantique </w:t>
      </w:r>
      <w:r w:rsidR="004E035A" w:rsidRPr="00CE53C2">
        <w:rPr>
          <w:sz w:val="20"/>
          <w:szCs w:val="20"/>
        </w:rPr>
        <w:t>Sud</w:t>
      </w:r>
      <w:r w:rsidR="00A70B17" w:rsidRPr="00CE53C2">
        <w:rPr>
          <w:sz w:val="20"/>
          <w:szCs w:val="20"/>
        </w:rPr>
        <w:t>.</w:t>
      </w:r>
      <w:r w:rsidR="008C32B7" w:rsidRPr="00CE53C2">
        <w:rPr>
          <w:sz w:val="20"/>
          <w:szCs w:val="20"/>
        </w:rPr>
        <w:t xml:space="preserve"> </w:t>
      </w:r>
      <w:r w:rsidR="005C1A96" w:rsidRPr="00CE53C2">
        <w:rPr>
          <w:sz w:val="20"/>
          <w:szCs w:val="20"/>
        </w:rPr>
        <w:t>Cette augmentation de la couverture devrait être mise en œuvre conformément aux dispositions de</w:t>
      </w:r>
      <w:r w:rsidR="00D27CE4" w:rsidRPr="00CE53C2">
        <w:rPr>
          <w:sz w:val="20"/>
          <w:szCs w:val="20"/>
        </w:rPr>
        <w:t>s</w:t>
      </w:r>
      <w:r w:rsidR="005C1A96" w:rsidRPr="00CE53C2">
        <w:rPr>
          <w:sz w:val="20"/>
          <w:szCs w:val="20"/>
        </w:rPr>
        <w:t xml:space="preserve"> Recommandation</w:t>
      </w:r>
      <w:r w:rsidR="00D27CE4" w:rsidRPr="00CE53C2">
        <w:rPr>
          <w:sz w:val="20"/>
          <w:szCs w:val="20"/>
        </w:rPr>
        <w:t>s</w:t>
      </w:r>
      <w:r w:rsidR="005C1A96" w:rsidRPr="00CE53C2">
        <w:rPr>
          <w:sz w:val="20"/>
          <w:szCs w:val="20"/>
        </w:rPr>
        <w:t xml:space="preserve"> 16-14</w:t>
      </w:r>
      <w:r w:rsidR="00D27CE4" w:rsidRPr="00CE53C2">
        <w:rPr>
          <w:sz w:val="20"/>
          <w:szCs w:val="20"/>
        </w:rPr>
        <w:t xml:space="preserve"> et 23-18</w:t>
      </w:r>
      <w:r w:rsidR="005C1A96" w:rsidRPr="00CE53C2">
        <w:rPr>
          <w:sz w:val="20"/>
          <w:szCs w:val="20"/>
        </w:rPr>
        <w:t>, soit par le déploiement d'observateurs humains à bord des navires, soit par l'utilisation</w:t>
      </w:r>
      <w:r w:rsidR="005C1A96" w:rsidRPr="00CE53C2">
        <w:rPr>
          <w:sz w:val="20"/>
          <w:szCs w:val="20"/>
          <w:u w:val="single"/>
        </w:rPr>
        <w:t xml:space="preserve"> </w:t>
      </w:r>
      <w:r w:rsidR="007A02EE" w:rsidRPr="00CE53C2">
        <w:rPr>
          <w:sz w:val="20"/>
          <w:szCs w:val="20"/>
          <w:u w:val="single"/>
        </w:rPr>
        <w:t>de l’</w:t>
      </w:r>
      <w:r w:rsidR="005C1A96" w:rsidRPr="00CE53C2">
        <w:rPr>
          <w:sz w:val="20"/>
          <w:szCs w:val="20"/>
        </w:rPr>
        <w:t xml:space="preserve">EMS, en tenant compte des normes minimales </w:t>
      </w:r>
      <w:r w:rsidR="001B08FC" w:rsidRPr="00CE53C2">
        <w:rPr>
          <w:sz w:val="20"/>
          <w:szCs w:val="20"/>
        </w:rPr>
        <w:t>convenues</w:t>
      </w:r>
      <w:r w:rsidR="005C1A96" w:rsidRPr="00CE53C2">
        <w:rPr>
          <w:sz w:val="20"/>
          <w:szCs w:val="20"/>
        </w:rPr>
        <w:t xml:space="preserve"> par l’ICCAT</w:t>
      </w:r>
      <w:r w:rsidR="00BB02C1" w:rsidRPr="00CE53C2">
        <w:rPr>
          <w:sz w:val="20"/>
          <w:szCs w:val="20"/>
        </w:rPr>
        <w:t>.</w:t>
      </w:r>
    </w:p>
    <w:p w14:paraId="6FB5AC79" w14:textId="77777777" w:rsidR="009E13F0" w:rsidRPr="00CE53C2" w:rsidRDefault="009E13F0" w:rsidP="004F12EC">
      <w:pPr>
        <w:ind w:left="426" w:hanging="426"/>
        <w:jc w:val="both"/>
        <w:rPr>
          <w:sz w:val="20"/>
          <w:szCs w:val="20"/>
        </w:rPr>
      </w:pPr>
    </w:p>
    <w:p w14:paraId="355F0FCA" w14:textId="521C1158" w:rsidR="007B765F" w:rsidRPr="00CE53C2" w:rsidRDefault="00931873" w:rsidP="004F12EC">
      <w:pPr>
        <w:ind w:left="426" w:hanging="426"/>
        <w:jc w:val="both"/>
        <w:rPr>
          <w:sz w:val="20"/>
          <w:szCs w:val="20"/>
        </w:rPr>
      </w:pPr>
      <w:r w:rsidRPr="00CE53C2">
        <w:rPr>
          <w:sz w:val="20"/>
          <w:szCs w:val="20"/>
        </w:rPr>
        <w:t>1</w:t>
      </w:r>
      <w:r w:rsidR="007A02EE" w:rsidRPr="00CE53C2">
        <w:rPr>
          <w:sz w:val="20"/>
          <w:szCs w:val="20"/>
        </w:rPr>
        <w:t>8</w:t>
      </w:r>
      <w:r w:rsidR="0032369E" w:rsidRPr="00CE53C2">
        <w:rPr>
          <w:sz w:val="20"/>
          <w:szCs w:val="20"/>
        </w:rPr>
        <w:t>.</w:t>
      </w:r>
      <w:r w:rsidR="0032369E" w:rsidRPr="00CE53C2">
        <w:rPr>
          <w:sz w:val="20"/>
          <w:szCs w:val="20"/>
        </w:rPr>
        <w:tab/>
      </w:r>
      <w:r w:rsidR="00732B1A" w:rsidRPr="00CE53C2">
        <w:rPr>
          <w:sz w:val="20"/>
          <w:szCs w:val="20"/>
        </w:rPr>
        <w:t xml:space="preserve">La collecte d'échantillons biologiques pendant les opérations de pêche commerciale devra être conforme à la </w:t>
      </w:r>
      <w:r w:rsidR="00732B1A" w:rsidRPr="00CE53C2">
        <w:rPr>
          <w:i/>
          <w:iCs/>
          <w:sz w:val="20"/>
          <w:szCs w:val="20"/>
        </w:rPr>
        <w:t xml:space="preserve">Recommandation de l’ICCAT sur l'échantillonnage biologique des espèces interdites de requins par des observateurs scientifiques </w:t>
      </w:r>
      <w:r w:rsidR="00732B1A" w:rsidRPr="00CE53C2">
        <w:rPr>
          <w:sz w:val="20"/>
          <w:szCs w:val="20"/>
        </w:rPr>
        <w:t>(Rec. 13-10). Les CPC devraient encourager l</w:t>
      </w:r>
      <w:r w:rsidR="001A43B9" w:rsidRPr="00CE53C2">
        <w:rPr>
          <w:sz w:val="20"/>
          <w:szCs w:val="20"/>
        </w:rPr>
        <w:t xml:space="preserve">a collecte </w:t>
      </w:r>
      <w:r w:rsidR="00290F58" w:rsidRPr="00CE53C2">
        <w:rPr>
          <w:sz w:val="20"/>
          <w:szCs w:val="20"/>
        </w:rPr>
        <w:t>de données</w:t>
      </w:r>
      <w:r w:rsidR="00732B1A" w:rsidRPr="00CE53C2">
        <w:rPr>
          <w:sz w:val="20"/>
          <w:szCs w:val="20"/>
        </w:rPr>
        <w:t xml:space="preserve"> biologiques </w:t>
      </w:r>
      <w:r w:rsidR="00290F58" w:rsidRPr="00CE53C2">
        <w:rPr>
          <w:sz w:val="20"/>
          <w:szCs w:val="20"/>
        </w:rPr>
        <w:t xml:space="preserve">et d’échantillons biologiques </w:t>
      </w:r>
      <w:r w:rsidR="00732B1A" w:rsidRPr="00CE53C2">
        <w:rPr>
          <w:sz w:val="20"/>
          <w:szCs w:val="20"/>
        </w:rPr>
        <w:t xml:space="preserve">des spécimens de requin-taupe bleu de l’Atlantique </w:t>
      </w:r>
      <w:r w:rsidR="004E035A" w:rsidRPr="00CE53C2">
        <w:rPr>
          <w:sz w:val="20"/>
          <w:szCs w:val="20"/>
        </w:rPr>
        <w:t xml:space="preserve">Sud </w:t>
      </w:r>
      <w:r w:rsidR="00732B1A" w:rsidRPr="00CE53C2">
        <w:rPr>
          <w:sz w:val="20"/>
          <w:szCs w:val="20"/>
        </w:rPr>
        <w:t>morts à la remontée, tels que les muscles, les vertèbres</w:t>
      </w:r>
      <w:r w:rsidR="00277218" w:rsidRPr="00CE53C2">
        <w:rPr>
          <w:sz w:val="20"/>
          <w:szCs w:val="20"/>
        </w:rPr>
        <w:t xml:space="preserve"> </w:t>
      </w:r>
      <w:r w:rsidR="00732B1A" w:rsidRPr="00CE53C2">
        <w:rPr>
          <w:sz w:val="20"/>
          <w:szCs w:val="20"/>
        </w:rPr>
        <w:t>et les tissus reproducteurs, conformément aux dispositions de la présente Recommandation et selon les recommandations du SCRS.</w:t>
      </w:r>
      <w:bookmarkStart w:id="1" w:name="_Hlk88230449"/>
    </w:p>
    <w:p w14:paraId="25351308" w14:textId="77777777" w:rsidR="00147A78" w:rsidRPr="00CE53C2" w:rsidRDefault="00147A78" w:rsidP="004F12EC">
      <w:pPr>
        <w:ind w:left="426" w:hanging="426"/>
        <w:jc w:val="both"/>
        <w:rPr>
          <w:sz w:val="20"/>
          <w:szCs w:val="20"/>
        </w:rPr>
      </w:pPr>
    </w:p>
    <w:p w14:paraId="139D0118" w14:textId="56F44785" w:rsidR="00A854A3" w:rsidRPr="00CE53C2" w:rsidRDefault="00A854A3" w:rsidP="004F12EC">
      <w:pPr>
        <w:ind w:left="426" w:hanging="426"/>
        <w:jc w:val="both"/>
        <w:rPr>
          <w:sz w:val="20"/>
          <w:szCs w:val="20"/>
          <w:u w:val="single"/>
        </w:rPr>
      </w:pPr>
      <w:r w:rsidRPr="00CE53C2">
        <w:rPr>
          <w:sz w:val="20"/>
          <w:szCs w:val="20"/>
          <w:u w:val="single"/>
        </w:rPr>
        <w:t>19.</w:t>
      </w:r>
      <w:r w:rsidRPr="00CE53C2">
        <w:rPr>
          <w:sz w:val="20"/>
          <w:szCs w:val="20"/>
          <w:u w:val="single"/>
        </w:rPr>
        <w:tab/>
        <w:t>Dans le contexte de la présente Recommandation et uniquement pour les navires de moins de 15</w:t>
      </w:r>
      <w:r w:rsidR="00761841" w:rsidRPr="00CE53C2">
        <w:rPr>
          <w:sz w:val="20"/>
          <w:szCs w:val="20"/>
          <w:u w:val="single"/>
        </w:rPr>
        <w:t> </w:t>
      </w:r>
      <w:r w:rsidRPr="00CE53C2">
        <w:rPr>
          <w:sz w:val="20"/>
          <w:szCs w:val="20"/>
          <w:u w:val="single"/>
        </w:rPr>
        <w:t>mètres, lorsqu'il existe un problème de sécurité extraordinaire qui empêche le déploiement d'un observateur à bord, une CPC peut exceptionnellement appliquer une approche alternative telle que définie dans la Rec. 16-14. Cette dérogation devra s’appliquer sans préjudice de l'engagement général de toutes les CPC, tel que décrit dans cette mesure, à mettre immédiatement fin à la surpêche et à réduire les niveaux de mortalité. Toute CPC souhaitant se prévaloir de cette approche alternative doit</w:t>
      </w:r>
      <w:r w:rsidR="006D7227" w:rsidRPr="00CE53C2">
        <w:rPr>
          <w:sz w:val="20"/>
          <w:szCs w:val="20"/>
          <w:u w:val="single"/>
        </w:rPr>
        <w:t> </w:t>
      </w:r>
      <w:r w:rsidRPr="00CE53C2">
        <w:rPr>
          <w:sz w:val="20"/>
          <w:szCs w:val="20"/>
          <w:u w:val="single"/>
        </w:rPr>
        <w:t xml:space="preserve">: 1) présenter les détails de l'approche au SCRS sur la base de l'avis du SCRS pour évaluation et 2) obtenir l'approbation de la Commission (tel que stipulé dans la Recommandation 16-14). </w:t>
      </w:r>
    </w:p>
    <w:p w14:paraId="01C714F1" w14:textId="77777777" w:rsidR="00A854A3" w:rsidRPr="00CE53C2" w:rsidRDefault="00A854A3" w:rsidP="004F12EC">
      <w:pPr>
        <w:ind w:left="426" w:hanging="426"/>
        <w:jc w:val="both"/>
        <w:rPr>
          <w:sz w:val="20"/>
          <w:szCs w:val="20"/>
        </w:rPr>
      </w:pPr>
    </w:p>
    <w:bookmarkEnd w:id="1"/>
    <w:p w14:paraId="4646B3B3" w14:textId="0D93771E" w:rsidR="00210231" w:rsidRPr="00CE53C2" w:rsidRDefault="00210231" w:rsidP="004F12EC">
      <w:pPr>
        <w:widowControl w:val="0"/>
        <w:autoSpaceDE w:val="0"/>
        <w:autoSpaceDN w:val="0"/>
        <w:adjustRightInd w:val="0"/>
        <w:ind w:left="284" w:hanging="284"/>
        <w:jc w:val="both"/>
        <w:rPr>
          <w:rFonts w:eastAsia="MS Mincho" w:cs="Times New Roman"/>
          <w:b/>
          <w:bCs/>
          <w:iCs/>
          <w:sz w:val="20"/>
          <w:szCs w:val="20"/>
        </w:rPr>
      </w:pPr>
      <w:r w:rsidRPr="00CE53C2">
        <w:rPr>
          <w:b/>
          <w:sz w:val="20"/>
          <w:szCs w:val="20"/>
        </w:rPr>
        <w:t>Activités scientifiques et de recherche</w:t>
      </w:r>
    </w:p>
    <w:p w14:paraId="2168A721" w14:textId="50C18C23" w:rsidR="00210231" w:rsidRPr="00CE53C2" w:rsidRDefault="00210231" w:rsidP="004F12EC">
      <w:pPr>
        <w:widowControl w:val="0"/>
        <w:autoSpaceDE w:val="0"/>
        <w:autoSpaceDN w:val="0"/>
        <w:adjustRightInd w:val="0"/>
        <w:ind w:left="284" w:hanging="284"/>
        <w:jc w:val="both"/>
        <w:rPr>
          <w:rFonts w:eastAsia="MS Mincho" w:cs="Times New Roman"/>
          <w:sz w:val="20"/>
          <w:szCs w:val="20"/>
          <w:lang w:eastAsia="ja-JP"/>
        </w:rPr>
      </w:pPr>
    </w:p>
    <w:p w14:paraId="350441B2" w14:textId="1781A15D" w:rsidR="004E035A" w:rsidRPr="00CE53C2" w:rsidRDefault="00A854A3" w:rsidP="004F12EC">
      <w:pPr>
        <w:pStyle w:val="ListParagraph"/>
        <w:tabs>
          <w:tab w:val="left" w:pos="426"/>
        </w:tabs>
        <w:ind w:left="426" w:hanging="426"/>
        <w:jc w:val="both"/>
        <w:rPr>
          <w:sz w:val="20"/>
          <w:szCs w:val="20"/>
        </w:rPr>
      </w:pPr>
      <w:r w:rsidRPr="00CE53C2">
        <w:rPr>
          <w:sz w:val="20"/>
          <w:szCs w:val="20"/>
        </w:rPr>
        <w:t>20</w:t>
      </w:r>
      <w:r w:rsidR="009A4F3A" w:rsidRPr="00CE53C2">
        <w:rPr>
          <w:sz w:val="20"/>
          <w:szCs w:val="20"/>
        </w:rPr>
        <w:t>.</w:t>
      </w:r>
      <w:r w:rsidR="009A4F3A" w:rsidRPr="00CE53C2">
        <w:rPr>
          <w:sz w:val="20"/>
          <w:szCs w:val="20"/>
        </w:rPr>
        <w:tab/>
        <w:t>Le SCRS devra continuer à donner la priorité</w:t>
      </w:r>
      <w:r w:rsidR="00110222" w:rsidRPr="00CE53C2">
        <w:rPr>
          <w:sz w:val="20"/>
          <w:szCs w:val="20"/>
        </w:rPr>
        <w:t xml:space="preserve"> : </w:t>
      </w:r>
      <w:r w:rsidR="009A4F3A" w:rsidRPr="00CE53C2">
        <w:rPr>
          <w:sz w:val="20"/>
          <w:szCs w:val="20"/>
        </w:rPr>
        <w:t>à</w:t>
      </w:r>
      <w:r w:rsidR="00110222" w:rsidRPr="00CE53C2">
        <w:rPr>
          <w:sz w:val="20"/>
          <w:szCs w:val="20"/>
        </w:rPr>
        <w:t xml:space="preserve"> </w:t>
      </w:r>
      <w:r w:rsidR="009A4F3A" w:rsidRPr="00CE53C2">
        <w:rPr>
          <w:sz w:val="20"/>
          <w:szCs w:val="20"/>
        </w:rPr>
        <w:t>la recherche sur l’identification des zones de reproduction, de mise bas et de nourricerie, ainsi que d'autres zones de forte concentration de requins-taupes bleus</w:t>
      </w:r>
      <w:r w:rsidR="00110222" w:rsidRPr="00CE53C2">
        <w:rPr>
          <w:sz w:val="20"/>
          <w:szCs w:val="20"/>
        </w:rPr>
        <w:t xml:space="preserve"> </w:t>
      </w:r>
      <w:r w:rsidR="004E035A" w:rsidRPr="00CE53C2">
        <w:rPr>
          <w:sz w:val="20"/>
          <w:szCs w:val="20"/>
        </w:rPr>
        <w:t>de l’Atlantique Sud ;</w:t>
      </w:r>
      <w:r w:rsidR="009A4F3A" w:rsidRPr="00CE53C2">
        <w:rPr>
          <w:sz w:val="20"/>
          <w:szCs w:val="20"/>
        </w:rPr>
        <w:t xml:space="preserve"> </w:t>
      </w:r>
      <w:r w:rsidR="00110222" w:rsidRPr="00CE53C2">
        <w:rPr>
          <w:sz w:val="20"/>
          <w:szCs w:val="20"/>
        </w:rPr>
        <w:t>aux</w:t>
      </w:r>
      <w:r w:rsidR="009A4F3A" w:rsidRPr="00CE53C2">
        <w:rPr>
          <w:sz w:val="20"/>
          <w:szCs w:val="20"/>
        </w:rPr>
        <w:t xml:space="preserve"> options pour des mesures spatio-temporelles</w:t>
      </w:r>
      <w:r w:rsidR="00110222" w:rsidRPr="00CE53C2">
        <w:rPr>
          <w:sz w:val="20"/>
          <w:szCs w:val="20"/>
        </w:rPr>
        <w:t> ;</w:t>
      </w:r>
      <w:r w:rsidR="009A4F3A" w:rsidRPr="00CE53C2">
        <w:rPr>
          <w:sz w:val="20"/>
          <w:szCs w:val="20"/>
        </w:rPr>
        <w:t xml:space="preserve"> </w:t>
      </w:r>
      <w:r w:rsidR="00003656" w:rsidRPr="00CE53C2">
        <w:rPr>
          <w:sz w:val="20"/>
          <w:szCs w:val="20"/>
        </w:rPr>
        <w:t>aux</w:t>
      </w:r>
      <w:r w:rsidR="009A4F3A" w:rsidRPr="00CE53C2">
        <w:rPr>
          <w:sz w:val="20"/>
          <w:szCs w:val="20"/>
        </w:rPr>
        <w:t xml:space="preserve"> mesures d'atténuation (</w:t>
      </w:r>
      <w:r w:rsidR="00290F58" w:rsidRPr="00CE53C2">
        <w:rPr>
          <w:sz w:val="20"/>
          <w:szCs w:val="20"/>
        </w:rPr>
        <w:t>entre autres</w:t>
      </w:r>
      <w:r w:rsidR="009A4F3A" w:rsidRPr="00CE53C2">
        <w:rPr>
          <w:sz w:val="20"/>
          <w:szCs w:val="20"/>
        </w:rPr>
        <w:t xml:space="preserve"> la configuration </w:t>
      </w:r>
      <w:r w:rsidR="00290F58" w:rsidRPr="00CE53C2">
        <w:rPr>
          <w:sz w:val="20"/>
          <w:szCs w:val="20"/>
        </w:rPr>
        <w:t>et la modification de l’engin, les options de déploiement</w:t>
      </w:r>
      <w:r w:rsidR="009A4F3A" w:rsidRPr="00CE53C2">
        <w:rPr>
          <w:sz w:val="20"/>
          <w:szCs w:val="20"/>
        </w:rPr>
        <w:t xml:space="preserve">), </w:t>
      </w:r>
      <w:r w:rsidR="009A4F3A" w:rsidRPr="00CE53C2">
        <w:rPr>
          <w:sz w:val="20"/>
          <w:szCs w:val="20"/>
        </w:rPr>
        <w:lastRenderedPageBreak/>
        <w:t xml:space="preserve">conjointement avec les avantages et les inconvénients </w:t>
      </w:r>
      <w:r w:rsidR="002778D9" w:rsidRPr="00CE53C2">
        <w:rPr>
          <w:sz w:val="20"/>
          <w:szCs w:val="20"/>
        </w:rPr>
        <w:t xml:space="preserve">pour </w:t>
      </w:r>
      <w:r w:rsidR="009A4F3A" w:rsidRPr="00CE53C2">
        <w:rPr>
          <w:sz w:val="20"/>
          <w:szCs w:val="20"/>
        </w:rPr>
        <w:t>les objectifs du programme de rétablissement, visant à améliorer davantage l’état des stocks</w:t>
      </w:r>
      <w:r w:rsidR="00110222" w:rsidRPr="00CE53C2">
        <w:rPr>
          <w:sz w:val="20"/>
          <w:szCs w:val="20"/>
        </w:rPr>
        <w:t xml:space="preserve"> ; </w:t>
      </w:r>
      <w:r w:rsidR="009A4F3A" w:rsidRPr="00CE53C2">
        <w:rPr>
          <w:sz w:val="20"/>
          <w:szCs w:val="20"/>
        </w:rPr>
        <w:t xml:space="preserve">et </w:t>
      </w:r>
      <w:r w:rsidR="00110222" w:rsidRPr="00CE53C2">
        <w:rPr>
          <w:sz w:val="20"/>
          <w:szCs w:val="20"/>
        </w:rPr>
        <w:t xml:space="preserve">à </w:t>
      </w:r>
      <w:r w:rsidR="009A4F3A" w:rsidRPr="00CE53C2">
        <w:rPr>
          <w:sz w:val="20"/>
          <w:szCs w:val="20"/>
        </w:rPr>
        <w:t>d'autres domaines que le SCRS juge utiles pour améliorer les évaluations de stocks et réduire la mortalité du requin-taupe bleu. En outre, les CPC sont encouragées à enquêter sur la mortalité à bord et après la remise à l'eau du requin-taupe bleu, y compris, mais pas exclusivement, au moyen de l'incorporation de minuteurs d’hameçons et de programmes de marquage par satellite.</w:t>
      </w:r>
    </w:p>
    <w:p w14:paraId="05DBBB27" w14:textId="77777777" w:rsidR="004B7133" w:rsidRPr="00CE53C2" w:rsidRDefault="004B7133" w:rsidP="004F12EC">
      <w:pPr>
        <w:pStyle w:val="ListParagraph"/>
        <w:tabs>
          <w:tab w:val="left" w:pos="426"/>
        </w:tabs>
        <w:ind w:left="426" w:hanging="426"/>
        <w:jc w:val="both"/>
        <w:rPr>
          <w:bCs/>
          <w:sz w:val="20"/>
          <w:szCs w:val="20"/>
        </w:rPr>
      </w:pPr>
    </w:p>
    <w:p w14:paraId="116308CD" w14:textId="11A97E85" w:rsidR="00BB02C1" w:rsidRPr="00CE53C2" w:rsidRDefault="0087563A" w:rsidP="004F12EC">
      <w:pPr>
        <w:tabs>
          <w:tab w:val="left" w:pos="426"/>
        </w:tabs>
        <w:ind w:left="426" w:hanging="426"/>
        <w:jc w:val="both"/>
        <w:rPr>
          <w:bCs/>
          <w:sz w:val="20"/>
          <w:szCs w:val="20"/>
        </w:rPr>
      </w:pPr>
      <w:r w:rsidRPr="00CE53C2">
        <w:rPr>
          <w:bCs/>
          <w:sz w:val="20"/>
          <w:szCs w:val="20"/>
        </w:rPr>
        <w:t>2</w:t>
      </w:r>
      <w:r w:rsidR="001B08FC" w:rsidRPr="00CE53C2">
        <w:rPr>
          <w:bCs/>
          <w:sz w:val="20"/>
          <w:szCs w:val="20"/>
        </w:rPr>
        <w:t>1</w:t>
      </w:r>
      <w:r w:rsidR="00FD007A" w:rsidRPr="00CE53C2">
        <w:rPr>
          <w:bCs/>
          <w:sz w:val="20"/>
          <w:szCs w:val="20"/>
        </w:rPr>
        <w:t>.</w:t>
      </w:r>
      <w:r w:rsidR="00357F08" w:rsidRPr="00CE53C2">
        <w:rPr>
          <w:bCs/>
          <w:sz w:val="20"/>
          <w:szCs w:val="20"/>
        </w:rPr>
        <w:tab/>
      </w:r>
      <w:r w:rsidR="00ED69CD" w:rsidRPr="00CE53C2">
        <w:rPr>
          <w:sz w:val="20"/>
          <w:szCs w:val="20"/>
        </w:rPr>
        <w:t xml:space="preserve">Compte tenu du fait que </w:t>
      </w:r>
      <w:r w:rsidR="00E06098" w:rsidRPr="00CE53C2">
        <w:rPr>
          <w:sz w:val="20"/>
          <w:szCs w:val="20"/>
        </w:rPr>
        <w:t xml:space="preserve">des captures accessoires réalisées dans </w:t>
      </w:r>
      <w:r w:rsidR="00ED69CD" w:rsidRPr="00CE53C2">
        <w:rPr>
          <w:sz w:val="20"/>
          <w:szCs w:val="20"/>
        </w:rPr>
        <w:t xml:space="preserve">des points névralgiques pourraient se produire dans des zones et des périodes présentant des conditions océanographiques spécifiques, le SCRS </w:t>
      </w:r>
      <w:r w:rsidR="00357F08" w:rsidRPr="00CE53C2">
        <w:rPr>
          <w:bCs/>
          <w:sz w:val="20"/>
          <w:szCs w:val="20"/>
        </w:rPr>
        <w:t xml:space="preserve">devra </w:t>
      </w:r>
      <w:r w:rsidR="003604E0" w:rsidRPr="00CE53C2">
        <w:rPr>
          <w:bCs/>
          <w:sz w:val="20"/>
          <w:szCs w:val="20"/>
        </w:rPr>
        <w:t>poursuivre le développement d’</w:t>
      </w:r>
      <w:r w:rsidR="00357F08" w:rsidRPr="00CE53C2">
        <w:rPr>
          <w:bCs/>
          <w:sz w:val="20"/>
          <w:szCs w:val="20"/>
        </w:rPr>
        <w:t xml:space="preserve">un projet pilote pour explorer les avantages de l'installation de mini-enregistreurs de données sur la ligne mère et sur les avançons des palangriers </w:t>
      </w:r>
      <w:r w:rsidR="00290F58" w:rsidRPr="00CE53C2">
        <w:rPr>
          <w:bCs/>
          <w:sz w:val="20"/>
          <w:szCs w:val="20"/>
        </w:rPr>
        <w:t xml:space="preserve">qui participent au projet sur une base volontaire </w:t>
      </w:r>
      <w:r w:rsidR="00357F08" w:rsidRPr="00CE53C2">
        <w:rPr>
          <w:bCs/>
          <w:sz w:val="20"/>
          <w:szCs w:val="20"/>
        </w:rPr>
        <w:t>ciblant les espèces de l'ICCAT qui ont des interactions potentielles avec le requin-taupe bleu. Le SCRS devra fournir des orientations sur les caractéristiques de base, le nombre minimum et les positions d'installation des mini</w:t>
      </w:r>
      <w:r w:rsidR="0045103E" w:rsidRPr="00CE53C2">
        <w:rPr>
          <w:bCs/>
          <w:sz w:val="20"/>
          <w:szCs w:val="20"/>
        </w:rPr>
        <w:t>-</w:t>
      </w:r>
      <w:r w:rsidR="00357F08" w:rsidRPr="00CE53C2">
        <w:rPr>
          <w:bCs/>
          <w:sz w:val="20"/>
          <w:szCs w:val="20"/>
        </w:rPr>
        <w:t>enregistreurs de données afin de mieux comprendre les effets du temps de mouillage, des profondeurs de pêche et des caractéristiques environnementales à l'origine des captures accidentelles plus élevées de requins-taupes bleus.</w:t>
      </w:r>
    </w:p>
    <w:p w14:paraId="166DA456" w14:textId="5A977F94" w:rsidR="00FA6724" w:rsidRPr="00CE53C2" w:rsidRDefault="00FA6724" w:rsidP="004F12EC">
      <w:pPr>
        <w:jc w:val="both"/>
        <w:rPr>
          <w:sz w:val="20"/>
          <w:szCs w:val="20"/>
        </w:rPr>
      </w:pPr>
    </w:p>
    <w:p w14:paraId="5D8B4B94" w14:textId="58247624" w:rsidR="00290F58" w:rsidRPr="00CE53C2" w:rsidRDefault="0087563A" w:rsidP="004F12EC">
      <w:pPr>
        <w:pStyle w:val="ListParagraph"/>
        <w:tabs>
          <w:tab w:val="left" w:pos="426"/>
        </w:tabs>
        <w:ind w:left="426" w:hanging="426"/>
        <w:jc w:val="both"/>
        <w:rPr>
          <w:strike/>
          <w:sz w:val="20"/>
          <w:szCs w:val="20"/>
        </w:rPr>
      </w:pPr>
      <w:r w:rsidRPr="00CE53C2">
        <w:rPr>
          <w:sz w:val="20"/>
          <w:szCs w:val="20"/>
        </w:rPr>
        <w:t>22</w:t>
      </w:r>
      <w:r w:rsidR="00C50908" w:rsidRPr="00CE53C2">
        <w:rPr>
          <w:b/>
          <w:bCs/>
          <w:sz w:val="20"/>
          <w:szCs w:val="20"/>
        </w:rPr>
        <w:t>.</w:t>
      </w:r>
    </w:p>
    <w:p w14:paraId="605A137F" w14:textId="3ECA3174" w:rsidR="003640C1" w:rsidRPr="00CE53C2" w:rsidRDefault="003640C1" w:rsidP="004F12EC">
      <w:pPr>
        <w:pStyle w:val="ListParagraph"/>
        <w:ind w:left="851" w:hanging="426"/>
        <w:jc w:val="both"/>
        <w:rPr>
          <w:sz w:val="20"/>
          <w:szCs w:val="20"/>
        </w:rPr>
      </w:pPr>
      <w:r w:rsidRPr="00CE53C2">
        <w:rPr>
          <w:sz w:val="20"/>
          <w:szCs w:val="20"/>
        </w:rPr>
        <w:t>a)</w:t>
      </w:r>
      <w:r w:rsidRPr="00CE53C2">
        <w:rPr>
          <w:sz w:val="20"/>
          <w:szCs w:val="20"/>
        </w:rPr>
        <w:tab/>
        <w:t>Le SCRS devra fournir à la Commission dès que de nouvelles informations s</w:t>
      </w:r>
      <w:r w:rsidR="007F384F" w:rsidRPr="00CE53C2">
        <w:rPr>
          <w:sz w:val="20"/>
          <w:szCs w:val="20"/>
        </w:rPr>
        <w:t>er</w:t>
      </w:r>
      <w:r w:rsidRPr="00CE53C2">
        <w:rPr>
          <w:sz w:val="20"/>
          <w:szCs w:val="20"/>
        </w:rPr>
        <w:t>ont disponibles, un avis actualisé sur les mesures d'atténuation visant à réduire davantage la mortalité du requin-taupe bleu</w:t>
      </w:r>
      <w:r w:rsidR="00312804" w:rsidRPr="00CE53C2">
        <w:rPr>
          <w:sz w:val="20"/>
          <w:szCs w:val="20"/>
        </w:rPr>
        <w:t xml:space="preserve">. Les </w:t>
      </w:r>
      <w:r w:rsidRPr="00CE53C2">
        <w:rPr>
          <w:sz w:val="20"/>
          <w:szCs w:val="20"/>
        </w:rPr>
        <w:t xml:space="preserve">CPC </w:t>
      </w:r>
      <w:r w:rsidR="00B726F0" w:rsidRPr="00CE53C2">
        <w:rPr>
          <w:sz w:val="20"/>
          <w:szCs w:val="20"/>
        </w:rPr>
        <w:t>qui appliquent le</w:t>
      </w:r>
      <w:r w:rsidR="00312804" w:rsidRPr="00CE53C2">
        <w:rPr>
          <w:sz w:val="20"/>
          <w:szCs w:val="20"/>
        </w:rPr>
        <w:t xml:space="preserve"> paragraphe 8 </w:t>
      </w:r>
      <w:r w:rsidRPr="00CE53C2">
        <w:rPr>
          <w:sz w:val="20"/>
          <w:szCs w:val="20"/>
        </w:rPr>
        <w:t xml:space="preserve">devront soumettre au SCRS des informations </w:t>
      </w:r>
      <w:r w:rsidR="00D9750B" w:rsidRPr="00CE53C2">
        <w:rPr>
          <w:sz w:val="20"/>
          <w:szCs w:val="20"/>
        </w:rPr>
        <w:t>par</w:t>
      </w:r>
      <w:r w:rsidRPr="00CE53C2">
        <w:rPr>
          <w:sz w:val="20"/>
          <w:szCs w:val="20"/>
        </w:rPr>
        <w:t xml:space="preserve"> pêcherie sur les mesures techniques et autres mesures de gestion qu'elles ont mises en œuvre afin de réduire la mortalité totale par pêche du requin-taupe bleu de l'Atlantique </w:t>
      </w:r>
      <w:r w:rsidR="00207404" w:rsidRPr="00CE53C2">
        <w:rPr>
          <w:sz w:val="20"/>
          <w:szCs w:val="20"/>
        </w:rPr>
        <w:t>Sud</w:t>
      </w:r>
      <w:r w:rsidRPr="00CE53C2">
        <w:rPr>
          <w:sz w:val="20"/>
          <w:szCs w:val="20"/>
        </w:rPr>
        <w:t>, à l’exception des CPC qui ont déjà fourni cette information au Secrétariat</w:t>
      </w:r>
      <w:r w:rsidR="001D6EFC" w:rsidRPr="00CE53C2">
        <w:rPr>
          <w:sz w:val="20"/>
          <w:szCs w:val="20"/>
        </w:rPr>
        <w:t xml:space="preserve"> de l’ICCAT</w:t>
      </w:r>
      <w:r w:rsidRPr="00CE53C2">
        <w:rPr>
          <w:sz w:val="20"/>
          <w:szCs w:val="20"/>
        </w:rPr>
        <w:t xml:space="preserve">. Le SCRS devra examiner ces informations et conseiller la Commission sur les outils et les approches qui ont été les plus efficaces pour réduire la mortalité par pêche, en vue de recommander des mesures spécifiques </w:t>
      </w:r>
      <w:r w:rsidR="0045103E" w:rsidRPr="00CE53C2">
        <w:rPr>
          <w:sz w:val="20"/>
          <w:szCs w:val="20"/>
        </w:rPr>
        <w:t>que la Commission pourrait envisager d’adopter.</w:t>
      </w:r>
    </w:p>
    <w:p w14:paraId="5BD0061A" w14:textId="77777777" w:rsidR="00BB02C1" w:rsidRPr="00CE53C2" w:rsidRDefault="00BB02C1" w:rsidP="004F12EC">
      <w:pPr>
        <w:pStyle w:val="ListParagraph"/>
        <w:ind w:left="851" w:hanging="426"/>
        <w:jc w:val="both"/>
        <w:rPr>
          <w:b/>
          <w:sz w:val="20"/>
          <w:szCs w:val="20"/>
        </w:rPr>
      </w:pPr>
    </w:p>
    <w:p w14:paraId="2BBAA2D5" w14:textId="690E44D0" w:rsidR="00454044" w:rsidRPr="00CE53C2" w:rsidRDefault="00454044" w:rsidP="004F12EC">
      <w:pPr>
        <w:pStyle w:val="ListParagraph"/>
        <w:ind w:left="851" w:hanging="426"/>
        <w:jc w:val="both"/>
        <w:rPr>
          <w:b/>
          <w:sz w:val="20"/>
          <w:szCs w:val="20"/>
        </w:rPr>
      </w:pPr>
      <w:r w:rsidRPr="00CE53C2">
        <w:rPr>
          <w:rFonts w:eastAsia="Cambria" w:cs="Cambria"/>
          <w:color w:val="000000"/>
          <w:sz w:val="20"/>
          <w:szCs w:val="20"/>
          <w:lang w:eastAsia="en-GB"/>
        </w:rPr>
        <w:t>b)</w:t>
      </w:r>
      <w:r w:rsidRPr="00CE53C2">
        <w:rPr>
          <w:rFonts w:eastAsia="Cambria" w:cs="Cambria"/>
          <w:color w:val="000000"/>
          <w:sz w:val="20"/>
          <w:szCs w:val="20"/>
          <w:lang w:eastAsia="en-GB"/>
        </w:rPr>
        <w:tab/>
      </w:r>
      <w:r w:rsidR="00D07C77" w:rsidRPr="00CE53C2">
        <w:rPr>
          <w:sz w:val="20"/>
          <w:szCs w:val="20"/>
          <w:u w:val="single"/>
        </w:rPr>
        <w:t xml:space="preserve">En tenant compte de l'information sur les mesures techniques et autres mesures de gestion soumises par les CPC au sous-paragraphe (a) ci-dessus, le SCRS devra évaluer les avantages potentiels des limites de taille tant minimale que maximale pour la rétention de spécimens vivants (appliquées séparément ou en combinaison), en particulier les tailles </w:t>
      </w:r>
      <w:r w:rsidR="00E14ED2" w:rsidRPr="00CE53C2">
        <w:rPr>
          <w:sz w:val="20"/>
          <w:szCs w:val="20"/>
          <w:u w:val="single"/>
        </w:rPr>
        <w:t xml:space="preserve">à maturité </w:t>
      </w:r>
      <w:r w:rsidR="00D07C77" w:rsidRPr="00CE53C2">
        <w:rPr>
          <w:sz w:val="20"/>
          <w:szCs w:val="20"/>
          <w:u w:val="single"/>
        </w:rPr>
        <w:t>spécifiques au sexe basées sur les meilleures données scientifiques disponibles, particulièrement lorsqu'elles sont considérées en combinaison avec d'autres mesures de gestion, afin d</w:t>
      </w:r>
      <w:r w:rsidR="00032124" w:rsidRPr="00CE53C2">
        <w:rPr>
          <w:sz w:val="20"/>
          <w:szCs w:val="20"/>
          <w:u w:val="single"/>
        </w:rPr>
        <w:t xml:space="preserve">’obtenir </w:t>
      </w:r>
      <w:r w:rsidR="00D07C77" w:rsidRPr="00CE53C2">
        <w:rPr>
          <w:sz w:val="20"/>
          <w:szCs w:val="20"/>
          <w:u w:val="single"/>
        </w:rPr>
        <w:t xml:space="preserve">les réductions requises de mortalité. </w:t>
      </w:r>
      <w:r w:rsidRPr="00CE53C2">
        <w:rPr>
          <w:rFonts w:eastAsia="Cambria" w:cs="Cambria"/>
          <w:color w:val="000000"/>
          <w:sz w:val="20"/>
          <w:szCs w:val="20"/>
          <w:lang w:eastAsia="en-GB"/>
        </w:rPr>
        <w:t>L</w:t>
      </w:r>
      <w:r w:rsidRPr="00CE53C2">
        <w:rPr>
          <w:sz w:val="20"/>
          <w:szCs w:val="20"/>
        </w:rPr>
        <w:t>e SCRS devra donner un avis à la Commission sur les mesures techniques les plus efficaces qui devraient être mises en œuvre pour réduire la mortalité par pêche du requin-taupe bleu tout en fournissant également des informations et des avis sur les avantages et inconvénients pour les captures de l’espèce cible par pêcherie.</w:t>
      </w:r>
    </w:p>
    <w:p w14:paraId="329E2AD0" w14:textId="3205969A" w:rsidR="00454044" w:rsidRPr="00CE53C2" w:rsidRDefault="00454044" w:rsidP="004F12EC">
      <w:pPr>
        <w:pStyle w:val="ListParagraph"/>
        <w:ind w:left="851" w:hanging="426"/>
        <w:jc w:val="both"/>
        <w:rPr>
          <w:rFonts w:eastAsia="Cambria" w:cs="Cambria"/>
          <w:color w:val="000000"/>
          <w:sz w:val="20"/>
          <w:szCs w:val="20"/>
          <w:lang w:eastAsia="en-GB"/>
        </w:rPr>
      </w:pPr>
    </w:p>
    <w:p w14:paraId="2D615A37" w14:textId="4A986C51" w:rsidR="004B7133" w:rsidRPr="00CE53C2" w:rsidRDefault="0087563A" w:rsidP="004F12EC">
      <w:pPr>
        <w:spacing w:after="5" w:line="244" w:lineRule="auto"/>
        <w:ind w:left="426" w:right="36" w:hanging="426"/>
        <w:jc w:val="both"/>
        <w:rPr>
          <w:rFonts w:eastAsia="Cambria" w:cs="Cambria"/>
          <w:color w:val="000000"/>
          <w:sz w:val="20"/>
          <w:szCs w:val="20"/>
          <w:lang w:eastAsia="en-GB"/>
        </w:rPr>
      </w:pPr>
      <w:r w:rsidRPr="00CE53C2">
        <w:rPr>
          <w:rFonts w:eastAsia="Cambria" w:cs="Cambria"/>
          <w:color w:val="000000"/>
          <w:sz w:val="20"/>
          <w:szCs w:val="20"/>
          <w:lang w:eastAsia="en-GB"/>
        </w:rPr>
        <w:t>23</w:t>
      </w:r>
      <w:r w:rsidR="004B7133" w:rsidRPr="00CE53C2">
        <w:rPr>
          <w:rFonts w:eastAsia="Cambria" w:cs="Cambria"/>
          <w:color w:val="000000"/>
          <w:sz w:val="20"/>
          <w:szCs w:val="20"/>
          <w:lang w:eastAsia="en-GB"/>
        </w:rPr>
        <w:t>.</w:t>
      </w:r>
      <w:r w:rsidR="004B7133" w:rsidRPr="00CE53C2">
        <w:rPr>
          <w:rFonts w:eastAsia="Cambria" w:cs="Cambria"/>
          <w:color w:val="000000"/>
          <w:sz w:val="20"/>
          <w:szCs w:val="20"/>
          <w:lang w:eastAsia="en-GB"/>
        </w:rPr>
        <w:tab/>
        <w:t>Le SCRS devra réviser les débarquements et les rejets déclarés de petite taupe afin d’identifier les éventuelles incohérences inattendues qui pourraient être le résultat d’erreurs d’identification entre les deux espèces de requin-taupe, aux fins de la formulation de l’avis de gestion.</w:t>
      </w:r>
    </w:p>
    <w:p w14:paraId="0B7D8595" w14:textId="77777777" w:rsidR="004B7133" w:rsidRPr="00CE53C2" w:rsidRDefault="004B7133" w:rsidP="004F12EC">
      <w:pPr>
        <w:jc w:val="both"/>
        <w:rPr>
          <w:bCs/>
          <w:sz w:val="20"/>
          <w:szCs w:val="20"/>
        </w:rPr>
      </w:pPr>
    </w:p>
    <w:p w14:paraId="44A88504" w14:textId="35D7D737" w:rsidR="00D867CA" w:rsidRPr="00CE53C2" w:rsidRDefault="0087563A" w:rsidP="004F12EC">
      <w:pPr>
        <w:spacing w:after="5" w:line="244" w:lineRule="auto"/>
        <w:ind w:left="426" w:right="36" w:hanging="426"/>
        <w:jc w:val="both"/>
        <w:rPr>
          <w:sz w:val="20"/>
          <w:szCs w:val="20"/>
        </w:rPr>
      </w:pPr>
      <w:r w:rsidRPr="00CE53C2">
        <w:rPr>
          <w:rFonts w:eastAsia="Cambria" w:cs="Cambria"/>
          <w:color w:val="000000"/>
          <w:sz w:val="20"/>
          <w:szCs w:val="20"/>
          <w:lang w:eastAsia="en-GB"/>
        </w:rPr>
        <w:t>24</w:t>
      </w:r>
      <w:r w:rsidR="00F31CC8" w:rsidRPr="00CE53C2">
        <w:rPr>
          <w:rFonts w:eastAsia="Cambria" w:cs="Cambria"/>
          <w:color w:val="000000"/>
          <w:sz w:val="20"/>
          <w:szCs w:val="20"/>
          <w:lang w:eastAsia="en-GB"/>
        </w:rPr>
        <w:t>.</w:t>
      </w:r>
      <w:r w:rsidR="00F31CC8" w:rsidRPr="00CE53C2">
        <w:rPr>
          <w:rFonts w:eastAsia="Cambria" w:cs="Cambria"/>
          <w:color w:val="000000"/>
          <w:sz w:val="20"/>
          <w:szCs w:val="20"/>
          <w:lang w:eastAsia="en-GB"/>
        </w:rPr>
        <w:tab/>
      </w:r>
      <w:r w:rsidR="00D867CA" w:rsidRPr="00CE53C2">
        <w:rPr>
          <w:rFonts w:eastAsia="Cambria" w:cs="Cambria"/>
          <w:color w:val="000000"/>
          <w:sz w:val="20"/>
          <w:szCs w:val="20"/>
          <w:lang w:eastAsia="en-GB"/>
        </w:rPr>
        <w:t>Dans</w:t>
      </w:r>
      <w:r w:rsidR="00D867CA" w:rsidRPr="00CE53C2">
        <w:rPr>
          <w:sz w:val="20"/>
          <w:szCs w:val="20"/>
        </w:rPr>
        <w:t xml:space="preserve"> le but d'évaluer l'impact des mesures actuel</w:t>
      </w:r>
      <w:r w:rsidR="00D867CA" w:rsidRPr="00CE53C2">
        <w:rPr>
          <w:sz w:val="20"/>
          <w:szCs w:val="20"/>
          <w:u w:val="single"/>
        </w:rPr>
        <w:t>les, l</w:t>
      </w:r>
      <w:r w:rsidR="00D867CA" w:rsidRPr="00CE53C2">
        <w:rPr>
          <w:sz w:val="20"/>
          <w:szCs w:val="20"/>
        </w:rPr>
        <w:t xml:space="preserve">e SCRS devra informer la Commission chaque fois qu'il s’avèrera pertinent de réaliser une nouvelle évaluation du stock de requin-taupe bleu de l'Atlantique Sud. </w:t>
      </w:r>
    </w:p>
    <w:p w14:paraId="2475AEAA" w14:textId="62CFD7C0" w:rsidR="00956CF9" w:rsidRPr="00CE53C2" w:rsidRDefault="00956CF9" w:rsidP="004F12EC">
      <w:pPr>
        <w:jc w:val="both"/>
        <w:rPr>
          <w:b/>
          <w:sz w:val="20"/>
          <w:szCs w:val="20"/>
        </w:rPr>
      </w:pPr>
    </w:p>
    <w:p w14:paraId="3F939763" w14:textId="0FB53BEB" w:rsidR="00210231" w:rsidRPr="00CE53C2" w:rsidRDefault="00900BF4" w:rsidP="004F12EC">
      <w:pPr>
        <w:tabs>
          <w:tab w:val="left" w:pos="426"/>
        </w:tabs>
        <w:jc w:val="both"/>
        <w:rPr>
          <w:b/>
          <w:bCs/>
          <w:sz w:val="20"/>
          <w:szCs w:val="20"/>
        </w:rPr>
      </w:pPr>
      <w:r w:rsidRPr="00CE53C2">
        <w:rPr>
          <w:b/>
          <w:sz w:val="20"/>
          <w:szCs w:val="20"/>
        </w:rPr>
        <w:t>Abrogation</w:t>
      </w:r>
    </w:p>
    <w:p w14:paraId="42D52FA8" w14:textId="77777777" w:rsidR="0032369E" w:rsidRPr="00CE53C2" w:rsidRDefault="0032369E" w:rsidP="004F12EC">
      <w:pPr>
        <w:ind w:left="426" w:hanging="426"/>
        <w:jc w:val="both"/>
        <w:rPr>
          <w:sz w:val="20"/>
          <w:szCs w:val="20"/>
        </w:rPr>
      </w:pPr>
    </w:p>
    <w:p w14:paraId="18650DE5" w14:textId="47ADBDD4" w:rsidR="00327A70" w:rsidRPr="00CE53C2" w:rsidRDefault="0087563A" w:rsidP="004F12EC">
      <w:pPr>
        <w:ind w:left="426" w:hanging="426"/>
        <w:jc w:val="both"/>
        <w:rPr>
          <w:rFonts w:cs="Times New Roman"/>
          <w:b/>
          <w:bCs/>
          <w:iCs/>
          <w:sz w:val="20"/>
          <w:szCs w:val="20"/>
        </w:rPr>
      </w:pPr>
      <w:r w:rsidRPr="00CE53C2">
        <w:rPr>
          <w:sz w:val="20"/>
          <w:szCs w:val="20"/>
        </w:rPr>
        <w:t>25</w:t>
      </w:r>
      <w:r w:rsidR="00D9750B" w:rsidRPr="00CE53C2">
        <w:rPr>
          <w:sz w:val="20"/>
          <w:szCs w:val="20"/>
        </w:rPr>
        <w:t>.</w:t>
      </w:r>
      <w:r w:rsidR="00D9750B" w:rsidRPr="00CE53C2">
        <w:rPr>
          <w:sz w:val="20"/>
          <w:szCs w:val="20"/>
        </w:rPr>
        <w:tab/>
        <w:t>L</w:t>
      </w:r>
      <w:r w:rsidR="00327A70" w:rsidRPr="00CE53C2">
        <w:rPr>
          <w:sz w:val="20"/>
          <w:szCs w:val="20"/>
        </w:rPr>
        <w:t xml:space="preserve">a </w:t>
      </w:r>
      <w:r w:rsidR="0048375E" w:rsidRPr="00CE53C2">
        <w:rPr>
          <w:sz w:val="20"/>
          <w:szCs w:val="20"/>
        </w:rPr>
        <w:t xml:space="preserve">présente Recommandation abroge et remplace </w:t>
      </w:r>
      <w:r w:rsidR="009B5F85" w:rsidRPr="00CE53C2">
        <w:rPr>
          <w:sz w:val="20"/>
          <w:szCs w:val="20"/>
        </w:rPr>
        <w:t xml:space="preserve">la </w:t>
      </w:r>
      <w:r w:rsidR="009B5F85" w:rsidRPr="00CE53C2">
        <w:rPr>
          <w:i/>
          <w:sz w:val="20"/>
          <w:szCs w:val="20"/>
        </w:rPr>
        <w:t xml:space="preserve">Recommandation de l’ICCAT sur la conservation du stock de requin-taupe bleu de l'Atlantique Sud capturé en association avec les pêcheries de </w:t>
      </w:r>
      <w:r w:rsidR="009B5F85" w:rsidRPr="00CE53C2">
        <w:rPr>
          <w:iCs/>
          <w:sz w:val="20"/>
          <w:szCs w:val="20"/>
        </w:rPr>
        <w:t>l’ICCAT (Rec.</w:t>
      </w:r>
      <w:r w:rsidR="004E1BF9" w:rsidRPr="00CE53C2">
        <w:rPr>
          <w:iCs/>
          <w:sz w:val="20"/>
          <w:szCs w:val="20"/>
        </w:rPr>
        <w:t> </w:t>
      </w:r>
      <w:r w:rsidR="009B5F85" w:rsidRPr="00CE53C2">
        <w:rPr>
          <w:iCs/>
          <w:sz w:val="20"/>
          <w:szCs w:val="20"/>
        </w:rPr>
        <w:t>22-11)</w:t>
      </w:r>
      <w:r w:rsidR="004E1BF9" w:rsidRPr="00CE53C2">
        <w:rPr>
          <w:iCs/>
          <w:sz w:val="20"/>
          <w:szCs w:val="20"/>
        </w:rPr>
        <w:t>.</w:t>
      </w:r>
    </w:p>
    <w:p w14:paraId="3324BBE1" w14:textId="77777777" w:rsidR="004C07D1" w:rsidRPr="00CE53C2" w:rsidRDefault="004C07D1" w:rsidP="004F12EC">
      <w:pPr>
        <w:tabs>
          <w:tab w:val="left" w:pos="426"/>
        </w:tabs>
        <w:ind w:left="360" w:hanging="360"/>
        <w:jc w:val="both"/>
        <w:rPr>
          <w:sz w:val="20"/>
          <w:szCs w:val="20"/>
        </w:rPr>
      </w:pPr>
    </w:p>
    <w:p w14:paraId="0B78DF36" w14:textId="77777777" w:rsidR="004C07D1" w:rsidRPr="00CE53C2" w:rsidRDefault="004C07D1" w:rsidP="004F12EC">
      <w:pPr>
        <w:tabs>
          <w:tab w:val="left" w:pos="426"/>
        </w:tabs>
        <w:ind w:left="360" w:hanging="360"/>
        <w:jc w:val="both"/>
        <w:rPr>
          <w:sz w:val="20"/>
          <w:szCs w:val="20"/>
        </w:rPr>
      </w:pPr>
    </w:p>
    <w:p w14:paraId="1F8EB0F6" w14:textId="758F09D3" w:rsidR="004C07D1" w:rsidRPr="00CE53C2" w:rsidRDefault="004C07D1" w:rsidP="004F12EC">
      <w:pPr>
        <w:tabs>
          <w:tab w:val="left" w:pos="426"/>
        </w:tabs>
        <w:ind w:left="360" w:hanging="360"/>
        <w:jc w:val="both"/>
        <w:rPr>
          <w:rFonts w:cs="Times New Roman"/>
          <w:sz w:val="20"/>
          <w:szCs w:val="20"/>
        </w:rPr>
        <w:sectPr w:rsidR="004C07D1" w:rsidRPr="00CE53C2" w:rsidSect="00891E12">
          <w:headerReference w:type="default" r:id="rId13"/>
          <w:footerReference w:type="default" r:id="rId14"/>
          <w:pgSz w:w="11906" w:h="16838" w:code="9"/>
          <w:pgMar w:top="1418" w:right="1418" w:bottom="1418" w:left="1418" w:header="851" w:footer="1134" w:gutter="0"/>
          <w:pgNumType w:start="1"/>
          <w:cols w:space="720"/>
        </w:sectPr>
      </w:pPr>
    </w:p>
    <w:p w14:paraId="34D5BD52" w14:textId="77777777" w:rsidR="004C07D1" w:rsidRPr="00CE53C2" w:rsidRDefault="004C07D1" w:rsidP="004F12EC">
      <w:pPr>
        <w:jc w:val="both"/>
        <w:rPr>
          <w:b/>
          <w:sz w:val="20"/>
          <w:szCs w:val="20"/>
        </w:rPr>
      </w:pPr>
      <w:r w:rsidRPr="00CE53C2">
        <w:rPr>
          <w:b/>
          <w:sz w:val="20"/>
          <w:szCs w:val="20"/>
        </w:rPr>
        <w:br w:type="page"/>
      </w:r>
    </w:p>
    <w:p w14:paraId="15F9A184" w14:textId="7A3C333C" w:rsidR="00284E9A" w:rsidRPr="00CE53C2" w:rsidRDefault="00284E9A" w:rsidP="004F12EC">
      <w:pPr>
        <w:spacing w:line="259" w:lineRule="auto"/>
        <w:ind w:right="5"/>
        <w:jc w:val="right"/>
        <w:rPr>
          <w:b/>
          <w:sz w:val="20"/>
          <w:szCs w:val="20"/>
        </w:rPr>
      </w:pPr>
      <w:r w:rsidRPr="00CE53C2">
        <w:rPr>
          <w:b/>
          <w:sz w:val="20"/>
          <w:szCs w:val="20"/>
        </w:rPr>
        <w:lastRenderedPageBreak/>
        <w:t>Annexe 1</w:t>
      </w:r>
    </w:p>
    <w:p w14:paraId="72FFF187" w14:textId="77777777" w:rsidR="00284E9A" w:rsidRPr="00CE53C2" w:rsidRDefault="00284E9A" w:rsidP="004F12EC">
      <w:pPr>
        <w:spacing w:line="259" w:lineRule="auto"/>
        <w:ind w:right="5"/>
        <w:jc w:val="both"/>
        <w:rPr>
          <w:b/>
          <w:sz w:val="20"/>
          <w:szCs w:val="20"/>
          <w:u w:val="single"/>
        </w:rPr>
      </w:pPr>
    </w:p>
    <w:p w14:paraId="69293E28" w14:textId="5EC5D2AB" w:rsidR="00596AD8" w:rsidRPr="00CE53C2" w:rsidRDefault="00596AD8" w:rsidP="00F076D3">
      <w:pPr>
        <w:spacing w:line="259" w:lineRule="auto"/>
        <w:ind w:right="5"/>
        <w:jc w:val="center"/>
        <w:rPr>
          <w:b/>
          <w:bCs/>
          <w:sz w:val="20"/>
          <w:szCs w:val="20"/>
          <w:u w:val="single"/>
        </w:rPr>
      </w:pPr>
      <w:r w:rsidRPr="00CE53C2">
        <w:rPr>
          <w:b/>
          <w:sz w:val="20"/>
          <w:szCs w:val="20"/>
          <w:u w:val="single"/>
        </w:rPr>
        <w:t>Processus de détermination d'une éventuelle rétention</w:t>
      </w:r>
    </w:p>
    <w:p w14:paraId="6E428435" w14:textId="77777777" w:rsidR="00596AD8" w:rsidRPr="00CE53C2" w:rsidRDefault="00596AD8" w:rsidP="004F12EC">
      <w:pPr>
        <w:spacing w:line="259" w:lineRule="auto"/>
        <w:ind w:right="5"/>
        <w:jc w:val="both"/>
        <w:rPr>
          <w:bCs/>
          <w:sz w:val="20"/>
          <w:szCs w:val="20"/>
          <w:u w:val="single"/>
        </w:rPr>
      </w:pPr>
      <w:r w:rsidRPr="00CE53C2">
        <w:rPr>
          <w:b/>
          <w:sz w:val="20"/>
          <w:szCs w:val="20"/>
          <w:u w:val="single"/>
        </w:rPr>
        <w:t xml:space="preserve"> </w:t>
      </w:r>
    </w:p>
    <w:p w14:paraId="08D6D2E1" w14:textId="29F1CE35" w:rsidR="00596AD8" w:rsidRPr="00CE53C2" w:rsidRDefault="00BE154B" w:rsidP="009328C2">
      <w:pPr>
        <w:spacing w:line="259" w:lineRule="auto"/>
        <w:ind w:left="426" w:right="5" w:hanging="426"/>
        <w:jc w:val="both"/>
        <w:rPr>
          <w:bCs/>
          <w:sz w:val="20"/>
          <w:szCs w:val="20"/>
          <w:u w:val="single"/>
        </w:rPr>
      </w:pPr>
      <w:r w:rsidRPr="00CE53C2">
        <w:rPr>
          <w:sz w:val="20"/>
          <w:szCs w:val="20"/>
          <w:u w:val="single"/>
        </w:rPr>
        <w:t>1.</w:t>
      </w:r>
      <w:r w:rsidRPr="00CE53C2">
        <w:rPr>
          <w:sz w:val="20"/>
          <w:szCs w:val="20"/>
          <w:u w:val="single"/>
        </w:rPr>
        <w:tab/>
      </w:r>
      <w:r w:rsidR="00596AD8" w:rsidRPr="00CE53C2">
        <w:rPr>
          <w:sz w:val="20"/>
          <w:szCs w:val="20"/>
          <w:u w:val="single"/>
        </w:rPr>
        <w:t xml:space="preserve">Afin de calculer la tolérance de rétention, les règles suivantes devront s’appliquer lors de la prise de décisions de gestion au cours de l'année Y : </w:t>
      </w:r>
    </w:p>
    <w:p w14:paraId="3464AB53" w14:textId="77777777" w:rsidR="00596AD8" w:rsidRPr="00CE53C2" w:rsidRDefault="00596AD8" w:rsidP="004F12EC">
      <w:pPr>
        <w:spacing w:line="259" w:lineRule="auto"/>
        <w:ind w:right="5"/>
        <w:jc w:val="both"/>
        <w:rPr>
          <w:bCs/>
          <w:sz w:val="20"/>
          <w:szCs w:val="20"/>
          <w:u w:val="single"/>
        </w:rPr>
      </w:pPr>
      <w:r w:rsidRPr="00CE53C2">
        <w:rPr>
          <w:sz w:val="20"/>
          <w:szCs w:val="20"/>
          <w:u w:val="single"/>
        </w:rPr>
        <w:t xml:space="preserve"> </w:t>
      </w:r>
    </w:p>
    <w:p w14:paraId="150D61BA" w14:textId="1A31D78C" w:rsidR="00596AD8" w:rsidRPr="00CE53C2" w:rsidRDefault="00596AD8" w:rsidP="00800DFA">
      <w:pPr>
        <w:spacing w:line="259" w:lineRule="auto"/>
        <w:ind w:left="709" w:right="5" w:hanging="283"/>
        <w:jc w:val="both"/>
        <w:rPr>
          <w:bCs/>
          <w:sz w:val="20"/>
          <w:szCs w:val="20"/>
          <w:u w:val="single"/>
        </w:rPr>
      </w:pPr>
      <w:r w:rsidRPr="00CE53C2">
        <w:rPr>
          <w:sz w:val="20"/>
          <w:szCs w:val="20"/>
          <w:u w:val="single"/>
        </w:rPr>
        <w:t>a)</w:t>
      </w:r>
      <w:r w:rsidRPr="00CE53C2">
        <w:rPr>
          <w:sz w:val="20"/>
          <w:szCs w:val="20"/>
          <w:u w:val="single"/>
        </w:rPr>
        <w:tab/>
        <w:t>Toutes les sources de mortalité par pêche pour l’année antérieur</w:t>
      </w:r>
      <w:r w:rsidR="001123FB" w:rsidRPr="00CE53C2">
        <w:rPr>
          <w:sz w:val="20"/>
          <w:szCs w:val="20"/>
          <w:u w:val="single"/>
        </w:rPr>
        <w:t>e</w:t>
      </w:r>
      <w:r w:rsidRPr="00CE53C2">
        <w:rPr>
          <w:sz w:val="20"/>
          <w:szCs w:val="20"/>
          <w:u w:val="single"/>
        </w:rPr>
        <w:t xml:space="preserve"> (Y-1) devront être estimées par le SCRS sur la base des données soumises par les CPC ainsi que des preuves scientifiques actualisées. Dans le cas où toutes les CPC ne déclarent pas toutes les données requises et les jeux de données complets pour Y-1 (c'est-à-dire les rejets morts, les remises à l’eau de spécimens vivants et, lorsque cela est autorisé, les rétentions) ou si le SCRS détermine que les données fournies par une CPC ne sont pas scientifiquement valables, le SCRS devra fournir des estimations, le cas échéant, afin de combler toute lacune connue dans les données. </w:t>
      </w:r>
    </w:p>
    <w:p w14:paraId="3D6AD67E" w14:textId="77777777" w:rsidR="00596AD8" w:rsidRPr="00CE53C2" w:rsidRDefault="00596AD8" w:rsidP="00800DFA">
      <w:pPr>
        <w:spacing w:line="259" w:lineRule="auto"/>
        <w:ind w:left="709" w:right="5" w:hanging="283"/>
        <w:jc w:val="both"/>
        <w:rPr>
          <w:bCs/>
          <w:sz w:val="20"/>
          <w:szCs w:val="20"/>
          <w:u w:val="single"/>
        </w:rPr>
      </w:pPr>
      <w:r w:rsidRPr="00CE53C2">
        <w:rPr>
          <w:sz w:val="20"/>
          <w:szCs w:val="20"/>
          <w:u w:val="single"/>
        </w:rPr>
        <w:t xml:space="preserve"> </w:t>
      </w:r>
    </w:p>
    <w:p w14:paraId="46B362E9" w14:textId="29FD8413" w:rsidR="00596AD8" w:rsidRPr="00CE53C2" w:rsidRDefault="00596AD8" w:rsidP="00800DFA">
      <w:pPr>
        <w:spacing w:line="259" w:lineRule="auto"/>
        <w:ind w:left="709" w:right="5" w:hanging="283"/>
        <w:jc w:val="both"/>
        <w:rPr>
          <w:bCs/>
          <w:sz w:val="20"/>
          <w:szCs w:val="20"/>
          <w:u w:val="single"/>
        </w:rPr>
      </w:pPr>
      <w:r w:rsidRPr="00CE53C2">
        <w:rPr>
          <w:sz w:val="20"/>
          <w:szCs w:val="20"/>
          <w:u w:val="single"/>
        </w:rPr>
        <w:t>b)</w:t>
      </w:r>
      <w:r w:rsidR="00014484" w:rsidRPr="00CE53C2">
        <w:rPr>
          <w:sz w:val="20"/>
          <w:szCs w:val="20"/>
          <w:u w:val="single"/>
        </w:rPr>
        <w:tab/>
      </w:r>
      <w:r w:rsidRPr="00CE53C2">
        <w:rPr>
          <w:sz w:val="20"/>
          <w:szCs w:val="20"/>
          <w:u w:val="single"/>
        </w:rPr>
        <w:t xml:space="preserve">La mortalité totale par pêche de toutes les sources pour l'année Y-1, telle que calculée à l'annexe 1, paragraphe 1a), est soustraite de la mortalité totale convenue dans cette mesure (soit 1.000 t). Le volume qui en résulte devra être dénommé "tolérance de rétention de prises accessoires mortes" (ci-après "tolérance de rétention") pour l’année suivante Y+1.  </w:t>
      </w:r>
    </w:p>
    <w:p w14:paraId="6AE654E4" w14:textId="77777777" w:rsidR="00596AD8" w:rsidRPr="00CE53C2" w:rsidRDefault="00596AD8" w:rsidP="00800DFA">
      <w:pPr>
        <w:spacing w:line="259" w:lineRule="auto"/>
        <w:ind w:left="709" w:right="5" w:hanging="283"/>
        <w:jc w:val="both"/>
        <w:rPr>
          <w:bCs/>
          <w:sz w:val="20"/>
          <w:szCs w:val="20"/>
          <w:u w:val="single"/>
        </w:rPr>
      </w:pPr>
      <w:r w:rsidRPr="00CE53C2">
        <w:rPr>
          <w:sz w:val="20"/>
          <w:szCs w:val="20"/>
          <w:u w:val="single"/>
        </w:rPr>
        <w:t xml:space="preserve"> </w:t>
      </w:r>
    </w:p>
    <w:p w14:paraId="21539D46" w14:textId="77777777" w:rsidR="00596AD8" w:rsidRPr="00CE53C2" w:rsidRDefault="00596AD8" w:rsidP="00800DFA">
      <w:pPr>
        <w:spacing w:line="259" w:lineRule="auto"/>
        <w:ind w:left="709" w:right="5" w:hanging="283"/>
        <w:jc w:val="both"/>
        <w:rPr>
          <w:bCs/>
          <w:sz w:val="20"/>
          <w:szCs w:val="20"/>
          <w:u w:val="single"/>
        </w:rPr>
      </w:pPr>
      <w:r w:rsidRPr="00CE53C2">
        <w:rPr>
          <w:sz w:val="20"/>
          <w:szCs w:val="20"/>
          <w:u w:val="single"/>
        </w:rPr>
        <w:t>c)</w:t>
      </w:r>
      <w:r w:rsidRPr="00CE53C2">
        <w:rPr>
          <w:sz w:val="20"/>
          <w:szCs w:val="20"/>
          <w:u w:val="single"/>
        </w:rPr>
        <w:tab/>
        <w:t xml:space="preserve">Si la tolérance de rétention établie par l’annexe 1, paragraphe 1 b), est égale ou inférieure à zéro, les CPC devront interdire la rétention à bord, le transbordement et le débarquement, en totalité ou en partie, du requin-taupe bleu de l'Atlantique Sud capturé en association avec les pêcheries de l'ICCAT au cours de l’année Y+1. </w:t>
      </w:r>
    </w:p>
    <w:p w14:paraId="1FC55661" w14:textId="77777777" w:rsidR="00596AD8" w:rsidRPr="00CE53C2" w:rsidRDefault="00596AD8" w:rsidP="00800DFA">
      <w:pPr>
        <w:spacing w:line="259" w:lineRule="auto"/>
        <w:ind w:left="709" w:right="5" w:hanging="283"/>
        <w:jc w:val="both"/>
        <w:rPr>
          <w:bCs/>
          <w:sz w:val="20"/>
          <w:szCs w:val="20"/>
          <w:u w:val="single"/>
        </w:rPr>
      </w:pPr>
      <w:r w:rsidRPr="00CE53C2">
        <w:rPr>
          <w:sz w:val="20"/>
          <w:szCs w:val="20"/>
          <w:u w:val="single"/>
        </w:rPr>
        <w:t xml:space="preserve"> </w:t>
      </w:r>
    </w:p>
    <w:p w14:paraId="708F99CE" w14:textId="316A1B5F" w:rsidR="00596AD8" w:rsidRPr="00CE53C2" w:rsidRDefault="00596AD8" w:rsidP="00800DFA">
      <w:pPr>
        <w:spacing w:line="259" w:lineRule="auto"/>
        <w:ind w:left="709" w:right="5" w:hanging="283"/>
        <w:jc w:val="both"/>
        <w:rPr>
          <w:bCs/>
          <w:sz w:val="20"/>
          <w:szCs w:val="20"/>
          <w:u w:val="single"/>
        </w:rPr>
      </w:pPr>
      <w:r w:rsidRPr="00CE53C2">
        <w:rPr>
          <w:sz w:val="20"/>
          <w:szCs w:val="20"/>
          <w:u w:val="single"/>
        </w:rPr>
        <w:t>d)</w:t>
      </w:r>
      <w:r w:rsidRPr="00CE53C2">
        <w:rPr>
          <w:sz w:val="20"/>
          <w:szCs w:val="20"/>
          <w:u w:val="single"/>
        </w:rPr>
        <w:tab/>
        <w:t>Si la tolérance de rétention établie par l'annexe 1-paragraphe 1(b) est supérieure à zéro, les CPC pourr</w:t>
      </w:r>
      <w:r w:rsidR="008F7B71" w:rsidRPr="00CE53C2">
        <w:rPr>
          <w:sz w:val="20"/>
          <w:szCs w:val="20"/>
          <w:u w:val="single"/>
        </w:rPr>
        <w:t>ont</w:t>
      </w:r>
      <w:r w:rsidRPr="00CE53C2">
        <w:rPr>
          <w:sz w:val="20"/>
          <w:szCs w:val="20"/>
          <w:u w:val="single"/>
        </w:rPr>
        <w:t xml:space="preserve"> être autorisées à retenir jusqu'à concurrence du volume résultant de l'annexe 1-paragraphe 2 ci-dessous.  </w:t>
      </w:r>
    </w:p>
    <w:p w14:paraId="57ADD857" w14:textId="77777777" w:rsidR="00014484" w:rsidRPr="00CE53C2" w:rsidRDefault="00014484" w:rsidP="004F12EC">
      <w:pPr>
        <w:spacing w:line="259" w:lineRule="auto"/>
        <w:ind w:right="5"/>
        <w:jc w:val="both"/>
        <w:rPr>
          <w:b/>
          <w:sz w:val="20"/>
          <w:szCs w:val="20"/>
          <w:u w:val="single"/>
        </w:rPr>
      </w:pPr>
    </w:p>
    <w:p w14:paraId="500C7A7B" w14:textId="44E31BC9" w:rsidR="00596AD8" w:rsidRPr="00CE53C2" w:rsidRDefault="00596AD8" w:rsidP="004F12EC">
      <w:pPr>
        <w:spacing w:line="259" w:lineRule="auto"/>
        <w:ind w:right="5"/>
        <w:jc w:val="both"/>
        <w:rPr>
          <w:b/>
          <w:bCs/>
          <w:sz w:val="20"/>
          <w:szCs w:val="20"/>
          <w:u w:val="single"/>
        </w:rPr>
      </w:pPr>
      <w:r w:rsidRPr="00CE53C2">
        <w:rPr>
          <w:b/>
          <w:sz w:val="20"/>
          <w:szCs w:val="20"/>
          <w:u w:val="single"/>
        </w:rPr>
        <w:t xml:space="preserve">Tolérance de rétention des CPC </w:t>
      </w:r>
    </w:p>
    <w:p w14:paraId="09C3AA43" w14:textId="77777777" w:rsidR="00596AD8" w:rsidRPr="00CE53C2" w:rsidRDefault="00596AD8" w:rsidP="004F12EC">
      <w:pPr>
        <w:spacing w:line="259" w:lineRule="auto"/>
        <w:ind w:right="5"/>
        <w:jc w:val="both"/>
        <w:rPr>
          <w:bCs/>
          <w:sz w:val="20"/>
          <w:szCs w:val="20"/>
          <w:u w:val="single"/>
        </w:rPr>
      </w:pPr>
      <w:r w:rsidRPr="00CE53C2">
        <w:rPr>
          <w:sz w:val="20"/>
          <w:szCs w:val="20"/>
          <w:u w:val="single"/>
        </w:rPr>
        <w:t xml:space="preserve"> </w:t>
      </w:r>
    </w:p>
    <w:p w14:paraId="32677D32" w14:textId="77777777" w:rsidR="00596AD8" w:rsidRPr="00CE53C2" w:rsidRDefault="00596AD8" w:rsidP="004F12EC">
      <w:pPr>
        <w:numPr>
          <w:ilvl w:val="0"/>
          <w:numId w:val="45"/>
        </w:numPr>
        <w:spacing w:line="259" w:lineRule="auto"/>
        <w:ind w:right="5" w:hanging="434"/>
        <w:jc w:val="both"/>
        <w:rPr>
          <w:bCs/>
          <w:sz w:val="20"/>
          <w:szCs w:val="20"/>
          <w:u w:val="single"/>
        </w:rPr>
      </w:pPr>
      <w:r w:rsidRPr="00CE53C2">
        <w:rPr>
          <w:sz w:val="20"/>
          <w:szCs w:val="20"/>
          <w:u w:val="single"/>
        </w:rPr>
        <w:t xml:space="preserve">Si, conformément à l'annexe 1, paragraphe 1 d), la rétention est admissible, la tolérance de rétention pour chaque CPC sera calculée selon la formule suivante :  </w:t>
      </w:r>
    </w:p>
    <w:p w14:paraId="473AAB20" w14:textId="77777777" w:rsidR="00596AD8" w:rsidRPr="00CE53C2" w:rsidRDefault="00596AD8" w:rsidP="004F12EC">
      <w:pPr>
        <w:spacing w:line="259" w:lineRule="auto"/>
        <w:ind w:right="5"/>
        <w:jc w:val="both"/>
        <w:rPr>
          <w:bCs/>
          <w:sz w:val="20"/>
          <w:szCs w:val="20"/>
          <w:u w:val="single"/>
        </w:rPr>
      </w:pPr>
      <w:r w:rsidRPr="00CE53C2">
        <w:rPr>
          <w:sz w:val="20"/>
          <w:szCs w:val="20"/>
          <w:u w:val="single"/>
        </w:rPr>
        <w:t xml:space="preserve"> </w:t>
      </w:r>
    </w:p>
    <w:p w14:paraId="30727CF4" w14:textId="77777777" w:rsidR="0068370F" w:rsidRPr="00CE53C2" w:rsidRDefault="0068370F" w:rsidP="0068370F">
      <w:pPr>
        <w:tabs>
          <w:tab w:val="left" w:pos="0"/>
        </w:tabs>
        <w:jc w:val="center"/>
        <w:rPr>
          <w:rFonts w:ascii="Cambria" w:hAnsi="Cambria"/>
          <w:sz w:val="20"/>
          <w:u w:val="single"/>
        </w:rPr>
      </w:pPr>
      <w:r w:rsidRPr="00CE53C2">
        <w:rPr>
          <w:rFonts w:ascii="Cambria" w:hAnsi="Cambria"/>
          <w:i/>
          <w:iCs/>
          <w:sz w:val="20"/>
          <w:u w:val="single"/>
        </w:rPr>
        <w:t xml:space="preserve">Tolérance </w:t>
      </w:r>
      <w:r w:rsidRPr="00CE53C2">
        <w:rPr>
          <w:rFonts w:ascii="Cambria" w:hAnsi="Cambria"/>
          <w:i/>
          <w:sz w:val="20"/>
          <w:u w:val="single"/>
        </w:rPr>
        <w:t>de rétention des CPC individuelles (t) =</w:t>
      </w:r>
      <w:r w:rsidRPr="00CE53C2">
        <w:rPr>
          <w:rFonts w:ascii="Cambria" w:hAnsi="Cambria"/>
          <w:sz w:val="20"/>
          <w:u w:val="single"/>
        </w:rPr>
        <w:t xml:space="preserve"> </w:t>
      </w:r>
    </w:p>
    <w:p w14:paraId="33305969" w14:textId="77777777" w:rsidR="0068370F" w:rsidRPr="00CE53C2" w:rsidRDefault="0068370F" w:rsidP="0068370F">
      <w:pPr>
        <w:tabs>
          <w:tab w:val="left" w:pos="0"/>
        </w:tabs>
        <w:jc w:val="center"/>
        <w:rPr>
          <w:rFonts w:ascii="Cambria" w:eastAsia="Times New Roman" w:hAnsi="Cambria" w:cs="Times New Roman"/>
          <w:sz w:val="20"/>
          <w:szCs w:val="20"/>
          <w:u w:val="single"/>
        </w:rPr>
      </w:pPr>
      <w:r w:rsidRPr="00CE53C2">
        <w:rPr>
          <w:rFonts w:ascii="Cambria" w:hAnsi="Cambria"/>
          <w:sz w:val="20"/>
          <w:u w:val="single"/>
        </w:rPr>
        <w:t>(</w:t>
      </w:r>
      <w:proofErr w:type="gramStart"/>
      <w:r w:rsidRPr="00CE53C2">
        <w:rPr>
          <w:rFonts w:ascii="Cambria" w:hAnsi="Cambria"/>
          <w:sz w:val="20"/>
          <w:u w:val="single"/>
        </w:rPr>
        <w:t>captures</w:t>
      </w:r>
      <w:proofErr w:type="gramEnd"/>
      <w:r w:rsidRPr="00CE53C2">
        <w:rPr>
          <w:rFonts w:ascii="Cambria" w:hAnsi="Cambria"/>
          <w:sz w:val="20"/>
          <w:u w:val="single"/>
        </w:rPr>
        <w:t xml:space="preserve"> annuelles moyennes des CPC de 2013 à 2016) x (tolérance de rétention)</w:t>
      </w:r>
    </w:p>
    <w:p w14:paraId="60E2D088" w14:textId="77777777" w:rsidR="0068370F" w:rsidRPr="00CE53C2" w:rsidRDefault="0068370F" w:rsidP="0068370F">
      <w:pPr>
        <w:tabs>
          <w:tab w:val="left" w:pos="0"/>
        </w:tabs>
        <w:jc w:val="center"/>
        <w:rPr>
          <w:rFonts w:ascii="Cambria" w:eastAsia="Times New Roman" w:hAnsi="Cambria" w:cs="Times New Roman"/>
          <w:sz w:val="20"/>
          <w:szCs w:val="20"/>
          <w:u w:val="single"/>
        </w:rPr>
      </w:pPr>
      <w:r w:rsidRPr="00CE53C2">
        <w:rPr>
          <w:rFonts w:ascii="Cambria" w:hAnsi="Cambria"/>
          <w:sz w:val="20"/>
          <w:u w:val="single"/>
        </w:rPr>
        <w:t>Captures totales moyennes de l’ICCAT de 2013-2016</w:t>
      </w:r>
    </w:p>
    <w:p w14:paraId="7DE34D69" w14:textId="1D100BE2" w:rsidR="00596AD8" w:rsidRPr="00CE53C2" w:rsidRDefault="00596AD8" w:rsidP="00961AF2">
      <w:pPr>
        <w:spacing w:line="259" w:lineRule="auto"/>
        <w:ind w:left="426" w:right="5"/>
        <w:jc w:val="both"/>
        <w:rPr>
          <w:bCs/>
          <w:sz w:val="20"/>
          <w:szCs w:val="20"/>
          <w:u w:val="single"/>
        </w:rPr>
      </w:pPr>
      <w:r w:rsidRPr="00CE53C2">
        <w:rPr>
          <w:sz w:val="20"/>
          <w:szCs w:val="20"/>
          <w:u w:val="single"/>
        </w:rPr>
        <w:t xml:space="preserve">  </w:t>
      </w:r>
    </w:p>
    <w:p w14:paraId="141D9FC5" w14:textId="77777777" w:rsidR="00596AD8" w:rsidRPr="00CE53C2" w:rsidRDefault="00596AD8" w:rsidP="00961AF2">
      <w:pPr>
        <w:spacing w:line="259" w:lineRule="auto"/>
        <w:ind w:left="426" w:right="5"/>
        <w:jc w:val="both"/>
        <w:rPr>
          <w:bCs/>
          <w:sz w:val="20"/>
          <w:szCs w:val="20"/>
          <w:u w:val="single"/>
        </w:rPr>
      </w:pPr>
      <w:r w:rsidRPr="00CE53C2">
        <w:rPr>
          <w:sz w:val="20"/>
          <w:szCs w:val="20"/>
          <w:u w:val="single"/>
        </w:rPr>
        <w:t xml:space="preserve">Où : «Les captures annuelles moyennes des CPC de 2013 à 2016 » sont la moyenne des captures annuelles (débarquements déclarés + rejets morts tels que vérifiés par le SCRS sur la base des données soumises et de l’analyse réalisée en vertu des paragraphes 14 et 16) pour une CPC individuelle pour les quatre années couvrant 2013-2016 ; la «tolérance de rétention » est définie au paragraphe 1 de l’annexe 1 et les « captures totales moyennes de l'ICCAT de 2013 à 2016 » sont la moyenne des captures annuelles (débarquements déclarés + rejets morts tels que vérifiés par le SCRS sur la base des données soumises et de l’analyse réalisée en vertu des paragraphes 14 et 16) de toutes les CPC de 2013 à 2016. </w:t>
      </w:r>
    </w:p>
    <w:p w14:paraId="4F870E53" w14:textId="77777777" w:rsidR="00596AD8" w:rsidRPr="00CE53C2" w:rsidRDefault="00596AD8" w:rsidP="004F12EC">
      <w:pPr>
        <w:spacing w:line="259" w:lineRule="auto"/>
        <w:ind w:right="5"/>
        <w:jc w:val="both"/>
        <w:rPr>
          <w:bCs/>
          <w:sz w:val="20"/>
          <w:szCs w:val="20"/>
          <w:u w:val="single"/>
        </w:rPr>
      </w:pPr>
      <w:r w:rsidRPr="00CE53C2">
        <w:rPr>
          <w:sz w:val="20"/>
          <w:szCs w:val="20"/>
          <w:u w:val="single"/>
        </w:rPr>
        <w:t xml:space="preserve"> </w:t>
      </w:r>
    </w:p>
    <w:p w14:paraId="0B3D641E" w14:textId="77777777" w:rsidR="00596AD8" w:rsidRPr="00CE53C2" w:rsidRDefault="00596AD8" w:rsidP="004F12EC">
      <w:pPr>
        <w:numPr>
          <w:ilvl w:val="0"/>
          <w:numId w:val="45"/>
        </w:numPr>
        <w:spacing w:line="259" w:lineRule="auto"/>
        <w:ind w:right="5" w:hanging="434"/>
        <w:jc w:val="both"/>
        <w:rPr>
          <w:bCs/>
          <w:sz w:val="20"/>
          <w:szCs w:val="20"/>
          <w:u w:val="single"/>
        </w:rPr>
      </w:pPr>
      <w:r w:rsidRPr="00CE53C2">
        <w:rPr>
          <w:sz w:val="20"/>
          <w:szCs w:val="20"/>
          <w:u w:val="single"/>
        </w:rPr>
        <w:t xml:space="preserve">Les CPC doivent répondre à toutes les exigences de cette mesure afin de pouvoir obtenir une éventuelle tolérance de rétention.  </w:t>
      </w:r>
    </w:p>
    <w:p w14:paraId="4D367DD5" w14:textId="77777777" w:rsidR="00596AD8" w:rsidRPr="00CE53C2" w:rsidRDefault="00596AD8" w:rsidP="004F12EC">
      <w:pPr>
        <w:spacing w:line="259" w:lineRule="auto"/>
        <w:ind w:right="5"/>
        <w:jc w:val="both"/>
        <w:rPr>
          <w:bCs/>
          <w:sz w:val="20"/>
          <w:szCs w:val="20"/>
          <w:u w:val="single"/>
        </w:rPr>
      </w:pPr>
      <w:r w:rsidRPr="00CE53C2">
        <w:rPr>
          <w:sz w:val="20"/>
          <w:szCs w:val="20"/>
          <w:u w:val="single"/>
        </w:rPr>
        <w:t xml:space="preserve"> </w:t>
      </w:r>
    </w:p>
    <w:p w14:paraId="3E86314A" w14:textId="77777777" w:rsidR="00596AD8" w:rsidRPr="00CE53C2" w:rsidRDefault="00596AD8" w:rsidP="004F12EC">
      <w:pPr>
        <w:numPr>
          <w:ilvl w:val="0"/>
          <w:numId w:val="45"/>
        </w:numPr>
        <w:spacing w:line="259" w:lineRule="auto"/>
        <w:ind w:right="5" w:hanging="434"/>
        <w:jc w:val="both"/>
        <w:rPr>
          <w:bCs/>
          <w:sz w:val="20"/>
          <w:szCs w:val="20"/>
          <w:u w:val="single"/>
        </w:rPr>
      </w:pPr>
      <w:r w:rsidRPr="00CE53C2">
        <w:rPr>
          <w:sz w:val="20"/>
          <w:szCs w:val="20"/>
          <w:u w:val="single"/>
        </w:rPr>
        <w:t xml:space="preserve">Lorsque le volume total retenu par une CPC au cours d'une année donnée atteint la tolérance de rétention de cette CPC, cette CPC devra immédiatement interdire la rétention, le transbordement et le débarquement pour le reste de cette année de pêche, et la CPC devra notifier immédiatement au </w:t>
      </w:r>
      <w:r w:rsidRPr="00CE53C2">
        <w:rPr>
          <w:sz w:val="20"/>
          <w:szCs w:val="20"/>
          <w:u w:val="single"/>
        </w:rPr>
        <w:lastRenderedPageBreak/>
        <w:t xml:space="preserve">Secrétariat de l’ICCAT qu'elle a atteint sa tolérance de rétention et qu'elle a mis en œuvre les interdictions requises.  </w:t>
      </w:r>
    </w:p>
    <w:p w14:paraId="0308CFD3" w14:textId="77777777" w:rsidR="00AA6A8B" w:rsidRPr="00CE53C2" w:rsidRDefault="00AA6A8B">
      <w:pPr>
        <w:rPr>
          <w:b/>
          <w:sz w:val="20"/>
          <w:szCs w:val="20"/>
        </w:rPr>
      </w:pPr>
      <w:r w:rsidRPr="00CE53C2">
        <w:rPr>
          <w:b/>
          <w:sz w:val="20"/>
          <w:szCs w:val="20"/>
        </w:rPr>
        <w:br w:type="page"/>
      </w:r>
    </w:p>
    <w:p w14:paraId="7875AF39" w14:textId="31F44506" w:rsidR="004C07D1" w:rsidRPr="00CE53C2" w:rsidRDefault="004C07D1" w:rsidP="004F12EC">
      <w:pPr>
        <w:jc w:val="right"/>
        <w:rPr>
          <w:b/>
          <w:sz w:val="20"/>
          <w:szCs w:val="20"/>
          <w:u w:val="single"/>
        </w:rPr>
      </w:pPr>
      <w:r w:rsidRPr="00CE53C2">
        <w:rPr>
          <w:b/>
          <w:sz w:val="20"/>
          <w:szCs w:val="20"/>
        </w:rPr>
        <w:lastRenderedPageBreak/>
        <w:t xml:space="preserve">Annexe </w:t>
      </w:r>
      <w:r w:rsidR="00596AD8" w:rsidRPr="00CE53C2">
        <w:rPr>
          <w:b/>
          <w:sz w:val="20"/>
          <w:szCs w:val="20"/>
          <w:u w:val="single"/>
        </w:rPr>
        <w:t>2</w:t>
      </w:r>
    </w:p>
    <w:p w14:paraId="4A58042B" w14:textId="77777777" w:rsidR="00210231" w:rsidRPr="00CE53C2" w:rsidRDefault="00210231" w:rsidP="004F12EC">
      <w:pPr>
        <w:tabs>
          <w:tab w:val="left" w:pos="3080"/>
        </w:tabs>
        <w:jc w:val="both"/>
        <w:rPr>
          <w:rFonts w:cs="Times New Roman"/>
          <w:b/>
          <w:bCs/>
          <w:sz w:val="20"/>
          <w:szCs w:val="20"/>
        </w:rPr>
      </w:pPr>
    </w:p>
    <w:p w14:paraId="151C2E70" w14:textId="23E20817" w:rsidR="00CC5C12" w:rsidRPr="00CE53C2" w:rsidRDefault="002738E9" w:rsidP="004F12EC">
      <w:pPr>
        <w:tabs>
          <w:tab w:val="left" w:pos="3080"/>
        </w:tabs>
        <w:jc w:val="center"/>
        <w:rPr>
          <w:b/>
          <w:sz w:val="20"/>
          <w:szCs w:val="20"/>
        </w:rPr>
      </w:pPr>
      <w:r w:rsidRPr="00CE53C2">
        <w:rPr>
          <w:b/>
          <w:sz w:val="20"/>
          <w:szCs w:val="20"/>
        </w:rPr>
        <w:t>Normes minimales des procédures de manipulation et de remise à l'eau</w:t>
      </w:r>
    </w:p>
    <w:p w14:paraId="2DA4D14B" w14:textId="53FC6785" w:rsidR="00E22DCB" w:rsidRPr="00CE53C2" w:rsidRDefault="002738E9" w:rsidP="004F12EC">
      <w:pPr>
        <w:tabs>
          <w:tab w:val="left" w:pos="3080"/>
        </w:tabs>
        <w:jc w:val="center"/>
        <w:rPr>
          <w:rFonts w:cs="Times New Roman"/>
          <w:sz w:val="20"/>
          <w:szCs w:val="20"/>
        </w:rPr>
      </w:pPr>
      <w:proofErr w:type="gramStart"/>
      <w:r w:rsidRPr="00CE53C2">
        <w:rPr>
          <w:b/>
          <w:sz w:val="20"/>
          <w:szCs w:val="20"/>
        </w:rPr>
        <w:t>en</w:t>
      </w:r>
      <w:proofErr w:type="gramEnd"/>
      <w:r w:rsidRPr="00CE53C2">
        <w:rPr>
          <w:b/>
          <w:sz w:val="20"/>
          <w:szCs w:val="20"/>
        </w:rPr>
        <w:t xml:space="preserve"> toute sécurité des spécimens vivants</w:t>
      </w:r>
    </w:p>
    <w:p w14:paraId="572DB92A" w14:textId="77777777" w:rsidR="002575B7" w:rsidRPr="00CE53C2" w:rsidRDefault="002575B7" w:rsidP="004F12EC">
      <w:pPr>
        <w:tabs>
          <w:tab w:val="left" w:pos="3080"/>
        </w:tabs>
        <w:jc w:val="both"/>
        <w:rPr>
          <w:rFonts w:cs="Times New Roman"/>
          <w:sz w:val="20"/>
          <w:szCs w:val="20"/>
        </w:rPr>
      </w:pPr>
    </w:p>
    <w:p w14:paraId="427CDF54" w14:textId="2DF64935" w:rsidR="00D05C59" w:rsidRPr="00CE53C2" w:rsidRDefault="00D05C59" w:rsidP="004F12EC">
      <w:pPr>
        <w:jc w:val="both"/>
        <w:rPr>
          <w:rFonts w:cstheme="minorHAnsi"/>
          <w:sz w:val="20"/>
          <w:szCs w:val="20"/>
        </w:rPr>
      </w:pPr>
      <w:r w:rsidRPr="00CE53C2">
        <w:rPr>
          <w:sz w:val="20"/>
          <w:szCs w:val="20"/>
        </w:rPr>
        <w:t>Le texte suivant fournit des normes minimales pour des pratiques de manipulation en toute sécurité des requins-taupe</w:t>
      </w:r>
      <w:r w:rsidR="008D1030" w:rsidRPr="00CE53C2">
        <w:rPr>
          <w:sz w:val="20"/>
          <w:szCs w:val="20"/>
        </w:rPr>
        <w:t>s</w:t>
      </w:r>
      <w:r w:rsidRPr="00CE53C2">
        <w:rPr>
          <w:sz w:val="20"/>
          <w:szCs w:val="20"/>
        </w:rPr>
        <w:t xml:space="preserve"> bleu de l’Atlantique </w:t>
      </w:r>
      <w:r w:rsidR="004A58D7" w:rsidRPr="00CE53C2">
        <w:rPr>
          <w:sz w:val="20"/>
          <w:szCs w:val="20"/>
        </w:rPr>
        <w:t xml:space="preserve">Sud </w:t>
      </w:r>
      <w:r w:rsidRPr="00CE53C2">
        <w:rPr>
          <w:sz w:val="20"/>
          <w:szCs w:val="20"/>
        </w:rPr>
        <w:t xml:space="preserve">et </w:t>
      </w:r>
      <w:r w:rsidR="008D1030" w:rsidRPr="00CE53C2">
        <w:rPr>
          <w:sz w:val="20"/>
          <w:szCs w:val="20"/>
        </w:rPr>
        <w:t xml:space="preserve">fournit </w:t>
      </w:r>
      <w:r w:rsidRPr="00CE53C2">
        <w:rPr>
          <w:sz w:val="20"/>
          <w:szCs w:val="20"/>
        </w:rPr>
        <w:t>des recommandations spécifiques pour les pêcheries de palangriers et de senneurs.</w:t>
      </w:r>
    </w:p>
    <w:p w14:paraId="02C7D0BA" w14:textId="77777777" w:rsidR="00FF438B" w:rsidRPr="00CE53C2" w:rsidRDefault="00FF438B" w:rsidP="004F12EC">
      <w:pPr>
        <w:jc w:val="both"/>
        <w:rPr>
          <w:rFonts w:cstheme="minorHAnsi"/>
          <w:sz w:val="20"/>
          <w:szCs w:val="20"/>
        </w:rPr>
      </w:pPr>
    </w:p>
    <w:p w14:paraId="469F1350" w14:textId="62C718E4" w:rsidR="00FF438B" w:rsidRPr="00CE53C2" w:rsidRDefault="00FF438B" w:rsidP="004F12EC">
      <w:pPr>
        <w:jc w:val="both"/>
        <w:rPr>
          <w:rFonts w:cstheme="minorHAnsi"/>
          <w:sz w:val="20"/>
          <w:szCs w:val="20"/>
        </w:rPr>
      </w:pPr>
      <w:r w:rsidRPr="00CE53C2">
        <w:rPr>
          <w:sz w:val="20"/>
          <w:szCs w:val="20"/>
        </w:rPr>
        <w:t>Ces normes minimales sont appropriées pour les requins-taupes bleus vivants lorsqu'ils sont relâchés que ce soit dans le cadre de politiques de non-rétention ou lorsqu'ils sont relâchés volontairement. Ces directives de base ne remplacent pas les règles de sécurité plus strictes qui peuvent avoir été établies par les autorités nationales des différentes CPC.</w:t>
      </w:r>
    </w:p>
    <w:p w14:paraId="5FB4B031" w14:textId="77777777" w:rsidR="00FF438B" w:rsidRPr="00CE53C2" w:rsidRDefault="00FF438B" w:rsidP="004F12EC">
      <w:pPr>
        <w:jc w:val="both"/>
        <w:rPr>
          <w:rFonts w:cstheme="minorHAnsi"/>
          <w:sz w:val="20"/>
          <w:szCs w:val="20"/>
        </w:rPr>
      </w:pPr>
    </w:p>
    <w:p w14:paraId="31D82743" w14:textId="673961DE" w:rsidR="00FF438B" w:rsidRPr="00CE53C2" w:rsidRDefault="00FF438B" w:rsidP="004F12EC">
      <w:pPr>
        <w:jc w:val="both"/>
        <w:rPr>
          <w:rFonts w:cstheme="minorHAnsi"/>
          <w:bCs/>
          <w:sz w:val="20"/>
          <w:szCs w:val="20"/>
        </w:rPr>
      </w:pPr>
      <w:r w:rsidRPr="00CE53C2">
        <w:rPr>
          <w:bCs/>
          <w:sz w:val="20"/>
          <w:szCs w:val="20"/>
        </w:rPr>
        <w:t>La sécurité d'abord</w:t>
      </w:r>
      <w:r w:rsidR="00DB2449" w:rsidRPr="00CE53C2">
        <w:rPr>
          <w:bCs/>
          <w:sz w:val="20"/>
          <w:szCs w:val="20"/>
        </w:rPr>
        <w:t xml:space="preserve">. </w:t>
      </w:r>
      <w:r w:rsidRPr="00CE53C2">
        <w:rPr>
          <w:bCs/>
          <w:sz w:val="20"/>
          <w:szCs w:val="20"/>
        </w:rPr>
        <w:t>Ces normes minimales devraient être examinées en tenant compte de la sécurité et de la praticabilité pour l'équipage. La sécurité de l'équipage devrait toujours passer en premier. Au minimum, l’équipage devrait porter des gants appropriés et éviter de travailler autour de la gueule des requins.</w:t>
      </w:r>
    </w:p>
    <w:p w14:paraId="4C66F88D" w14:textId="77777777" w:rsidR="00FF438B" w:rsidRPr="00CE53C2" w:rsidRDefault="00FF438B" w:rsidP="004F12EC">
      <w:pPr>
        <w:jc w:val="both"/>
        <w:rPr>
          <w:bCs/>
          <w:sz w:val="20"/>
          <w:szCs w:val="20"/>
        </w:rPr>
      </w:pPr>
    </w:p>
    <w:p w14:paraId="255A1071" w14:textId="1F6C7F75" w:rsidR="00FF438B" w:rsidRPr="004F12EC" w:rsidRDefault="00FF438B" w:rsidP="004F12EC">
      <w:pPr>
        <w:jc w:val="both"/>
        <w:rPr>
          <w:bCs/>
          <w:sz w:val="20"/>
          <w:szCs w:val="20"/>
        </w:rPr>
      </w:pPr>
      <w:r w:rsidRPr="00CE53C2">
        <w:rPr>
          <w:bCs/>
          <w:sz w:val="20"/>
          <w:szCs w:val="20"/>
        </w:rPr>
        <w:t>Formation</w:t>
      </w:r>
      <w:r w:rsidR="00DB2449" w:rsidRPr="00CE53C2">
        <w:rPr>
          <w:bCs/>
          <w:i/>
          <w:iCs/>
          <w:sz w:val="20"/>
          <w:szCs w:val="20"/>
        </w:rPr>
        <w:t xml:space="preserve">. </w:t>
      </w:r>
      <w:r w:rsidRPr="00CE53C2">
        <w:rPr>
          <w:bCs/>
          <w:sz w:val="20"/>
          <w:szCs w:val="20"/>
        </w:rPr>
        <w:t xml:space="preserve">Le Secrétariat </w:t>
      </w:r>
      <w:r w:rsidR="001D6EFC" w:rsidRPr="00CE53C2">
        <w:rPr>
          <w:bCs/>
          <w:sz w:val="20"/>
          <w:szCs w:val="20"/>
        </w:rPr>
        <w:t xml:space="preserve">de l’ICCAT </w:t>
      </w:r>
      <w:r w:rsidRPr="00CE53C2">
        <w:rPr>
          <w:bCs/>
          <w:sz w:val="20"/>
          <w:szCs w:val="20"/>
        </w:rPr>
        <w:t>et le SCRS devraient éla</w:t>
      </w:r>
      <w:r w:rsidRPr="004F12EC">
        <w:rPr>
          <w:bCs/>
          <w:sz w:val="20"/>
          <w:szCs w:val="20"/>
        </w:rPr>
        <w:t>borer des matériels visant à soutenir la formation des opérateurs de pêche afin de mettre en œuvre ce protocole de manipulation en toute sécurité. Ces matériels devraient être mis à la disposition des CPC dans les trois langues officielles de l'ICCAT.</w:t>
      </w:r>
    </w:p>
    <w:p w14:paraId="0B358304" w14:textId="77777777" w:rsidR="00FF438B" w:rsidRPr="004F12EC" w:rsidRDefault="00FF438B" w:rsidP="004F12EC">
      <w:pPr>
        <w:jc w:val="both"/>
        <w:rPr>
          <w:bCs/>
          <w:sz w:val="20"/>
          <w:szCs w:val="20"/>
        </w:rPr>
      </w:pPr>
    </w:p>
    <w:p w14:paraId="1EEFDA44" w14:textId="5B521486" w:rsidR="00FF438B" w:rsidRPr="004F12EC" w:rsidRDefault="00FF438B" w:rsidP="004F12EC">
      <w:pPr>
        <w:jc w:val="both"/>
        <w:rPr>
          <w:bCs/>
          <w:sz w:val="20"/>
          <w:szCs w:val="20"/>
        </w:rPr>
      </w:pPr>
      <w:r w:rsidRPr="004F12EC">
        <w:rPr>
          <w:bCs/>
          <w:sz w:val="20"/>
          <w:szCs w:val="20"/>
        </w:rPr>
        <w:t xml:space="preserve">Dans </w:t>
      </w:r>
      <w:r w:rsidR="005160F0" w:rsidRPr="004F12EC">
        <w:rPr>
          <w:bCs/>
          <w:sz w:val="20"/>
          <w:szCs w:val="20"/>
        </w:rPr>
        <w:t xml:space="preserve">toute </w:t>
      </w:r>
      <w:r w:rsidRPr="004F12EC">
        <w:rPr>
          <w:bCs/>
          <w:sz w:val="20"/>
          <w:szCs w:val="20"/>
        </w:rPr>
        <w:t>la mesure du possible, tous les requins remis à l'eau devraient rester dans l'eau à tout moment</w:t>
      </w:r>
      <w:r w:rsidR="00E06098" w:rsidRPr="004F12EC">
        <w:rPr>
          <w:bCs/>
          <w:sz w:val="20"/>
          <w:szCs w:val="20"/>
        </w:rPr>
        <w:t xml:space="preserve">, à moins qu’il ne soit nécessaire de </w:t>
      </w:r>
      <w:r w:rsidR="00DB2449" w:rsidRPr="004F12EC">
        <w:rPr>
          <w:bCs/>
          <w:sz w:val="20"/>
          <w:szCs w:val="20"/>
        </w:rPr>
        <w:t>hisser</w:t>
      </w:r>
      <w:r w:rsidR="00E06098" w:rsidRPr="004F12EC">
        <w:rPr>
          <w:bCs/>
          <w:sz w:val="20"/>
          <w:szCs w:val="20"/>
        </w:rPr>
        <w:t xml:space="preserve"> les requins pour identifier l’espèce</w:t>
      </w:r>
      <w:r w:rsidRPr="004F12EC">
        <w:rPr>
          <w:bCs/>
          <w:sz w:val="20"/>
          <w:szCs w:val="20"/>
        </w:rPr>
        <w:t>. Il s'agit notamment de couper la ligne pour libérer le requin alors qu'il est encore dans l'eau, d'utiliser des coupe-boulons ou des dispositifs de retrait de l'hameçon si possible, ou de couper la ligne aussi près que possible de l'hameçon (et donc de laisser le moins de ligne de traîne possible).</w:t>
      </w:r>
    </w:p>
    <w:p w14:paraId="729523D0" w14:textId="77777777" w:rsidR="002575B7" w:rsidRPr="004F12EC" w:rsidRDefault="002575B7" w:rsidP="004F12EC">
      <w:pPr>
        <w:jc w:val="both"/>
        <w:rPr>
          <w:bCs/>
          <w:sz w:val="20"/>
          <w:szCs w:val="20"/>
        </w:rPr>
      </w:pPr>
    </w:p>
    <w:p w14:paraId="5E8BDCD8" w14:textId="213E709C" w:rsidR="00FF438B" w:rsidRPr="004F12EC" w:rsidRDefault="00FF438B" w:rsidP="004F12EC">
      <w:pPr>
        <w:jc w:val="both"/>
        <w:rPr>
          <w:bCs/>
          <w:sz w:val="20"/>
          <w:szCs w:val="20"/>
        </w:rPr>
      </w:pPr>
      <w:r w:rsidRPr="004F12EC">
        <w:rPr>
          <w:bCs/>
          <w:sz w:val="20"/>
          <w:szCs w:val="20"/>
        </w:rPr>
        <w:t>Soyez prêt</w:t>
      </w:r>
      <w:r w:rsidR="00DB2449" w:rsidRPr="004F12EC">
        <w:rPr>
          <w:bCs/>
          <w:sz w:val="20"/>
          <w:szCs w:val="20"/>
        </w:rPr>
        <w:t xml:space="preserve">. </w:t>
      </w:r>
      <w:r w:rsidRPr="004F12EC">
        <w:rPr>
          <w:bCs/>
          <w:sz w:val="20"/>
          <w:szCs w:val="20"/>
        </w:rPr>
        <w:t xml:space="preserve">Les </w:t>
      </w:r>
      <w:r w:rsidR="00DB2449" w:rsidRPr="004F12EC">
        <w:rPr>
          <w:bCs/>
          <w:sz w:val="20"/>
          <w:szCs w:val="20"/>
        </w:rPr>
        <w:t>dispositifs</w:t>
      </w:r>
      <w:r w:rsidRPr="004F12EC">
        <w:rPr>
          <w:bCs/>
          <w:sz w:val="20"/>
          <w:szCs w:val="20"/>
        </w:rPr>
        <w:t xml:space="preserve"> devraient être préparés à l'avance (p. ex. élingue</w:t>
      </w:r>
      <w:r w:rsidR="00DB2449" w:rsidRPr="004F12EC">
        <w:rPr>
          <w:bCs/>
          <w:sz w:val="20"/>
          <w:szCs w:val="20"/>
        </w:rPr>
        <w:t xml:space="preserve">s </w:t>
      </w:r>
      <w:r w:rsidRPr="004F12EC">
        <w:rPr>
          <w:bCs/>
          <w:sz w:val="20"/>
          <w:szCs w:val="20"/>
        </w:rPr>
        <w:t>ou civières en toile, filets pour le transport ou le levage, filet</w:t>
      </w:r>
      <w:r w:rsidR="00DB2449" w:rsidRPr="004F12EC">
        <w:rPr>
          <w:bCs/>
          <w:sz w:val="20"/>
          <w:szCs w:val="20"/>
        </w:rPr>
        <w:t>s</w:t>
      </w:r>
      <w:r w:rsidRPr="004F12EC">
        <w:rPr>
          <w:bCs/>
          <w:sz w:val="20"/>
          <w:szCs w:val="20"/>
        </w:rPr>
        <w:t xml:space="preserve"> ou grille</w:t>
      </w:r>
      <w:r w:rsidR="00DB2449" w:rsidRPr="004F12EC">
        <w:rPr>
          <w:bCs/>
          <w:sz w:val="20"/>
          <w:szCs w:val="20"/>
        </w:rPr>
        <w:t>s</w:t>
      </w:r>
      <w:r w:rsidRPr="004F12EC">
        <w:rPr>
          <w:bCs/>
          <w:sz w:val="20"/>
          <w:szCs w:val="20"/>
        </w:rPr>
        <w:t xml:space="preserve"> à mailles larges pour couvrir les écoutilles/trémies dans les pêcheries de senneurs, coupe-lignes à long manche et dégorgeoirs dans les pêcheries palangrières, etc. énumérés à la fin de ce document).</w:t>
      </w:r>
    </w:p>
    <w:p w14:paraId="36A43518" w14:textId="77777777" w:rsidR="00FF438B" w:rsidRPr="004F12EC" w:rsidRDefault="00FF438B" w:rsidP="004F12EC">
      <w:pPr>
        <w:jc w:val="both"/>
        <w:rPr>
          <w:bCs/>
          <w:sz w:val="20"/>
          <w:szCs w:val="20"/>
        </w:rPr>
      </w:pPr>
    </w:p>
    <w:p w14:paraId="54959F67" w14:textId="09BA68BA" w:rsidR="00FF438B" w:rsidRPr="004F12EC" w:rsidRDefault="00FF438B" w:rsidP="004F12EC">
      <w:pPr>
        <w:jc w:val="both"/>
        <w:rPr>
          <w:b/>
          <w:sz w:val="20"/>
          <w:szCs w:val="20"/>
        </w:rPr>
      </w:pPr>
      <w:r w:rsidRPr="004F12EC">
        <w:rPr>
          <w:b/>
          <w:sz w:val="20"/>
          <w:szCs w:val="20"/>
        </w:rPr>
        <w:t>Recommandations générales pour toutes les pêcheries</w:t>
      </w:r>
    </w:p>
    <w:p w14:paraId="0B11096A" w14:textId="77777777" w:rsidR="00ED02BC" w:rsidRPr="004F12EC" w:rsidRDefault="00ED02BC" w:rsidP="004F12EC">
      <w:pPr>
        <w:jc w:val="both"/>
        <w:rPr>
          <w:b/>
          <w:sz w:val="20"/>
          <w:szCs w:val="20"/>
        </w:rPr>
      </w:pPr>
    </w:p>
    <w:p w14:paraId="27A2D691"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Si la sécurité opérationnelle le permet, arrêter le bateau ou réduire considérablement sa vitesse.</w:t>
      </w:r>
    </w:p>
    <w:p w14:paraId="2D0E2EDA" w14:textId="6CA14F18" w:rsidR="00FF438B" w:rsidRPr="004F12EC" w:rsidRDefault="00FF438B" w:rsidP="004F12EC">
      <w:pPr>
        <w:pStyle w:val="ListParagraph"/>
        <w:numPr>
          <w:ilvl w:val="0"/>
          <w:numId w:val="21"/>
        </w:numPr>
        <w:ind w:left="851" w:hanging="425"/>
        <w:jc w:val="both"/>
        <w:rPr>
          <w:sz w:val="20"/>
          <w:szCs w:val="20"/>
        </w:rPr>
      </w:pPr>
      <w:r w:rsidRPr="004F12EC">
        <w:rPr>
          <w:sz w:val="20"/>
          <w:szCs w:val="20"/>
        </w:rPr>
        <w:t xml:space="preserve">Lorsqu'il est pris (dans un filet, une ligne de pêche, etc.), si cela peut se faire sans danger, couper soigneusement le filet/la ligne </w:t>
      </w:r>
      <w:r w:rsidR="00B431A0" w:rsidRPr="004F12EC">
        <w:rPr>
          <w:sz w:val="20"/>
          <w:szCs w:val="20"/>
        </w:rPr>
        <w:t xml:space="preserve">en l’éloignant </w:t>
      </w:r>
      <w:r w:rsidRPr="004F12EC">
        <w:rPr>
          <w:sz w:val="20"/>
          <w:szCs w:val="20"/>
        </w:rPr>
        <w:t xml:space="preserve">de l'animal et le relâcher à la mer le plus rapidement possible sans que le requin ne soit attaché à un élément emmêlant. </w:t>
      </w:r>
    </w:p>
    <w:p w14:paraId="14282130"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Dans la mesure du possible, et tout en gardant le requin dans l'eau, essayer de mesurer la longueur du requin.</w:t>
      </w:r>
    </w:p>
    <w:p w14:paraId="628DE68F" w14:textId="0B560635" w:rsidR="00FF438B" w:rsidRPr="004F12EC" w:rsidRDefault="00FF438B" w:rsidP="004F12EC">
      <w:pPr>
        <w:pStyle w:val="ListParagraph"/>
        <w:numPr>
          <w:ilvl w:val="0"/>
          <w:numId w:val="21"/>
        </w:numPr>
        <w:ind w:left="851" w:hanging="425"/>
        <w:jc w:val="both"/>
        <w:rPr>
          <w:sz w:val="20"/>
          <w:szCs w:val="20"/>
        </w:rPr>
      </w:pPr>
      <w:r w:rsidRPr="004F12EC">
        <w:rPr>
          <w:sz w:val="20"/>
          <w:szCs w:val="20"/>
        </w:rPr>
        <w:t>Pour éviter les morsures, placer un objet, tel qu'un poisson ou un gros bâton/poteau en bois, dans la mâchoire.</w:t>
      </w:r>
    </w:p>
    <w:p w14:paraId="78D2D7A9"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Si, pour quelque raison que ce soit, un requin doit être amené sur le pont, minimiser le temps nécessaire pour le remettre à l'eau afin d'augmenter sa survie et de réduire les risques pour l'équipage.</w:t>
      </w:r>
    </w:p>
    <w:p w14:paraId="37B8ECE4" w14:textId="329ABB0E" w:rsidR="0052541B" w:rsidRPr="004F12EC" w:rsidRDefault="0052541B" w:rsidP="004F12EC">
      <w:pPr>
        <w:jc w:val="both"/>
        <w:rPr>
          <w:b/>
          <w:sz w:val="20"/>
          <w:szCs w:val="20"/>
        </w:rPr>
      </w:pPr>
    </w:p>
    <w:p w14:paraId="4BA854D2" w14:textId="3B975587" w:rsidR="00FF438B" w:rsidRPr="004F12EC" w:rsidRDefault="00FF438B" w:rsidP="004F12EC">
      <w:pPr>
        <w:jc w:val="both"/>
        <w:rPr>
          <w:b/>
          <w:sz w:val="20"/>
          <w:szCs w:val="20"/>
        </w:rPr>
      </w:pPr>
      <w:r w:rsidRPr="004F12EC">
        <w:rPr>
          <w:b/>
          <w:sz w:val="20"/>
          <w:szCs w:val="20"/>
        </w:rPr>
        <w:t xml:space="preserve">Pratiques pour une manipulation en toute </w:t>
      </w:r>
      <w:proofErr w:type="gramStart"/>
      <w:r w:rsidRPr="004F12EC">
        <w:rPr>
          <w:b/>
          <w:sz w:val="20"/>
          <w:szCs w:val="20"/>
        </w:rPr>
        <w:t>sécurité spécifiques</w:t>
      </w:r>
      <w:proofErr w:type="gramEnd"/>
      <w:r w:rsidRPr="004F12EC">
        <w:rPr>
          <w:b/>
          <w:sz w:val="20"/>
          <w:szCs w:val="20"/>
        </w:rPr>
        <w:t xml:space="preserve"> aux pêcheries </w:t>
      </w:r>
      <w:r w:rsidR="00750C34" w:rsidRPr="004F12EC">
        <w:rPr>
          <w:b/>
          <w:sz w:val="20"/>
          <w:szCs w:val="20"/>
        </w:rPr>
        <w:t>palangrières</w:t>
      </w:r>
    </w:p>
    <w:p w14:paraId="13CAE1D2" w14:textId="77777777" w:rsidR="00ED02BC" w:rsidRPr="004F12EC" w:rsidRDefault="00ED02BC" w:rsidP="004F12EC">
      <w:pPr>
        <w:jc w:val="both"/>
        <w:rPr>
          <w:b/>
          <w:sz w:val="20"/>
          <w:szCs w:val="20"/>
        </w:rPr>
      </w:pPr>
    </w:p>
    <w:p w14:paraId="6945ED7C" w14:textId="657291C0" w:rsidR="00FF438B" w:rsidRPr="004F12EC" w:rsidRDefault="00FF438B" w:rsidP="004F12EC">
      <w:pPr>
        <w:pStyle w:val="ListParagraph"/>
        <w:numPr>
          <w:ilvl w:val="0"/>
          <w:numId w:val="21"/>
        </w:numPr>
        <w:ind w:left="851" w:hanging="425"/>
        <w:jc w:val="both"/>
        <w:rPr>
          <w:sz w:val="20"/>
          <w:szCs w:val="20"/>
        </w:rPr>
      </w:pPr>
      <w:r w:rsidRPr="004F12EC">
        <w:rPr>
          <w:sz w:val="20"/>
          <w:szCs w:val="20"/>
        </w:rPr>
        <w:t xml:space="preserve">Amener le requin le plus près possible du </w:t>
      </w:r>
      <w:r w:rsidR="00B431A0" w:rsidRPr="004F12EC">
        <w:rPr>
          <w:sz w:val="20"/>
          <w:szCs w:val="20"/>
        </w:rPr>
        <w:t>navire</w:t>
      </w:r>
      <w:r w:rsidRPr="004F12EC">
        <w:rPr>
          <w:sz w:val="20"/>
          <w:szCs w:val="20"/>
        </w:rPr>
        <w:t xml:space="preserve"> sans trop mettre de tension sur l’avançon pour éviter qu'un hameçon relâché ou une cassure d’avançon ne lance à grande vitesse vers le bateau et l’équipage</w:t>
      </w:r>
      <w:r w:rsidR="00B431A0" w:rsidRPr="004F12EC">
        <w:rPr>
          <w:sz w:val="20"/>
          <w:szCs w:val="20"/>
        </w:rPr>
        <w:t>,</w:t>
      </w:r>
      <w:r w:rsidRPr="004F12EC">
        <w:rPr>
          <w:sz w:val="20"/>
          <w:szCs w:val="20"/>
        </w:rPr>
        <w:t xml:space="preserve"> des hameçons, des poids et autres pièces. </w:t>
      </w:r>
    </w:p>
    <w:p w14:paraId="3AB490BA"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Fixer l'autre côté de la ligne principale de la palangre au bateau pour éviter que tout engin restant dans l'eau ne tire sur la ligne et l'animal.</w:t>
      </w:r>
    </w:p>
    <w:p w14:paraId="3C2111E0" w14:textId="2F7271C0" w:rsidR="00FF438B" w:rsidRPr="004F12EC" w:rsidRDefault="00FF438B" w:rsidP="004F12EC">
      <w:pPr>
        <w:pStyle w:val="ListParagraph"/>
        <w:numPr>
          <w:ilvl w:val="0"/>
          <w:numId w:val="21"/>
        </w:numPr>
        <w:ind w:left="851" w:hanging="425"/>
        <w:jc w:val="both"/>
        <w:rPr>
          <w:rFonts w:cstheme="minorHAnsi"/>
          <w:sz w:val="20"/>
          <w:szCs w:val="20"/>
        </w:rPr>
      </w:pPr>
      <w:r w:rsidRPr="004F12EC">
        <w:rPr>
          <w:sz w:val="20"/>
          <w:szCs w:val="20"/>
        </w:rPr>
        <w:t xml:space="preserve">Si l'animal est accroché et que l'hameçon est visible dans le corps ou la </w:t>
      </w:r>
      <w:r w:rsidR="00B431A0" w:rsidRPr="004F12EC">
        <w:rPr>
          <w:sz w:val="20"/>
          <w:szCs w:val="20"/>
        </w:rPr>
        <w:t>gueule</w:t>
      </w:r>
      <w:r w:rsidRPr="004F12EC">
        <w:rPr>
          <w:sz w:val="20"/>
          <w:szCs w:val="20"/>
        </w:rPr>
        <w:t xml:space="preserve">, utiliser un dispositif de retrait de l’hameçon ou un coupe-boulon à long manche pour retirer le barbillon de l'hameçon, puis retirer l'hameçon. </w:t>
      </w:r>
    </w:p>
    <w:p w14:paraId="2F2332F6" w14:textId="253B195B" w:rsidR="00FF438B" w:rsidRPr="004F12EC" w:rsidRDefault="00FF438B" w:rsidP="004F12EC">
      <w:pPr>
        <w:pStyle w:val="ListParagraph"/>
        <w:numPr>
          <w:ilvl w:val="0"/>
          <w:numId w:val="21"/>
        </w:numPr>
        <w:ind w:left="851" w:hanging="425"/>
        <w:jc w:val="both"/>
        <w:rPr>
          <w:sz w:val="20"/>
          <w:szCs w:val="20"/>
        </w:rPr>
      </w:pPr>
      <w:r w:rsidRPr="004F12EC">
        <w:rPr>
          <w:sz w:val="20"/>
          <w:szCs w:val="20"/>
        </w:rPr>
        <w:lastRenderedPageBreak/>
        <w:t>S'il n'est pas possible d'enlever l'hameçon ou si l'hameçon n'est pas visible, couper la ligne principale (ou l’avançon, le bas de ligne) aussi près que possible de l'hameçon (idéalement en laissant le moins de ligne possible et/ou de bas de ligne et aucun poids attaché à l'animal).</w:t>
      </w:r>
    </w:p>
    <w:p w14:paraId="674875F3" w14:textId="77777777" w:rsidR="00DB2449" w:rsidRPr="004F12EC" w:rsidRDefault="00DB2449" w:rsidP="004F12EC">
      <w:pPr>
        <w:pStyle w:val="ListParagraph"/>
        <w:ind w:left="851"/>
        <w:jc w:val="both"/>
        <w:rPr>
          <w:sz w:val="20"/>
          <w:szCs w:val="20"/>
        </w:rPr>
      </w:pPr>
    </w:p>
    <w:p w14:paraId="466814F4" w14:textId="17AD3727" w:rsidR="00FF438B" w:rsidRPr="004F12EC" w:rsidRDefault="00FF438B" w:rsidP="004F12EC">
      <w:pPr>
        <w:jc w:val="both"/>
        <w:rPr>
          <w:b/>
          <w:sz w:val="20"/>
          <w:szCs w:val="20"/>
        </w:rPr>
      </w:pPr>
      <w:r w:rsidRPr="004F12EC">
        <w:rPr>
          <w:b/>
          <w:sz w:val="20"/>
          <w:szCs w:val="20"/>
        </w:rPr>
        <w:t xml:space="preserve">Pratiques pour une manipulation en toute </w:t>
      </w:r>
      <w:proofErr w:type="gramStart"/>
      <w:r w:rsidRPr="004F12EC">
        <w:rPr>
          <w:b/>
          <w:sz w:val="20"/>
          <w:szCs w:val="20"/>
        </w:rPr>
        <w:t>sécurité spécifiques</w:t>
      </w:r>
      <w:proofErr w:type="gramEnd"/>
      <w:r w:rsidRPr="004F12EC">
        <w:rPr>
          <w:b/>
          <w:sz w:val="20"/>
          <w:szCs w:val="20"/>
        </w:rPr>
        <w:t xml:space="preserve"> aux pêcheries de </w:t>
      </w:r>
      <w:r w:rsidR="00750C34" w:rsidRPr="004F12EC">
        <w:rPr>
          <w:b/>
          <w:sz w:val="20"/>
          <w:szCs w:val="20"/>
        </w:rPr>
        <w:t>senneurs</w:t>
      </w:r>
    </w:p>
    <w:p w14:paraId="21F8AE55" w14:textId="77777777" w:rsidR="00ED02BC" w:rsidRPr="004F12EC" w:rsidRDefault="00ED02BC" w:rsidP="004F12EC">
      <w:pPr>
        <w:jc w:val="both"/>
        <w:rPr>
          <w:b/>
          <w:sz w:val="20"/>
          <w:szCs w:val="20"/>
        </w:rPr>
      </w:pPr>
    </w:p>
    <w:p w14:paraId="5C44B69D" w14:textId="674BF8D8" w:rsidR="00FF438B" w:rsidRPr="004F12EC" w:rsidRDefault="00FF438B" w:rsidP="004F12EC">
      <w:pPr>
        <w:pStyle w:val="ListParagraph"/>
        <w:numPr>
          <w:ilvl w:val="0"/>
          <w:numId w:val="21"/>
        </w:numPr>
        <w:ind w:left="851" w:hanging="425"/>
        <w:jc w:val="both"/>
        <w:rPr>
          <w:sz w:val="20"/>
          <w:szCs w:val="20"/>
        </w:rPr>
      </w:pPr>
      <w:r w:rsidRPr="004F12EC">
        <w:rPr>
          <w:sz w:val="20"/>
          <w:szCs w:val="20"/>
        </w:rPr>
        <w:t xml:space="preserve">Si les requins se trouvent dans la senne : </w:t>
      </w:r>
      <w:r w:rsidR="00F7028A" w:rsidRPr="004F12EC">
        <w:rPr>
          <w:sz w:val="20"/>
          <w:szCs w:val="20"/>
        </w:rPr>
        <w:t>e</w:t>
      </w:r>
      <w:r w:rsidRPr="004F12EC">
        <w:rPr>
          <w:sz w:val="20"/>
          <w:szCs w:val="20"/>
        </w:rPr>
        <w:t>xaminer visuellement le filet aussitôt que possible pour repérer les requins à temps et réagir rapidement. Éviter de les soulever dans le filet en direction de la poulie motrice. Réduire la vitesse du navire pour relâcher la tension du filet et permettre à l'animal enchevêtré d'être retiré du filet. Si nécessaire, utiliser un coupe-ligne pour couper le filet.</w:t>
      </w:r>
    </w:p>
    <w:p w14:paraId="531E86AA" w14:textId="77777777" w:rsidR="00FF438B" w:rsidRPr="004F12EC" w:rsidRDefault="00FF438B" w:rsidP="004F12EC">
      <w:pPr>
        <w:pStyle w:val="ListParagraph"/>
        <w:ind w:left="1440"/>
        <w:jc w:val="both"/>
        <w:rPr>
          <w:sz w:val="20"/>
          <w:szCs w:val="20"/>
        </w:rPr>
      </w:pPr>
      <w:r w:rsidRPr="004F12EC">
        <w:rPr>
          <w:sz w:val="20"/>
          <w:szCs w:val="20"/>
        </w:rPr>
        <w:t xml:space="preserve"> </w:t>
      </w:r>
    </w:p>
    <w:p w14:paraId="55211B99" w14:textId="6F75F49A" w:rsidR="00FF438B" w:rsidRPr="004F12EC" w:rsidRDefault="00FF438B" w:rsidP="004F12EC">
      <w:pPr>
        <w:pStyle w:val="ListParagraph"/>
        <w:numPr>
          <w:ilvl w:val="0"/>
          <w:numId w:val="21"/>
        </w:numPr>
        <w:ind w:left="851" w:hanging="425"/>
        <w:jc w:val="both"/>
        <w:rPr>
          <w:sz w:val="20"/>
          <w:szCs w:val="20"/>
        </w:rPr>
      </w:pPr>
      <w:r w:rsidRPr="004F12EC">
        <w:rPr>
          <w:sz w:val="20"/>
          <w:szCs w:val="20"/>
        </w:rPr>
        <w:t>S’ils se trouvent dans une salabarde ou sur le pont</w:t>
      </w:r>
      <w:r w:rsidRPr="004F12EC">
        <w:rPr>
          <w:i/>
          <w:iCs/>
          <w:sz w:val="20"/>
          <w:szCs w:val="20"/>
        </w:rPr>
        <w:t xml:space="preserve"> :</w:t>
      </w:r>
      <w:r w:rsidRPr="004F12EC">
        <w:rPr>
          <w:sz w:val="20"/>
          <w:szCs w:val="20"/>
        </w:rPr>
        <w:t xml:space="preserve"> </w:t>
      </w:r>
      <w:r w:rsidR="00F7028A" w:rsidRPr="004F12EC">
        <w:rPr>
          <w:sz w:val="20"/>
          <w:szCs w:val="20"/>
        </w:rPr>
        <w:t>u</w:t>
      </w:r>
      <w:r w:rsidRPr="004F12EC">
        <w:rPr>
          <w:sz w:val="20"/>
          <w:szCs w:val="20"/>
        </w:rPr>
        <w:t>tiliser un filet de transport à grandes mailles, une élingue en toile ou un dispositif similaire conçu à cet effet. Si l'aménagement du bateau le permet, les requins pourraient également être libérés en vidant la salabarde directement dans la trémie et une rampe de libération maintenue à un angle qui se connecte à une ouverture sur la rambarde du pont supérieur, sans avoir besoin d'être soulevés ou manipulés par l'équipage.</w:t>
      </w:r>
    </w:p>
    <w:p w14:paraId="740AD032" w14:textId="77777777" w:rsidR="00C02401" w:rsidRPr="004F12EC" w:rsidRDefault="00C02401" w:rsidP="004F12EC">
      <w:pPr>
        <w:jc w:val="both"/>
        <w:rPr>
          <w:b/>
          <w:sz w:val="20"/>
          <w:szCs w:val="20"/>
        </w:rPr>
      </w:pPr>
    </w:p>
    <w:p w14:paraId="722C8F60" w14:textId="2D879F3E" w:rsidR="00FF438B" w:rsidRPr="004F12EC" w:rsidRDefault="00FF438B" w:rsidP="004F12EC">
      <w:pPr>
        <w:jc w:val="both"/>
        <w:rPr>
          <w:b/>
          <w:sz w:val="20"/>
          <w:szCs w:val="20"/>
        </w:rPr>
      </w:pPr>
      <w:r w:rsidRPr="004F12EC">
        <w:rPr>
          <w:b/>
          <w:sz w:val="20"/>
          <w:szCs w:val="20"/>
        </w:rPr>
        <w:t>NE PAS FAIRE (s’applique à toutes les pêcheries)</w:t>
      </w:r>
    </w:p>
    <w:p w14:paraId="32854B10" w14:textId="77777777" w:rsidR="00ED02BC" w:rsidRPr="004F12EC" w:rsidRDefault="00ED02BC" w:rsidP="004F12EC">
      <w:pPr>
        <w:jc w:val="both"/>
        <w:rPr>
          <w:b/>
          <w:sz w:val="20"/>
          <w:szCs w:val="20"/>
        </w:rPr>
      </w:pPr>
    </w:p>
    <w:p w14:paraId="7109026F" w14:textId="5EC720F3" w:rsidR="00E06098" w:rsidRPr="004F12EC" w:rsidRDefault="00F7028A" w:rsidP="004F12EC">
      <w:pPr>
        <w:pStyle w:val="ListParagraph"/>
        <w:numPr>
          <w:ilvl w:val="0"/>
          <w:numId w:val="21"/>
        </w:numPr>
        <w:ind w:left="851" w:hanging="425"/>
        <w:jc w:val="both"/>
        <w:rPr>
          <w:sz w:val="20"/>
          <w:szCs w:val="20"/>
        </w:rPr>
      </w:pPr>
      <w:r w:rsidRPr="004F12EC">
        <w:rPr>
          <w:sz w:val="20"/>
          <w:szCs w:val="20"/>
        </w:rPr>
        <w:t>Hisser</w:t>
      </w:r>
      <w:r w:rsidR="00E06098" w:rsidRPr="004F12EC">
        <w:rPr>
          <w:sz w:val="20"/>
          <w:szCs w:val="20"/>
        </w:rPr>
        <w:t xml:space="preserve"> les requins </w:t>
      </w:r>
      <w:r w:rsidRPr="004F12EC">
        <w:rPr>
          <w:sz w:val="20"/>
          <w:szCs w:val="20"/>
        </w:rPr>
        <w:t xml:space="preserve">hors </w:t>
      </w:r>
      <w:r w:rsidR="00E06098" w:rsidRPr="004F12EC">
        <w:rPr>
          <w:sz w:val="20"/>
          <w:szCs w:val="20"/>
        </w:rPr>
        <w:t xml:space="preserve">de l'eau </w:t>
      </w:r>
      <w:r w:rsidRPr="004F12EC">
        <w:rPr>
          <w:sz w:val="20"/>
          <w:szCs w:val="20"/>
        </w:rPr>
        <w:t>au moyen</w:t>
      </w:r>
      <w:r w:rsidR="00E06098" w:rsidRPr="004F12EC">
        <w:rPr>
          <w:sz w:val="20"/>
          <w:szCs w:val="20"/>
        </w:rPr>
        <w:t xml:space="preserve"> de l’avançon, </w:t>
      </w:r>
      <w:r w:rsidRPr="004F12EC">
        <w:rPr>
          <w:sz w:val="20"/>
          <w:szCs w:val="20"/>
        </w:rPr>
        <w:t xml:space="preserve">dans la mesure du possible, </w:t>
      </w:r>
      <w:r w:rsidR="00E06098" w:rsidRPr="004F12EC">
        <w:rPr>
          <w:sz w:val="20"/>
          <w:szCs w:val="20"/>
        </w:rPr>
        <w:t xml:space="preserve">surtout s'ils sont accrochés à l’hameçon, sauf s'il est nécessaire de </w:t>
      </w:r>
      <w:r w:rsidRPr="004F12EC">
        <w:rPr>
          <w:sz w:val="20"/>
          <w:szCs w:val="20"/>
        </w:rPr>
        <w:t>hisser</w:t>
      </w:r>
      <w:r w:rsidR="00E06098" w:rsidRPr="004F12EC">
        <w:rPr>
          <w:sz w:val="20"/>
          <w:szCs w:val="20"/>
        </w:rPr>
        <w:t xml:space="preserve"> les requins pour identifier l'espèce. </w:t>
      </w:r>
    </w:p>
    <w:p w14:paraId="3B8F18A6"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Soulever les requins au moyen de fils ou de câbles fins, ou par la queue seule.</w:t>
      </w:r>
    </w:p>
    <w:p w14:paraId="7BB17C2E" w14:textId="41A0F23C" w:rsidR="00FF438B" w:rsidRPr="004F12EC" w:rsidRDefault="00FF438B" w:rsidP="004F12EC">
      <w:pPr>
        <w:pStyle w:val="ListParagraph"/>
        <w:numPr>
          <w:ilvl w:val="0"/>
          <w:numId w:val="21"/>
        </w:numPr>
        <w:ind w:left="851" w:hanging="425"/>
        <w:jc w:val="both"/>
        <w:rPr>
          <w:sz w:val="20"/>
          <w:szCs w:val="20"/>
        </w:rPr>
      </w:pPr>
      <w:r w:rsidRPr="004F12EC">
        <w:rPr>
          <w:sz w:val="20"/>
          <w:szCs w:val="20"/>
        </w:rPr>
        <w:t xml:space="preserve">Frapper un requin contre n'importe quelle surface pour </w:t>
      </w:r>
      <w:r w:rsidR="00943229" w:rsidRPr="004F12EC">
        <w:rPr>
          <w:sz w:val="20"/>
          <w:szCs w:val="20"/>
        </w:rPr>
        <w:t>libérer</w:t>
      </w:r>
      <w:r w:rsidRPr="004F12EC">
        <w:rPr>
          <w:sz w:val="20"/>
          <w:szCs w:val="20"/>
        </w:rPr>
        <w:t xml:space="preserve"> l'animal de la ligne.</w:t>
      </w:r>
    </w:p>
    <w:p w14:paraId="62F5F5C8"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 xml:space="preserve">Tenter de déloger un hameçon qui est profondément ingéré et non visible. </w:t>
      </w:r>
    </w:p>
    <w:p w14:paraId="10E2EA47"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Essayer de retirer un hameçon en tirant fortement sur l’avançon.</w:t>
      </w:r>
    </w:p>
    <w:p w14:paraId="6C42597E"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Couper la queue ou toute autre partie du corps.</w:t>
      </w:r>
    </w:p>
    <w:p w14:paraId="48701D5A"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Découper ou percer des trous dans le corps du requin.</w:t>
      </w:r>
    </w:p>
    <w:p w14:paraId="1022D2CD"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Gaffer ou donner un coup de pied à un requin ou insérer les mains dans les fentes branchiales.</w:t>
      </w:r>
    </w:p>
    <w:p w14:paraId="22FDB26E"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Exposer le requin au soleil pendant de longues périodes.</w:t>
      </w:r>
    </w:p>
    <w:p w14:paraId="79B2E306"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Enrouler les doigts, les mains ou les bras dans la ligne lorsqu’un requin ou une raie est amené vers le bateau (au risque de blessures graves).</w:t>
      </w:r>
    </w:p>
    <w:p w14:paraId="5EBC5ECE" w14:textId="7C863955" w:rsidR="00FF438B" w:rsidRPr="004F12EC" w:rsidRDefault="00FF438B" w:rsidP="004F12EC">
      <w:pPr>
        <w:pStyle w:val="ListParagraph"/>
        <w:jc w:val="both"/>
        <w:rPr>
          <w:sz w:val="20"/>
          <w:szCs w:val="20"/>
        </w:rPr>
      </w:pPr>
    </w:p>
    <w:p w14:paraId="7B8DE7F6" w14:textId="7A3D2D7C" w:rsidR="00FF438B" w:rsidRPr="004F12EC" w:rsidRDefault="00F7028A" w:rsidP="004F12EC">
      <w:pPr>
        <w:jc w:val="both"/>
        <w:rPr>
          <w:b/>
          <w:sz w:val="20"/>
          <w:szCs w:val="20"/>
        </w:rPr>
      </w:pPr>
      <w:r w:rsidRPr="004F12EC">
        <w:rPr>
          <w:b/>
          <w:sz w:val="20"/>
          <w:szCs w:val="20"/>
        </w:rPr>
        <w:t>Dispositifs</w:t>
      </w:r>
      <w:r w:rsidR="00FF438B" w:rsidRPr="004F12EC">
        <w:rPr>
          <w:b/>
          <w:sz w:val="20"/>
          <w:szCs w:val="20"/>
        </w:rPr>
        <w:t xml:space="preserve"> utiles pour la manipulation et remise à l'eau en toute sécurité</w:t>
      </w:r>
      <w:r w:rsidR="00D127BB" w:rsidRPr="004F12EC">
        <w:rPr>
          <w:b/>
          <w:sz w:val="20"/>
          <w:szCs w:val="20"/>
        </w:rPr>
        <w:t xml:space="preserve"> </w:t>
      </w:r>
    </w:p>
    <w:p w14:paraId="42E98DEF" w14:textId="77777777" w:rsidR="00C02401" w:rsidRPr="004F12EC" w:rsidRDefault="00C02401" w:rsidP="004F12EC">
      <w:pPr>
        <w:jc w:val="both"/>
        <w:rPr>
          <w:rFonts w:eastAsia="Times New Roman" w:cs="Segoe UI"/>
          <w:b/>
          <w:sz w:val="20"/>
          <w:szCs w:val="20"/>
        </w:rPr>
      </w:pPr>
    </w:p>
    <w:p w14:paraId="0E08D47D" w14:textId="5C33F9F9" w:rsidR="00FF438B" w:rsidRPr="004F12EC" w:rsidRDefault="00FF438B" w:rsidP="004F12EC">
      <w:pPr>
        <w:pStyle w:val="ListParagraph"/>
        <w:numPr>
          <w:ilvl w:val="0"/>
          <w:numId w:val="21"/>
        </w:numPr>
        <w:ind w:left="851" w:hanging="425"/>
        <w:jc w:val="both"/>
        <w:rPr>
          <w:sz w:val="20"/>
          <w:szCs w:val="20"/>
        </w:rPr>
      </w:pPr>
      <w:r w:rsidRPr="004F12EC">
        <w:rPr>
          <w:sz w:val="20"/>
          <w:szCs w:val="20"/>
        </w:rPr>
        <w:t xml:space="preserve">Gants (la peau des requins est rugueuse ; </w:t>
      </w:r>
      <w:r w:rsidR="00AE5ECD" w:rsidRPr="004F12EC">
        <w:rPr>
          <w:sz w:val="20"/>
          <w:szCs w:val="20"/>
        </w:rPr>
        <w:t xml:space="preserve">les gants </w:t>
      </w:r>
      <w:r w:rsidRPr="004F12EC">
        <w:rPr>
          <w:sz w:val="20"/>
          <w:szCs w:val="20"/>
        </w:rPr>
        <w:t>permettent de manipuler les requins en toute sécurité et de protéger les mains de l'équipage contre les morsures).</w:t>
      </w:r>
    </w:p>
    <w:p w14:paraId="03CC664D" w14:textId="6FCAD8E2" w:rsidR="00FF438B" w:rsidRPr="004F12EC" w:rsidRDefault="00FF438B" w:rsidP="004F12EC">
      <w:pPr>
        <w:pStyle w:val="ListParagraph"/>
        <w:numPr>
          <w:ilvl w:val="0"/>
          <w:numId w:val="21"/>
        </w:numPr>
        <w:ind w:left="851" w:hanging="425"/>
        <w:jc w:val="both"/>
        <w:rPr>
          <w:sz w:val="20"/>
          <w:szCs w:val="20"/>
        </w:rPr>
      </w:pPr>
      <w:r w:rsidRPr="004F12EC">
        <w:rPr>
          <w:sz w:val="20"/>
          <w:szCs w:val="20"/>
        </w:rPr>
        <w:t>Serviette ou tissu (une serviette ou un tissu imbibé d'eau de mer peut être placé sur les yeux du requin afin de calmer les requins)</w:t>
      </w:r>
      <w:r w:rsidR="00F7028A" w:rsidRPr="004F12EC">
        <w:rPr>
          <w:sz w:val="20"/>
          <w:szCs w:val="20"/>
        </w:rPr>
        <w:t>.</w:t>
      </w:r>
    </w:p>
    <w:p w14:paraId="537D55DD" w14:textId="1F72C439" w:rsidR="00FF438B" w:rsidRPr="004F12EC" w:rsidRDefault="00FF438B" w:rsidP="004F12EC">
      <w:pPr>
        <w:pStyle w:val="ListParagraph"/>
        <w:numPr>
          <w:ilvl w:val="0"/>
          <w:numId w:val="21"/>
        </w:numPr>
        <w:ind w:left="851" w:hanging="425"/>
        <w:jc w:val="both"/>
        <w:rPr>
          <w:sz w:val="20"/>
          <w:szCs w:val="20"/>
        </w:rPr>
      </w:pPr>
      <w:r w:rsidRPr="004F12EC">
        <w:rPr>
          <w:sz w:val="20"/>
          <w:szCs w:val="20"/>
        </w:rPr>
        <w:t>Dispositifs de retrait de l’hameçon (par exemple, un dégorgeoir à queue de cochon, des coupe-boulons ou des pinces)</w:t>
      </w:r>
      <w:r w:rsidR="00F7028A" w:rsidRPr="004F12EC">
        <w:rPr>
          <w:sz w:val="20"/>
          <w:szCs w:val="20"/>
        </w:rPr>
        <w:t>.</w:t>
      </w:r>
    </w:p>
    <w:p w14:paraId="0A53DA7A" w14:textId="462C9D94" w:rsidR="00FF438B" w:rsidRPr="004F12EC" w:rsidRDefault="00FF438B" w:rsidP="004F12EC">
      <w:pPr>
        <w:pStyle w:val="ListParagraph"/>
        <w:numPr>
          <w:ilvl w:val="0"/>
          <w:numId w:val="21"/>
        </w:numPr>
        <w:ind w:left="851" w:hanging="425"/>
        <w:jc w:val="both"/>
        <w:rPr>
          <w:sz w:val="20"/>
          <w:szCs w:val="20"/>
        </w:rPr>
      </w:pPr>
      <w:r w:rsidRPr="004F12EC">
        <w:rPr>
          <w:sz w:val="20"/>
          <w:szCs w:val="20"/>
        </w:rPr>
        <w:t>Harnais ou civière pour requin (si nécessaire)</w:t>
      </w:r>
      <w:r w:rsidR="00F7028A" w:rsidRPr="004F12EC">
        <w:rPr>
          <w:sz w:val="20"/>
          <w:szCs w:val="20"/>
        </w:rPr>
        <w:t>.</w:t>
      </w:r>
    </w:p>
    <w:p w14:paraId="4DF12FF8"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Corde de queue (pour attacher un requin accroché à un hameçon s'il doit être sorti de l'eau).</w:t>
      </w:r>
    </w:p>
    <w:p w14:paraId="38CA1908" w14:textId="77777777" w:rsidR="00FF438B" w:rsidRPr="004F12EC" w:rsidRDefault="00FF438B" w:rsidP="004F12EC">
      <w:pPr>
        <w:pStyle w:val="ListParagraph"/>
        <w:numPr>
          <w:ilvl w:val="0"/>
          <w:numId w:val="21"/>
        </w:numPr>
        <w:ind w:left="851" w:hanging="425"/>
        <w:jc w:val="both"/>
        <w:rPr>
          <w:sz w:val="20"/>
          <w:szCs w:val="20"/>
        </w:rPr>
      </w:pPr>
      <w:r w:rsidRPr="004F12EC">
        <w:rPr>
          <w:sz w:val="20"/>
          <w:szCs w:val="20"/>
        </w:rPr>
        <w:t>Tuyau d'arrosage d’eau salée (si l’on prévoit qu'il faudra plus de 5 minutes pour relâcher un requin, placer un tuyau d'arrosage dans sa bouche pour que l'eau de mer s'y écoule modérément). S’assurer que la pompe du pont a fonctionné plusieurs minutes avant de la placer dans la gueule d'un requin.</w:t>
      </w:r>
    </w:p>
    <w:p w14:paraId="3C2F1CE0" w14:textId="5DFA32E5" w:rsidR="00FF438B" w:rsidRPr="004F12EC" w:rsidRDefault="00FF438B" w:rsidP="004F12EC">
      <w:pPr>
        <w:pStyle w:val="ListParagraph"/>
        <w:numPr>
          <w:ilvl w:val="0"/>
          <w:numId w:val="21"/>
        </w:numPr>
        <w:ind w:left="851" w:hanging="425"/>
        <w:jc w:val="both"/>
        <w:rPr>
          <w:sz w:val="20"/>
          <w:szCs w:val="20"/>
        </w:rPr>
      </w:pPr>
      <w:r w:rsidRPr="004F12EC">
        <w:rPr>
          <w:sz w:val="20"/>
          <w:szCs w:val="20"/>
        </w:rPr>
        <w:t>Dispositif de mesure (par exemple, marquer une perche, un câble et un flotteur, ou un ruban à mesurer)</w:t>
      </w:r>
      <w:r w:rsidR="00F7028A" w:rsidRPr="004F12EC">
        <w:rPr>
          <w:sz w:val="20"/>
          <w:szCs w:val="20"/>
        </w:rPr>
        <w:t>.</w:t>
      </w:r>
    </w:p>
    <w:p w14:paraId="76739676" w14:textId="49EB05B5" w:rsidR="00FF438B" w:rsidRPr="004F12EC" w:rsidRDefault="00FF438B" w:rsidP="004F12EC">
      <w:pPr>
        <w:pStyle w:val="ListParagraph"/>
        <w:numPr>
          <w:ilvl w:val="0"/>
          <w:numId w:val="21"/>
        </w:numPr>
        <w:ind w:left="851" w:hanging="425"/>
        <w:jc w:val="both"/>
        <w:rPr>
          <w:sz w:val="20"/>
          <w:szCs w:val="20"/>
        </w:rPr>
      </w:pPr>
      <w:r w:rsidRPr="004F12EC">
        <w:rPr>
          <w:sz w:val="20"/>
          <w:szCs w:val="20"/>
        </w:rPr>
        <w:t>Fiche de données pour enregistrer toutes les prises</w:t>
      </w:r>
      <w:r w:rsidR="00F7028A" w:rsidRPr="004F12EC">
        <w:rPr>
          <w:sz w:val="20"/>
          <w:szCs w:val="20"/>
        </w:rPr>
        <w:t>.</w:t>
      </w:r>
    </w:p>
    <w:p w14:paraId="4B602BF2" w14:textId="53DEA570" w:rsidR="00FF438B" w:rsidRPr="004F12EC" w:rsidRDefault="00FF438B" w:rsidP="004F12EC">
      <w:pPr>
        <w:pStyle w:val="ListParagraph"/>
        <w:numPr>
          <w:ilvl w:val="0"/>
          <w:numId w:val="21"/>
        </w:numPr>
        <w:ind w:left="851" w:hanging="425"/>
        <w:jc w:val="both"/>
        <w:rPr>
          <w:sz w:val="20"/>
          <w:szCs w:val="20"/>
        </w:rPr>
      </w:pPr>
      <w:r w:rsidRPr="004F12EC">
        <w:rPr>
          <w:sz w:val="20"/>
          <w:szCs w:val="20"/>
        </w:rPr>
        <w:t>Engin de marquage (le cas échéant)</w:t>
      </w:r>
      <w:r w:rsidR="008428AC" w:rsidRPr="004F12EC">
        <w:rPr>
          <w:sz w:val="20"/>
          <w:szCs w:val="20"/>
        </w:rPr>
        <w:t>.</w:t>
      </w:r>
    </w:p>
    <w:p w14:paraId="53CEB9DB" w14:textId="77777777" w:rsidR="00210231" w:rsidRPr="004F12EC" w:rsidRDefault="00210231" w:rsidP="004F12EC">
      <w:pPr>
        <w:tabs>
          <w:tab w:val="left" w:pos="3080"/>
        </w:tabs>
        <w:jc w:val="both"/>
        <w:rPr>
          <w:rFonts w:cs="Times New Roman"/>
          <w:sz w:val="20"/>
          <w:szCs w:val="20"/>
        </w:rPr>
      </w:pPr>
    </w:p>
    <w:sectPr w:rsidR="00210231" w:rsidRPr="004F12EC" w:rsidSect="00E0284F">
      <w:type w:val="continuous"/>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4EBC" w14:textId="77777777" w:rsidR="00CB2426" w:rsidRDefault="00CB2426" w:rsidP="000E2849">
      <w:r>
        <w:separator/>
      </w:r>
    </w:p>
  </w:endnote>
  <w:endnote w:type="continuationSeparator" w:id="0">
    <w:p w14:paraId="422D8D1C" w14:textId="77777777" w:rsidR="00CB2426" w:rsidRDefault="00CB2426" w:rsidP="000E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BC01" w14:textId="67B83548" w:rsidR="00DB54D2" w:rsidRPr="00DB54D2" w:rsidRDefault="00DB54D2" w:rsidP="00DB54D2">
    <w:pPr>
      <w:tabs>
        <w:tab w:val="center" w:pos="4535"/>
        <w:tab w:val="center" w:pos="4680"/>
        <w:tab w:val="left" w:pos="6150"/>
        <w:tab w:val="right" w:pos="9360"/>
      </w:tabs>
      <w:jc w:val="center"/>
      <w:rPr>
        <w:sz w:val="20"/>
        <w:szCs w:val="20"/>
      </w:rPr>
    </w:pPr>
    <w:r w:rsidRPr="00DB54D2">
      <w:rPr>
        <w:sz w:val="20"/>
        <w:szCs w:val="20"/>
      </w:rPr>
      <w:fldChar w:fldCharType="begin"/>
    </w:r>
    <w:r w:rsidRPr="00DB54D2">
      <w:rPr>
        <w:sz w:val="20"/>
        <w:szCs w:val="20"/>
      </w:rPr>
      <w:instrText xml:space="preserve"> PAGE </w:instrText>
    </w:r>
    <w:r w:rsidRPr="00DB54D2">
      <w:rPr>
        <w:sz w:val="20"/>
        <w:szCs w:val="20"/>
      </w:rPr>
      <w:fldChar w:fldCharType="separate"/>
    </w:r>
    <w:r w:rsidRPr="00DB54D2">
      <w:rPr>
        <w:sz w:val="20"/>
        <w:szCs w:val="20"/>
      </w:rPr>
      <w:t>1</w:t>
    </w:r>
    <w:r w:rsidRPr="00DB54D2">
      <w:rPr>
        <w:sz w:val="20"/>
        <w:szCs w:val="20"/>
      </w:rPr>
      <w:fldChar w:fldCharType="end"/>
    </w:r>
    <w:r w:rsidRPr="00DB54D2">
      <w:rPr>
        <w:sz w:val="20"/>
        <w:szCs w:val="20"/>
      </w:rPr>
      <w:t xml:space="preserve"> / </w:t>
    </w:r>
    <w:r w:rsidRPr="00DB54D2">
      <w:rPr>
        <w:sz w:val="20"/>
        <w:szCs w:val="20"/>
      </w:rPr>
      <w:fldChar w:fldCharType="begin"/>
    </w:r>
    <w:r w:rsidRPr="00DB54D2">
      <w:rPr>
        <w:sz w:val="20"/>
        <w:szCs w:val="20"/>
      </w:rPr>
      <w:instrText xml:space="preserve"> NUMPAGES  </w:instrText>
    </w:r>
    <w:r w:rsidRPr="00DB54D2">
      <w:rPr>
        <w:sz w:val="20"/>
        <w:szCs w:val="20"/>
      </w:rPr>
      <w:fldChar w:fldCharType="separate"/>
    </w:r>
    <w:r w:rsidRPr="00DB54D2">
      <w:rPr>
        <w:sz w:val="20"/>
        <w:szCs w:val="20"/>
      </w:rPr>
      <w:t>8</w:t>
    </w:r>
    <w:r w:rsidRPr="00DB54D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0643" w14:textId="77777777" w:rsidR="00CB2426" w:rsidRDefault="00CB2426" w:rsidP="000E2849">
      <w:r>
        <w:separator/>
      </w:r>
    </w:p>
  </w:footnote>
  <w:footnote w:type="continuationSeparator" w:id="0">
    <w:p w14:paraId="5C10D3B1" w14:textId="77777777" w:rsidR="00CB2426" w:rsidRDefault="00CB2426" w:rsidP="000E2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3ADB" w14:textId="19287003" w:rsidR="00D669F3" w:rsidRPr="00D669F3" w:rsidRDefault="00D669F3" w:rsidP="00D669F3">
    <w:pPr>
      <w:tabs>
        <w:tab w:val="center" w:pos="4680"/>
        <w:tab w:val="left" w:pos="6520"/>
        <w:tab w:val="right" w:pos="9360"/>
        <w:tab w:val="right" w:pos="14240"/>
      </w:tabs>
      <w:jc w:val="right"/>
      <w:rPr>
        <w:rFonts w:cs="Times New Roman"/>
        <w:b/>
        <w:bCs/>
        <w:sz w:val="20"/>
        <w:szCs w:val="20"/>
      </w:rPr>
    </w:pPr>
    <w:r w:rsidRPr="00D669F3">
      <w:rPr>
        <w:rFonts w:cs="Times New Roman"/>
        <w:b/>
        <w:bCs/>
        <w:sz w:val="20"/>
        <w:szCs w:val="20"/>
      </w:rPr>
      <w:t>PA</w:t>
    </w:r>
    <w:bookmarkStart w:id="2" w:name="_Hlk107908354"/>
    <w:bookmarkStart w:id="3" w:name="_Hlk107908355"/>
    <w:bookmarkStart w:id="4" w:name="_Hlk107908359"/>
    <w:bookmarkStart w:id="5" w:name="_Hlk107908360"/>
    <w:bookmarkStart w:id="6" w:name="_Hlk107908361"/>
    <w:bookmarkStart w:id="7" w:name="_Hlk107908362"/>
    <w:r w:rsidRPr="00D669F3">
      <w:rPr>
        <w:rFonts w:cs="Times New Roman"/>
        <w:b/>
        <w:bCs/>
        <w:sz w:val="20"/>
        <w:szCs w:val="20"/>
      </w:rPr>
      <w:t>4_814</w:t>
    </w:r>
    <w:r w:rsidR="00AC6DBF">
      <w:rPr>
        <w:rFonts w:cs="Times New Roman"/>
        <w:b/>
        <w:bCs/>
        <w:sz w:val="20"/>
        <w:szCs w:val="20"/>
      </w:rPr>
      <w:t>A</w:t>
    </w:r>
    <w:r w:rsidRPr="00D669F3">
      <w:rPr>
        <w:rFonts w:cs="Times New Roman"/>
        <w:b/>
        <w:bCs/>
        <w:sz w:val="20"/>
        <w:szCs w:val="20"/>
      </w:rPr>
      <w:t>/2025</w:t>
    </w:r>
  </w:p>
  <w:p w14:paraId="5412A173" w14:textId="02B10A29" w:rsidR="00D669F3" w:rsidRPr="00D669F3" w:rsidRDefault="00D669F3" w:rsidP="00D669F3">
    <w:pPr>
      <w:tabs>
        <w:tab w:val="left" w:pos="7320"/>
      </w:tabs>
      <w:spacing w:line="240" w:lineRule="exact"/>
      <w:jc w:val="right"/>
      <w:rPr>
        <w:sz w:val="20"/>
        <w:szCs w:val="20"/>
      </w:rPr>
    </w:pPr>
    <w:r w:rsidRPr="00D669F3">
      <w:rPr>
        <w:rFonts w:cs="Times New Roman"/>
        <w:b/>
        <w:bCs/>
        <w:sz w:val="20"/>
        <w:szCs w:val="20"/>
        <w:lang w:val="es-ES_tradnl"/>
      </w:rPr>
      <w:fldChar w:fldCharType="begin"/>
    </w:r>
    <w:r w:rsidRPr="00D669F3">
      <w:rPr>
        <w:rFonts w:cs="Times New Roman"/>
        <w:b/>
        <w:bCs/>
        <w:sz w:val="20"/>
        <w:szCs w:val="20"/>
        <w:lang w:val="es-ES_tradnl"/>
      </w:rPr>
      <w:instrText xml:space="preserve"> TIME \@ "dd/MM/yyyy H:mm" </w:instrText>
    </w:r>
    <w:r w:rsidRPr="00D669F3">
      <w:rPr>
        <w:rFonts w:cs="Times New Roman"/>
        <w:b/>
        <w:bCs/>
        <w:sz w:val="20"/>
        <w:szCs w:val="20"/>
        <w:lang w:val="es-ES_tradnl"/>
      </w:rPr>
      <w:fldChar w:fldCharType="separate"/>
    </w:r>
    <w:r w:rsidR="00CE53C2">
      <w:rPr>
        <w:rFonts w:cs="Times New Roman"/>
        <w:b/>
        <w:bCs/>
        <w:noProof/>
        <w:sz w:val="20"/>
        <w:szCs w:val="20"/>
        <w:lang w:val="es-ES_tradnl"/>
      </w:rPr>
      <w:t>24/11/2025 11:40</w:t>
    </w:r>
    <w:r w:rsidRPr="00D669F3">
      <w:rPr>
        <w:rFonts w:cs="Times New Roman"/>
        <w:b/>
        <w:bCs/>
        <w:sz w:val="20"/>
        <w:szCs w:val="20"/>
        <w:lang w:val="es-ES_tradnl"/>
      </w:rPr>
      <w:fldChar w:fldCharType="end"/>
    </w:r>
    <w:bookmarkEnd w:id="2"/>
    <w:bookmarkEnd w:id="3"/>
    <w:bookmarkEnd w:id="4"/>
    <w:bookmarkEnd w:id="5"/>
    <w:bookmarkEnd w:id="6"/>
    <w:bookmarkEnd w:id="7"/>
    <w:r w:rsidRPr="00D669F3">
      <w:rPr>
        <w:sz w:val="20"/>
        <w:szCs w:val="20"/>
      </w:rPr>
      <w:t xml:space="preserve"> </w:t>
    </w:r>
  </w:p>
  <w:p w14:paraId="342BE974" w14:textId="77777777" w:rsidR="00D669F3" w:rsidRPr="00D669F3" w:rsidRDefault="00D669F3" w:rsidP="00D66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5332288"/>
    <w:multiLevelType w:val="multilevel"/>
    <w:tmpl w:val="DB18A156"/>
    <w:lvl w:ilvl="0">
      <w:start w:val="3"/>
      <w:numFmt w:val="bullet"/>
      <w:lvlText w:val="-"/>
      <w:lvlJc w:val="left"/>
      <w:pPr>
        <w:tabs>
          <w:tab w:val="num" w:pos="720"/>
        </w:tabs>
        <w:ind w:left="720" w:hanging="360"/>
      </w:pPr>
      <w:rPr>
        <w:rFonts w:ascii="Calibri" w:eastAsiaTheme="minorHAnsi" w:hAnsi="Calibri" w:cs="Calibri"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3B8"/>
    <w:multiLevelType w:val="hybridMultilevel"/>
    <w:tmpl w:val="68E0F7E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5B7C"/>
    <w:multiLevelType w:val="hybridMultilevel"/>
    <w:tmpl w:val="D616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B6735"/>
    <w:multiLevelType w:val="hybridMultilevel"/>
    <w:tmpl w:val="BFEC5B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73263"/>
    <w:multiLevelType w:val="hybridMultilevel"/>
    <w:tmpl w:val="1F3209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562E5"/>
    <w:multiLevelType w:val="hybridMultilevel"/>
    <w:tmpl w:val="C6F2B3AE"/>
    <w:lvl w:ilvl="0" w:tplc="9BE67228">
      <w:start w:val="1"/>
      <w:numFmt w:val="lowerLetter"/>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92C9C"/>
    <w:multiLevelType w:val="hybridMultilevel"/>
    <w:tmpl w:val="6E3455DA"/>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1FA24F78"/>
    <w:multiLevelType w:val="hybridMultilevel"/>
    <w:tmpl w:val="FA926EE4"/>
    <w:lvl w:ilvl="0" w:tplc="8C529530">
      <w:start w:val="3"/>
      <w:numFmt w:val="decimal"/>
      <w:lvlText w:val="%1."/>
      <w:lvlJc w:val="left"/>
      <w:pPr>
        <w:ind w:left="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F1C60264">
      <w:start w:val="1"/>
      <w:numFmt w:val="lowerLetter"/>
      <w:lvlText w:val="%2)"/>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0A6E5AEA">
      <w:start w:val="1"/>
      <w:numFmt w:val="lowerRoman"/>
      <w:lvlText w:val="%3"/>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9F4D106">
      <w:start w:val="1"/>
      <w:numFmt w:val="decimal"/>
      <w:lvlText w:val="%4"/>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E503158">
      <w:start w:val="1"/>
      <w:numFmt w:val="lowerLetter"/>
      <w:lvlText w:val="%5"/>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8632D30E">
      <w:start w:val="1"/>
      <w:numFmt w:val="lowerRoman"/>
      <w:lvlText w:val="%6"/>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68248800">
      <w:start w:val="1"/>
      <w:numFmt w:val="decimal"/>
      <w:lvlText w:val="%7"/>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F79CB9FA">
      <w:start w:val="1"/>
      <w:numFmt w:val="lowerLetter"/>
      <w:lvlText w:val="%8"/>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31BC5EC4">
      <w:start w:val="1"/>
      <w:numFmt w:val="lowerRoman"/>
      <w:lvlText w:val="%9"/>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21F60678"/>
    <w:multiLevelType w:val="hybridMultilevel"/>
    <w:tmpl w:val="CB82D26A"/>
    <w:lvl w:ilvl="0" w:tplc="C4E63748">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2FF57DA"/>
    <w:multiLevelType w:val="hybridMultilevel"/>
    <w:tmpl w:val="9154A5AA"/>
    <w:lvl w:ilvl="0" w:tplc="FFFFFFFF">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442378A"/>
    <w:multiLevelType w:val="hybridMultilevel"/>
    <w:tmpl w:val="EB7CA72E"/>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065F3"/>
    <w:multiLevelType w:val="hybridMultilevel"/>
    <w:tmpl w:val="ACE2F8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40B01"/>
    <w:multiLevelType w:val="hybridMultilevel"/>
    <w:tmpl w:val="CD1AD5E8"/>
    <w:lvl w:ilvl="0" w:tplc="34FC1820">
      <w:start w:val="17"/>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8" w15:restartNumberingAfterBreak="0">
    <w:nsid w:val="34EA2356"/>
    <w:multiLevelType w:val="hybridMultilevel"/>
    <w:tmpl w:val="AEB4E00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556589A"/>
    <w:multiLevelType w:val="hybridMultilevel"/>
    <w:tmpl w:val="488CA87A"/>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60515F2"/>
    <w:multiLevelType w:val="multilevel"/>
    <w:tmpl w:val="3272A8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446D4839"/>
    <w:multiLevelType w:val="hybridMultilevel"/>
    <w:tmpl w:val="437A3318"/>
    <w:lvl w:ilvl="0" w:tplc="6A5A6BCE">
      <w:start w:val="2"/>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D97353"/>
    <w:multiLevelType w:val="hybridMultilevel"/>
    <w:tmpl w:val="F294BC90"/>
    <w:lvl w:ilvl="0" w:tplc="08090017">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7752DA"/>
    <w:multiLevelType w:val="hybridMultilevel"/>
    <w:tmpl w:val="6B3EC7C2"/>
    <w:lvl w:ilvl="0" w:tplc="0C2EB8A6">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5372B5D2">
      <w:start w:val="1"/>
      <w:numFmt w:val="lowerLetter"/>
      <w:lvlText w:val="%2"/>
      <w:lvlJc w:val="left"/>
      <w:pPr>
        <w:ind w:left="10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674F4BA">
      <w:start w:val="1"/>
      <w:numFmt w:val="lowerRoman"/>
      <w:lvlText w:val="%3"/>
      <w:lvlJc w:val="left"/>
      <w:pPr>
        <w:ind w:left="18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7485C18">
      <w:start w:val="1"/>
      <w:numFmt w:val="decimal"/>
      <w:lvlText w:val="%4"/>
      <w:lvlJc w:val="left"/>
      <w:pPr>
        <w:ind w:left="25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5B764EA2">
      <w:start w:val="1"/>
      <w:numFmt w:val="lowerLetter"/>
      <w:lvlText w:val="%5"/>
      <w:lvlJc w:val="left"/>
      <w:pPr>
        <w:ind w:left="324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F886F016">
      <w:start w:val="1"/>
      <w:numFmt w:val="lowerRoman"/>
      <w:lvlText w:val="%6"/>
      <w:lvlJc w:val="left"/>
      <w:pPr>
        <w:ind w:left="396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E9EB4B0">
      <w:start w:val="1"/>
      <w:numFmt w:val="decimal"/>
      <w:lvlText w:val="%7"/>
      <w:lvlJc w:val="left"/>
      <w:pPr>
        <w:ind w:left="46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3BDA8DAC">
      <w:start w:val="1"/>
      <w:numFmt w:val="lowerLetter"/>
      <w:lvlText w:val="%8"/>
      <w:lvlJc w:val="left"/>
      <w:pPr>
        <w:ind w:left="54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E48FAAC">
      <w:start w:val="1"/>
      <w:numFmt w:val="lowerRoman"/>
      <w:lvlText w:val="%9"/>
      <w:lvlJc w:val="left"/>
      <w:pPr>
        <w:ind w:left="61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487A2191"/>
    <w:multiLevelType w:val="hybridMultilevel"/>
    <w:tmpl w:val="27D09BDC"/>
    <w:lvl w:ilvl="0" w:tplc="B0E49E6C">
      <w:start w:val="1"/>
      <w:numFmt w:val="lowerLetter"/>
      <w:lvlText w:val="%1)"/>
      <w:lvlJc w:val="left"/>
      <w:pPr>
        <w:ind w:left="720" w:hanging="360"/>
      </w:pPr>
      <w:rPr>
        <w:sz w:val="20"/>
        <w:szCs w:val="20"/>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C25659C"/>
    <w:multiLevelType w:val="hybridMultilevel"/>
    <w:tmpl w:val="985C8B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35C37E2"/>
    <w:multiLevelType w:val="hybridMultilevel"/>
    <w:tmpl w:val="192C0A20"/>
    <w:lvl w:ilvl="0" w:tplc="7228D66A">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0" w15:restartNumberingAfterBreak="0">
    <w:nsid w:val="567F0F1A"/>
    <w:multiLevelType w:val="hybridMultilevel"/>
    <w:tmpl w:val="DCB6F1AA"/>
    <w:lvl w:ilvl="0" w:tplc="8EA4A142">
      <w:start w:val="3"/>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1" w15:restartNumberingAfterBreak="0">
    <w:nsid w:val="59B37790"/>
    <w:multiLevelType w:val="hybridMultilevel"/>
    <w:tmpl w:val="039483EA"/>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440" w:hanging="360"/>
      </w:p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AD154DB"/>
    <w:multiLevelType w:val="hybridMultilevel"/>
    <w:tmpl w:val="19ECC0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5ECD2AD1"/>
    <w:multiLevelType w:val="hybridMultilevel"/>
    <w:tmpl w:val="D62E2084"/>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02697"/>
    <w:multiLevelType w:val="hybridMultilevel"/>
    <w:tmpl w:val="9154A5AA"/>
    <w:lvl w:ilvl="0" w:tplc="FFFFFFFF">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2745A30"/>
    <w:multiLevelType w:val="hybridMultilevel"/>
    <w:tmpl w:val="0ED68AE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2496B"/>
    <w:multiLevelType w:val="hybridMultilevel"/>
    <w:tmpl w:val="4C969022"/>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8265D"/>
    <w:multiLevelType w:val="hybridMultilevel"/>
    <w:tmpl w:val="056C62C0"/>
    <w:lvl w:ilvl="0" w:tplc="C0F4E6B2">
      <w:start w:val="3"/>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6C926BC9"/>
    <w:multiLevelType w:val="hybridMultilevel"/>
    <w:tmpl w:val="954CF8E2"/>
    <w:lvl w:ilvl="0" w:tplc="A9641054">
      <w:start w:val="18"/>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BCC68354">
      <w:start w:val="1"/>
      <w:numFmt w:val="lowerLetter"/>
      <w:lvlText w:val="%2)"/>
      <w:lvlJc w:val="left"/>
      <w:pPr>
        <w:ind w:left="854"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9B6FEA2">
      <w:start w:val="1"/>
      <w:numFmt w:val="lowerRoman"/>
      <w:lvlText w:val="%3"/>
      <w:lvlJc w:val="left"/>
      <w:pPr>
        <w:ind w:left="15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4B58FDD4">
      <w:start w:val="1"/>
      <w:numFmt w:val="decimal"/>
      <w:lvlText w:val="%4"/>
      <w:lvlJc w:val="left"/>
      <w:pPr>
        <w:ind w:left="22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490A527E">
      <w:start w:val="1"/>
      <w:numFmt w:val="lowerLetter"/>
      <w:lvlText w:val="%5"/>
      <w:lvlJc w:val="left"/>
      <w:pPr>
        <w:ind w:left="294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455433D4">
      <w:start w:val="1"/>
      <w:numFmt w:val="lowerRoman"/>
      <w:lvlText w:val="%6"/>
      <w:lvlJc w:val="left"/>
      <w:pPr>
        <w:ind w:left="366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C57A5B4E">
      <w:start w:val="1"/>
      <w:numFmt w:val="decimal"/>
      <w:lvlText w:val="%7"/>
      <w:lvlJc w:val="left"/>
      <w:pPr>
        <w:ind w:left="438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55448A22">
      <w:start w:val="1"/>
      <w:numFmt w:val="lowerLetter"/>
      <w:lvlText w:val="%8"/>
      <w:lvlJc w:val="left"/>
      <w:pPr>
        <w:ind w:left="51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A52AE3A6">
      <w:start w:val="1"/>
      <w:numFmt w:val="lowerRoman"/>
      <w:lvlText w:val="%9"/>
      <w:lvlJc w:val="left"/>
      <w:pPr>
        <w:ind w:left="58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39" w15:restartNumberingAfterBreak="0">
    <w:nsid w:val="75F337B5"/>
    <w:multiLevelType w:val="hybridMultilevel"/>
    <w:tmpl w:val="B136E6B4"/>
    <w:lvl w:ilvl="0" w:tplc="08090017">
      <w:start w:val="1"/>
      <w:numFmt w:val="lowerLetter"/>
      <w:lvlText w:val="%1)"/>
      <w:lvlJc w:val="left"/>
      <w:pPr>
        <w:ind w:left="820" w:hanging="360"/>
      </w:pPr>
      <w:rPr>
        <w:rFont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41" w15:restartNumberingAfterBreak="0">
    <w:nsid w:val="7BBA74D0"/>
    <w:multiLevelType w:val="hybridMultilevel"/>
    <w:tmpl w:val="A42CAF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82A46"/>
    <w:multiLevelType w:val="hybridMultilevel"/>
    <w:tmpl w:val="DA2A3E7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3" w15:restartNumberingAfterBreak="0">
    <w:nsid w:val="7CF4712E"/>
    <w:multiLevelType w:val="hybridMultilevel"/>
    <w:tmpl w:val="DE54C018"/>
    <w:lvl w:ilvl="0" w:tplc="66AA1DAE">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54471">
    <w:abstractNumId w:val="26"/>
  </w:num>
  <w:num w:numId="2" w16cid:durableId="1104374395">
    <w:abstractNumId w:val="21"/>
  </w:num>
  <w:num w:numId="3" w16cid:durableId="165824904">
    <w:abstractNumId w:val="18"/>
  </w:num>
  <w:num w:numId="4" w16cid:durableId="140194748">
    <w:abstractNumId w:val="19"/>
  </w:num>
  <w:num w:numId="5" w16cid:durableId="11074304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4276593">
    <w:abstractNumId w:val="9"/>
  </w:num>
  <w:num w:numId="7" w16cid:durableId="765463098">
    <w:abstractNumId w:val="32"/>
  </w:num>
  <w:num w:numId="8" w16cid:durableId="1597596012">
    <w:abstractNumId w:val="36"/>
  </w:num>
  <w:num w:numId="9" w16cid:durableId="44188207">
    <w:abstractNumId w:val="0"/>
  </w:num>
  <w:num w:numId="10" w16cid:durableId="1548950546">
    <w:abstractNumId w:val="23"/>
  </w:num>
  <w:num w:numId="11" w16cid:durableId="376511308">
    <w:abstractNumId w:val="6"/>
  </w:num>
  <w:num w:numId="12" w16cid:durableId="1298484832">
    <w:abstractNumId w:val="39"/>
  </w:num>
  <w:num w:numId="13" w16cid:durableId="588200211">
    <w:abstractNumId w:val="42"/>
  </w:num>
  <w:num w:numId="14" w16cid:durableId="1443457009">
    <w:abstractNumId w:val="33"/>
  </w:num>
  <w:num w:numId="15" w16cid:durableId="828133108">
    <w:abstractNumId w:val="41"/>
  </w:num>
  <w:num w:numId="16" w16cid:durableId="2103601799">
    <w:abstractNumId w:val="2"/>
  </w:num>
  <w:num w:numId="17" w16cid:durableId="1786921958">
    <w:abstractNumId w:val="35"/>
  </w:num>
  <w:num w:numId="18" w16cid:durableId="1765229301">
    <w:abstractNumId w:val="3"/>
  </w:num>
  <w:num w:numId="19" w16cid:durableId="459038833">
    <w:abstractNumId w:val="4"/>
  </w:num>
  <w:num w:numId="20" w16cid:durableId="1921479535">
    <w:abstractNumId w:val="1"/>
  </w:num>
  <w:num w:numId="21" w16cid:durableId="1646472705">
    <w:abstractNumId w:val="15"/>
  </w:num>
  <w:num w:numId="22" w16cid:durableId="923492176">
    <w:abstractNumId w:val="29"/>
  </w:num>
  <w:num w:numId="23" w16cid:durableId="1145975141">
    <w:abstractNumId w:val="22"/>
  </w:num>
  <w:num w:numId="24" w16cid:durableId="401636445">
    <w:abstractNumId w:val="16"/>
  </w:num>
  <w:num w:numId="25" w16cid:durableId="1109355098">
    <w:abstractNumId w:val="37"/>
  </w:num>
  <w:num w:numId="26" w16cid:durableId="233587349">
    <w:abstractNumId w:val="11"/>
  </w:num>
  <w:num w:numId="27" w16cid:durableId="20073168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0063163">
    <w:abstractNumId w:val="13"/>
  </w:num>
  <w:num w:numId="29" w16cid:durableId="532688561">
    <w:abstractNumId w:val="25"/>
  </w:num>
  <w:num w:numId="30" w16cid:durableId="1384060263">
    <w:abstractNumId w:val="5"/>
  </w:num>
  <w:num w:numId="31" w16cid:durableId="1924726982">
    <w:abstractNumId w:val="43"/>
  </w:num>
  <w:num w:numId="32" w16cid:durableId="545601932">
    <w:abstractNumId w:val="27"/>
  </w:num>
  <w:num w:numId="33" w16cid:durableId="908922440">
    <w:abstractNumId w:val="14"/>
  </w:num>
  <w:num w:numId="34" w16cid:durableId="1866480509">
    <w:abstractNumId w:val="7"/>
  </w:num>
  <w:num w:numId="35" w16cid:durableId="1932011241">
    <w:abstractNumId w:val="20"/>
  </w:num>
  <w:num w:numId="36" w16cid:durableId="729771310">
    <w:abstractNumId w:val="8"/>
  </w:num>
  <w:num w:numId="37" w16cid:durableId="20276339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3587733">
    <w:abstractNumId w:val="3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99646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9992839">
    <w:abstractNumId w:val="31"/>
  </w:num>
  <w:num w:numId="41" w16cid:durableId="32734988">
    <w:abstractNumId w:val="30"/>
  </w:num>
  <w:num w:numId="42" w16cid:durableId="1592352431">
    <w:abstractNumId w:val="17"/>
  </w:num>
  <w:num w:numId="43" w16cid:durableId="506402409">
    <w:abstractNumId w:val="12"/>
  </w:num>
  <w:num w:numId="44" w16cid:durableId="787548760">
    <w:abstractNumId w:val="34"/>
  </w:num>
  <w:num w:numId="45" w16cid:durableId="193732292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297C"/>
    <w:rsid w:val="00000D49"/>
    <w:rsid w:val="00001253"/>
    <w:rsid w:val="000026AC"/>
    <w:rsid w:val="00003656"/>
    <w:rsid w:val="000059CF"/>
    <w:rsid w:val="00007655"/>
    <w:rsid w:val="00011272"/>
    <w:rsid w:val="00011BAB"/>
    <w:rsid w:val="00013B5F"/>
    <w:rsid w:val="00014484"/>
    <w:rsid w:val="000146D1"/>
    <w:rsid w:val="00017DEB"/>
    <w:rsid w:val="00027FDC"/>
    <w:rsid w:val="00032124"/>
    <w:rsid w:val="00033826"/>
    <w:rsid w:val="000374E6"/>
    <w:rsid w:val="000440CD"/>
    <w:rsid w:val="000444D5"/>
    <w:rsid w:val="00045512"/>
    <w:rsid w:val="000504DF"/>
    <w:rsid w:val="00052237"/>
    <w:rsid w:val="00052742"/>
    <w:rsid w:val="00057397"/>
    <w:rsid w:val="00057C0F"/>
    <w:rsid w:val="00060BB8"/>
    <w:rsid w:val="00066D11"/>
    <w:rsid w:val="00070502"/>
    <w:rsid w:val="00076461"/>
    <w:rsid w:val="0008134D"/>
    <w:rsid w:val="000813D3"/>
    <w:rsid w:val="0008146C"/>
    <w:rsid w:val="00083400"/>
    <w:rsid w:val="000839E1"/>
    <w:rsid w:val="0008428E"/>
    <w:rsid w:val="00084E78"/>
    <w:rsid w:val="00085E22"/>
    <w:rsid w:val="00086985"/>
    <w:rsid w:val="00087306"/>
    <w:rsid w:val="00090D61"/>
    <w:rsid w:val="00094D80"/>
    <w:rsid w:val="00094F8D"/>
    <w:rsid w:val="000952CE"/>
    <w:rsid w:val="00095956"/>
    <w:rsid w:val="000A0FC0"/>
    <w:rsid w:val="000A34F3"/>
    <w:rsid w:val="000A362C"/>
    <w:rsid w:val="000B375B"/>
    <w:rsid w:val="000B38D0"/>
    <w:rsid w:val="000B526E"/>
    <w:rsid w:val="000B5434"/>
    <w:rsid w:val="000B6688"/>
    <w:rsid w:val="000B757B"/>
    <w:rsid w:val="000C0210"/>
    <w:rsid w:val="000C04B5"/>
    <w:rsid w:val="000C30E1"/>
    <w:rsid w:val="000C386D"/>
    <w:rsid w:val="000C49DB"/>
    <w:rsid w:val="000D41AF"/>
    <w:rsid w:val="000D41BF"/>
    <w:rsid w:val="000E0C8E"/>
    <w:rsid w:val="000E2849"/>
    <w:rsid w:val="000E463D"/>
    <w:rsid w:val="000E4F4E"/>
    <w:rsid w:val="000E7C38"/>
    <w:rsid w:val="000F09F1"/>
    <w:rsid w:val="000F0D56"/>
    <w:rsid w:val="000F371C"/>
    <w:rsid w:val="000F59EB"/>
    <w:rsid w:val="000F729F"/>
    <w:rsid w:val="000F7F76"/>
    <w:rsid w:val="00103245"/>
    <w:rsid w:val="001044B6"/>
    <w:rsid w:val="00106A5C"/>
    <w:rsid w:val="00110222"/>
    <w:rsid w:val="001106FB"/>
    <w:rsid w:val="00111AE4"/>
    <w:rsid w:val="00111DFA"/>
    <w:rsid w:val="001123FB"/>
    <w:rsid w:val="00112CC9"/>
    <w:rsid w:val="00113577"/>
    <w:rsid w:val="00114F35"/>
    <w:rsid w:val="00115A7F"/>
    <w:rsid w:val="00117293"/>
    <w:rsid w:val="00120B44"/>
    <w:rsid w:val="00120FC5"/>
    <w:rsid w:val="001226B7"/>
    <w:rsid w:val="00122FE5"/>
    <w:rsid w:val="00123939"/>
    <w:rsid w:val="0012440B"/>
    <w:rsid w:val="0012505C"/>
    <w:rsid w:val="00126A76"/>
    <w:rsid w:val="00126E11"/>
    <w:rsid w:val="00127C72"/>
    <w:rsid w:val="00127E25"/>
    <w:rsid w:val="00131731"/>
    <w:rsid w:val="0013354C"/>
    <w:rsid w:val="00133F46"/>
    <w:rsid w:val="0013725F"/>
    <w:rsid w:val="001421B1"/>
    <w:rsid w:val="001440BA"/>
    <w:rsid w:val="00146E02"/>
    <w:rsid w:val="001475B2"/>
    <w:rsid w:val="00147A78"/>
    <w:rsid w:val="00147CF8"/>
    <w:rsid w:val="00152FCF"/>
    <w:rsid w:val="00153548"/>
    <w:rsid w:val="00153A2C"/>
    <w:rsid w:val="001548B4"/>
    <w:rsid w:val="00156D18"/>
    <w:rsid w:val="001600BF"/>
    <w:rsid w:val="00165612"/>
    <w:rsid w:val="00165EA7"/>
    <w:rsid w:val="0016718F"/>
    <w:rsid w:val="001741B1"/>
    <w:rsid w:val="0017439C"/>
    <w:rsid w:val="0017701D"/>
    <w:rsid w:val="00177B78"/>
    <w:rsid w:val="001821FF"/>
    <w:rsid w:val="00182331"/>
    <w:rsid w:val="001844E6"/>
    <w:rsid w:val="001849F0"/>
    <w:rsid w:val="00186D1C"/>
    <w:rsid w:val="0019209A"/>
    <w:rsid w:val="00193C42"/>
    <w:rsid w:val="001955CF"/>
    <w:rsid w:val="001A139C"/>
    <w:rsid w:val="001A2F83"/>
    <w:rsid w:val="001A3C66"/>
    <w:rsid w:val="001A43B9"/>
    <w:rsid w:val="001A54C5"/>
    <w:rsid w:val="001A7E66"/>
    <w:rsid w:val="001B08FC"/>
    <w:rsid w:val="001B1F15"/>
    <w:rsid w:val="001B4ED7"/>
    <w:rsid w:val="001B7264"/>
    <w:rsid w:val="001C475C"/>
    <w:rsid w:val="001C4D79"/>
    <w:rsid w:val="001C534C"/>
    <w:rsid w:val="001C6EB8"/>
    <w:rsid w:val="001D1088"/>
    <w:rsid w:val="001D2A55"/>
    <w:rsid w:val="001D43FF"/>
    <w:rsid w:val="001D4602"/>
    <w:rsid w:val="001D4A60"/>
    <w:rsid w:val="001D6EFC"/>
    <w:rsid w:val="001D7B4C"/>
    <w:rsid w:val="001E3280"/>
    <w:rsid w:val="001E5D45"/>
    <w:rsid w:val="001F1233"/>
    <w:rsid w:val="001F2568"/>
    <w:rsid w:val="001F2E58"/>
    <w:rsid w:val="001F5950"/>
    <w:rsid w:val="001F7BE5"/>
    <w:rsid w:val="00200017"/>
    <w:rsid w:val="002006AC"/>
    <w:rsid w:val="00202049"/>
    <w:rsid w:val="00204480"/>
    <w:rsid w:val="00206038"/>
    <w:rsid w:val="00207404"/>
    <w:rsid w:val="00210231"/>
    <w:rsid w:val="00210515"/>
    <w:rsid w:val="002128D1"/>
    <w:rsid w:val="0021330E"/>
    <w:rsid w:val="002152B0"/>
    <w:rsid w:val="00215976"/>
    <w:rsid w:val="00216053"/>
    <w:rsid w:val="00217039"/>
    <w:rsid w:val="002204B6"/>
    <w:rsid w:val="0022056B"/>
    <w:rsid w:val="00222812"/>
    <w:rsid w:val="00223D5E"/>
    <w:rsid w:val="00224E09"/>
    <w:rsid w:val="00225EE8"/>
    <w:rsid w:val="00227ABD"/>
    <w:rsid w:val="00227B35"/>
    <w:rsid w:val="002315C1"/>
    <w:rsid w:val="002347D1"/>
    <w:rsid w:val="00235917"/>
    <w:rsid w:val="00236A30"/>
    <w:rsid w:val="00236C2F"/>
    <w:rsid w:val="00237AA5"/>
    <w:rsid w:val="00240605"/>
    <w:rsid w:val="00241FB1"/>
    <w:rsid w:val="00242BAB"/>
    <w:rsid w:val="0024352F"/>
    <w:rsid w:val="00243C53"/>
    <w:rsid w:val="00245828"/>
    <w:rsid w:val="00252720"/>
    <w:rsid w:val="00253633"/>
    <w:rsid w:val="00254066"/>
    <w:rsid w:val="00256B72"/>
    <w:rsid w:val="00256CAC"/>
    <w:rsid w:val="002570AD"/>
    <w:rsid w:val="002575B7"/>
    <w:rsid w:val="00260142"/>
    <w:rsid w:val="00260314"/>
    <w:rsid w:val="00263047"/>
    <w:rsid w:val="00267D27"/>
    <w:rsid w:val="00268EF9"/>
    <w:rsid w:val="00271677"/>
    <w:rsid w:val="002732D5"/>
    <w:rsid w:val="002738E9"/>
    <w:rsid w:val="00273965"/>
    <w:rsid w:val="002748C5"/>
    <w:rsid w:val="00276A3C"/>
    <w:rsid w:val="00277218"/>
    <w:rsid w:val="002778D9"/>
    <w:rsid w:val="00280DBA"/>
    <w:rsid w:val="002827C2"/>
    <w:rsid w:val="00284898"/>
    <w:rsid w:val="00284E9A"/>
    <w:rsid w:val="002856A5"/>
    <w:rsid w:val="00290F58"/>
    <w:rsid w:val="002928F5"/>
    <w:rsid w:val="00294A37"/>
    <w:rsid w:val="002965A4"/>
    <w:rsid w:val="002A0CFD"/>
    <w:rsid w:val="002A0F44"/>
    <w:rsid w:val="002A24DF"/>
    <w:rsid w:val="002A3018"/>
    <w:rsid w:val="002A3678"/>
    <w:rsid w:val="002A6301"/>
    <w:rsid w:val="002A660D"/>
    <w:rsid w:val="002A7E17"/>
    <w:rsid w:val="002B2AAC"/>
    <w:rsid w:val="002B44C8"/>
    <w:rsid w:val="002B6C62"/>
    <w:rsid w:val="002C0148"/>
    <w:rsid w:val="002C6224"/>
    <w:rsid w:val="002C6B9E"/>
    <w:rsid w:val="002C7638"/>
    <w:rsid w:val="002D00F7"/>
    <w:rsid w:val="002D0243"/>
    <w:rsid w:val="002D6F04"/>
    <w:rsid w:val="002D6FC3"/>
    <w:rsid w:val="002D70A8"/>
    <w:rsid w:val="002E433E"/>
    <w:rsid w:val="002E45C4"/>
    <w:rsid w:val="002E6507"/>
    <w:rsid w:val="002F0F35"/>
    <w:rsid w:val="002F2BC0"/>
    <w:rsid w:val="002F3A15"/>
    <w:rsid w:val="002F6552"/>
    <w:rsid w:val="002F72B8"/>
    <w:rsid w:val="002F7C11"/>
    <w:rsid w:val="00302026"/>
    <w:rsid w:val="00303235"/>
    <w:rsid w:val="0030462F"/>
    <w:rsid w:val="00304966"/>
    <w:rsid w:val="003049FF"/>
    <w:rsid w:val="003070BA"/>
    <w:rsid w:val="00311160"/>
    <w:rsid w:val="00312234"/>
    <w:rsid w:val="00312804"/>
    <w:rsid w:val="00312806"/>
    <w:rsid w:val="00312E44"/>
    <w:rsid w:val="00313C87"/>
    <w:rsid w:val="00315212"/>
    <w:rsid w:val="003158BD"/>
    <w:rsid w:val="00316E8A"/>
    <w:rsid w:val="003218A2"/>
    <w:rsid w:val="00322A42"/>
    <w:rsid w:val="0032369E"/>
    <w:rsid w:val="00323E21"/>
    <w:rsid w:val="00327A70"/>
    <w:rsid w:val="00327F24"/>
    <w:rsid w:val="00330D84"/>
    <w:rsid w:val="0033196C"/>
    <w:rsid w:val="003324FC"/>
    <w:rsid w:val="0033388B"/>
    <w:rsid w:val="003355E6"/>
    <w:rsid w:val="00335BFE"/>
    <w:rsid w:val="0033711F"/>
    <w:rsid w:val="00340072"/>
    <w:rsid w:val="00341129"/>
    <w:rsid w:val="00342B0A"/>
    <w:rsid w:val="00345CF0"/>
    <w:rsid w:val="00345D23"/>
    <w:rsid w:val="003461CD"/>
    <w:rsid w:val="003504F5"/>
    <w:rsid w:val="00350C6C"/>
    <w:rsid w:val="00354906"/>
    <w:rsid w:val="003551AA"/>
    <w:rsid w:val="00355FCA"/>
    <w:rsid w:val="00356E34"/>
    <w:rsid w:val="003572F3"/>
    <w:rsid w:val="003578E2"/>
    <w:rsid w:val="00357F08"/>
    <w:rsid w:val="003604E0"/>
    <w:rsid w:val="00363CD9"/>
    <w:rsid w:val="003640C1"/>
    <w:rsid w:val="00367C14"/>
    <w:rsid w:val="00373FC8"/>
    <w:rsid w:val="003744C6"/>
    <w:rsid w:val="0037599E"/>
    <w:rsid w:val="003761E1"/>
    <w:rsid w:val="003763B9"/>
    <w:rsid w:val="003774A9"/>
    <w:rsid w:val="00380114"/>
    <w:rsid w:val="00382CCE"/>
    <w:rsid w:val="00383568"/>
    <w:rsid w:val="0038402F"/>
    <w:rsid w:val="00384550"/>
    <w:rsid w:val="00387420"/>
    <w:rsid w:val="00387801"/>
    <w:rsid w:val="003922E9"/>
    <w:rsid w:val="0039673F"/>
    <w:rsid w:val="00396A73"/>
    <w:rsid w:val="003A210C"/>
    <w:rsid w:val="003A3C33"/>
    <w:rsid w:val="003A44E8"/>
    <w:rsid w:val="003A5342"/>
    <w:rsid w:val="003A5EE4"/>
    <w:rsid w:val="003A63EA"/>
    <w:rsid w:val="003B0CC7"/>
    <w:rsid w:val="003B3072"/>
    <w:rsid w:val="003B344A"/>
    <w:rsid w:val="003B460F"/>
    <w:rsid w:val="003B5C68"/>
    <w:rsid w:val="003C029C"/>
    <w:rsid w:val="003C07A4"/>
    <w:rsid w:val="003C2914"/>
    <w:rsid w:val="003C2E65"/>
    <w:rsid w:val="003C3D30"/>
    <w:rsid w:val="003C45AD"/>
    <w:rsid w:val="003C78F6"/>
    <w:rsid w:val="003C7CC9"/>
    <w:rsid w:val="003D1E39"/>
    <w:rsid w:val="003D2BD1"/>
    <w:rsid w:val="003D70DE"/>
    <w:rsid w:val="003E05EC"/>
    <w:rsid w:val="003E744C"/>
    <w:rsid w:val="003E794C"/>
    <w:rsid w:val="003E7BBF"/>
    <w:rsid w:val="003F2CF8"/>
    <w:rsid w:val="003F31A3"/>
    <w:rsid w:val="003F61D2"/>
    <w:rsid w:val="00403EF5"/>
    <w:rsid w:val="004062DD"/>
    <w:rsid w:val="00407289"/>
    <w:rsid w:val="00407FF9"/>
    <w:rsid w:val="00410DC2"/>
    <w:rsid w:val="004112A6"/>
    <w:rsid w:val="00411C6B"/>
    <w:rsid w:val="00413A33"/>
    <w:rsid w:val="00413D99"/>
    <w:rsid w:val="004140D7"/>
    <w:rsid w:val="00414C24"/>
    <w:rsid w:val="00414E2B"/>
    <w:rsid w:val="00416644"/>
    <w:rsid w:val="00416D39"/>
    <w:rsid w:val="004221B5"/>
    <w:rsid w:val="00422A24"/>
    <w:rsid w:val="0042456C"/>
    <w:rsid w:val="004250FA"/>
    <w:rsid w:val="00425487"/>
    <w:rsid w:val="004263E5"/>
    <w:rsid w:val="00427D9A"/>
    <w:rsid w:val="00427DF7"/>
    <w:rsid w:val="004331CB"/>
    <w:rsid w:val="00434E71"/>
    <w:rsid w:val="004409B0"/>
    <w:rsid w:val="004419A5"/>
    <w:rsid w:val="00442FB1"/>
    <w:rsid w:val="0044364A"/>
    <w:rsid w:val="004443BC"/>
    <w:rsid w:val="0044598E"/>
    <w:rsid w:val="00445DDB"/>
    <w:rsid w:val="00447645"/>
    <w:rsid w:val="0044798A"/>
    <w:rsid w:val="0045103E"/>
    <w:rsid w:val="00451472"/>
    <w:rsid w:val="00451F86"/>
    <w:rsid w:val="00454044"/>
    <w:rsid w:val="004564EB"/>
    <w:rsid w:val="00457EAB"/>
    <w:rsid w:val="00460030"/>
    <w:rsid w:val="00460280"/>
    <w:rsid w:val="00460FB6"/>
    <w:rsid w:val="00461B06"/>
    <w:rsid w:val="004624A2"/>
    <w:rsid w:val="00462A19"/>
    <w:rsid w:val="00464C27"/>
    <w:rsid w:val="0046544C"/>
    <w:rsid w:val="004658EC"/>
    <w:rsid w:val="00467C0A"/>
    <w:rsid w:val="00471F7A"/>
    <w:rsid w:val="004777B4"/>
    <w:rsid w:val="004779C8"/>
    <w:rsid w:val="00477E1F"/>
    <w:rsid w:val="00481955"/>
    <w:rsid w:val="0048317A"/>
    <w:rsid w:val="0048375E"/>
    <w:rsid w:val="00484B3E"/>
    <w:rsid w:val="00490B20"/>
    <w:rsid w:val="004919E1"/>
    <w:rsid w:val="00491C4B"/>
    <w:rsid w:val="0049406D"/>
    <w:rsid w:val="00494DC3"/>
    <w:rsid w:val="0049634E"/>
    <w:rsid w:val="00496806"/>
    <w:rsid w:val="004A04D7"/>
    <w:rsid w:val="004A06DE"/>
    <w:rsid w:val="004A0802"/>
    <w:rsid w:val="004A126F"/>
    <w:rsid w:val="004A32CC"/>
    <w:rsid w:val="004A50F8"/>
    <w:rsid w:val="004A5717"/>
    <w:rsid w:val="004A5834"/>
    <w:rsid w:val="004A58D7"/>
    <w:rsid w:val="004A7C45"/>
    <w:rsid w:val="004B0961"/>
    <w:rsid w:val="004B294A"/>
    <w:rsid w:val="004B52BA"/>
    <w:rsid w:val="004B7133"/>
    <w:rsid w:val="004B7245"/>
    <w:rsid w:val="004C07D1"/>
    <w:rsid w:val="004C6C32"/>
    <w:rsid w:val="004C775E"/>
    <w:rsid w:val="004D0176"/>
    <w:rsid w:val="004D3570"/>
    <w:rsid w:val="004D440E"/>
    <w:rsid w:val="004D643B"/>
    <w:rsid w:val="004D72B7"/>
    <w:rsid w:val="004D753D"/>
    <w:rsid w:val="004D7603"/>
    <w:rsid w:val="004E035A"/>
    <w:rsid w:val="004E169E"/>
    <w:rsid w:val="004E18A5"/>
    <w:rsid w:val="004E18D8"/>
    <w:rsid w:val="004E1BF9"/>
    <w:rsid w:val="004E1C9E"/>
    <w:rsid w:val="004E2A15"/>
    <w:rsid w:val="004E2DE2"/>
    <w:rsid w:val="004E2E8D"/>
    <w:rsid w:val="004E435B"/>
    <w:rsid w:val="004E43BC"/>
    <w:rsid w:val="004E4609"/>
    <w:rsid w:val="004E625B"/>
    <w:rsid w:val="004E76F5"/>
    <w:rsid w:val="004F12EC"/>
    <w:rsid w:val="004F219C"/>
    <w:rsid w:val="004F2598"/>
    <w:rsid w:val="004F3279"/>
    <w:rsid w:val="004F790E"/>
    <w:rsid w:val="00500541"/>
    <w:rsid w:val="005008A5"/>
    <w:rsid w:val="00500A47"/>
    <w:rsid w:val="00502DA2"/>
    <w:rsid w:val="005036F1"/>
    <w:rsid w:val="005148D2"/>
    <w:rsid w:val="00514B60"/>
    <w:rsid w:val="005151F5"/>
    <w:rsid w:val="00515C03"/>
    <w:rsid w:val="005160F0"/>
    <w:rsid w:val="005165A1"/>
    <w:rsid w:val="0051692C"/>
    <w:rsid w:val="00516A87"/>
    <w:rsid w:val="00516AF6"/>
    <w:rsid w:val="00516D42"/>
    <w:rsid w:val="00517E80"/>
    <w:rsid w:val="00523CA1"/>
    <w:rsid w:val="0052541B"/>
    <w:rsid w:val="00527A4D"/>
    <w:rsid w:val="0053179E"/>
    <w:rsid w:val="00531E3E"/>
    <w:rsid w:val="005336A4"/>
    <w:rsid w:val="005340C6"/>
    <w:rsid w:val="005353FF"/>
    <w:rsid w:val="00535B8D"/>
    <w:rsid w:val="00535E94"/>
    <w:rsid w:val="00537429"/>
    <w:rsid w:val="00540058"/>
    <w:rsid w:val="005447B1"/>
    <w:rsid w:val="005455D2"/>
    <w:rsid w:val="00545C6D"/>
    <w:rsid w:val="0054677A"/>
    <w:rsid w:val="005473AC"/>
    <w:rsid w:val="00550FEE"/>
    <w:rsid w:val="00551030"/>
    <w:rsid w:val="005510B7"/>
    <w:rsid w:val="005521DE"/>
    <w:rsid w:val="00552F6E"/>
    <w:rsid w:val="00553F93"/>
    <w:rsid w:val="00556A9A"/>
    <w:rsid w:val="005602CD"/>
    <w:rsid w:val="00560B1F"/>
    <w:rsid w:val="005637FC"/>
    <w:rsid w:val="005638A2"/>
    <w:rsid w:val="005642E8"/>
    <w:rsid w:val="00564441"/>
    <w:rsid w:val="005702A8"/>
    <w:rsid w:val="00574877"/>
    <w:rsid w:val="00574A10"/>
    <w:rsid w:val="00574C32"/>
    <w:rsid w:val="00574D3E"/>
    <w:rsid w:val="00574FCA"/>
    <w:rsid w:val="00582115"/>
    <w:rsid w:val="00583FB3"/>
    <w:rsid w:val="00587AC1"/>
    <w:rsid w:val="00590675"/>
    <w:rsid w:val="00591DEA"/>
    <w:rsid w:val="00592BA6"/>
    <w:rsid w:val="00592D12"/>
    <w:rsid w:val="00592D98"/>
    <w:rsid w:val="005946CA"/>
    <w:rsid w:val="00594EB7"/>
    <w:rsid w:val="00596AD8"/>
    <w:rsid w:val="005A1428"/>
    <w:rsid w:val="005A1456"/>
    <w:rsid w:val="005A17C6"/>
    <w:rsid w:val="005A2788"/>
    <w:rsid w:val="005A5BCA"/>
    <w:rsid w:val="005B0F51"/>
    <w:rsid w:val="005B1128"/>
    <w:rsid w:val="005B170C"/>
    <w:rsid w:val="005B27A3"/>
    <w:rsid w:val="005B2EE1"/>
    <w:rsid w:val="005B5241"/>
    <w:rsid w:val="005B56B5"/>
    <w:rsid w:val="005B681E"/>
    <w:rsid w:val="005B737E"/>
    <w:rsid w:val="005B77F2"/>
    <w:rsid w:val="005C09F2"/>
    <w:rsid w:val="005C1A96"/>
    <w:rsid w:val="005C23F9"/>
    <w:rsid w:val="005C4E44"/>
    <w:rsid w:val="005C5C0E"/>
    <w:rsid w:val="005C6F82"/>
    <w:rsid w:val="005C7B5F"/>
    <w:rsid w:val="005D0324"/>
    <w:rsid w:val="005D2C43"/>
    <w:rsid w:val="005D5B8D"/>
    <w:rsid w:val="005D6FB2"/>
    <w:rsid w:val="005E184A"/>
    <w:rsid w:val="005E27B5"/>
    <w:rsid w:val="005F129F"/>
    <w:rsid w:val="005F20BA"/>
    <w:rsid w:val="005F501A"/>
    <w:rsid w:val="005F6E29"/>
    <w:rsid w:val="005F6FD4"/>
    <w:rsid w:val="00601CDC"/>
    <w:rsid w:val="00607B13"/>
    <w:rsid w:val="0061188E"/>
    <w:rsid w:val="00613DB3"/>
    <w:rsid w:val="0062083C"/>
    <w:rsid w:val="00622952"/>
    <w:rsid w:val="00622AFA"/>
    <w:rsid w:val="00623679"/>
    <w:rsid w:val="00625B1B"/>
    <w:rsid w:val="006307B1"/>
    <w:rsid w:val="00630CF6"/>
    <w:rsid w:val="0063242C"/>
    <w:rsid w:val="00635688"/>
    <w:rsid w:val="0063658B"/>
    <w:rsid w:val="0063783E"/>
    <w:rsid w:val="00637D20"/>
    <w:rsid w:val="006400D4"/>
    <w:rsid w:val="00642D74"/>
    <w:rsid w:val="00642EDA"/>
    <w:rsid w:val="00643F16"/>
    <w:rsid w:val="00646041"/>
    <w:rsid w:val="0064699B"/>
    <w:rsid w:val="00646A2F"/>
    <w:rsid w:val="00647247"/>
    <w:rsid w:val="00652CC0"/>
    <w:rsid w:val="00654942"/>
    <w:rsid w:val="00654A55"/>
    <w:rsid w:val="00655073"/>
    <w:rsid w:val="00655480"/>
    <w:rsid w:val="00655A98"/>
    <w:rsid w:val="00656674"/>
    <w:rsid w:val="00660B7B"/>
    <w:rsid w:val="00665FF9"/>
    <w:rsid w:val="00671759"/>
    <w:rsid w:val="0067362B"/>
    <w:rsid w:val="00673D72"/>
    <w:rsid w:val="0067468A"/>
    <w:rsid w:val="00680CCC"/>
    <w:rsid w:val="006813BA"/>
    <w:rsid w:val="00681CD1"/>
    <w:rsid w:val="0068370F"/>
    <w:rsid w:val="006856AE"/>
    <w:rsid w:val="006869BB"/>
    <w:rsid w:val="00687C2F"/>
    <w:rsid w:val="0069445C"/>
    <w:rsid w:val="006953CC"/>
    <w:rsid w:val="00695D13"/>
    <w:rsid w:val="00695FC7"/>
    <w:rsid w:val="006961EF"/>
    <w:rsid w:val="006A00C1"/>
    <w:rsid w:val="006A0FBD"/>
    <w:rsid w:val="006A1E55"/>
    <w:rsid w:val="006A2252"/>
    <w:rsid w:val="006A22D3"/>
    <w:rsid w:val="006A28BE"/>
    <w:rsid w:val="006A2A1F"/>
    <w:rsid w:val="006A3DD2"/>
    <w:rsid w:val="006A46FB"/>
    <w:rsid w:val="006A4D05"/>
    <w:rsid w:val="006A71C1"/>
    <w:rsid w:val="006B0456"/>
    <w:rsid w:val="006B1C7C"/>
    <w:rsid w:val="006B1D9F"/>
    <w:rsid w:val="006B416F"/>
    <w:rsid w:val="006B4F4C"/>
    <w:rsid w:val="006B55B8"/>
    <w:rsid w:val="006C042B"/>
    <w:rsid w:val="006C16F8"/>
    <w:rsid w:val="006C4960"/>
    <w:rsid w:val="006C614A"/>
    <w:rsid w:val="006C713D"/>
    <w:rsid w:val="006C78E5"/>
    <w:rsid w:val="006C7B17"/>
    <w:rsid w:val="006C7FD4"/>
    <w:rsid w:val="006D099C"/>
    <w:rsid w:val="006D0DF6"/>
    <w:rsid w:val="006D1C37"/>
    <w:rsid w:val="006D2B19"/>
    <w:rsid w:val="006D2D34"/>
    <w:rsid w:val="006D2DE3"/>
    <w:rsid w:val="006D42FF"/>
    <w:rsid w:val="006D44FA"/>
    <w:rsid w:val="006D65B2"/>
    <w:rsid w:val="006D7227"/>
    <w:rsid w:val="006E2DE1"/>
    <w:rsid w:val="006E490B"/>
    <w:rsid w:val="006E53ED"/>
    <w:rsid w:val="006E6BA8"/>
    <w:rsid w:val="006F19B1"/>
    <w:rsid w:val="006F1B01"/>
    <w:rsid w:val="006F3673"/>
    <w:rsid w:val="006F37D8"/>
    <w:rsid w:val="006F4179"/>
    <w:rsid w:val="006F68E1"/>
    <w:rsid w:val="006F6E92"/>
    <w:rsid w:val="006F70C7"/>
    <w:rsid w:val="006F7C0D"/>
    <w:rsid w:val="007003F2"/>
    <w:rsid w:val="00701EBE"/>
    <w:rsid w:val="0070240B"/>
    <w:rsid w:val="00702A70"/>
    <w:rsid w:val="00710053"/>
    <w:rsid w:val="007101F7"/>
    <w:rsid w:val="00710578"/>
    <w:rsid w:val="00711426"/>
    <w:rsid w:val="0071276D"/>
    <w:rsid w:val="0071337B"/>
    <w:rsid w:val="007139F7"/>
    <w:rsid w:val="0071432B"/>
    <w:rsid w:val="00715B85"/>
    <w:rsid w:val="0071602E"/>
    <w:rsid w:val="0071651A"/>
    <w:rsid w:val="00721B81"/>
    <w:rsid w:val="00721F84"/>
    <w:rsid w:val="00722AEF"/>
    <w:rsid w:val="00722CA6"/>
    <w:rsid w:val="007233FB"/>
    <w:rsid w:val="007254CB"/>
    <w:rsid w:val="00726205"/>
    <w:rsid w:val="0072779D"/>
    <w:rsid w:val="00727EF9"/>
    <w:rsid w:val="007301DB"/>
    <w:rsid w:val="007303C0"/>
    <w:rsid w:val="00730674"/>
    <w:rsid w:val="00730853"/>
    <w:rsid w:val="00731172"/>
    <w:rsid w:val="00732B1A"/>
    <w:rsid w:val="007360D4"/>
    <w:rsid w:val="00737853"/>
    <w:rsid w:val="00737D8A"/>
    <w:rsid w:val="00742B8E"/>
    <w:rsid w:val="00743238"/>
    <w:rsid w:val="00744B3B"/>
    <w:rsid w:val="00745AD4"/>
    <w:rsid w:val="0075044E"/>
    <w:rsid w:val="00750C34"/>
    <w:rsid w:val="00753F0C"/>
    <w:rsid w:val="00754E51"/>
    <w:rsid w:val="007569C6"/>
    <w:rsid w:val="00760B41"/>
    <w:rsid w:val="007616B9"/>
    <w:rsid w:val="00761841"/>
    <w:rsid w:val="00761C42"/>
    <w:rsid w:val="007640BC"/>
    <w:rsid w:val="00764656"/>
    <w:rsid w:val="00767528"/>
    <w:rsid w:val="00767621"/>
    <w:rsid w:val="0077130C"/>
    <w:rsid w:val="007738F1"/>
    <w:rsid w:val="00775B2B"/>
    <w:rsid w:val="00776089"/>
    <w:rsid w:val="0078097C"/>
    <w:rsid w:val="00780C6A"/>
    <w:rsid w:val="0078178A"/>
    <w:rsid w:val="00781B08"/>
    <w:rsid w:val="007830B6"/>
    <w:rsid w:val="007924C8"/>
    <w:rsid w:val="00797E04"/>
    <w:rsid w:val="007A017B"/>
    <w:rsid w:val="007A02EE"/>
    <w:rsid w:val="007A146B"/>
    <w:rsid w:val="007A1B9C"/>
    <w:rsid w:val="007A2419"/>
    <w:rsid w:val="007A3F3A"/>
    <w:rsid w:val="007A6A88"/>
    <w:rsid w:val="007B135A"/>
    <w:rsid w:val="007B2021"/>
    <w:rsid w:val="007B5D33"/>
    <w:rsid w:val="007B655C"/>
    <w:rsid w:val="007B722A"/>
    <w:rsid w:val="007B765F"/>
    <w:rsid w:val="007B7C54"/>
    <w:rsid w:val="007C13CA"/>
    <w:rsid w:val="007C1D90"/>
    <w:rsid w:val="007C308D"/>
    <w:rsid w:val="007C61D8"/>
    <w:rsid w:val="007D2285"/>
    <w:rsid w:val="007D2781"/>
    <w:rsid w:val="007D35DB"/>
    <w:rsid w:val="007D6C74"/>
    <w:rsid w:val="007E0D1A"/>
    <w:rsid w:val="007E10AB"/>
    <w:rsid w:val="007E10C6"/>
    <w:rsid w:val="007E13B0"/>
    <w:rsid w:val="007E467D"/>
    <w:rsid w:val="007E4C9C"/>
    <w:rsid w:val="007E7949"/>
    <w:rsid w:val="007F02A3"/>
    <w:rsid w:val="007F0C0A"/>
    <w:rsid w:val="007F226B"/>
    <w:rsid w:val="007F384F"/>
    <w:rsid w:val="007F7DCF"/>
    <w:rsid w:val="00800DFA"/>
    <w:rsid w:val="008025B7"/>
    <w:rsid w:val="008030FB"/>
    <w:rsid w:val="00803671"/>
    <w:rsid w:val="00803813"/>
    <w:rsid w:val="00804432"/>
    <w:rsid w:val="00804A09"/>
    <w:rsid w:val="00804A66"/>
    <w:rsid w:val="00807C74"/>
    <w:rsid w:val="008127D9"/>
    <w:rsid w:val="008156A4"/>
    <w:rsid w:val="00815C35"/>
    <w:rsid w:val="008174D7"/>
    <w:rsid w:val="00820986"/>
    <w:rsid w:val="00822F5D"/>
    <w:rsid w:val="0082337B"/>
    <w:rsid w:val="00825B71"/>
    <w:rsid w:val="00826E8E"/>
    <w:rsid w:val="0083149B"/>
    <w:rsid w:val="008323DA"/>
    <w:rsid w:val="008377D6"/>
    <w:rsid w:val="00840542"/>
    <w:rsid w:val="008420B8"/>
    <w:rsid w:val="008428AC"/>
    <w:rsid w:val="00850403"/>
    <w:rsid w:val="0085196C"/>
    <w:rsid w:val="00851B1A"/>
    <w:rsid w:val="00854044"/>
    <w:rsid w:val="00856F1A"/>
    <w:rsid w:val="00860E65"/>
    <w:rsid w:val="00863ACD"/>
    <w:rsid w:val="008664C8"/>
    <w:rsid w:val="008722EC"/>
    <w:rsid w:val="00874F0F"/>
    <w:rsid w:val="008753E8"/>
    <w:rsid w:val="0087563A"/>
    <w:rsid w:val="00876A88"/>
    <w:rsid w:val="008775A2"/>
    <w:rsid w:val="0088140E"/>
    <w:rsid w:val="00881D0A"/>
    <w:rsid w:val="0088268C"/>
    <w:rsid w:val="00884856"/>
    <w:rsid w:val="00885257"/>
    <w:rsid w:val="008859E7"/>
    <w:rsid w:val="00887D84"/>
    <w:rsid w:val="00891E12"/>
    <w:rsid w:val="00895083"/>
    <w:rsid w:val="00895A04"/>
    <w:rsid w:val="00897842"/>
    <w:rsid w:val="008A0946"/>
    <w:rsid w:val="008A1522"/>
    <w:rsid w:val="008A1E0F"/>
    <w:rsid w:val="008A267E"/>
    <w:rsid w:val="008A29D9"/>
    <w:rsid w:val="008A36A7"/>
    <w:rsid w:val="008A4129"/>
    <w:rsid w:val="008A52F1"/>
    <w:rsid w:val="008A6526"/>
    <w:rsid w:val="008A74EF"/>
    <w:rsid w:val="008A7E83"/>
    <w:rsid w:val="008B06DB"/>
    <w:rsid w:val="008B22CD"/>
    <w:rsid w:val="008B6F51"/>
    <w:rsid w:val="008C05F6"/>
    <w:rsid w:val="008C32B7"/>
    <w:rsid w:val="008C7100"/>
    <w:rsid w:val="008D1030"/>
    <w:rsid w:val="008D10A2"/>
    <w:rsid w:val="008D12AE"/>
    <w:rsid w:val="008D23EB"/>
    <w:rsid w:val="008D29AE"/>
    <w:rsid w:val="008D2BDA"/>
    <w:rsid w:val="008D4E78"/>
    <w:rsid w:val="008D5503"/>
    <w:rsid w:val="008E0062"/>
    <w:rsid w:val="008E0846"/>
    <w:rsid w:val="008E20CD"/>
    <w:rsid w:val="008E28BC"/>
    <w:rsid w:val="008E34A3"/>
    <w:rsid w:val="008E5735"/>
    <w:rsid w:val="008E6B18"/>
    <w:rsid w:val="008F0267"/>
    <w:rsid w:val="008F1367"/>
    <w:rsid w:val="008F5930"/>
    <w:rsid w:val="008F7B71"/>
    <w:rsid w:val="009007F9"/>
    <w:rsid w:val="00900BF4"/>
    <w:rsid w:val="009010FC"/>
    <w:rsid w:val="00904E4A"/>
    <w:rsid w:val="00905DD6"/>
    <w:rsid w:val="00905FB4"/>
    <w:rsid w:val="00906E71"/>
    <w:rsid w:val="0091130D"/>
    <w:rsid w:val="00911956"/>
    <w:rsid w:val="00913E0A"/>
    <w:rsid w:val="00914847"/>
    <w:rsid w:val="009201CB"/>
    <w:rsid w:val="00921219"/>
    <w:rsid w:val="009247C1"/>
    <w:rsid w:val="009261DD"/>
    <w:rsid w:val="00926BC3"/>
    <w:rsid w:val="00927115"/>
    <w:rsid w:val="00927505"/>
    <w:rsid w:val="00931873"/>
    <w:rsid w:val="009328C2"/>
    <w:rsid w:val="00932C6B"/>
    <w:rsid w:val="009337B0"/>
    <w:rsid w:val="0094048A"/>
    <w:rsid w:val="00943229"/>
    <w:rsid w:val="00946578"/>
    <w:rsid w:val="00947E06"/>
    <w:rsid w:val="00952467"/>
    <w:rsid w:val="00956CF9"/>
    <w:rsid w:val="009616D1"/>
    <w:rsid w:val="00961893"/>
    <w:rsid w:val="00961AF2"/>
    <w:rsid w:val="0096329E"/>
    <w:rsid w:val="00964C63"/>
    <w:rsid w:val="00965BED"/>
    <w:rsid w:val="00967B4F"/>
    <w:rsid w:val="009708B0"/>
    <w:rsid w:val="0097167D"/>
    <w:rsid w:val="00975AA1"/>
    <w:rsid w:val="00980D93"/>
    <w:rsid w:val="009815D1"/>
    <w:rsid w:val="0098759E"/>
    <w:rsid w:val="009906AF"/>
    <w:rsid w:val="0099226D"/>
    <w:rsid w:val="00994F38"/>
    <w:rsid w:val="009952AD"/>
    <w:rsid w:val="00996028"/>
    <w:rsid w:val="00996659"/>
    <w:rsid w:val="009A10B7"/>
    <w:rsid w:val="009A433E"/>
    <w:rsid w:val="009A4C31"/>
    <w:rsid w:val="009A4F3A"/>
    <w:rsid w:val="009A57F5"/>
    <w:rsid w:val="009B04C9"/>
    <w:rsid w:val="009B3EF0"/>
    <w:rsid w:val="009B5F85"/>
    <w:rsid w:val="009B614F"/>
    <w:rsid w:val="009C16D6"/>
    <w:rsid w:val="009C4DD6"/>
    <w:rsid w:val="009C5248"/>
    <w:rsid w:val="009C6E46"/>
    <w:rsid w:val="009D72C9"/>
    <w:rsid w:val="009E1244"/>
    <w:rsid w:val="009E13F0"/>
    <w:rsid w:val="009E16AA"/>
    <w:rsid w:val="009E2290"/>
    <w:rsid w:val="009E3B68"/>
    <w:rsid w:val="009E572D"/>
    <w:rsid w:val="009F1114"/>
    <w:rsid w:val="009F222C"/>
    <w:rsid w:val="009F2AB3"/>
    <w:rsid w:val="009F5104"/>
    <w:rsid w:val="009F542F"/>
    <w:rsid w:val="009F5805"/>
    <w:rsid w:val="009F6B84"/>
    <w:rsid w:val="009F6CC0"/>
    <w:rsid w:val="00A007BE"/>
    <w:rsid w:val="00A012A2"/>
    <w:rsid w:val="00A02116"/>
    <w:rsid w:val="00A029F5"/>
    <w:rsid w:val="00A03234"/>
    <w:rsid w:val="00A033AA"/>
    <w:rsid w:val="00A03F1E"/>
    <w:rsid w:val="00A07329"/>
    <w:rsid w:val="00A102C8"/>
    <w:rsid w:val="00A10893"/>
    <w:rsid w:val="00A11D56"/>
    <w:rsid w:val="00A13A75"/>
    <w:rsid w:val="00A14CC8"/>
    <w:rsid w:val="00A166BA"/>
    <w:rsid w:val="00A17274"/>
    <w:rsid w:val="00A21608"/>
    <w:rsid w:val="00A2296B"/>
    <w:rsid w:val="00A22BC4"/>
    <w:rsid w:val="00A22F30"/>
    <w:rsid w:val="00A25073"/>
    <w:rsid w:val="00A26357"/>
    <w:rsid w:val="00A2691A"/>
    <w:rsid w:val="00A276E4"/>
    <w:rsid w:val="00A311D9"/>
    <w:rsid w:val="00A3158D"/>
    <w:rsid w:val="00A3274C"/>
    <w:rsid w:val="00A32B74"/>
    <w:rsid w:val="00A33683"/>
    <w:rsid w:val="00A3579B"/>
    <w:rsid w:val="00A376B1"/>
    <w:rsid w:val="00A3783E"/>
    <w:rsid w:val="00A40BE7"/>
    <w:rsid w:val="00A40D19"/>
    <w:rsid w:val="00A418B6"/>
    <w:rsid w:val="00A41945"/>
    <w:rsid w:val="00A4316F"/>
    <w:rsid w:val="00A45D93"/>
    <w:rsid w:val="00A46BF6"/>
    <w:rsid w:val="00A4793B"/>
    <w:rsid w:val="00A4799B"/>
    <w:rsid w:val="00A509FD"/>
    <w:rsid w:val="00A50E8A"/>
    <w:rsid w:val="00A52EAD"/>
    <w:rsid w:val="00A5451A"/>
    <w:rsid w:val="00A54CAC"/>
    <w:rsid w:val="00A55029"/>
    <w:rsid w:val="00A641C1"/>
    <w:rsid w:val="00A64C41"/>
    <w:rsid w:val="00A65E7C"/>
    <w:rsid w:val="00A706AF"/>
    <w:rsid w:val="00A70A91"/>
    <w:rsid w:val="00A70B17"/>
    <w:rsid w:val="00A735CE"/>
    <w:rsid w:val="00A748B3"/>
    <w:rsid w:val="00A74CF7"/>
    <w:rsid w:val="00A75AF8"/>
    <w:rsid w:val="00A77B1F"/>
    <w:rsid w:val="00A77FD9"/>
    <w:rsid w:val="00A82D8A"/>
    <w:rsid w:val="00A834AD"/>
    <w:rsid w:val="00A84760"/>
    <w:rsid w:val="00A854A3"/>
    <w:rsid w:val="00A860C0"/>
    <w:rsid w:val="00A86DE1"/>
    <w:rsid w:val="00A9111A"/>
    <w:rsid w:val="00A92C79"/>
    <w:rsid w:val="00A95EF0"/>
    <w:rsid w:val="00A970A1"/>
    <w:rsid w:val="00A975E3"/>
    <w:rsid w:val="00AA02A9"/>
    <w:rsid w:val="00AA036A"/>
    <w:rsid w:val="00AA1522"/>
    <w:rsid w:val="00AA2133"/>
    <w:rsid w:val="00AA2733"/>
    <w:rsid w:val="00AA30DF"/>
    <w:rsid w:val="00AA39A1"/>
    <w:rsid w:val="00AA3AAB"/>
    <w:rsid w:val="00AA6A3F"/>
    <w:rsid w:val="00AA6A8B"/>
    <w:rsid w:val="00AA7109"/>
    <w:rsid w:val="00AB1F3F"/>
    <w:rsid w:val="00AB3382"/>
    <w:rsid w:val="00AB3C89"/>
    <w:rsid w:val="00AB3F52"/>
    <w:rsid w:val="00AB54BC"/>
    <w:rsid w:val="00AB790D"/>
    <w:rsid w:val="00AC0A0F"/>
    <w:rsid w:val="00AC0DF2"/>
    <w:rsid w:val="00AC0FC2"/>
    <w:rsid w:val="00AC3A50"/>
    <w:rsid w:val="00AC4067"/>
    <w:rsid w:val="00AC410C"/>
    <w:rsid w:val="00AC4298"/>
    <w:rsid w:val="00AC4CE6"/>
    <w:rsid w:val="00AC620E"/>
    <w:rsid w:val="00AC6B20"/>
    <w:rsid w:val="00AC6DBF"/>
    <w:rsid w:val="00AC74CF"/>
    <w:rsid w:val="00AC79CE"/>
    <w:rsid w:val="00AD1137"/>
    <w:rsid w:val="00AD166B"/>
    <w:rsid w:val="00AD238A"/>
    <w:rsid w:val="00AD40B9"/>
    <w:rsid w:val="00AD42C3"/>
    <w:rsid w:val="00AD43E4"/>
    <w:rsid w:val="00AD512C"/>
    <w:rsid w:val="00AD5FE4"/>
    <w:rsid w:val="00AD6B04"/>
    <w:rsid w:val="00AE32EA"/>
    <w:rsid w:val="00AE5088"/>
    <w:rsid w:val="00AE5ECD"/>
    <w:rsid w:val="00AF07DB"/>
    <w:rsid w:val="00AF1F7F"/>
    <w:rsid w:val="00AF39DE"/>
    <w:rsid w:val="00AF3E87"/>
    <w:rsid w:val="00AF478A"/>
    <w:rsid w:val="00AF6568"/>
    <w:rsid w:val="00AF7F31"/>
    <w:rsid w:val="00B02EEB"/>
    <w:rsid w:val="00B04E29"/>
    <w:rsid w:val="00B060D1"/>
    <w:rsid w:val="00B0640F"/>
    <w:rsid w:val="00B07007"/>
    <w:rsid w:val="00B13666"/>
    <w:rsid w:val="00B13FC8"/>
    <w:rsid w:val="00B164DF"/>
    <w:rsid w:val="00B16545"/>
    <w:rsid w:val="00B175E4"/>
    <w:rsid w:val="00B2102A"/>
    <w:rsid w:val="00B22886"/>
    <w:rsid w:val="00B268BB"/>
    <w:rsid w:val="00B27214"/>
    <w:rsid w:val="00B27FBD"/>
    <w:rsid w:val="00B346A0"/>
    <w:rsid w:val="00B35A32"/>
    <w:rsid w:val="00B378BC"/>
    <w:rsid w:val="00B40105"/>
    <w:rsid w:val="00B40A2D"/>
    <w:rsid w:val="00B4146B"/>
    <w:rsid w:val="00B431A0"/>
    <w:rsid w:val="00B43641"/>
    <w:rsid w:val="00B4412B"/>
    <w:rsid w:val="00B444A0"/>
    <w:rsid w:val="00B47197"/>
    <w:rsid w:val="00B50B4E"/>
    <w:rsid w:val="00B5200C"/>
    <w:rsid w:val="00B539C5"/>
    <w:rsid w:val="00B54607"/>
    <w:rsid w:val="00B5463A"/>
    <w:rsid w:val="00B54707"/>
    <w:rsid w:val="00B561B2"/>
    <w:rsid w:val="00B60731"/>
    <w:rsid w:val="00B613E4"/>
    <w:rsid w:val="00B6357C"/>
    <w:rsid w:val="00B63D1E"/>
    <w:rsid w:val="00B63E12"/>
    <w:rsid w:val="00B641B9"/>
    <w:rsid w:val="00B712B9"/>
    <w:rsid w:val="00B71E77"/>
    <w:rsid w:val="00B726F0"/>
    <w:rsid w:val="00B72E8A"/>
    <w:rsid w:val="00B73812"/>
    <w:rsid w:val="00B77F7F"/>
    <w:rsid w:val="00B80735"/>
    <w:rsid w:val="00B81569"/>
    <w:rsid w:val="00B81665"/>
    <w:rsid w:val="00B81C35"/>
    <w:rsid w:val="00B84135"/>
    <w:rsid w:val="00B863C5"/>
    <w:rsid w:val="00B86C9C"/>
    <w:rsid w:val="00B87F82"/>
    <w:rsid w:val="00B929FF"/>
    <w:rsid w:val="00B92EFB"/>
    <w:rsid w:val="00B92F40"/>
    <w:rsid w:val="00B95F4B"/>
    <w:rsid w:val="00B963D9"/>
    <w:rsid w:val="00B96BE6"/>
    <w:rsid w:val="00BA1725"/>
    <w:rsid w:val="00BA213F"/>
    <w:rsid w:val="00BA35A7"/>
    <w:rsid w:val="00BA4E1B"/>
    <w:rsid w:val="00BA7D17"/>
    <w:rsid w:val="00BB02C1"/>
    <w:rsid w:val="00BB0F38"/>
    <w:rsid w:val="00BB2B93"/>
    <w:rsid w:val="00BB3455"/>
    <w:rsid w:val="00BB38F8"/>
    <w:rsid w:val="00BB3C2B"/>
    <w:rsid w:val="00BB4190"/>
    <w:rsid w:val="00BB5516"/>
    <w:rsid w:val="00BB5FE1"/>
    <w:rsid w:val="00BC11CA"/>
    <w:rsid w:val="00BC1284"/>
    <w:rsid w:val="00BC144B"/>
    <w:rsid w:val="00BC2698"/>
    <w:rsid w:val="00BC2FA2"/>
    <w:rsid w:val="00BC40EC"/>
    <w:rsid w:val="00BC5A31"/>
    <w:rsid w:val="00BD1128"/>
    <w:rsid w:val="00BD574C"/>
    <w:rsid w:val="00BD650F"/>
    <w:rsid w:val="00BD714F"/>
    <w:rsid w:val="00BE03B1"/>
    <w:rsid w:val="00BE154B"/>
    <w:rsid w:val="00BE7573"/>
    <w:rsid w:val="00BF04B5"/>
    <w:rsid w:val="00BF3169"/>
    <w:rsid w:val="00BF5A16"/>
    <w:rsid w:val="00BF6E1C"/>
    <w:rsid w:val="00BF7A41"/>
    <w:rsid w:val="00C003FF"/>
    <w:rsid w:val="00C00931"/>
    <w:rsid w:val="00C01AE7"/>
    <w:rsid w:val="00C0216E"/>
    <w:rsid w:val="00C02401"/>
    <w:rsid w:val="00C03BE8"/>
    <w:rsid w:val="00C04D24"/>
    <w:rsid w:val="00C05743"/>
    <w:rsid w:val="00C0694E"/>
    <w:rsid w:val="00C06F7E"/>
    <w:rsid w:val="00C075FD"/>
    <w:rsid w:val="00C11C6F"/>
    <w:rsid w:val="00C12BB4"/>
    <w:rsid w:val="00C132B7"/>
    <w:rsid w:val="00C14CB6"/>
    <w:rsid w:val="00C152FF"/>
    <w:rsid w:val="00C16478"/>
    <w:rsid w:val="00C16F0A"/>
    <w:rsid w:val="00C20DBF"/>
    <w:rsid w:val="00C21EEF"/>
    <w:rsid w:val="00C22137"/>
    <w:rsid w:val="00C26450"/>
    <w:rsid w:val="00C30C22"/>
    <w:rsid w:val="00C318AD"/>
    <w:rsid w:val="00C357F5"/>
    <w:rsid w:val="00C42371"/>
    <w:rsid w:val="00C42F06"/>
    <w:rsid w:val="00C43CC4"/>
    <w:rsid w:val="00C44408"/>
    <w:rsid w:val="00C451B8"/>
    <w:rsid w:val="00C45E2F"/>
    <w:rsid w:val="00C50908"/>
    <w:rsid w:val="00C50D80"/>
    <w:rsid w:val="00C5192F"/>
    <w:rsid w:val="00C53562"/>
    <w:rsid w:val="00C53F58"/>
    <w:rsid w:val="00C60ED9"/>
    <w:rsid w:val="00C624B0"/>
    <w:rsid w:val="00C6297C"/>
    <w:rsid w:val="00C66097"/>
    <w:rsid w:val="00C66D99"/>
    <w:rsid w:val="00C673B9"/>
    <w:rsid w:val="00C70090"/>
    <w:rsid w:val="00C710D7"/>
    <w:rsid w:val="00C73786"/>
    <w:rsid w:val="00C800C0"/>
    <w:rsid w:val="00C818C5"/>
    <w:rsid w:val="00C84CFE"/>
    <w:rsid w:val="00C856C9"/>
    <w:rsid w:val="00C86AA1"/>
    <w:rsid w:val="00C92967"/>
    <w:rsid w:val="00C929B7"/>
    <w:rsid w:val="00C93BF7"/>
    <w:rsid w:val="00C94769"/>
    <w:rsid w:val="00C9497A"/>
    <w:rsid w:val="00C967DE"/>
    <w:rsid w:val="00C975A1"/>
    <w:rsid w:val="00CA544E"/>
    <w:rsid w:val="00CA5EC2"/>
    <w:rsid w:val="00CA6A39"/>
    <w:rsid w:val="00CB2075"/>
    <w:rsid w:val="00CB2426"/>
    <w:rsid w:val="00CB425C"/>
    <w:rsid w:val="00CB4301"/>
    <w:rsid w:val="00CB4ED9"/>
    <w:rsid w:val="00CB5E6E"/>
    <w:rsid w:val="00CC370A"/>
    <w:rsid w:val="00CC3749"/>
    <w:rsid w:val="00CC402C"/>
    <w:rsid w:val="00CC459F"/>
    <w:rsid w:val="00CC56C7"/>
    <w:rsid w:val="00CC5C12"/>
    <w:rsid w:val="00CC70B0"/>
    <w:rsid w:val="00CD1068"/>
    <w:rsid w:val="00CD2A02"/>
    <w:rsid w:val="00CE09A1"/>
    <w:rsid w:val="00CE1EDB"/>
    <w:rsid w:val="00CE26C5"/>
    <w:rsid w:val="00CE2A62"/>
    <w:rsid w:val="00CE4126"/>
    <w:rsid w:val="00CE53C2"/>
    <w:rsid w:val="00CE6039"/>
    <w:rsid w:val="00CE69CF"/>
    <w:rsid w:val="00CE6ED9"/>
    <w:rsid w:val="00CE7686"/>
    <w:rsid w:val="00CE7D80"/>
    <w:rsid w:val="00CF542B"/>
    <w:rsid w:val="00CF59E9"/>
    <w:rsid w:val="00CF679E"/>
    <w:rsid w:val="00D00103"/>
    <w:rsid w:val="00D01B4B"/>
    <w:rsid w:val="00D01B7C"/>
    <w:rsid w:val="00D05C59"/>
    <w:rsid w:val="00D0653B"/>
    <w:rsid w:val="00D07C77"/>
    <w:rsid w:val="00D1198A"/>
    <w:rsid w:val="00D12572"/>
    <w:rsid w:val="00D127BB"/>
    <w:rsid w:val="00D14553"/>
    <w:rsid w:val="00D16396"/>
    <w:rsid w:val="00D17C6F"/>
    <w:rsid w:val="00D17F32"/>
    <w:rsid w:val="00D20FAF"/>
    <w:rsid w:val="00D2454B"/>
    <w:rsid w:val="00D249BE"/>
    <w:rsid w:val="00D24B78"/>
    <w:rsid w:val="00D2553F"/>
    <w:rsid w:val="00D27CE4"/>
    <w:rsid w:val="00D27E62"/>
    <w:rsid w:val="00D310DD"/>
    <w:rsid w:val="00D319F3"/>
    <w:rsid w:val="00D33117"/>
    <w:rsid w:val="00D34AE8"/>
    <w:rsid w:val="00D35D2C"/>
    <w:rsid w:val="00D37AC9"/>
    <w:rsid w:val="00D40C61"/>
    <w:rsid w:val="00D44A21"/>
    <w:rsid w:val="00D474C1"/>
    <w:rsid w:val="00D47D60"/>
    <w:rsid w:val="00D511F5"/>
    <w:rsid w:val="00D521C9"/>
    <w:rsid w:val="00D60A8D"/>
    <w:rsid w:val="00D61FE0"/>
    <w:rsid w:val="00D641DE"/>
    <w:rsid w:val="00D647DA"/>
    <w:rsid w:val="00D669F3"/>
    <w:rsid w:val="00D66F63"/>
    <w:rsid w:val="00D67C7B"/>
    <w:rsid w:val="00D709CC"/>
    <w:rsid w:val="00D70BE3"/>
    <w:rsid w:val="00D73394"/>
    <w:rsid w:val="00D7370F"/>
    <w:rsid w:val="00D74F3B"/>
    <w:rsid w:val="00D80333"/>
    <w:rsid w:val="00D84B18"/>
    <w:rsid w:val="00D84FD2"/>
    <w:rsid w:val="00D85EED"/>
    <w:rsid w:val="00D867CA"/>
    <w:rsid w:val="00D9300A"/>
    <w:rsid w:val="00D93BFD"/>
    <w:rsid w:val="00D9422E"/>
    <w:rsid w:val="00D95000"/>
    <w:rsid w:val="00D959F5"/>
    <w:rsid w:val="00D96D26"/>
    <w:rsid w:val="00D9750B"/>
    <w:rsid w:val="00DA14A9"/>
    <w:rsid w:val="00DA683F"/>
    <w:rsid w:val="00DA74AF"/>
    <w:rsid w:val="00DA75BD"/>
    <w:rsid w:val="00DB1207"/>
    <w:rsid w:val="00DB1692"/>
    <w:rsid w:val="00DB2146"/>
    <w:rsid w:val="00DB2188"/>
    <w:rsid w:val="00DB2449"/>
    <w:rsid w:val="00DB4158"/>
    <w:rsid w:val="00DB4EE7"/>
    <w:rsid w:val="00DB54D2"/>
    <w:rsid w:val="00DC1245"/>
    <w:rsid w:val="00DC166A"/>
    <w:rsid w:val="00DC1EB4"/>
    <w:rsid w:val="00DC22F5"/>
    <w:rsid w:val="00DC788B"/>
    <w:rsid w:val="00DD1FDF"/>
    <w:rsid w:val="00DD2B70"/>
    <w:rsid w:val="00DD2CE5"/>
    <w:rsid w:val="00DD3D2F"/>
    <w:rsid w:val="00DD45A2"/>
    <w:rsid w:val="00DD729B"/>
    <w:rsid w:val="00DE268D"/>
    <w:rsid w:val="00DE2BDB"/>
    <w:rsid w:val="00DE4145"/>
    <w:rsid w:val="00DE4CBF"/>
    <w:rsid w:val="00DE5598"/>
    <w:rsid w:val="00DE7559"/>
    <w:rsid w:val="00DF01EB"/>
    <w:rsid w:val="00DF056B"/>
    <w:rsid w:val="00DF2842"/>
    <w:rsid w:val="00DF48C4"/>
    <w:rsid w:val="00E01D74"/>
    <w:rsid w:val="00E0200A"/>
    <w:rsid w:val="00E0284F"/>
    <w:rsid w:val="00E033CD"/>
    <w:rsid w:val="00E04909"/>
    <w:rsid w:val="00E0575D"/>
    <w:rsid w:val="00E06098"/>
    <w:rsid w:val="00E063AB"/>
    <w:rsid w:val="00E06FAE"/>
    <w:rsid w:val="00E101A9"/>
    <w:rsid w:val="00E11BB2"/>
    <w:rsid w:val="00E14ED2"/>
    <w:rsid w:val="00E15303"/>
    <w:rsid w:val="00E16522"/>
    <w:rsid w:val="00E16D9D"/>
    <w:rsid w:val="00E1767D"/>
    <w:rsid w:val="00E202C6"/>
    <w:rsid w:val="00E203DF"/>
    <w:rsid w:val="00E22361"/>
    <w:rsid w:val="00E226BC"/>
    <w:rsid w:val="00E22DCB"/>
    <w:rsid w:val="00E2708A"/>
    <w:rsid w:val="00E3016F"/>
    <w:rsid w:val="00E30712"/>
    <w:rsid w:val="00E32446"/>
    <w:rsid w:val="00E34440"/>
    <w:rsid w:val="00E34B01"/>
    <w:rsid w:val="00E35EDC"/>
    <w:rsid w:val="00E372CC"/>
    <w:rsid w:val="00E4317C"/>
    <w:rsid w:val="00E43489"/>
    <w:rsid w:val="00E44560"/>
    <w:rsid w:val="00E4473E"/>
    <w:rsid w:val="00E44865"/>
    <w:rsid w:val="00E471EF"/>
    <w:rsid w:val="00E5033F"/>
    <w:rsid w:val="00E5381E"/>
    <w:rsid w:val="00E54B1B"/>
    <w:rsid w:val="00E550B4"/>
    <w:rsid w:val="00E6082A"/>
    <w:rsid w:val="00E61964"/>
    <w:rsid w:val="00E61A17"/>
    <w:rsid w:val="00E62146"/>
    <w:rsid w:val="00E627DB"/>
    <w:rsid w:val="00E6337B"/>
    <w:rsid w:val="00E639FF"/>
    <w:rsid w:val="00E665AB"/>
    <w:rsid w:val="00E670FA"/>
    <w:rsid w:val="00E67EE1"/>
    <w:rsid w:val="00E7261C"/>
    <w:rsid w:val="00E727BE"/>
    <w:rsid w:val="00E73910"/>
    <w:rsid w:val="00E75B23"/>
    <w:rsid w:val="00E75E20"/>
    <w:rsid w:val="00E76A64"/>
    <w:rsid w:val="00E77AAB"/>
    <w:rsid w:val="00E80E48"/>
    <w:rsid w:val="00E810F6"/>
    <w:rsid w:val="00E81541"/>
    <w:rsid w:val="00E81A16"/>
    <w:rsid w:val="00E81BDE"/>
    <w:rsid w:val="00E81D19"/>
    <w:rsid w:val="00E83247"/>
    <w:rsid w:val="00E85049"/>
    <w:rsid w:val="00E8650A"/>
    <w:rsid w:val="00E8707C"/>
    <w:rsid w:val="00E8758A"/>
    <w:rsid w:val="00E9043A"/>
    <w:rsid w:val="00E935BE"/>
    <w:rsid w:val="00E94865"/>
    <w:rsid w:val="00E9517E"/>
    <w:rsid w:val="00E95FF1"/>
    <w:rsid w:val="00EA038A"/>
    <w:rsid w:val="00EA7678"/>
    <w:rsid w:val="00EA7A25"/>
    <w:rsid w:val="00EB0E1C"/>
    <w:rsid w:val="00EB3775"/>
    <w:rsid w:val="00EB3F3D"/>
    <w:rsid w:val="00EC01EA"/>
    <w:rsid w:val="00EC0949"/>
    <w:rsid w:val="00EC0A26"/>
    <w:rsid w:val="00EC239F"/>
    <w:rsid w:val="00EC3974"/>
    <w:rsid w:val="00EC4725"/>
    <w:rsid w:val="00EC5327"/>
    <w:rsid w:val="00EC5587"/>
    <w:rsid w:val="00EC5E16"/>
    <w:rsid w:val="00EC7055"/>
    <w:rsid w:val="00ED0205"/>
    <w:rsid w:val="00ED02BC"/>
    <w:rsid w:val="00ED0E66"/>
    <w:rsid w:val="00ED3575"/>
    <w:rsid w:val="00ED3955"/>
    <w:rsid w:val="00ED4753"/>
    <w:rsid w:val="00ED5F1F"/>
    <w:rsid w:val="00ED69CD"/>
    <w:rsid w:val="00ED7BD8"/>
    <w:rsid w:val="00EE4686"/>
    <w:rsid w:val="00EE6C81"/>
    <w:rsid w:val="00EE7925"/>
    <w:rsid w:val="00EE7AD6"/>
    <w:rsid w:val="00EF537B"/>
    <w:rsid w:val="00EF6854"/>
    <w:rsid w:val="00EF7408"/>
    <w:rsid w:val="00EFA942"/>
    <w:rsid w:val="00F00E5B"/>
    <w:rsid w:val="00F00F7F"/>
    <w:rsid w:val="00F01F58"/>
    <w:rsid w:val="00F02082"/>
    <w:rsid w:val="00F034EA"/>
    <w:rsid w:val="00F06139"/>
    <w:rsid w:val="00F06976"/>
    <w:rsid w:val="00F076D3"/>
    <w:rsid w:val="00F1049F"/>
    <w:rsid w:val="00F12601"/>
    <w:rsid w:val="00F14941"/>
    <w:rsid w:val="00F16EB3"/>
    <w:rsid w:val="00F20146"/>
    <w:rsid w:val="00F2165F"/>
    <w:rsid w:val="00F21766"/>
    <w:rsid w:val="00F21C10"/>
    <w:rsid w:val="00F255B9"/>
    <w:rsid w:val="00F25628"/>
    <w:rsid w:val="00F26CF4"/>
    <w:rsid w:val="00F2740D"/>
    <w:rsid w:val="00F27593"/>
    <w:rsid w:val="00F31CC8"/>
    <w:rsid w:val="00F31E9A"/>
    <w:rsid w:val="00F32048"/>
    <w:rsid w:val="00F3372E"/>
    <w:rsid w:val="00F33734"/>
    <w:rsid w:val="00F352D6"/>
    <w:rsid w:val="00F35DEE"/>
    <w:rsid w:val="00F36CD6"/>
    <w:rsid w:val="00F42303"/>
    <w:rsid w:val="00F435E3"/>
    <w:rsid w:val="00F466DA"/>
    <w:rsid w:val="00F50B44"/>
    <w:rsid w:val="00F5297C"/>
    <w:rsid w:val="00F52F4B"/>
    <w:rsid w:val="00F548DA"/>
    <w:rsid w:val="00F554C7"/>
    <w:rsid w:val="00F60466"/>
    <w:rsid w:val="00F60822"/>
    <w:rsid w:val="00F62194"/>
    <w:rsid w:val="00F621BC"/>
    <w:rsid w:val="00F6250F"/>
    <w:rsid w:val="00F63501"/>
    <w:rsid w:val="00F63797"/>
    <w:rsid w:val="00F7028A"/>
    <w:rsid w:val="00F71FA5"/>
    <w:rsid w:val="00F72064"/>
    <w:rsid w:val="00F7497E"/>
    <w:rsid w:val="00F752D2"/>
    <w:rsid w:val="00F757A9"/>
    <w:rsid w:val="00F8604F"/>
    <w:rsid w:val="00F90449"/>
    <w:rsid w:val="00F91808"/>
    <w:rsid w:val="00F93077"/>
    <w:rsid w:val="00F93127"/>
    <w:rsid w:val="00F9347D"/>
    <w:rsid w:val="00F93B4E"/>
    <w:rsid w:val="00F9443D"/>
    <w:rsid w:val="00F953F7"/>
    <w:rsid w:val="00F95F28"/>
    <w:rsid w:val="00F9793D"/>
    <w:rsid w:val="00FA4392"/>
    <w:rsid w:val="00FA4EA1"/>
    <w:rsid w:val="00FA5D2A"/>
    <w:rsid w:val="00FA6724"/>
    <w:rsid w:val="00FA72C3"/>
    <w:rsid w:val="00FA78DE"/>
    <w:rsid w:val="00FB41A1"/>
    <w:rsid w:val="00FB44FE"/>
    <w:rsid w:val="00FB4968"/>
    <w:rsid w:val="00FC050A"/>
    <w:rsid w:val="00FC2308"/>
    <w:rsid w:val="00FC2A8C"/>
    <w:rsid w:val="00FC5226"/>
    <w:rsid w:val="00FC53A4"/>
    <w:rsid w:val="00FC6092"/>
    <w:rsid w:val="00FD007A"/>
    <w:rsid w:val="00FD0437"/>
    <w:rsid w:val="00FD0DA2"/>
    <w:rsid w:val="00FD357D"/>
    <w:rsid w:val="00FE24FD"/>
    <w:rsid w:val="00FE350B"/>
    <w:rsid w:val="00FE38F1"/>
    <w:rsid w:val="00FE3B48"/>
    <w:rsid w:val="00FE3CF9"/>
    <w:rsid w:val="00FE4D30"/>
    <w:rsid w:val="00FF0363"/>
    <w:rsid w:val="00FF330F"/>
    <w:rsid w:val="00FF3647"/>
    <w:rsid w:val="00FF3DDF"/>
    <w:rsid w:val="00FF41ED"/>
    <w:rsid w:val="00FF438B"/>
    <w:rsid w:val="00FF50B5"/>
    <w:rsid w:val="00FF5730"/>
    <w:rsid w:val="00FF6B29"/>
    <w:rsid w:val="02A26270"/>
    <w:rsid w:val="02EC7AB7"/>
    <w:rsid w:val="03A96310"/>
    <w:rsid w:val="05DA0332"/>
    <w:rsid w:val="07500DEB"/>
    <w:rsid w:val="0A249D08"/>
    <w:rsid w:val="0E8606ED"/>
    <w:rsid w:val="0EC0C83D"/>
    <w:rsid w:val="0F910842"/>
    <w:rsid w:val="10DD15E3"/>
    <w:rsid w:val="10F57E8F"/>
    <w:rsid w:val="12280D5E"/>
    <w:rsid w:val="13E68DA6"/>
    <w:rsid w:val="14262ABB"/>
    <w:rsid w:val="148D4FB1"/>
    <w:rsid w:val="151741DD"/>
    <w:rsid w:val="19168CE7"/>
    <w:rsid w:val="1A026254"/>
    <w:rsid w:val="1DE9FE0A"/>
    <w:rsid w:val="1E8E20CB"/>
    <w:rsid w:val="1EAE9C2D"/>
    <w:rsid w:val="1F85CE6B"/>
    <w:rsid w:val="204A6C8E"/>
    <w:rsid w:val="206D41B7"/>
    <w:rsid w:val="209C11A4"/>
    <w:rsid w:val="2243076A"/>
    <w:rsid w:val="22F7387A"/>
    <w:rsid w:val="23D3B266"/>
    <w:rsid w:val="23DCD3D5"/>
    <w:rsid w:val="240C264C"/>
    <w:rsid w:val="254D0281"/>
    <w:rsid w:val="2C8EBF3F"/>
    <w:rsid w:val="34DDF7EE"/>
    <w:rsid w:val="3547CD80"/>
    <w:rsid w:val="36A20650"/>
    <w:rsid w:val="36D7BF62"/>
    <w:rsid w:val="37B5FD4A"/>
    <w:rsid w:val="39F637C7"/>
    <w:rsid w:val="3B0D07E0"/>
    <w:rsid w:val="3B7A7020"/>
    <w:rsid w:val="3D2F02BD"/>
    <w:rsid w:val="401E4FFD"/>
    <w:rsid w:val="406999BF"/>
    <w:rsid w:val="411ACF1E"/>
    <w:rsid w:val="411CB2C8"/>
    <w:rsid w:val="41A51901"/>
    <w:rsid w:val="421A7209"/>
    <w:rsid w:val="424AC410"/>
    <w:rsid w:val="42C026B1"/>
    <w:rsid w:val="439B4FF0"/>
    <w:rsid w:val="43B6426A"/>
    <w:rsid w:val="495ED94C"/>
    <w:rsid w:val="4C8CD38A"/>
    <w:rsid w:val="4E45CE33"/>
    <w:rsid w:val="502534BD"/>
    <w:rsid w:val="516F6008"/>
    <w:rsid w:val="52C92C42"/>
    <w:rsid w:val="52F97258"/>
    <w:rsid w:val="53BC270E"/>
    <w:rsid w:val="56169C9C"/>
    <w:rsid w:val="572C5895"/>
    <w:rsid w:val="597A71ED"/>
    <w:rsid w:val="59E3E2F2"/>
    <w:rsid w:val="5A7C43CD"/>
    <w:rsid w:val="5CC80F22"/>
    <w:rsid w:val="5D9A8A5C"/>
    <w:rsid w:val="5E281882"/>
    <w:rsid w:val="5F365ABD"/>
    <w:rsid w:val="5F94B09B"/>
    <w:rsid w:val="5FD08B14"/>
    <w:rsid w:val="63F2CE92"/>
    <w:rsid w:val="63FBEEC9"/>
    <w:rsid w:val="648075CC"/>
    <w:rsid w:val="6504A7EE"/>
    <w:rsid w:val="65BBCF1C"/>
    <w:rsid w:val="69451BE3"/>
    <w:rsid w:val="69763AA9"/>
    <w:rsid w:val="6C151D78"/>
    <w:rsid w:val="6C72C369"/>
    <w:rsid w:val="6C7333A3"/>
    <w:rsid w:val="6D294FFE"/>
    <w:rsid w:val="6E598A99"/>
    <w:rsid w:val="6E8D73CB"/>
    <w:rsid w:val="6ED57300"/>
    <w:rsid w:val="6F3EA170"/>
    <w:rsid w:val="6F414C1D"/>
    <w:rsid w:val="70326463"/>
    <w:rsid w:val="71C7A443"/>
    <w:rsid w:val="71F62F80"/>
    <w:rsid w:val="735EB9DF"/>
    <w:rsid w:val="73789D53"/>
    <w:rsid w:val="737FA60F"/>
    <w:rsid w:val="74FA8A40"/>
    <w:rsid w:val="78E5088D"/>
    <w:rsid w:val="7A2B4E55"/>
    <w:rsid w:val="7C956954"/>
    <w:rsid w:val="7FA5098A"/>
    <w:rsid w:val="7FF57E1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497BA"/>
  <w15:docId w15:val="{239A45DE-524D-41B6-B5FD-1B3150EE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20"/>
  </w:style>
  <w:style w:type="paragraph" w:styleId="Heading1">
    <w:name w:val="heading 1"/>
    <w:basedOn w:val="Normal"/>
    <w:next w:val="Text1"/>
    <w:link w:val="Heading1Char"/>
    <w:qFormat/>
    <w:rsid w:val="00F27593"/>
    <w:pPr>
      <w:keepNext/>
      <w:numPr>
        <w:numId w:val="1"/>
      </w:numPr>
      <w:spacing w:before="240" w:after="240"/>
      <w:jc w:val="both"/>
      <w:outlineLvl w:val="0"/>
    </w:pPr>
    <w:rPr>
      <w:rFonts w:ascii="Times New Roman" w:eastAsia="Times New Roman" w:hAnsi="Times New Roman" w:cs="Times New Roman"/>
      <w:b/>
      <w:smallCaps/>
      <w:szCs w:val="20"/>
    </w:rPr>
  </w:style>
  <w:style w:type="paragraph" w:styleId="Heading2">
    <w:name w:val="heading 2"/>
    <w:basedOn w:val="Normal"/>
    <w:next w:val="Normal"/>
    <w:link w:val="Heading2Char"/>
    <w:qFormat/>
    <w:rsid w:val="00F27593"/>
    <w:pPr>
      <w:keepNext/>
      <w:numPr>
        <w:ilvl w:val="1"/>
        <w:numId w:val="1"/>
      </w:numPr>
      <w:spacing w:after="240"/>
      <w:jc w:val="both"/>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F27593"/>
    <w:pPr>
      <w:keepNext/>
      <w:numPr>
        <w:ilvl w:val="2"/>
        <w:numId w:val="1"/>
      </w:numPr>
      <w:spacing w:after="240"/>
      <w:jc w:val="both"/>
      <w:outlineLvl w:val="2"/>
    </w:pPr>
    <w:rPr>
      <w:rFonts w:ascii="Times New Roman" w:eastAsia="Times New Roman" w:hAnsi="Times New Roman" w:cs="Times New Roman"/>
      <w:i/>
      <w:szCs w:val="20"/>
    </w:rPr>
  </w:style>
  <w:style w:type="paragraph" w:styleId="Heading4">
    <w:name w:val="heading 4"/>
    <w:basedOn w:val="Normal"/>
    <w:next w:val="Normal"/>
    <w:link w:val="Heading4Char"/>
    <w:qFormat/>
    <w:rsid w:val="00F27593"/>
    <w:pPr>
      <w:keepNext/>
      <w:numPr>
        <w:ilvl w:val="3"/>
        <w:numId w:val="1"/>
      </w:numPr>
      <w:spacing w:after="240"/>
      <w:jc w:val="both"/>
      <w:outlineLvl w:val="3"/>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2886"/>
    <w:rPr>
      <w:sz w:val="18"/>
      <w:szCs w:val="18"/>
    </w:rPr>
  </w:style>
  <w:style w:type="paragraph" w:styleId="CommentText">
    <w:name w:val="annotation text"/>
    <w:basedOn w:val="Normal"/>
    <w:link w:val="CommentTextChar"/>
    <w:uiPriority w:val="99"/>
    <w:semiHidden/>
    <w:unhideWhenUsed/>
    <w:rsid w:val="00B22886"/>
  </w:style>
  <w:style w:type="character" w:customStyle="1" w:styleId="CommentTextChar">
    <w:name w:val="Comment Text Char"/>
    <w:basedOn w:val="DefaultParagraphFont"/>
    <w:link w:val="CommentText"/>
    <w:uiPriority w:val="99"/>
    <w:semiHidden/>
    <w:rsid w:val="00B22886"/>
  </w:style>
  <w:style w:type="paragraph" w:styleId="CommentSubject">
    <w:name w:val="annotation subject"/>
    <w:basedOn w:val="CommentText"/>
    <w:next w:val="CommentText"/>
    <w:link w:val="CommentSubjectChar"/>
    <w:uiPriority w:val="99"/>
    <w:semiHidden/>
    <w:unhideWhenUsed/>
    <w:rsid w:val="00B22886"/>
    <w:rPr>
      <w:b/>
      <w:bCs/>
      <w:sz w:val="20"/>
      <w:szCs w:val="20"/>
    </w:rPr>
  </w:style>
  <w:style w:type="character" w:customStyle="1" w:styleId="CommentSubjectChar">
    <w:name w:val="Comment Subject Char"/>
    <w:basedOn w:val="CommentTextChar"/>
    <w:link w:val="CommentSubject"/>
    <w:uiPriority w:val="99"/>
    <w:semiHidden/>
    <w:rsid w:val="00B22886"/>
    <w:rPr>
      <w:b/>
      <w:bCs/>
      <w:sz w:val="20"/>
      <w:szCs w:val="20"/>
    </w:rPr>
  </w:style>
  <w:style w:type="paragraph" w:styleId="BalloonText">
    <w:name w:val="Balloon Text"/>
    <w:basedOn w:val="Normal"/>
    <w:link w:val="BalloonTextChar"/>
    <w:uiPriority w:val="99"/>
    <w:semiHidden/>
    <w:unhideWhenUsed/>
    <w:rsid w:val="00B22886"/>
    <w:rPr>
      <w:rFonts w:ascii="Lucida Grande" w:hAnsi="Lucida Grande"/>
      <w:sz w:val="18"/>
      <w:szCs w:val="18"/>
    </w:rPr>
  </w:style>
  <w:style w:type="character" w:customStyle="1" w:styleId="BalloonTextChar">
    <w:name w:val="Balloon Text Char"/>
    <w:basedOn w:val="DefaultParagraphFont"/>
    <w:link w:val="BalloonText"/>
    <w:uiPriority w:val="99"/>
    <w:semiHidden/>
    <w:rsid w:val="00B22886"/>
    <w:rPr>
      <w:rFonts w:ascii="Lucida Grande" w:hAnsi="Lucida Grande"/>
      <w:sz w:val="18"/>
      <w:szCs w:val="18"/>
    </w:rPr>
  </w:style>
  <w:style w:type="paragraph" w:styleId="ListParagraph">
    <w:name w:val="List Paragraph"/>
    <w:basedOn w:val="Normal"/>
    <w:uiPriority w:val="34"/>
    <w:qFormat/>
    <w:rsid w:val="001D1088"/>
    <w:pPr>
      <w:ind w:left="720"/>
      <w:contextualSpacing/>
    </w:pPr>
  </w:style>
  <w:style w:type="paragraph" w:styleId="Header">
    <w:name w:val="header"/>
    <w:basedOn w:val="Normal"/>
    <w:link w:val="HeaderChar"/>
    <w:uiPriority w:val="99"/>
    <w:unhideWhenUsed/>
    <w:rsid w:val="000E2849"/>
    <w:pPr>
      <w:tabs>
        <w:tab w:val="center" w:pos="4252"/>
        <w:tab w:val="right" w:pos="8504"/>
      </w:tabs>
      <w:snapToGrid w:val="0"/>
    </w:pPr>
  </w:style>
  <w:style w:type="character" w:customStyle="1" w:styleId="HeaderChar">
    <w:name w:val="Header Char"/>
    <w:basedOn w:val="DefaultParagraphFont"/>
    <w:link w:val="Header"/>
    <w:uiPriority w:val="99"/>
    <w:rsid w:val="000E2849"/>
  </w:style>
  <w:style w:type="paragraph" w:styleId="Footer">
    <w:name w:val="footer"/>
    <w:basedOn w:val="Normal"/>
    <w:link w:val="FooterChar"/>
    <w:uiPriority w:val="99"/>
    <w:unhideWhenUsed/>
    <w:rsid w:val="000E2849"/>
    <w:pPr>
      <w:tabs>
        <w:tab w:val="center" w:pos="4252"/>
        <w:tab w:val="right" w:pos="8504"/>
      </w:tabs>
      <w:snapToGrid w:val="0"/>
    </w:pPr>
  </w:style>
  <w:style w:type="character" w:customStyle="1" w:styleId="FooterChar">
    <w:name w:val="Footer Char"/>
    <w:basedOn w:val="DefaultParagraphFont"/>
    <w:link w:val="Footer"/>
    <w:uiPriority w:val="99"/>
    <w:rsid w:val="000E2849"/>
  </w:style>
  <w:style w:type="character" w:styleId="Hyperlink">
    <w:name w:val="Hyperlink"/>
    <w:basedOn w:val="DefaultParagraphFont"/>
    <w:uiPriority w:val="99"/>
    <w:unhideWhenUsed/>
    <w:rsid w:val="000F7F76"/>
    <w:rPr>
      <w:rFonts w:cs="Times New Roman"/>
      <w:color w:val="0000FF" w:themeColor="hyperlink"/>
      <w:u w:val="single"/>
    </w:rPr>
  </w:style>
  <w:style w:type="paragraph" w:styleId="Title">
    <w:name w:val="Title"/>
    <w:basedOn w:val="Normal"/>
    <w:link w:val="TitleChar"/>
    <w:qFormat/>
    <w:rsid w:val="00516A87"/>
    <w:pPr>
      <w:ind w:right="-142"/>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16A87"/>
    <w:rPr>
      <w:rFonts w:ascii="Times New Roman" w:eastAsia="Times New Roman" w:hAnsi="Times New Roman" w:cs="Times New Roman"/>
      <w:b/>
      <w:szCs w:val="20"/>
      <w:lang w:val="fr-FR"/>
    </w:rPr>
  </w:style>
  <w:style w:type="paragraph" w:styleId="Revision">
    <w:name w:val="Revision"/>
    <w:hidden/>
    <w:uiPriority w:val="99"/>
    <w:semiHidden/>
    <w:rsid w:val="002A660D"/>
  </w:style>
  <w:style w:type="table" w:styleId="TableGrid">
    <w:name w:val="Table Grid"/>
    <w:basedOn w:val="TableNormal"/>
    <w:uiPriority w:val="3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1BDE"/>
    <w:rPr>
      <w:sz w:val="20"/>
      <w:szCs w:val="20"/>
    </w:rPr>
  </w:style>
  <w:style w:type="character" w:customStyle="1" w:styleId="FootnoteTextChar">
    <w:name w:val="Footnote Text Char"/>
    <w:basedOn w:val="DefaultParagraphFont"/>
    <w:link w:val="FootnoteText"/>
    <w:uiPriority w:val="99"/>
    <w:rsid w:val="00E81BDE"/>
    <w:rPr>
      <w:sz w:val="20"/>
      <w:szCs w:val="20"/>
    </w:rPr>
  </w:style>
  <w:style w:type="character" w:styleId="FootnoteReference">
    <w:name w:val="footnote reference"/>
    <w:uiPriority w:val="99"/>
    <w:semiHidden/>
    <w:rsid w:val="00E81BDE"/>
    <w:rPr>
      <w:vertAlign w:val="superscript"/>
    </w:rPr>
  </w:style>
  <w:style w:type="character" w:customStyle="1" w:styleId="Heading1Char">
    <w:name w:val="Heading 1 Char"/>
    <w:basedOn w:val="DefaultParagraphFont"/>
    <w:link w:val="Heading1"/>
    <w:rsid w:val="00F27593"/>
    <w:rPr>
      <w:rFonts w:ascii="Times New Roman" w:eastAsia="Times New Roman" w:hAnsi="Times New Roman" w:cs="Times New Roman"/>
      <w:b/>
      <w:smallCaps/>
      <w:szCs w:val="20"/>
      <w:lang w:val="fr-FR"/>
    </w:rPr>
  </w:style>
  <w:style w:type="character" w:customStyle="1" w:styleId="Heading2Char">
    <w:name w:val="Heading 2 Char"/>
    <w:basedOn w:val="DefaultParagraphFont"/>
    <w:link w:val="Heading2"/>
    <w:rsid w:val="00F27593"/>
    <w:rPr>
      <w:rFonts w:ascii="Times New Roman" w:eastAsia="Times New Roman" w:hAnsi="Times New Roman" w:cs="Times New Roman"/>
      <w:b/>
      <w:szCs w:val="20"/>
      <w:lang w:val="fr-FR"/>
    </w:rPr>
  </w:style>
  <w:style w:type="character" w:customStyle="1" w:styleId="Heading3Char">
    <w:name w:val="Heading 3 Char"/>
    <w:basedOn w:val="DefaultParagraphFont"/>
    <w:link w:val="Heading3"/>
    <w:rsid w:val="00F27593"/>
    <w:rPr>
      <w:rFonts w:ascii="Times New Roman" w:eastAsia="Times New Roman" w:hAnsi="Times New Roman" w:cs="Times New Roman"/>
      <w:i/>
      <w:szCs w:val="20"/>
      <w:lang w:val="fr-FR"/>
    </w:rPr>
  </w:style>
  <w:style w:type="character" w:customStyle="1" w:styleId="Heading4Char">
    <w:name w:val="Heading 4 Char"/>
    <w:basedOn w:val="DefaultParagraphFont"/>
    <w:link w:val="Heading4"/>
    <w:rsid w:val="00F27593"/>
    <w:rPr>
      <w:rFonts w:ascii="Times New Roman" w:eastAsia="Times New Roman" w:hAnsi="Times New Roman" w:cs="Times New Roman"/>
      <w:szCs w:val="20"/>
      <w:lang w:val="fr-FR"/>
    </w:rPr>
  </w:style>
  <w:style w:type="numbering" w:customStyle="1" w:styleId="NoList1">
    <w:name w:val="No List1"/>
    <w:next w:val="NoList"/>
    <w:uiPriority w:val="99"/>
    <w:semiHidden/>
    <w:unhideWhenUsed/>
    <w:rsid w:val="00F27593"/>
  </w:style>
  <w:style w:type="paragraph" w:customStyle="1" w:styleId="Text1">
    <w:name w:val="Text 1"/>
    <w:basedOn w:val="Normal"/>
    <w:rsid w:val="00F27593"/>
    <w:pPr>
      <w:spacing w:after="240"/>
      <w:ind w:left="482"/>
      <w:jc w:val="both"/>
    </w:pPr>
    <w:rPr>
      <w:rFonts w:ascii="Times New Roman" w:eastAsia="Times New Roman" w:hAnsi="Times New Roman" w:cs="Times New Roman"/>
      <w:szCs w:val="20"/>
    </w:rPr>
  </w:style>
  <w:style w:type="paragraph" w:customStyle="1" w:styleId="ListBullet1">
    <w:name w:val="List Bullet 1"/>
    <w:basedOn w:val="Text1"/>
    <w:rsid w:val="00F27593"/>
    <w:pPr>
      <w:numPr>
        <w:numId w:val="2"/>
      </w:numPr>
    </w:pPr>
  </w:style>
  <w:style w:type="paragraph" w:customStyle="1" w:styleId="TableParagraph">
    <w:name w:val="Table Paragraph"/>
    <w:basedOn w:val="Normal"/>
    <w:uiPriority w:val="1"/>
    <w:qFormat/>
    <w:rsid w:val="00F27593"/>
    <w:pPr>
      <w:widowControl w:val="0"/>
    </w:pPr>
    <w:rPr>
      <w:rFonts w:eastAsia="Calibri"/>
      <w:sz w:val="22"/>
      <w:szCs w:val="22"/>
    </w:rPr>
  </w:style>
  <w:style w:type="paragraph" w:styleId="BodyText">
    <w:name w:val="Body Text"/>
    <w:basedOn w:val="Normal"/>
    <w:link w:val="BodyTextChar"/>
    <w:rsid w:val="00F27593"/>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7593"/>
    <w:rPr>
      <w:rFonts w:ascii="Times New Roman" w:eastAsia="Times New Roman" w:hAnsi="Times New Roman" w:cs="Times New Roman"/>
      <w:szCs w:val="20"/>
    </w:rPr>
  </w:style>
  <w:style w:type="character" w:customStyle="1" w:styleId="hps">
    <w:name w:val="hps"/>
    <w:basedOn w:val="DefaultParagraphFont"/>
    <w:rsid w:val="00F27593"/>
  </w:style>
  <w:style w:type="character" w:customStyle="1" w:styleId="alt-edited">
    <w:name w:val="alt-edited"/>
    <w:basedOn w:val="DefaultParagraphFont"/>
    <w:rsid w:val="00F27593"/>
  </w:style>
  <w:style w:type="table" w:customStyle="1" w:styleId="TableGrid2">
    <w:name w:val="Table Grid2"/>
    <w:basedOn w:val="TableNormal"/>
    <w:next w:val="TableGrid"/>
    <w:uiPriority w:val="59"/>
    <w:rsid w:val="00F2759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27593"/>
  </w:style>
  <w:style w:type="table" w:customStyle="1" w:styleId="TableGrid3">
    <w:name w:val="Table Grid3"/>
    <w:basedOn w:val="TableNormal"/>
    <w:next w:val="TableGrid"/>
    <w:uiPriority w:val="59"/>
    <w:rsid w:val="00133F4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F0C0A"/>
  </w:style>
  <w:style w:type="table" w:customStyle="1" w:styleId="TableGrid4">
    <w:name w:val="Table Grid4"/>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35DB"/>
    <w:rPr>
      <w:rFonts w:ascii="Times New Roman" w:eastAsia="Times New Roman" w:hAnsi="Times New Roman" w:cs="Times New Roman"/>
      <w:szCs w:val="20"/>
    </w:rPr>
  </w:style>
  <w:style w:type="paragraph" w:styleId="Date">
    <w:name w:val="Date"/>
    <w:basedOn w:val="Normal"/>
    <w:next w:val="Normal"/>
    <w:link w:val="DateChar"/>
    <w:uiPriority w:val="99"/>
    <w:rsid w:val="007D35DB"/>
    <w:pPr>
      <w:ind w:left="5103" w:right="-567"/>
    </w:pPr>
    <w:rPr>
      <w:rFonts w:ascii="Times New Roman" w:eastAsia="Times New Roman" w:hAnsi="Times New Roman" w:cs="Times New Roman"/>
      <w:szCs w:val="20"/>
    </w:rPr>
  </w:style>
  <w:style w:type="character" w:customStyle="1" w:styleId="DateChar">
    <w:name w:val="Date Char"/>
    <w:basedOn w:val="DefaultParagraphFont"/>
    <w:link w:val="Date"/>
    <w:uiPriority w:val="99"/>
    <w:rsid w:val="007D35DB"/>
    <w:rPr>
      <w:rFonts w:ascii="Times New Roman" w:eastAsia="Times New Roman" w:hAnsi="Times New Roman" w:cs="Times New Roman"/>
      <w:szCs w:val="20"/>
      <w:lang w:val="fr-FR"/>
    </w:rPr>
  </w:style>
  <w:style w:type="paragraph" w:customStyle="1" w:styleId="Subject">
    <w:name w:val="Subject"/>
    <w:basedOn w:val="Normal"/>
    <w:next w:val="Normal"/>
    <w:rsid w:val="007D35DB"/>
    <w:pPr>
      <w:spacing w:after="480"/>
      <w:ind w:left="1531" w:hanging="1531"/>
    </w:pPr>
    <w:rPr>
      <w:rFonts w:ascii="Times New Roman" w:eastAsia="Times New Roman" w:hAnsi="Times New Roman" w:cs="Times New Roman"/>
      <w:b/>
      <w:szCs w:val="20"/>
    </w:rPr>
  </w:style>
  <w:style w:type="paragraph" w:customStyle="1" w:styleId="ZCom">
    <w:name w:val="Z_Com"/>
    <w:basedOn w:val="Normal"/>
    <w:next w:val="ZDGName"/>
    <w:uiPriority w:val="99"/>
    <w:rsid w:val="007D35DB"/>
    <w:pPr>
      <w:widowControl w:val="0"/>
      <w:autoSpaceDE w:val="0"/>
      <w:autoSpaceDN w:val="0"/>
      <w:ind w:right="85"/>
      <w:jc w:val="both"/>
    </w:pPr>
    <w:rPr>
      <w:rFonts w:ascii="Arial" w:eastAsia="Times New Roman" w:hAnsi="Arial" w:cs="Arial"/>
      <w:lang w:eastAsia="en-GB"/>
    </w:rPr>
  </w:style>
  <w:style w:type="paragraph" w:customStyle="1" w:styleId="ZDGName">
    <w:name w:val="Z_DGName"/>
    <w:basedOn w:val="Normal"/>
    <w:uiPriority w:val="99"/>
    <w:rsid w:val="007D35DB"/>
    <w:pPr>
      <w:widowControl w:val="0"/>
      <w:autoSpaceDE w:val="0"/>
      <w:autoSpaceDN w:val="0"/>
      <w:ind w:right="85"/>
    </w:pPr>
    <w:rPr>
      <w:rFonts w:ascii="Arial" w:eastAsia="Times New Roman" w:hAnsi="Arial" w:cs="Arial"/>
      <w:sz w:val="16"/>
      <w:szCs w:val="16"/>
      <w:lang w:eastAsia="en-GB"/>
    </w:rPr>
  </w:style>
  <w:style w:type="paragraph" w:customStyle="1" w:styleId="Default">
    <w:name w:val="Default"/>
    <w:rsid w:val="000C49DB"/>
    <w:pPr>
      <w:autoSpaceDE w:val="0"/>
      <w:autoSpaceDN w:val="0"/>
      <w:adjustRightInd w:val="0"/>
    </w:pPr>
    <w:rPr>
      <w:rFonts w:ascii="Cambria" w:hAnsi="Cambria" w:cs="Cambria"/>
      <w:color w:val="000000"/>
    </w:rPr>
  </w:style>
  <w:style w:type="character" w:customStyle="1" w:styleId="Bodytext2">
    <w:name w:val="Body text (2)_"/>
    <w:basedOn w:val="DefaultParagraphFont"/>
    <w:link w:val="Bodytext20"/>
    <w:locked/>
    <w:rsid w:val="000C49DB"/>
    <w:rPr>
      <w:sz w:val="19"/>
      <w:szCs w:val="19"/>
      <w:shd w:val="clear" w:color="auto" w:fill="FFFFFF"/>
    </w:rPr>
  </w:style>
  <w:style w:type="paragraph" w:customStyle="1" w:styleId="Bodytext20">
    <w:name w:val="Body text (2)"/>
    <w:basedOn w:val="Normal"/>
    <w:link w:val="Bodytext2"/>
    <w:rsid w:val="000C49DB"/>
    <w:pPr>
      <w:widowControl w:val="0"/>
      <w:shd w:val="clear" w:color="auto" w:fill="FFFFFF"/>
      <w:spacing w:before="220" w:after="220" w:line="230" w:lineRule="exact"/>
      <w:ind w:hanging="460"/>
      <w:jc w:val="both"/>
    </w:pPr>
    <w:rPr>
      <w:sz w:val="19"/>
      <w:szCs w:val="19"/>
    </w:rPr>
  </w:style>
  <w:style w:type="character" w:customStyle="1" w:styleId="A7">
    <w:name w:val="A7"/>
    <w:uiPriority w:val="99"/>
    <w:rsid w:val="00642D74"/>
    <w:rPr>
      <w:rFonts w:cs="DIN"/>
      <w:color w:val="000000"/>
    </w:rPr>
  </w:style>
  <w:style w:type="character" w:customStyle="1" w:styleId="A5">
    <w:name w:val="A5"/>
    <w:uiPriority w:val="99"/>
    <w:rsid w:val="00E0284F"/>
    <w:rPr>
      <w:rFonts w:cs="DIN"/>
      <w:color w:val="000000"/>
      <w:sz w:val="20"/>
      <w:szCs w:val="20"/>
    </w:rPr>
  </w:style>
  <w:style w:type="paragraph" w:customStyle="1" w:styleId="Pa19">
    <w:name w:val="Pa19"/>
    <w:basedOn w:val="Default"/>
    <w:next w:val="Default"/>
    <w:uiPriority w:val="99"/>
    <w:rsid w:val="00E0284F"/>
    <w:pPr>
      <w:spacing w:line="181" w:lineRule="atLeast"/>
    </w:pPr>
    <w:rPr>
      <w:rFonts w:ascii="DIN" w:hAnsi="DIN" w:cstheme="minorBidi"/>
      <w:color w:val="auto"/>
    </w:rPr>
  </w:style>
  <w:style w:type="character" w:styleId="PlaceholderText">
    <w:name w:val="Placeholder Text"/>
    <w:basedOn w:val="DefaultParagraphFont"/>
    <w:uiPriority w:val="99"/>
    <w:semiHidden/>
    <w:rsid w:val="00ED0E66"/>
    <w:rPr>
      <w:color w:val="808080"/>
    </w:rPr>
  </w:style>
  <w:style w:type="paragraph" w:customStyle="1" w:styleId="gmail-m-5908448473476167748paragraph">
    <w:name w:val="gmail-m_-5908448473476167748paragraph"/>
    <w:basedOn w:val="Normal"/>
    <w:rsid w:val="00460280"/>
    <w:pPr>
      <w:spacing w:before="100" w:beforeAutospacing="1" w:after="100" w:afterAutospacing="1"/>
    </w:pPr>
    <w:rPr>
      <w:rFonts w:ascii="Times New Roman" w:eastAsia="Calibri" w:hAnsi="Times New Roman" w:cs="Times New Roman"/>
      <w:lang w:val="en-GB" w:eastAsia="en-GB"/>
    </w:rPr>
  </w:style>
  <w:style w:type="character" w:customStyle="1" w:styleId="normaltextrun">
    <w:name w:val="normaltextrun"/>
    <w:basedOn w:val="DefaultParagraphFont"/>
    <w:rsid w:val="00460280"/>
  </w:style>
  <w:style w:type="paragraph" w:styleId="PlainText">
    <w:name w:val="Plain Text"/>
    <w:basedOn w:val="Normal"/>
    <w:link w:val="PlainTextChar"/>
    <w:uiPriority w:val="99"/>
    <w:semiHidden/>
    <w:unhideWhenUsed/>
    <w:rsid w:val="00EE7AD6"/>
    <w:rPr>
      <w:rFonts w:ascii="Calibri" w:eastAsiaTheme="minorHAnsi" w:hAnsi="Calibri" w:cs="Calibri"/>
      <w:sz w:val="22"/>
      <w:szCs w:val="22"/>
      <w:lang w:val="en-GB" w:eastAsia="en-GB"/>
    </w:rPr>
  </w:style>
  <w:style w:type="character" w:customStyle="1" w:styleId="PlainTextChar">
    <w:name w:val="Plain Text Char"/>
    <w:basedOn w:val="DefaultParagraphFont"/>
    <w:link w:val="PlainText"/>
    <w:uiPriority w:val="99"/>
    <w:semiHidden/>
    <w:rsid w:val="00EE7AD6"/>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306">
      <w:bodyDiv w:val="1"/>
      <w:marLeft w:val="0"/>
      <w:marRight w:val="0"/>
      <w:marTop w:val="0"/>
      <w:marBottom w:val="0"/>
      <w:divBdr>
        <w:top w:val="none" w:sz="0" w:space="0" w:color="auto"/>
        <w:left w:val="none" w:sz="0" w:space="0" w:color="auto"/>
        <w:bottom w:val="none" w:sz="0" w:space="0" w:color="auto"/>
        <w:right w:val="none" w:sz="0" w:space="0" w:color="auto"/>
      </w:divBdr>
    </w:div>
    <w:div w:id="65348350">
      <w:bodyDiv w:val="1"/>
      <w:marLeft w:val="0"/>
      <w:marRight w:val="0"/>
      <w:marTop w:val="0"/>
      <w:marBottom w:val="0"/>
      <w:divBdr>
        <w:top w:val="none" w:sz="0" w:space="0" w:color="auto"/>
        <w:left w:val="none" w:sz="0" w:space="0" w:color="auto"/>
        <w:bottom w:val="none" w:sz="0" w:space="0" w:color="auto"/>
        <w:right w:val="none" w:sz="0" w:space="0" w:color="auto"/>
      </w:divBdr>
    </w:div>
    <w:div w:id="135219123">
      <w:bodyDiv w:val="1"/>
      <w:marLeft w:val="0"/>
      <w:marRight w:val="0"/>
      <w:marTop w:val="0"/>
      <w:marBottom w:val="0"/>
      <w:divBdr>
        <w:top w:val="none" w:sz="0" w:space="0" w:color="auto"/>
        <w:left w:val="none" w:sz="0" w:space="0" w:color="auto"/>
        <w:bottom w:val="none" w:sz="0" w:space="0" w:color="auto"/>
        <w:right w:val="none" w:sz="0" w:space="0" w:color="auto"/>
      </w:divBdr>
    </w:div>
    <w:div w:id="139425153">
      <w:bodyDiv w:val="1"/>
      <w:marLeft w:val="0"/>
      <w:marRight w:val="0"/>
      <w:marTop w:val="0"/>
      <w:marBottom w:val="0"/>
      <w:divBdr>
        <w:top w:val="none" w:sz="0" w:space="0" w:color="auto"/>
        <w:left w:val="none" w:sz="0" w:space="0" w:color="auto"/>
        <w:bottom w:val="none" w:sz="0" w:space="0" w:color="auto"/>
        <w:right w:val="none" w:sz="0" w:space="0" w:color="auto"/>
      </w:divBdr>
    </w:div>
    <w:div w:id="222495115">
      <w:bodyDiv w:val="1"/>
      <w:marLeft w:val="0"/>
      <w:marRight w:val="0"/>
      <w:marTop w:val="0"/>
      <w:marBottom w:val="0"/>
      <w:divBdr>
        <w:top w:val="none" w:sz="0" w:space="0" w:color="auto"/>
        <w:left w:val="none" w:sz="0" w:space="0" w:color="auto"/>
        <w:bottom w:val="none" w:sz="0" w:space="0" w:color="auto"/>
        <w:right w:val="none" w:sz="0" w:space="0" w:color="auto"/>
      </w:divBdr>
    </w:div>
    <w:div w:id="401761246">
      <w:bodyDiv w:val="1"/>
      <w:marLeft w:val="0"/>
      <w:marRight w:val="0"/>
      <w:marTop w:val="0"/>
      <w:marBottom w:val="0"/>
      <w:divBdr>
        <w:top w:val="none" w:sz="0" w:space="0" w:color="auto"/>
        <w:left w:val="none" w:sz="0" w:space="0" w:color="auto"/>
        <w:bottom w:val="none" w:sz="0" w:space="0" w:color="auto"/>
        <w:right w:val="none" w:sz="0" w:space="0" w:color="auto"/>
      </w:divBdr>
    </w:div>
    <w:div w:id="443155855">
      <w:bodyDiv w:val="1"/>
      <w:marLeft w:val="0"/>
      <w:marRight w:val="0"/>
      <w:marTop w:val="0"/>
      <w:marBottom w:val="0"/>
      <w:divBdr>
        <w:top w:val="none" w:sz="0" w:space="0" w:color="auto"/>
        <w:left w:val="none" w:sz="0" w:space="0" w:color="auto"/>
        <w:bottom w:val="none" w:sz="0" w:space="0" w:color="auto"/>
        <w:right w:val="none" w:sz="0" w:space="0" w:color="auto"/>
      </w:divBdr>
    </w:div>
    <w:div w:id="509608000">
      <w:bodyDiv w:val="1"/>
      <w:marLeft w:val="0"/>
      <w:marRight w:val="0"/>
      <w:marTop w:val="0"/>
      <w:marBottom w:val="0"/>
      <w:divBdr>
        <w:top w:val="none" w:sz="0" w:space="0" w:color="auto"/>
        <w:left w:val="none" w:sz="0" w:space="0" w:color="auto"/>
        <w:bottom w:val="none" w:sz="0" w:space="0" w:color="auto"/>
        <w:right w:val="none" w:sz="0" w:space="0" w:color="auto"/>
      </w:divBdr>
    </w:div>
    <w:div w:id="552235645">
      <w:bodyDiv w:val="1"/>
      <w:marLeft w:val="0"/>
      <w:marRight w:val="0"/>
      <w:marTop w:val="0"/>
      <w:marBottom w:val="0"/>
      <w:divBdr>
        <w:top w:val="none" w:sz="0" w:space="0" w:color="auto"/>
        <w:left w:val="none" w:sz="0" w:space="0" w:color="auto"/>
        <w:bottom w:val="none" w:sz="0" w:space="0" w:color="auto"/>
        <w:right w:val="none" w:sz="0" w:space="0" w:color="auto"/>
      </w:divBdr>
    </w:div>
    <w:div w:id="636644913">
      <w:bodyDiv w:val="1"/>
      <w:marLeft w:val="0"/>
      <w:marRight w:val="0"/>
      <w:marTop w:val="0"/>
      <w:marBottom w:val="0"/>
      <w:divBdr>
        <w:top w:val="none" w:sz="0" w:space="0" w:color="auto"/>
        <w:left w:val="none" w:sz="0" w:space="0" w:color="auto"/>
        <w:bottom w:val="none" w:sz="0" w:space="0" w:color="auto"/>
        <w:right w:val="none" w:sz="0" w:space="0" w:color="auto"/>
      </w:divBdr>
    </w:div>
    <w:div w:id="695928995">
      <w:bodyDiv w:val="1"/>
      <w:marLeft w:val="0"/>
      <w:marRight w:val="0"/>
      <w:marTop w:val="0"/>
      <w:marBottom w:val="0"/>
      <w:divBdr>
        <w:top w:val="none" w:sz="0" w:space="0" w:color="auto"/>
        <w:left w:val="none" w:sz="0" w:space="0" w:color="auto"/>
        <w:bottom w:val="none" w:sz="0" w:space="0" w:color="auto"/>
        <w:right w:val="none" w:sz="0" w:space="0" w:color="auto"/>
      </w:divBdr>
    </w:div>
    <w:div w:id="724177780">
      <w:bodyDiv w:val="1"/>
      <w:marLeft w:val="0"/>
      <w:marRight w:val="0"/>
      <w:marTop w:val="0"/>
      <w:marBottom w:val="0"/>
      <w:divBdr>
        <w:top w:val="none" w:sz="0" w:space="0" w:color="auto"/>
        <w:left w:val="none" w:sz="0" w:space="0" w:color="auto"/>
        <w:bottom w:val="none" w:sz="0" w:space="0" w:color="auto"/>
        <w:right w:val="none" w:sz="0" w:space="0" w:color="auto"/>
      </w:divBdr>
    </w:div>
    <w:div w:id="750543738">
      <w:bodyDiv w:val="1"/>
      <w:marLeft w:val="0"/>
      <w:marRight w:val="0"/>
      <w:marTop w:val="0"/>
      <w:marBottom w:val="0"/>
      <w:divBdr>
        <w:top w:val="none" w:sz="0" w:space="0" w:color="auto"/>
        <w:left w:val="none" w:sz="0" w:space="0" w:color="auto"/>
        <w:bottom w:val="none" w:sz="0" w:space="0" w:color="auto"/>
        <w:right w:val="none" w:sz="0" w:space="0" w:color="auto"/>
      </w:divBdr>
    </w:div>
    <w:div w:id="798643542">
      <w:bodyDiv w:val="1"/>
      <w:marLeft w:val="0"/>
      <w:marRight w:val="0"/>
      <w:marTop w:val="0"/>
      <w:marBottom w:val="0"/>
      <w:divBdr>
        <w:top w:val="none" w:sz="0" w:space="0" w:color="auto"/>
        <w:left w:val="none" w:sz="0" w:space="0" w:color="auto"/>
        <w:bottom w:val="none" w:sz="0" w:space="0" w:color="auto"/>
        <w:right w:val="none" w:sz="0" w:space="0" w:color="auto"/>
      </w:divBdr>
      <w:divsChild>
        <w:div w:id="1183397616">
          <w:marLeft w:val="0"/>
          <w:marRight w:val="0"/>
          <w:marTop w:val="0"/>
          <w:marBottom w:val="0"/>
          <w:divBdr>
            <w:top w:val="none" w:sz="0" w:space="0" w:color="auto"/>
            <w:left w:val="none" w:sz="0" w:space="0" w:color="auto"/>
            <w:bottom w:val="none" w:sz="0" w:space="0" w:color="auto"/>
            <w:right w:val="none" w:sz="0" w:space="0" w:color="auto"/>
          </w:divBdr>
          <w:divsChild>
            <w:div w:id="32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403">
      <w:bodyDiv w:val="1"/>
      <w:marLeft w:val="0"/>
      <w:marRight w:val="0"/>
      <w:marTop w:val="0"/>
      <w:marBottom w:val="0"/>
      <w:divBdr>
        <w:top w:val="none" w:sz="0" w:space="0" w:color="auto"/>
        <w:left w:val="none" w:sz="0" w:space="0" w:color="auto"/>
        <w:bottom w:val="none" w:sz="0" w:space="0" w:color="auto"/>
        <w:right w:val="none" w:sz="0" w:space="0" w:color="auto"/>
      </w:divBdr>
    </w:div>
    <w:div w:id="1000278596">
      <w:bodyDiv w:val="1"/>
      <w:marLeft w:val="0"/>
      <w:marRight w:val="0"/>
      <w:marTop w:val="0"/>
      <w:marBottom w:val="0"/>
      <w:divBdr>
        <w:top w:val="none" w:sz="0" w:space="0" w:color="auto"/>
        <w:left w:val="none" w:sz="0" w:space="0" w:color="auto"/>
        <w:bottom w:val="none" w:sz="0" w:space="0" w:color="auto"/>
        <w:right w:val="none" w:sz="0" w:space="0" w:color="auto"/>
      </w:divBdr>
    </w:div>
    <w:div w:id="1054887768">
      <w:bodyDiv w:val="1"/>
      <w:marLeft w:val="0"/>
      <w:marRight w:val="0"/>
      <w:marTop w:val="0"/>
      <w:marBottom w:val="0"/>
      <w:divBdr>
        <w:top w:val="none" w:sz="0" w:space="0" w:color="auto"/>
        <w:left w:val="none" w:sz="0" w:space="0" w:color="auto"/>
        <w:bottom w:val="none" w:sz="0" w:space="0" w:color="auto"/>
        <w:right w:val="none" w:sz="0" w:space="0" w:color="auto"/>
      </w:divBdr>
    </w:div>
    <w:div w:id="1075973767">
      <w:bodyDiv w:val="1"/>
      <w:marLeft w:val="0"/>
      <w:marRight w:val="0"/>
      <w:marTop w:val="0"/>
      <w:marBottom w:val="0"/>
      <w:divBdr>
        <w:top w:val="none" w:sz="0" w:space="0" w:color="auto"/>
        <w:left w:val="none" w:sz="0" w:space="0" w:color="auto"/>
        <w:bottom w:val="none" w:sz="0" w:space="0" w:color="auto"/>
        <w:right w:val="none" w:sz="0" w:space="0" w:color="auto"/>
      </w:divBdr>
    </w:div>
    <w:div w:id="1096903798">
      <w:bodyDiv w:val="1"/>
      <w:marLeft w:val="0"/>
      <w:marRight w:val="0"/>
      <w:marTop w:val="0"/>
      <w:marBottom w:val="0"/>
      <w:divBdr>
        <w:top w:val="none" w:sz="0" w:space="0" w:color="auto"/>
        <w:left w:val="none" w:sz="0" w:space="0" w:color="auto"/>
        <w:bottom w:val="none" w:sz="0" w:space="0" w:color="auto"/>
        <w:right w:val="none" w:sz="0" w:space="0" w:color="auto"/>
      </w:divBdr>
    </w:div>
    <w:div w:id="1101678595">
      <w:bodyDiv w:val="1"/>
      <w:marLeft w:val="0"/>
      <w:marRight w:val="0"/>
      <w:marTop w:val="0"/>
      <w:marBottom w:val="0"/>
      <w:divBdr>
        <w:top w:val="none" w:sz="0" w:space="0" w:color="auto"/>
        <w:left w:val="none" w:sz="0" w:space="0" w:color="auto"/>
        <w:bottom w:val="none" w:sz="0" w:space="0" w:color="auto"/>
        <w:right w:val="none" w:sz="0" w:space="0" w:color="auto"/>
      </w:divBdr>
    </w:div>
    <w:div w:id="1173303500">
      <w:bodyDiv w:val="1"/>
      <w:marLeft w:val="0"/>
      <w:marRight w:val="0"/>
      <w:marTop w:val="0"/>
      <w:marBottom w:val="0"/>
      <w:divBdr>
        <w:top w:val="none" w:sz="0" w:space="0" w:color="auto"/>
        <w:left w:val="none" w:sz="0" w:space="0" w:color="auto"/>
        <w:bottom w:val="none" w:sz="0" w:space="0" w:color="auto"/>
        <w:right w:val="none" w:sz="0" w:space="0" w:color="auto"/>
      </w:divBdr>
    </w:div>
    <w:div w:id="1371224946">
      <w:bodyDiv w:val="1"/>
      <w:marLeft w:val="0"/>
      <w:marRight w:val="0"/>
      <w:marTop w:val="0"/>
      <w:marBottom w:val="0"/>
      <w:divBdr>
        <w:top w:val="none" w:sz="0" w:space="0" w:color="auto"/>
        <w:left w:val="none" w:sz="0" w:space="0" w:color="auto"/>
        <w:bottom w:val="none" w:sz="0" w:space="0" w:color="auto"/>
        <w:right w:val="none" w:sz="0" w:space="0" w:color="auto"/>
      </w:divBdr>
    </w:div>
    <w:div w:id="1457944080">
      <w:bodyDiv w:val="1"/>
      <w:marLeft w:val="0"/>
      <w:marRight w:val="0"/>
      <w:marTop w:val="0"/>
      <w:marBottom w:val="0"/>
      <w:divBdr>
        <w:top w:val="none" w:sz="0" w:space="0" w:color="auto"/>
        <w:left w:val="none" w:sz="0" w:space="0" w:color="auto"/>
        <w:bottom w:val="none" w:sz="0" w:space="0" w:color="auto"/>
        <w:right w:val="none" w:sz="0" w:space="0" w:color="auto"/>
      </w:divBdr>
    </w:div>
    <w:div w:id="1524368514">
      <w:bodyDiv w:val="1"/>
      <w:marLeft w:val="0"/>
      <w:marRight w:val="0"/>
      <w:marTop w:val="0"/>
      <w:marBottom w:val="0"/>
      <w:divBdr>
        <w:top w:val="none" w:sz="0" w:space="0" w:color="auto"/>
        <w:left w:val="none" w:sz="0" w:space="0" w:color="auto"/>
        <w:bottom w:val="none" w:sz="0" w:space="0" w:color="auto"/>
        <w:right w:val="none" w:sz="0" w:space="0" w:color="auto"/>
      </w:divBdr>
    </w:div>
    <w:div w:id="1837383175">
      <w:bodyDiv w:val="1"/>
      <w:marLeft w:val="0"/>
      <w:marRight w:val="0"/>
      <w:marTop w:val="0"/>
      <w:marBottom w:val="0"/>
      <w:divBdr>
        <w:top w:val="none" w:sz="0" w:space="0" w:color="auto"/>
        <w:left w:val="none" w:sz="0" w:space="0" w:color="auto"/>
        <w:bottom w:val="none" w:sz="0" w:space="0" w:color="auto"/>
        <w:right w:val="none" w:sz="0" w:space="0" w:color="auto"/>
      </w:divBdr>
    </w:div>
    <w:div w:id="212711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cat.int/Documents/Recs/compendiopdf-f/2022-11-f.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2_2025/n_2/CV08202000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dbbba7182dd98842936238bb6870527c">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45bdc93baa632bf093b7bc833e7f5552"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D5384-C010-452F-8AEA-8D381685422F}">
  <ds:schemaRefs>
    <ds:schemaRef ds:uri="http://schemas.openxmlformats.org/officeDocument/2006/bibliography"/>
  </ds:schemaRefs>
</ds:datastoreItem>
</file>

<file path=customXml/itemProps2.xml><?xml version="1.0" encoding="utf-8"?>
<ds:datastoreItem xmlns:ds="http://schemas.openxmlformats.org/officeDocument/2006/customXml" ds:itemID="{70826082-D536-4960-94DE-FBF34210C60E}">
  <ds:schemaRefs>
    <ds:schemaRef ds:uri="http://schemas.microsoft.com/sharepoint/v3/contenttype/forms"/>
  </ds:schemaRefs>
</ds:datastoreItem>
</file>

<file path=customXml/itemProps3.xml><?xml version="1.0" encoding="utf-8"?>
<ds:datastoreItem xmlns:ds="http://schemas.openxmlformats.org/officeDocument/2006/customXml" ds:itemID="{E7868C8E-5331-42E2-8DE1-EFF1A002F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1EDFC-2AE8-4293-945F-D05635D4C4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5180</Words>
  <Characters>29531</Characters>
  <Application>Microsoft Office Word</Application>
  <DocSecurity>0</DocSecurity>
  <Lines>246</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Christine Peyre</cp:lastModifiedBy>
  <cp:revision>93</cp:revision>
  <dcterms:created xsi:type="dcterms:W3CDTF">2025-11-24T08:29:00Z</dcterms:created>
  <dcterms:modified xsi:type="dcterms:W3CDTF">2025-11-24T10:40:00Z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y fmtid="{D5CDD505-2E9C-101B-9397-08002B2CF9AE}" pid="3" name="ContentRemapped">
    <vt:lpwstr>true</vt:lpwstr>
  </property>
</Properties>
</file>