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66089" w14:textId="77777777" w:rsidR="00F836C4" w:rsidRPr="00F836C4" w:rsidRDefault="00F836C4" w:rsidP="00F836C4">
      <w:pPr>
        <w:shd w:val="clear" w:color="auto" w:fill="FFFFFF"/>
        <w:suppressAutoHyphens/>
        <w:autoSpaceDN w:val="0"/>
        <w:textAlignment w:val="baseline"/>
        <w:rPr>
          <w:rFonts w:ascii="Cambria" w:eastAsia="Times New Roman" w:hAnsi="Cambria" w:cs="Times New Roman"/>
          <w:b/>
          <w:color w:val="000000"/>
          <w:kern w:val="3"/>
          <w:sz w:val="20"/>
          <w:szCs w:val="20"/>
          <w:lang w:eastAsia="zh-CN" w:bidi="hi-IN"/>
        </w:rPr>
      </w:pPr>
    </w:p>
    <w:p w14:paraId="3DE0FE62" w14:textId="77777777" w:rsidR="00564468" w:rsidRPr="00564468" w:rsidRDefault="00564468" w:rsidP="00564468">
      <w:pPr>
        <w:spacing w:line="276" w:lineRule="auto"/>
        <w:jc w:val="center"/>
        <w:rPr>
          <w:rFonts w:ascii="Cambria" w:eastAsia="Cambria" w:hAnsi="Cambria" w:cs="Cambria"/>
          <w:b/>
          <w:sz w:val="20"/>
          <w:szCs w:val="22"/>
        </w:rPr>
      </w:pPr>
      <w:r w:rsidRPr="00564468">
        <w:rPr>
          <w:rFonts w:ascii="Cambria" w:eastAsia="Cambria" w:hAnsi="Cambria" w:cs="Cambria"/>
          <w:b/>
          <w:sz w:val="20"/>
          <w:szCs w:val="22"/>
        </w:rPr>
        <w:t>Portada para acompañar nuevas propuestas</w:t>
      </w:r>
    </w:p>
    <w:p w14:paraId="7AA72DCA" w14:textId="77777777" w:rsidR="00F836C4" w:rsidRPr="00F836C4" w:rsidRDefault="00F836C4" w:rsidP="00F836C4">
      <w:pPr>
        <w:widowControl w:val="0"/>
        <w:autoSpaceDE w:val="0"/>
        <w:autoSpaceDN w:val="0"/>
        <w:ind w:left="487" w:right="392"/>
        <w:jc w:val="center"/>
        <w:rPr>
          <w:rFonts w:ascii="Cambria" w:eastAsia="Cambria" w:hAnsi="Cambria" w:cs="Cambria"/>
          <w:b/>
          <w:sz w:val="20"/>
          <w:szCs w:val="20"/>
        </w:rPr>
      </w:pPr>
    </w:p>
    <w:p w14:paraId="7A94A7DF" w14:textId="1F7357A7" w:rsidR="00F836C4" w:rsidRPr="00F836C4" w:rsidRDefault="00F836C4" w:rsidP="00F836C4">
      <w:pPr>
        <w:widowControl w:val="0"/>
        <w:jc w:val="center"/>
        <w:rPr>
          <w:rFonts w:ascii="Cambria" w:eastAsia="Cambria" w:hAnsi="Cambria" w:cs="Cambria"/>
          <w:i/>
          <w:sz w:val="20"/>
          <w:szCs w:val="20"/>
        </w:rPr>
      </w:pPr>
      <w:r>
        <w:rPr>
          <w:rFonts w:ascii="Cambria" w:hAnsi="Cambria"/>
          <w:i/>
          <w:sz w:val="20"/>
        </w:rPr>
        <w:t>(presentado por la Unión Europea)</w:t>
      </w:r>
    </w:p>
    <w:p w14:paraId="25EF21A0" w14:textId="77777777" w:rsidR="00081FE8" w:rsidRPr="0027098D" w:rsidRDefault="00081FE8" w:rsidP="009843C2">
      <w:pPr>
        <w:jc w:val="both"/>
        <w:rPr>
          <w:rFonts w:ascii="Cambria" w:hAnsi="Cambria"/>
          <w:b/>
          <w:bCs/>
          <w:sz w:val="20"/>
          <w:szCs w:val="20"/>
        </w:rPr>
      </w:pPr>
    </w:p>
    <w:p w14:paraId="605058EE" w14:textId="77777777" w:rsidR="00081FE8" w:rsidRPr="0027098D" w:rsidRDefault="00081FE8" w:rsidP="009843C2">
      <w:pPr>
        <w:jc w:val="both"/>
        <w:rPr>
          <w:rFonts w:ascii="Cambria" w:hAnsi="Cambria"/>
          <w:b/>
          <w:bCs/>
          <w:sz w:val="20"/>
          <w:szCs w:val="20"/>
        </w:rPr>
      </w:pPr>
    </w:p>
    <w:p w14:paraId="38594CDA" w14:textId="311298BB" w:rsidR="00F4679E" w:rsidRPr="0027098D" w:rsidRDefault="00564468" w:rsidP="0027098D">
      <w:pPr>
        <w:widowControl w:val="0"/>
        <w:suppressAutoHyphens/>
        <w:autoSpaceDE w:val="0"/>
        <w:autoSpaceDN w:val="0"/>
        <w:spacing w:after="120"/>
        <w:contextualSpacing/>
        <w:jc w:val="both"/>
        <w:rPr>
          <w:rFonts w:ascii="Cambria" w:hAnsi="Cambria"/>
          <w:color w:val="EE0000"/>
          <w:sz w:val="20"/>
          <w:szCs w:val="20"/>
        </w:rPr>
      </w:pPr>
      <w:r w:rsidRPr="004419CA">
        <w:rPr>
          <w:rFonts w:ascii="Cambria" w:eastAsia="Cambria" w:hAnsi="Cambria" w:cs="Cambria"/>
          <w:b/>
          <w:sz w:val="20"/>
        </w:rPr>
        <w:t>Título de la propuesta de Proyecto de Recomendación/Resolución:</w:t>
      </w:r>
      <w:r w:rsidRPr="004419CA">
        <w:rPr>
          <w:rFonts w:ascii="Cambria" w:eastAsia="Cambria" w:hAnsi="Cambria" w:cs="Cambria"/>
          <w:bCs/>
          <w:color w:val="FF0000"/>
          <w:sz w:val="20"/>
        </w:rPr>
        <w:t xml:space="preserve"> </w:t>
      </w:r>
      <w:r w:rsidR="009843C2">
        <w:rPr>
          <w:rFonts w:ascii="Cambria" w:hAnsi="Cambria"/>
          <w:color w:val="EE0000"/>
          <w:sz w:val="20"/>
        </w:rPr>
        <w:t>Proyecto de Resolución de ICCAT sobre objetivos operativos de ordenación para el tiburón azul del Atlántico</w:t>
      </w:r>
    </w:p>
    <w:p w14:paraId="72712BB1" w14:textId="77777777" w:rsidR="00F4679E" w:rsidRPr="0027098D" w:rsidRDefault="00F4679E" w:rsidP="009843C2">
      <w:pPr>
        <w:ind w:left="318"/>
        <w:jc w:val="both"/>
        <w:rPr>
          <w:rFonts w:ascii="Cambria" w:hAnsi="Cambria"/>
          <w:sz w:val="20"/>
          <w:szCs w:val="20"/>
        </w:rPr>
      </w:pPr>
    </w:p>
    <w:p w14:paraId="0B89C191" w14:textId="43456EC7" w:rsidR="009843C2" w:rsidRPr="0027098D" w:rsidRDefault="00564468" w:rsidP="00564468">
      <w:pPr>
        <w:jc w:val="both"/>
        <w:rPr>
          <w:rFonts w:ascii="Cambria" w:hAnsi="Cambria"/>
          <w:sz w:val="20"/>
          <w:szCs w:val="20"/>
        </w:rPr>
      </w:pPr>
      <w:r w:rsidRPr="004419CA">
        <w:rPr>
          <w:rFonts w:ascii="Cambria" w:eastAsia="Cambria" w:hAnsi="Cambria" w:cs="Cambria"/>
          <w:b/>
          <w:sz w:val="20"/>
        </w:rPr>
        <w:t xml:space="preserve">Título de la(s) recomendación(es) o resolución(es) actualmente vigente(s) que aborda(n) la misma cuestión o cuestiones relacionadas: </w:t>
      </w:r>
    </w:p>
    <w:p w14:paraId="3ED3956B" w14:textId="77777777" w:rsidR="009843C2" w:rsidRPr="0027098D" w:rsidRDefault="009843C2" w:rsidP="009843C2">
      <w:pPr>
        <w:ind w:left="318"/>
        <w:jc w:val="both"/>
        <w:rPr>
          <w:rFonts w:ascii="Cambria" w:hAnsi="Cambria"/>
          <w:sz w:val="20"/>
          <w:szCs w:val="20"/>
        </w:rPr>
      </w:pPr>
    </w:p>
    <w:p w14:paraId="4583796D" w14:textId="77777777" w:rsidR="00564468" w:rsidRPr="00564468" w:rsidRDefault="00564468" w:rsidP="00564468">
      <w:pPr>
        <w:widowControl w:val="0"/>
        <w:numPr>
          <w:ilvl w:val="0"/>
          <w:numId w:val="4"/>
        </w:numPr>
        <w:autoSpaceDE w:val="0"/>
        <w:autoSpaceDN w:val="0"/>
        <w:spacing w:after="160" w:line="259" w:lineRule="auto"/>
        <w:ind w:left="426" w:hanging="426"/>
        <w:jc w:val="both"/>
        <w:rPr>
          <w:rFonts w:ascii="Cambria" w:eastAsia="Cambria" w:hAnsi="Cambria" w:cs="Cambria"/>
          <w:color w:val="FF0000"/>
          <w:sz w:val="20"/>
          <w:szCs w:val="20"/>
        </w:rPr>
      </w:pPr>
      <w:r w:rsidRPr="00564468">
        <w:rPr>
          <w:rFonts w:ascii="Cambria" w:eastAsia="Cambria" w:hAnsi="Cambria" w:cs="Cambria"/>
          <w:sz w:val="20"/>
          <w:szCs w:val="22"/>
        </w:rPr>
        <w:t xml:space="preserve">¿Crea nuevas </w:t>
      </w:r>
      <w:r w:rsidRPr="00564468">
        <w:rPr>
          <w:rFonts w:ascii="Cambria" w:eastAsia="Cambria" w:hAnsi="Cambria" w:cs="Cambria"/>
          <w:b/>
          <w:sz w:val="20"/>
          <w:szCs w:val="22"/>
        </w:rPr>
        <w:t xml:space="preserve">obligaciones de comunicación </w:t>
      </w:r>
      <w:r w:rsidRPr="00564468">
        <w:rPr>
          <w:rFonts w:ascii="Cambria" w:eastAsia="Cambria" w:hAnsi="Cambria" w:cs="Cambria"/>
          <w:sz w:val="20"/>
          <w:szCs w:val="22"/>
        </w:rPr>
        <w:t xml:space="preserve">para las CPC?     Sí </w:t>
      </w:r>
      <w:sdt>
        <w:sdtPr>
          <w:rPr>
            <w:rFonts w:ascii="Cambria" w:eastAsia="Cambria" w:hAnsi="Cambria" w:cs="Cambria"/>
            <w:sz w:val="20"/>
            <w:szCs w:val="22"/>
          </w:rPr>
          <w:id w:val="279852826"/>
          <w14:checkbox>
            <w14:checked w14:val="0"/>
            <w14:checkedState w14:val="2612" w14:font="MS Gothic"/>
            <w14:uncheckedState w14:val="2610" w14:font="MS Gothic"/>
          </w14:checkbox>
        </w:sdtPr>
        <w:sdtContent>
          <w:r w:rsidRPr="00564468">
            <w:rPr>
              <w:rFonts w:ascii="Segoe UI Symbol" w:eastAsia="Cambria" w:hAnsi="Segoe UI Symbol" w:cs="Segoe UI Symbol"/>
              <w:sz w:val="20"/>
              <w:szCs w:val="22"/>
            </w:rPr>
            <w:t>☐</w:t>
          </w:r>
        </w:sdtContent>
      </w:sdt>
      <w:r w:rsidRPr="00564468">
        <w:rPr>
          <w:rFonts w:ascii="Cambria" w:eastAsia="Cambria" w:hAnsi="Cambria" w:cs="Cambria"/>
          <w:sz w:val="20"/>
          <w:szCs w:val="22"/>
        </w:rPr>
        <w:tab/>
      </w:r>
      <w:r w:rsidRPr="00564468">
        <w:rPr>
          <w:rFonts w:ascii="Cambria" w:eastAsia="Cambria" w:hAnsi="Cambria" w:cs="Cambria"/>
          <w:color w:val="FF0000"/>
          <w:sz w:val="20"/>
          <w:szCs w:val="22"/>
        </w:rPr>
        <w:t xml:space="preserve">No </w:t>
      </w:r>
      <w:sdt>
        <w:sdtPr>
          <w:rPr>
            <w:rFonts w:ascii="Cambria" w:eastAsia="Cambria" w:hAnsi="Cambria" w:cs="Cambria"/>
            <w:color w:val="FF0000"/>
            <w:spacing w:val="-2"/>
            <w:sz w:val="20"/>
            <w:szCs w:val="20"/>
          </w:rPr>
          <w:id w:val="-1068185848"/>
          <w14:checkbox>
            <w14:checked w14:val="1"/>
            <w14:checkedState w14:val="2612" w14:font="MS Gothic"/>
            <w14:uncheckedState w14:val="2610" w14:font="MS Gothic"/>
          </w14:checkbox>
        </w:sdtPr>
        <w:sdtContent>
          <w:r w:rsidRPr="00564468">
            <w:rPr>
              <w:rFonts w:ascii="Segoe UI Symbol" w:eastAsia="Cambria" w:hAnsi="Segoe UI Symbol" w:cs="Segoe UI Symbol"/>
              <w:color w:val="FF0000"/>
              <w:spacing w:val="-2"/>
              <w:sz w:val="20"/>
              <w:szCs w:val="20"/>
            </w:rPr>
            <w:t>☒</w:t>
          </w:r>
        </w:sdtContent>
      </w:sdt>
    </w:p>
    <w:p w14:paraId="34BC744F" w14:textId="77777777" w:rsidR="00564468" w:rsidRPr="00564468" w:rsidRDefault="00564468" w:rsidP="00564468">
      <w:pPr>
        <w:widowControl w:val="0"/>
        <w:autoSpaceDE w:val="0"/>
        <w:autoSpaceDN w:val="0"/>
        <w:ind w:left="426"/>
        <w:jc w:val="both"/>
        <w:rPr>
          <w:rFonts w:ascii="Cambria" w:eastAsia="Cambria" w:hAnsi="Cambria" w:cs="Cambria"/>
          <w:sz w:val="20"/>
          <w:szCs w:val="22"/>
        </w:rPr>
      </w:pPr>
      <w:r w:rsidRPr="00564468">
        <w:rPr>
          <w:rFonts w:ascii="Cambria" w:eastAsia="Cambria" w:hAnsi="Cambria" w:cs="Cambria"/>
          <w:sz w:val="20"/>
          <w:szCs w:val="22"/>
        </w:rPr>
        <w:t xml:space="preserve">Breve descripción de la(s) nueva(s) obligación(es) de comunicación: </w:t>
      </w:r>
    </w:p>
    <w:p w14:paraId="311BFDA4" w14:textId="77777777" w:rsidR="00EB5D50" w:rsidRPr="0027098D" w:rsidRDefault="00EB5D50" w:rsidP="00FF7123">
      <w:pPr>
        <w:rPr>
          <w:rFonts w:ascii="Cambria" w:hAnsi="Cambria"/>
          <w:sz w:val="20"/>
          <w:szCs w:val="20"/>
        </w:rPr>
      </w:pPr>
    </w:p>
    <w:p w14:paraId="26BD8FA2" w14:textId="6F9864E4" w:rsidR="00564468" w:rsidRPr="00564468" w:rsidRDefault="00564468" w:rsidP="00564468">
      <w:pPr>
        <w:widowControl w:val="0"/>
        <w:numPr>
          <w:ilvl w:val="0"/>
          <w:numId w:val="4"/>
        </w:numPr>
        <w:tabs>
          <w:tab w:val="left" w:pos="6804"/>
        </w:tabs>
        <w:autoSpaceDE w:val="0"/>
        <w:autoSpaceDN w:val="0"/>
        <w:spacing w:after="160" w:line="259" w:lineRule="auto"/>
        <w:ind w:left="426" w:hanging="426"/>
        <w:jc w:val="both"/>
        <w:rPr>
          <w:rFonts w:ascii="Cambria" w:eastAsia="Cambria" w:hAnsi="Cambria" w:cs="Cambria"/>
          <w:sz w:val="20"/>
          <w:szCs w:val="20"/>
        </w:rPr>
      </w:pPr>
      <w:r w:rsidRPr="00564468">
        <w:rPr>
          <w:rFonts w:ascii="Cambria" w:eastAsia="Cambria" w:hAnsi="Cambria" w:cs="Cambria"/>
          <w:sz w:val="20"/>
          <w:szCs w:val="22"/>
        </w:rPr>
        <w:t xml:space="preserve">¿Requiere aportaciones o </w:t>
      </w:r>
      <w:r w:rsidRPr="00564468">
        <w:rPr>
          <w:rFonts w:ascii="Cambria" w:eastAsia="Cambria" w:hAnsi="Cambria" w:cs="Cambria"/>
          <w:b/>
          <w:sz w:val="20"/>
          <w:szCs w:val="22"/>
        </w:rPr>
        <w:t xml:space="preserve">trabajo </w:t>
      </w:r>
      <w:r w:rsidRPr="00564468">
        <w:rPr>
          <w:rFonts w:ascii="Cambria" w:eastAsia="Cambria" w:hAnsi="Cambria" w:cs="Cambria"/>
          <w:bCs/>
          <w:sz w:val="20"/>
          <w:szCs w:val="22"/>
        </w:rPr>
        <w:t>adicional</w:t>
      </w:r>
      <w:r w:rsidRPr="00564468">
        <w:rPr>
          <w:rFonts w:ascii="Cambria" w:eastAsia="Cambria" w:hAnsi="Cambria" w:cs="Cambria"/>
          <w:b/>
          <w:sz w:val="20"/>
          <w:szCs w:val="22"/>
        </w:rPr>
        <w:t xml:space="preserve"> por parte del SCRS</w:t>
      </w:r>
      <w:r w:rsidRPr="00564468">
        <w:rPr>
          <w:rFonts w:ascii="Cambria" w:eastAsia="Cambria" w:hAnsi="Cambria" w:cs="Cambria"/>
          <w:sz w:val="20"/>
          <w:szCs w:val="22"/>
        </w:rPr>
        <w:t xml:space="preserve">?  </w:t>
      </w:r>
      <w:r w:rsidRPr="00564468">
        <w:rPr>
          <w:rFonts w:ascii="Cambria" w:eastAsia="Cambria" w:hAnsi="Cambria" w:cs="Cambria"/>
          <w:color w:val="EE0000"/>
          <w:sz w:val="20"/>
          <w:szCs w:val="22"/>
        </w:rPr>
        <w:t xml:space="preserve">Sí </w:t>
      </w:r>
      <w:sdt>
        <w:sdtPr>
          <w:rPr>
            <w:rFonts w:ascii="Cambria" w:eastAsia="Cambria" w:hAnsi="Cambria" w:cs="Cambria"/>
            <w:color w:val="EE0000"/>
            <w:sz w:val="20"/>
            <w:szCs w:val="22"/>
          </w:rPr>
          <w:id w:val="89124157"/>
          <w14:checkbox>
            <w14:checked w14:val="1"/>
            <w14:checkedState w14:val="2612" w14:font="MS Gothic"/>
            <w14:uncheckedState w14:val="2610" w14:font="MS Gothic"/>
          </w14:checkbox>
        </w:sdtPr>
        <w:sdtContent>
          <w:r w:rsidRPr="00564468">
            <w:rPr>
              <w:rFonts w:ascii="MS Gothic" w:eastAsia="MS Gothic" w:hAnsi="MS Gothic" w:cs="Cambria" w:hint="eastAsia"/>
              <w:color w:val="EE0000"/>
              <w:sz w:val="20"/>
              <w:szCs w:val="22"/>
            </w:rPr>
            <w:t>☒</w:t>
          </w:r>
        </w:sdtContent>
      </w:sdt>
      <w:r w:rsidRPr="00564468">
        <w:rPr>
          <w:rFonts w:ascii="Cambria" w:eastAsia="Cambria" w:hAnsi="Cambria" w:cs="Cambria"/>
          <w:sz w:val="20"/>
          <w:szCs w:val="22"/>
        </w:rPr>
        <w:tab/>
        <w:t xml:space="preserve">No </w:t>
      </w:r>
      <w:sdt>
        <w:sdtPr>
          <w:rPr>
            <w:rFonts w:ascii="Cambria" w:eastAsia="Cambria" w:hAnsi="Cambria" w:cs="Cambria"/>
            <w:spacing w:val="-2"/>
            <w:sz w:val="20"/>
            <w:szCs w:val="20"/>
          </w:rPr>
          <w:id w:val="-1209718574"/>
          <w14:checkbox>
            <w14:checked w14:val="0"/>
            <w14:checkedState w14:val="2612" w14:font="MS Gothic"/>
            <w14:uncheckedState w14:val="2610" w14:font="MS Gothic"/>
          </w14:checkbox>
        </w:sdtPr>
        <w:sdtEndPr>
          <w:rPr>
            <w:color w:val="FF0000"/>
          </w:rPr>
        </w:sdtEndPr>
        <w:sdtContent>
          <w:r w:rsidRPr="00564468">
            <w:rPr>
              <w:rFonts w:ascii="MS Gothic" w:eastAsia="MS Gothic" w:hAnsi="MS Gothic" w:cs="Cambria" w:hint="eastAsia"/>
              <w:spacing w:val="-2"/>
              <w:sz w:val="20"/>
              <w:szCs w:val="20"/>
            </w:rPr>
            <w:t>☐</w:t>
          </w:r>
        </w:sdtContent>
      </w:sdt>
    </w:p>
    <w:p w14:paraId="513BF352" w14:textId="77777777" w:rsidR="00564468" w:rsidRPr="00564468" w:rsidRDefault="00564468" w:rsidP="00564468">
      <w:pPr>
        <w:widowControl w:val="0"/>
        <w:autoSpaceDE w:val="0"/>
        <w:autoSpaceDN w:val="0"/>
        <w:ind w:left="360"/>
        <w:rPr>
          <w:rFonts w:ascii="Cambria" w:eastAsia="Cambria" w:hAnsi="Cambria" w:cs="Cambria"/>
          <w:sz w:val="20"/>
          <w:szCs w:val="20"/>
        </w:rPr>
      </w:pPr>
    </w:p>
    <w:p w14:paraId="03F276D8" w14:textId="44AE9B73" w:rsidR="00564468" w:rsidRPr="00564468" w:rsidRDefault="00564468" w:rsidP="00564468">
      <w:pPr>
        <w:widowControl w:val="0"/>
        <w:tabs>
          <w:tab w:val="left" w:pos="6804"/>
          <w:tab w:val="left" w:pos="7371"/>
        </w:tabs>
        <w:autoSpaceDE w:val="0"/>
        <w:autoSpaceDN w:val="0"/>
        <w:ind w:left="360" w:firstLine="66"/>
        <w:jc w:val="both"/>
        <w:rPr>
          <w:rFonts w:ascii="Cambria" w:eastAsia="Cambria" w:hAnsi="Cambria" w:cs="Cambria"/>
          <w:sz w:val="20"/>
          <w:szCs w:val="20"/>
        </w:rPr>
      </w:pPr>
      <w:r w:rsidRPr="00564468">
        <w:rPr>
          <w:rFonts w:ascii="Cambria" w:eastAsia="Cambria" w:hAnsi="Cambria" w:cs="Cambria"/>
          <w:sz w:val="20"/>
          <w:szCs w:val="22"/>
        </w:rPr>
        <w:t>¿Está este trabajo ya incluido en el Plan de trabajo actual del SCRS?</w:t>
      </w:r>
      <w:r w:rsidRPr="00564468">
        <w:rPr>
          <w:rFonts w:ascii="Cambria" w:eastAsia="Cambria" w:hAnsi="Cambria" w:cs="Cambria"/>
          <w:sz w:val="20"/>
          <w:szCs w:val="22"/>
        </w:rPr>
        <w:tab/>
        <w:t xml:space="preserve">Sí </w:t>
      </w:r>
      <w:sdt>
        <w:sdtPr>
          <w:rPr>
            <w:rFonts w:ascii="Cambria" w:eastAsia="Cambria" w:hAnsi="Cambria" w:cs="Cambria"/>
            <w:sz w:val="20"/>
            <w:szCs w:val="22"/>
          </w:rPr>
          <w:id w:val="-1260672485"/>
          <w14:checkbox>
            <w14:checked w14:val="0"/>
            <w14:checkedState w14:val="2612" w14:font="MS Gothic"/>
            <w14:uncheckedState w14:val="2610" w14:font="MS Gothic"/>
          </w14:checkbox>
        </w:sdtPr>
        <w:sdtContent>
          <w:r w:rsidRPr="00564468">
            <w:rPr>
              <w:rFonts w:ascii="MS Gothic" w:eastAsia="MS Gothic" w:hAnsi="MS Gothic" w:cs="Cambria" w:hint="eastAsia"/>
              <w:sz w:val="20"/>
              <w:szCs w:val="22"/>
            </w:rPr>
            <w:t>☐</w:t>
          </w:r>
        </w:sdtContent>
      </w:sdt>
      <w:r w:rsidRPr="00564468">
        <w:rPr>
          <w:rFonts w:ascii="Cambria" w:eastAsia="Cambria" w:hAnsi="Cambria" w:cs="Cambria"/>
          <w:color w:val="EE0000"/>
          <w:sz w:val="20"/>
          <w:szCs w:val="22"/>
        </w:rPr>
        <w:tab/>
        <w:t xml:space="preserve">No </w:t>
      </w:r>
      <w:sdt>
        <w:sdtPr>
          <w:rPr>
            <w:rFonts w:ascii="Cambria" w:eastAsia="Cambria" w:hAnsi="Cambria" w:cs="Cambria"/>
            <w:color w:val="EE0000"/>
            <w:spacing w:val="-2"/>
            <w:sz w:val="20"/>
            <w:szCs w:val="20"/>
          </w:rPr>
          <w:id w:val="818388141"/>
          <w14:checkbox>
            <w14:checked w14:val="1"/>
            <w14:checkedState w14:val="2612" w14:font="MS Gothic"/>
            <w14:uncheckedState w14:val="2610" w14:font="MS Gothic"/>
          </w14:checkbox>
        </w:sdtPr>
        <w:sdtContent>
          <w:r w:rsidRPr="00564468">
            <w:rPr>
              <w:rFonts w:ascii="MS Gothic" w:eastAsia="MS Gothic" w:hAnsi="MS Gothic" w:cs="Cambria" w:hint="eastAsia"/>
              <w:color w:val="EE0000"/>
              <w:spacing w:val="-2"/>
              <w:sz w:val="20"/>
              <w:szCs w:val="20"/>
            </w:rPr>
            <w:t>☒</w:t>
          </w:r>
        </w:sdtContent>
      </w:sdt>
    </w:p>
    <w:p w14:paraId="07C5FF15" w14:textId="77777777" w:rsidR="00564468" w:rsidRPr="00564468" w:rsidRDefault="00564468" w:rsidP="00564468">
      <w:pPr>
        <w:widowControl w:val="0"/>
        <w:autoSpaceDE w:val="0"/>
        <w:autoSpaceDN w:val="0"/>
        <w:ind w:left="360"/>
        <w:rPr>
          <w:rFonts w:ascii="Cambria" w:eastAsia="Cambria" w:hAnsi="Cambria" w:cs="Cambria"/>
          <w:sz w:val="20"/>
          <w:szCs w:val="20"/>
        </w:rPr>
      </w:pPr>
    </w:p>
    <w:p w14:paraId="576FD673" w14:textId="51D78E76" w:rsidR="009843C2" w:rsidRDefault="00564468" w:rsidP="00564468">
      <w:pPr>
        <w:widowControl w:val="0"/>
        <w:suppressAutoHyphens/>
        <w:autoSpaceDE w:val="0"/>
        <w:autoSpaceDN w:val="0"/>
        <w:ind w:left="426"/>
        <w:jc w:val="both"/>
        <w:rPr>
          <w:rFonts w:ascii="Cambria" w:eastAsia="Cambria" w:hAnsi="Cambria" w:cs="Cambria"/>
          <w:sz w:val="20"/>
          <w:szCs w:val="22"/>
        </w:rPr>
      </w:pPr>
      <w:r w:rsidRPr="00564468">
        <w:rPr>
          <w:rFonts w:ascii="Cambria" w:eastAsia="Cambria" w:hAnsi="Cambria" w:cs="Cambria"/>
          <w:sz w:val="20"/>
          <w:szCs w:val="22"/>
        </w:rPr>
        <w:t xml:space="preserve">Breve descripción del nuevo trabajo científico necesario (es decir, evaluación del stock, análisis, consultor externo): </w:t>
      </w:r>
    </w:p>
    <w:p w14:paraId="102066EA" w14:textId="77777777" w:rsidR="00564468" w:rsidRPr="004C149C" w:rsidRDefault="00564468" w:rsidP="00564468">
      <w:pPr>
        <w:widowControl w:val="0"/>
        <w:suppressAutoHyphens/>
        <w:autoSpaceDE w:val="0"/>
        <w:autoSpaceDN w:val="0"/>
        <w:ind w:left="426"/>
        <w:jc w:val="both"/>
        <w:rPr>
          <w:rFonts w:ascii="Cambria" w:eastAsia="Cambria" w:hAnsi="Cambria" w:cs="Cambria"/>
          <w:sz w:val="20"/>
          <w:szCs w:val="20"/>
        </w:rPr>
      </w:pPr>
    </w:p>
    <w:p w14:paraId="7882E705" w14:textId="007C65DB" w:rsidR="009843C2" w:rsidRPr="004C149C" w:rsidRDefault="009843C2" w:rsidP="004C149C">
      <w:pPr>
        <w:ind w:left="426"/>
        <w:jc w:val="both"/>
        <w:rPr>
          <w:rFonts w:ascii="Cambria" w:hAnsi="Cambria"/>
          <w:color w:val="EE0000"/>
          <w:sz w:val="20"/>
          <w:szCs w:val="20"/>
        </w:rPr>
      </w:pPr>
      <w:r>
        <w:rPr>
          <w:rFonts w:ascii="Cambria" w:hAnsi="Cambria"/>
          <w:color w:val="EE0000"/>
          <w:sz w:val="20"/>
        </w:rPr>
        <w:t xml:space="preserve">La adopción de objetivos de ordenación para el tiburón azul servirá de orientación al SCRS en su trabajo actual en relación con el desarrollo de la MSE para ambos stocks (Atlántico norte y sur). La definición de objetivos permitirá racionalizar el trabajo del SCRS y orientarle sobre indicadores de </w:t>
      </w:r>
      <w:r w:rsidR="00564468">
        <w:rPr>
          <w:rFonts w:ascii="Cambria" w:hAnsi="Cambria"/>
          <w:color w:val="EE0000"/>
          <w:sz w:val="20"/>
        </w:rPr>
        <w:t>desempeño</w:t>
      </w:r>
      <w:r>
        <w:rPr>
          <w:rFonts w:ascii="Cambria" w:hAnsi="Cambria"/>
          <w:color w:val="EE0000"/>
          <w:sz w:val="20"/>
        </w:rPr>
        <w:t xml:space="preserve"> específicos para evaluar los procedimientos de ordenación. </w:t>
      </w:r>
    </w:p>
    <w:p w14:paraId="14E77BB0" w14:textId="77777777" w:rsidR="009843C2" w:rsidRPr="0027098D" w:rsidRDefault="009843C2" w:rsidP="00FF7123">
      <w:pPr>
        <w:rPr>
          <w:rFonts w:ascii="Cambria" w:hAnsi="Cambria"/>
          <w:sz w:val="20"/>
          <w:szCs w:val="20"/>
        </w:rPr>
      </w:pPr>
    </w:p>
    <w:p w14:paraId="4DB119EB" w14:textId="77777777" w:rsidR="00564468" w:rsidRPr="00564468" w:rsidRDefault="00564468" w:rsidP="00564468">
      <w:pPr>
        <w:widowControl w:val="0"/>
        <w:numPr>
          <w:ilvl w:val="0"/>
          <w:numId w:val="4"/>
        </w:numPr>
        <w:autoSpaceDE w:val="0"/>
        <w:autoSpaceDN w:val="0"/>
        <w:spacing w:after="160" w:line="259" w:lineRule="auto"/>
        <w:ind w:left="426" w:hanging="426"/>
        <w:jc w:val="both"/>
        <w:rPr>
          <w:rFonts w:ascii="Cambria" w:eastAsia="Cambria" w:hAnsi="Cambria" w:cs="Cambria"/>
          <w:sz w:val="20"/>
          <w:szCs w:val="20"/>
        </w:rPr>
      </w:pPr>
      <w:r w:rsidRPr="00564468">
        <w:rPr>
          <w:rFonts w:ascii="Cambria" w:eastAsia="Cambria" w:hAnsi="Cambria" w:cs="Cambria"/>
          <w:sz w:val="20"/>
          <w:szCs w:val="22"/>
        </w:rPr>
        <w:t xml:space="preserve">¿Implica la creación de un </w:t>
      </w:r>
      <w:r w:rsidRPr="00564468">
        <w:rPr>
          <w:rFonts w:ascii="Cambria" w:eastAsia="Cambria" w:hAnsi="Cambria" w:cs="Cambria"/>
          <w:b/>
          <w:sz w:val="20"/>
          <w:szCs w:val="22"/>
        </w:rPr>
        <w:t>nuevo grupo de trabajo o proceso intersesiones</w:t>
      </w:r>
      <w:r w:rsidRPr="00564468">
        <w:rPr>
          <w:rFonts w:ascii="Cambria" w:eastAsia="Cambria" w:hAnsi="Cambria" w:cs="Cambria"/>
          <w:sz w:val="20"/>
          <w:szCs w:val="22"/>
        </w:rPr>
        <w:t xml:space="preserve">?    Sí </w:t>
      </w:r>
      <w:sdt>
        <w:sdtPr>
          <w:rPr>
            <w:rFonts w:ascii="Cambria" w:eastAsia="Cambria" w:hAnsi="Cambria" w:cs="Cambria"/>
            <w:sz w:val="20"/>
            <w:szCs w:val="22"/>
          </w:rPr>
          <w:id w:val="1144702017"/>
          <w14:checkbox>
            <w14:checked w14:val="0"/>
            <w14:checkedState w14:val="2612" w14:font="MS Gothic"/>
            <w14:uncheckedState w14:val="2610" w14:font="MS Gothic"/>
          </w14:checkbox>
        </w:sdtPr>
        <w:sdtContent>
          <w:r w:rsidRPr="00564468">
            <w:rPr>
              <w:rFonts w:ascii="Segoe UI Symbol" w:eastAsia="Cambria" w:hAnsi="Segoe UI Symbol" w:cs="Segoe UI Symbol"/>
              <w:sz w:val="20"/>
              <w:szCs w:val="22"/>
            </w:rPr>
            <w:t>☐</w:t>
          </w:r>
        </w:sdtContent>
      </w:sdt>
      <w:r w:rsidRPr="00564468">
        <w:rPr>
          <w:rFonts w:ascii="Cambria" w:eastAsia="Cambria" w:hAnsi="Cambria" w:cs="Cambria"/>
          <w:sz w:val="20"/>
          <w:szCs w:val="22"/>
        </w:rPr>
        <w:tab/>
      </w:r>
      <w:r w:rsidRPr="00564468">
        <w:rPr>
          <w:rFonts w:ascii="Cambria" w:eastAsia="Cambria" w:hAnsi="Cambria" w:cs="Cambria"/>
          <w:color w:val="FF0000"/>
          <w:sz w:val="20"/>
          <w:szCs w:val="22"/>
        </w:rPr>
        <w:t xml:space="preserve">No </w:t>
      </w:r>
      <w:sdt>
        <w:sdtPr>
          <w:rPr>
            <w:rFonts w:ascii="Cambria" w:eastAsia="Cambria" w:hAnsi="Cambria" w:cs="Cambria"/>
            <w:color w:val="FF0000"/>
            <w:spacing w:val="-2"/>
            <w:sz w:val="20"/>
            <w:szCs w:val="20"/>
          </w:rPr>
          <w:id w:val="1655565838"/>
          <w14:checkbox>
            <w14:checked w14:val="1"/>
            <w14:checkedState w14:val="2612" w14:font="MS Gothic"/>
            <w14:uncheckedState w14:val="2610" w14:font="MS Gothic"/>
          </w14:checkbox>
        </w:sdtPr>
        <w:sdtContent>
          <w:r w:rsidRPr="00564468">
            <w:rPr>
              <w:rFonts w:ascii="Segoe UI Symbol" w:eastAsia="Cambria" w:hAnsi="Segoe UI Symbol" w:cs="Segoe UI Symbol"/>
              <w:color w:val="FF0000"/>
              <w:spacing w:val="-2"/>
              <w:sz w:val="20"/>
              <w:szCs w:val="20"/>
            </w:rPr>
            <w:t>☒</w:t>
          </w:r>
        </w:sdtContent>
      </w:sdt>
    </w:p>
    <w:p w14:paraId="1E3C2696" w14:textId="77777777" w:rsidR="00564468" w:rsidRPr="00564468" w:rsidRDefault="00564468" w:rsidP="00564468">
      <w:pPr>
        <w:widowControl w:val="0"/>
        <w:autoSpaceDE w:val="0"/>
        <w:autoSpaceDN w:val="0"/>
        <w:ind w:left="318"/>
        <w:rPr>
          <w:rFonts w:ascii="Cambria" w:eastAsia="Cambria" w:hAnsi="Cambria" w:cs="Cambria"/>
          <w:sz w:val="20"/>
          <w:szCs w:val="20"/>
        </w:rPr>
      </w:pPr>
    </w:p>
    <w:p w14:paraId="32EE7CBA" w14:textId="77777777" w:rsidR="00564468" w:rsidRPr="00564468" w:rsidRDefault="00564468" w:rsidP="00564468">
      <w:pPr>
        <w:widowControl w:val="0"/>
        <w:numPr>
          <w:ilvl w:val="0"/>
          <w:numId w:val="4"/>
        </w:numPr>
        <w:autoSpaceDE w:val="0"/>
        <w:autoSpaceDN w:val="0"/>
        <w:spacing w:after="160" w:line="259" w:lineRule="auto"/>
        <w:ind w:left="426" w:hanging="426"/>
        <w:jc w:val="both"/>
        <w:rPr>
          <w:rFonts w:ascii="Cambria" w:eastAsia="Cambria" w:hAnsi="Cambria" w:cs="Cambria"/>
          <w:sz w:val="20"/>
          <w:szCs w:val="20"/>
        </w:rPr>
      </w:pPr>
      <w:r w:rsidRPr="00564468">
        <w:rPr>
          <w:rFonts w:ascii="Cambria" w:eastAsia="Cambria" w:hAnsi="Cambria" w:cs="Cambria"/>
          <w:sz w:val="20"/>
          <w:szCs w:val="22"/>
        </w:rPr>
        <w:t xml:space="preserve">¿Requiere un nuevo </w:t>
      </w:r>
      <w:r w:rsidRPr="00564468">
        <w:rPr>
          <w:rFonts w:ascii="Cambria" w:eastAsia="Cambria" w:hAnsi="Cambria" w:cs="Cambria"/>
          <w:b/>
          <w:sz w:val="20"/>
          <w:szCs w:val="22"/>
        </w:rPr>
        <w:t>programa o actividades adicionales que deba gestionar la Secretaría</w:t>
      </w:r>
      <w:r w:rsidRPr="00564468">
        <w:rPr>
          <w:rFonts w:ascii="Cambria" w:eastAsia="Cambria" w:hAnsi="Cambria" w:cs="Cambria"/>
          <w:sz w:val="20"/>
          <w:szCs w:val="22"/>
        </w:rPr>
        <w:t xml:space="preserve">?  </w:t>
      </w:r>
    </w:p>
    <w:p w14:paraId="0233BBAC" w14:textId="77777777" w:rsidR="00564468" w:rsidRPr="00564468" w:rsidRDefault="00564468" w:rsidP="00564468">
      <w:pPr>
        <w:widowControl w:val="0"/>
        <w:autoSpaceDE w:val="0"/>
        <w:autoSpaceDN w:val="0"/>
        <w:ind w:left="426"/>
        <w:rPr>
          <w:rFonts w:ascii="Cambria" w:eastAsia="Cambria" w:hAnsi="Cambria" w:cs="Cambria"/>
          <w:spacing w:val="-2"/>
          <w:sz w:val="20"/>
          <w:szCs w:val="20"/>
        </w:rPr>
      </w:pPr>
    </w:p>
    <w:p w14:paraId="15B36FA2" w14:textId="77777777" w:rsidR="00564468" w:rsidRPr="00564468" w:rsidRDefault="00564468" w:rsidP="00564468">
      <w:pPr>
        <w:widowControl w:val="0"/>
        <w:autoSpaceDE w:val="0"/>
        <w:autoSpaceDN w:val="0"/>
        <w:ind w:left="318"/>
        <w:rPr>
          <w:rFonts w:ascii="Cambria" w:eastAsia="Cambria" w:hAnsi="Cambria" w:cs="Cambria"/>
          <w:color w:val="FF0000"/>
          <w:spacing w:val="-2"/>
          <w:sz w:val="20"/>
          <w:szCs w:val="20"/>
        </w:rPr>
      </w:pPr>
      <w:r w:rsidRPr="00564468">
        <w:rPr>
          <w:rFonts w:ascii="Cambria" w:eastAsia="Cambria" w:hAnsi="Cambria" w:cs="Cambria"/>
          <w:sz w:val="20"/>
          <w:szCs w:val="22"/>
        </w:rPr>
        <w:t xml:space="preserve">   Sí </w:t>
      </w:r>
      <w:sdt>
        <w:sdtPr>
          <w:rPr>
            <w:rFonts w:ascii="Cambria" w:eastAsia="Cambria" w:hAnsi="Cambria" w:cs="Cambria"/>
            <w:sz w:val="20"/>
            <w:szCs w:val="22"/>
          </w:rPr>
          <w:id w:val="1536081079"/>
          <w14:checkbox>
            <w14:checked w14:val="0"/>
            <w14:checkedState w14:val="2612" w14:font="MS Gothic"/>
            <w14:uncheckedState w14:val="2610" w14:font="MS Gothic"/>
          </w14:checkbox>
        </w:sdtPr>
        <w:sdtContent>
          <w:r w:rsidRPr="00564468">
            <w:rPr>
              <w:rFonts w:ascii="Segoe UI Symbol" w:eastAsia="Cambria" w:hAnsi="Segoe UI Symbol" w:cs="Segoe UI Symbol"/>
              <w:sz w:val="20"/>
              <w:szCs w:val="22"/>
            </w:rPr>
            <w:t>☐</w:t>
          </w:r>
        </w:sdtContent>
      </w:sdt>
      <w:r w:rsidRPr="00564468">
        <w:rPr>
          <w:rFonts w:ascii="Cambria" w:eastAsia="Cambria" w:hAnsi="Cambria" w:cs="Cambria"/>
          <w:sz w:val="20"/>
          <w:szCs w:val="22"/>
        </w:rPr>
        <w:tab/>
      </w:r>
      <w:r w:rsidRPr="00564468">
        <w:rPr>
          <w:rFonts w:ascii="Cambria" w:eastAsia="Cambria" w:hAnsi="Cambria" w:cs="Cambria"/>
          <w:color w:val="FF0000"/>
          <w:sz w:val="20"/>
          <w:szCs w:val="22"/>
        </w:rPr>
        <w:t xml:space="preserve">No </w:t>
      </w:r>
      <w:sdt>
        <w:sdtPr>
          <w:rPr>
            <w:rFonts w:ascii="Cambria" w:eastAsia="Cambria" w:hAnsi="Cambria" w:cs="Cambria"/>
            <w:color w:val="FF0000"/>
            <w:spacing w:val="-2"/>
            <w:sz w:val="20"/>
            <w:szCs w:val="20"/>
          </w:rPr>
          <w:id w:val="560759300"/>
          <w14:checkbox>
            <w14:checked w14:val="1"/>
            <w14:checkedState w14:val="2612" w14:font="MS Gothic"/>
            <w14:uncheckedState w14:val="2610" w14:font="MS Gothic"/>
          </w14:checkbox>
        </w:sdtPr>
        <w:sdtContent>
          <w:r w:rsidRPr="00564468">
            <w:rPr>
              <w:rFonts w:ascii="Segoe UI Symbol" w:eastAsia="Cambria" w:hAnsi="Segoe UI Symbol" w:cs="Segoe UI Symbol"/>
              <w:color w:val="FF0000"/>
              <w:spacing w:val="-2"/>
              <w:sz w:val="20"/>
              <w:szCs w:val="20"/>
            </w:rPr>
            <w:t>☒</w:t>
          </w:r>
        </w:sdtContent>
      </w:sdt>
    </w:p>
    <w:p w14:paraId="1FCE4B89" w14:textId="77777777" w:rsidR="00564468" w:rsidRPr="00564468" w:rsidRDefault="00564468" w:rsidP="00564468">
      <w:pPr>
        <w:widowControl w:val="0"/>
        <w:autoSpaceDE w:val="0"/>
        <w:autoSpaceDN w:val="0"/>
        <w:ind w:left="318"/>
        <w:rPr>
          <w:rFonts w:ascii="Cambria" w:eastAsia="Cambria" w:hAnsi="Cambria" w:cs="Cambria"/>
          <w:sz w:val="20"/>
          <w:szCs w:val="20"/>
        </w:rPr>
      </w:pPr>
    </w:p>
    <w:p w14:paraId="6FDE6895" w14:textId="48347B4B" w:rsidR="009843C2" w:rsidRPr="0027098D" w:rsidRDefault="00564468" w:rsidP="00564468">
      <w:pPr>
        <w:pStyle w:val="ListParagraph"/>
        <w:ind w:left="426"/>
        <w:rPr>
          <w:rFonts w:ascii="Cambria" w:hAnsi="Cambria"/>
          <w:sz w:val="20"/>
          <w:szCs w:val="20"/>
        </w:rPr>
      </w:pPr>
      <w:r w:rsidRPr="00564468">
        <w:rPr>
          <w:rFonts w:ascii="Cambria" w:eastAsia="Cambria" w:hAnsi="Cambria" w:cs="Cambria"/>
          <w:sz w:val="20"/>
          <w:szCs w:val="22"/>
        </w:rPr>
        <w:t xml:space="preserve">Breve descripción del nuevo trabajo necesario de la Secretaría: </w:t>
      </w:r>
    </w:p>
    <w:p w14:paraId="5B259270" w14:textId="77777777" w:rsidR="00564468" w:rsidRPr="00564468" w:rsidRDefault="00564468" w:rsidP="00564468">
      <w:pPr>
        <w:pStyle w:val="ListParagraph"/>
        <w:widowControl w:val="0"/>
        <w:autoSpaceDE w:val="0"/>
        <w:autoSpaceDN w:val="0"/>
        <w:ind w:left="426"/>
        <w:contextualSpacing w:val="0"/>
        <w:jc w:val="both"/>
        <w:rPr>
          <w:rFonts w:ascii="Cambria" w:hAnsi="Cambria"/>
          <w:spacing w:val="-2"/>
          <w:sz w:val="20"/>
          <w:szCs w:val="20"/>
        </w:rPr>
      </w:pPr>
    </w:p>
    <w:p w14:paraId="56B7BD1B" w14:textId="77777777" w:rsidR="00564468" w:rsidRPr="00564468" w:rsidRDefault="00564468" w:rsidP="00564468">
      <w:pPr>
        <w:widowControl w:val="0"/>
        <w:numPr>
          <w:ilvl w:val="0"/>
          <w:numId w:val="4"/>
        </w:numPr>
        <w:autoSpaceDE w:val="0"/>
        <w:autoSpaceDN w:val="0"/>
        <w:spacing w:after="160" w:line="259" w:lineRule="auto"/>
        <w:ind w:left="426" w:hanging="426"/>
        <w:jc w:val="both"/>
        <w:rPr>
          <w:rFonts w:ascii="Cambria" w:eastAsia="Cambria" w:hAnsi="Cambria" w:cs="Cambria"/>
          <w:spacing w:val="-2"/>
          <w:sz w:val="20"/>
          <w:szCs w:val="20"/>
        </w:rPr>
      </w:pPr>
      <w:r w:rsidRPr="00564468">
        <w:rPr>
          <w:rFonts w:ascii="Cambria" w:eastAsia="Cambria" w:hAnsi="Cambria" w:cs="Cambria"/>
          <w:sz w:val="20"/>
          <w:szCs w:val="22"/>
        </w:rPr>
        <w:t>¿Cuál es el calendario propuesto para la implementación? ¿Existen distintos calendarios específicos para determinadas CPC, pesquerías, regiones, etc.?</w:t>
      </w:r>
    </w:p>
    <w:p w14:paraId="2966EF44" w14:textId="4B0D8B0E" w:rsidR="009843C2" w:rsidRPr="004C149C" w:rsidRDefault="009843C2" w:rsidP="004C149C">
      <w:pPr>
        <w:ind w:left="426"/>
        <w:jc w:val="both"/>
        <w:rPr>
          <w:rFonts w:ascii="Cambria" w:hAnsi="Cambria"/>
          <w:color w:val="EE0000"/>
          <w:sz w:val="20"/>
          <w:szCs w:val="20"/>
        </w:rPr>
      </w:pPr>
      <w:r>
        <w:rPr>
          <w:rFonts w:ascii="Cambria" w:hAnsi="Cambria"/>
          <w:color w:val="EE0000"/>
          <w:sz w:val="20"/>
        </w:rPr>
        <w:t>No se requiere actuación alguna por parte de las CPC. Los objetivos provisionales de ordenación operativos se remitirán al SCRS para su revisión y evaluación a través del proceso de MSE tan pronto como se adopten. La resolución entrará en vigor</w:t>
      </w:r>
      <w:r w:rsidR="00564468">
        <w:rPr>
          <w:rFonts w:ascii="Cambria" w:hAnsi="Cambria"/>
          <w:color w:val="EE0000"/>
          <w:sz w:val="20"/>
        </w:rPr>
        <w:t xml:space="preserve"> </w:t>
      </w:r>
      <w:r>
        <w:rPr>
          <w:rFonts w:ascii="Cambria" w:hAnsi="Cambria"/>
          <w:color w:val="EE0000"/>
          <w:sz w:val="20"/>
        </w:rPr>
        <w:t>en 2026.</w:t>
      </w:r>
    </w:p>
    <w:p w14:paraId="2A27E9E2" w14:textId="77777777" w:rsidR="009843C2" w:rsidRPr="0027098D" w:rsidRDefault="009843C2" w:rsidP="009843C2">
      <w:pPr>
        <w:rPr>
          <w:rFonts w:ascii="Cambria" w:hAnsi="Cambria"/>
          <w:spacing w:val="-2"/>
          <w:sz w:val="20"/>
          <w:szCs w:val="20"/>
        </w:rPr>
      </w:pPr>
    </w:p>
    <w:p w14:paraId="3ED328A8" w14:textId="1365CCEF" w:rsidR="009843C2" w:rsidRPr="00564468" w:rsidRDefault="00564468" w:rsidP="009843C2">
      <w:pPr>
        <w:widowControl w:val="0"/>
        <w:numPr>
          <w:ilvl w:val="0"/>
          <w:numId w:val="4"/>
        </w:numPr>
        <w:autoSpaceDE w:val="0"/>
        <w:autoSpaceDN w:val="0"/>
        <w:spacing w:after="160" w:line="259" w:lineRule="auto"/>
        <w:ind w:left="426" w:hanging="426"/>
        <w:jc w:val="both"/>
        <w:rPr>
          <w:rFonts w:ascii="Cambria" w:eastAsia="Cambria" w:hAnsi="Cambria" w:cs="Cambria"/>
          <w:spacing w:val="-2"/>
          <w:sz w:val="20"/>
          <w:szCs w:val="20"/>
        </w:rPr>
      </w:pPr>
      <w:bookmarkStart w:id="0" w:name="_Hlk211955220"/>
      <w:r w:rsidRPr="00564468">
        <w:rPr>
          <w:rFonts w:ascii="Cambria" w:eastAsia="Cambria" w:hAnsi="Cambria" w:cs="Cambria"/>
          <w:sz w:val="20"/>
          <w:szCs w:val="22"/>
        </w:rPr>
        <w:t>¿Hay alguna otra información pertinente sobre las repercusiones de la propuesta en lo referente a los recursos y a la carga de trabajo?</w:t>
      </w:r>
      <w:bookmarkEnd w:id="0"/>
    </w:p>
    <w:p w14:paraId="45CB7B2A" w14:textId="3ABF9937" w:rsidR="009843C2" w:rsidRPr="004C149C" w:rsidRDefault="009843C2" w:rsidP="004C149C">
      <w:pPr>
        <w:ind w:left="426"/>
        <w:jc w:val="both"/>
        <w:rPr>
          <w:rFonts w:ascii="Cambria" w:hAnsi="Cambria"/>
          <w:color w:val="EE0000"/>
          <w:sz w:val="20"/>
          <w:szCs w:val="20"/>
        </w:rPr>
      </w:pPr>
      <w:r>
        <w:rPr>
          <w:rFonts w:ascii="Cambria" w:hAnsi="Cambria"/>
          <w:color w:val="EE0000"/>
          <w:sz w:val="20"/>
        </w:rPr>
        <w:t xml:space="preserve">La adopción de objetivos de ordenación para el tiburón azul permitirá a ICCAT y al SCRS seguir la hoja de ruta de la MSE acordada en 2024. Aunque el trabajo sobre la MSE del tiburón azul se llevará a cabo al mismo tiempo que las demás tareas pertinentes para el Grupo de especies de tiburones, la adopción de objetivos de ordenación permitirá al SCRS descartar los procedimientos de ordenación que no alcancen los objetivos. </w:t>
      </w:r>
    </w:p>
    <w:p w14:paraId="2A40D4B3" w14:textId="77777777" w:rsidR="009843C2" w:rsidRPr="0027098D" w:rsidRDefault="009843C2" w:rsidP="009843C2">
      <w:pPr>
        <w:jc w:val="both"/>
        <w:rPr>
          <w:rFonts w:ascii="Cambria" w:hAnsi="Cambria"/>
          <w:i/>
          <w:iCs/>
          <w:spacing w:val="-2"/>
          <w:sz w:val="20"/>
          <w:szCs w:val="20"/>
        </w:rPr>
      </w:pPr>
    </w:p>
    <w:p w14:paraId="142C93B9" w14:textId="77777777" w:rsidR="009843C2" w:rsidRPr="0027098D" w:rsidRDefault="009843C2" w:rsidP="009843C2">
      <w:pPr>
        <w:rPr>
          <w:rFonts w:ascii="Cambria" w:hAnsi="Cambria"/>
          <w:sz w:val="20"/>
          <w:szCs w:val="20"/>
        </w:rPr>
      </w:pPr>
    </w:p>
    <w:p w14:paraId="0D2BD8A2" w14:textId="77777777" w:rsidR="009843C2" w:rsidRPr="0027098D" w:rsidRDefault="009843C2" w:rsidP="009843C2">
      <w:pPr>
        <w:pStyle w:val="BodyText"/>
      </w:pPr>
    </w:p>
    <w:p w14:paraId="6CA0E92E" w14:textId="0E9DB5AF" w:rsidR="00B25ECD" w:rsidRPr="0027098D" w:rsidRDefault="009843C2">
      <w:pPr>
        <w:rPr>
          <w:rFonts w:ascii="Cambria" w:eastAsia="Cambria" w:hAnsi="Cambria" w:cs="Cambria"/>
          <w:b/>
          <w:bCs/>
          <w:sz w:val="20"/>
          <w:szCs w:val="20"/>
        </w:rPr>
      </w:pPr>
      <w:r>
        <w:br w:type="page"/>
      </w:r>
    </w:p>
    <w:p w14:paraId="4698DF63" w14:textId="1F05A09E" w:rsidR="00397C1A" w:rsidRDefault="00601EB8" w:rsidP="00601EB8">
      <w:pPr>
        <w:jc w:val="right"/>
        <w:rPr>
          <w:rFonts w:ascii="Cambria" w:hAnsi="Cambria"/>
          <w:b/>
          <w:bCs/>
          <w:sz w:val="20"/>
          <w:szCs w:val="20"/>
        </w:rPr>
      </w:pPr>
      <w:r>
        <w:rPr>
          <w:rFonts w:ascii="Cambria" w:hAnsi="Cambria"/>
          <w:b/>
          <w:color w:val="000000"/>
          <w:sz w:val="20"/>
        </w:rPr>
        <w:lastRenderedPageBreak/>
        <w:t>Original: inglés</w:t>
      </w:r>
    </w:p>
    <w:p w14:paraId="3C70F3EA" w14:textId="77777777" w:rsidR="00397C1A" w:rsidRDefault="00397C1A" w:rsidP="00B10E54">
      <w:pPr>
        <w:jc w:val="center"/>
        <w:rPr>
          <w:rFonts w:ascii="Cambria" w:hAnsi="Cambria"/>
          <w:b/>
          <w:bCs/>
          <w:sz w:val="20"/>
          <w:szCs w:val="20"/>
        </w:rPr>
      </w:pPr>
    </w:p>
    <w:p w14:paraId="0114A902" w14:textId="77777777" w:rsidR="00564468" w:rsidRDefault="00B25ECD" w:rsidP="00B10E54">
      <w:pPr>
        <w:jc w:val="center"/>
        <w:rPr>
          <w:rFonts w:ascii="Cambria" w:hAnsi="Cambria"/>
          <w:b/>
          <w:sz w:val="20"/>
        </w:rPr>
      </w:pPr>
      <w:r>
        <w:rPr>
          <w:rFonts w:ascii="Cambria" w:hAnsi="Cambria"/>
          <w:b/>
          <w:sz w:val="20"/>
        </w:rPr>
        <w:t xml:space="preserve">Nota explicativa </w:t>
      </w:r>
      <w:r w:rsidR="00564468">
        <w:rPr>
          <w:rFonts w:ascii="Cambria" w:hAnsi="Cambria"/>
          <w:b/>
          <w:sz w:val="20"/>
        </w:rPr>
        <w:t>al</w:t>
      </w:r>
      <w:r>
        <w:rPr>
          <w:rFonts w:ascii="Cambria" w:hAnsi="Cambria"/>
          <w:b/>
          <w:sz w:val="20"/>
        </w:rPr>
        <w:t xml:space="preserve"> Proyecto de Resolución de ICCAT sobre objetivos operativos </w:t>
      </w:r>
    </w:p>
    <w:p w14:paraId="42378188" w14:textId="351FB32A" w:rsidR="00B25ECD" w:rsidRPr="0027098D" w:rsidRDefault="00B25ECD" w:rsidP="00B10E54">
      <w:pPr>
        <w:jc w:val="center"/>
        <w:rPr>
          <w:rFonts w:ascii="Cambria" w:hAnsi="Cambria"/>
          <w:b/>
          <w:bCs/>
          <w:sz w:val="20"/>
          <w:szCs w:val="20"/>
        </w:rPr>
      </w:pPr>
      <w:r>
        <w:rPr>
          <w:rFonts w:ascii="Cambria" w:hAnsi="Cambria"/>
          <w:b/>
          <w:sz w:val="20"/>
        </w:rPr>
        <w:t xml:space="preserve">de </w:t>
      </w:r>
      <w:r w:rsidR="00564468">
        <w:rPr>
          <w:rFonts w:ascii="Cambria" w:hAnsi="Cambria"/>
          <w:b/>
          <w:sz w:val="20"/>
        </w:rPr>
        <w:t xml:space="preserve">ordenación </w:t>
      </w:r>
      <w:r>
        <w:rPr>
          <w:rFonts w:ascii="Cambria" w:hAnsi="Cambria"/>
          <w:b/>
          <w:sz w:val="20"/>
        </w:rPr>
        <w:t>para el tiburón azul del Atlántico</w:t>
      </w:r>
    </w:p>
    <w:p w14:paraId="6DB91155" w14:textId="77777777" w:rsidR="00CF45DD" w:rsidRPr="00564468" w:rsidRDefault="00CF45DD" w:rsidP="00B10E54">
      <w:pPr>
        <w:jc w:val="center"/>
        <w:rPr>
          <w:rFonts w:ascii="Cambria" w:hAnsi="Cambria"/>
          <w:b/>
          <w:bCs/>
          <w:i/>
          <w:iCs/>
          <w:sz w:val="20"/>
          <w:szCs w:val="20"/>
        </w:rPr>
      </w:pPr>
    </w:p>
    <w:p w14:paraId="6671161C" w14:textId="71695B01" w:rsidR="00B25ECD" w:rsidRPr="0027098D" w:rsidRDefault="00B25ECD" w:rsidP="00B10E54">
      <w:pPr>
        <w:jc w:val="center"/>
        <w:rPr>
          <w:rFonts w:ascii="Cambria" w:hAnsi="Cambria"/>
          <w:i/>
          <w:iCs/>
          <w:sz w:val="20"/>
          <w:szCs w:val="20"/>
        </w:rPr>
      </w:pPr>
      <w:r>
        <w:rPr>
          <w:rFonts w:ascii="Cambria" w:hAnsi="Cambria"/>
          <w:i/>
          <w:sz w:val="20"/>
        </w:rPr>
        <w:t>(presentado por la Unión Europea)</w:t>
      </w:r>
    </w:p>
    <w:p w14:paraId="1ED04109" w14:textId="77777777" w:rsidR="008A7BD1" w:rsidRPr="0027098D" w:rsidRDefault="008A7BD1" w:rsidP="00B10E54">
      <w:pPr>
        <w:pBdr>
          <w:top w:val="nil"/>
          <w:left w:val="nil"/>
          <w:bottom w:val="nil"/>
          <w:right w:val="nil"/>
          <w:between w:val="nil"/>
        </w:pBdr>
        <w:jc w:val="both"/>
        <w:rPr>
          <w:rFonts w:ascii="Cambria" w:eastAsia="Cambria" w:hAnsi="Cambria" w:cs="Cambria"/>
          <w:color w:val="000000"/>
          <w:sz w:val="20"/>
          <w:szCs w:val="20"/>
        </w:rPr>
      </w:pPr>
    </w:p>
    <w:p w14:paraId="69691FA6" w14:textId="47628B6C" w:rsidR="00553172" w:rsidRPr="0027098D" w:rsidRDefault="00553172" w:rsidP="00B10E54">
      <w:pPr>
        <w:pBdr>
          <w:top w:val="nil"/>
          <w:left w:val="nil"/>
          <w:bottom w:val="nil"/>
          <w:right w:val="nil"/>
          <w:between w:val="nil"/>
        </w:pBdr>
        <w:jc w:val="both"/>
        <w:rPr>
          <w:rFonts w:ascii="Cambria" w:eastAsia="Cambria" w:hAnsi="Cambria" w:cs="Cambria"/>
          <w:color w:val="000000"/>
          <w:sz w:val="20"/>
          <w:szCs w:val="20"/>
        </w:rPr>
      </w:pPr>
      <w:r>
        <w:rPr>
          <w:rFonts w:ascii="Cambria" w:hAnsi="Cambria"/>
          <w:color w:val="000000" w:themeColor="text1"/>
          <w:sz w:val="20"/>
        </w:rPr>
        <w:t>Esta iniciativa sigue los compromisos de las Recomendaciones 23-10 y 23-11 de ICCAT que pedían el desarrollo de marcos de</w:t>
      </w:r>
      <w:r w:rsidR="00564468">
        <w:rPr>
          <w:rFonts w:ascii="Cambria" w:hAnsi="Cambria"/>
          <w:color w:val="000000" w:themeColor="text1"/>
          <w:sz w:val="20"/>
        </w:rPr>
        <w:t xml:space="preserve"> e</w:t>
      </w:r>
      <w:r>
        <w:rPr>
          <w:rFonts w:ascii="Cambria" w:hAnsi="Cambria"/>
          <w:color w:val="000000" w:themeColor="text1"/>
          <w:sz w:val="20"/>
        </w:rPr>
        <w:t>valuación de estrategias de ordenación (MSE) para ambos stocks. La propuesta establece objetivos operativos de ordenación para el tiburón azul del Atlántico norte y sur con el fin de orientar el trabajo del SCRS sobre el desarrollo de la MSE según lo acordado por la Comisión en 2024.</w:t>
      </w:r>
    </w:p>
    <w:p w14:paraId="3A0B738E" w14:textId="0AC2DBA1" w:rsidR="00CF45DD" w:rsidRPr="00B10E54" w:rsidRDefault="008A7BD1" w:rsidP="00B10E54">
      <w:pPr>
        <w:pBdr>
          <w:top w:val="nil"/>
          <w:left w:val="nil"/>
          <w:bottom w:val="nil"/>
          <w:right w:val="nil"/>
          <w:between w:val="nil"/>
        </w:pBdr>
        <w:jc w:val="both"/>
        <w:rPr>
          <w:rFonts w:ascii="Cambria" w:eastAsia="Cambria" w:hAnsi="Cambria" w:cs="Cambria"/>
          <w:b/>
          <w:bCs/>
          <w:sz w:val="20"/>
          <w:szCs w:val="20"/>
        </w:rPr>
      </w:pPr>
      <w:r>
        <w:rPr>
          <w:rFonts w:ascii="Cambria" w:hAnsi="Cambria"/>
          <w:sz w:val="20"/>
        </w:rPr>
        <w:br/>
      </w:r>
      <w:r>
        <w:rPr>
          <w:rFonts w:ascii="Cambria" w:hAnsi="Cambria"/>
          <w:color w:val="000000" w:themeColor="text1"/>
          <w:sz w:val="20"/>
        </w:rPr>
        <w:t>Los objetivos garantizan una probabilidad de al menos el 60% de que los stocks se mantengan en el cuadrante verde a lo largo de 30 años y limitan el riesgo de caer por debajo de 0,4 B</w:t>
      </w:r>
      <w:r>
        <w:rPr>
          <w:rFonts w:ascii="Cambria" w:hAnsi="Cambria"/>
          <w:color w:val="000000" w:themeColor="text1"/>
          <w:sz w:val="20"/>
          <w:vertAlign w:val="subscript"/>
        </w:rPr>
        <w:t>RMS</w:t>
      </w:r>
      <w:r>
        <w:rPr>
          <w:rFonts w:ascii="Cambria" w:hAnsi="Cambria"/>
          <w:color w:val="000000" w:themeColor="text1"/>
          <w:sz w:val="20"/>
        </w:rPr>
        <w:t xml:space="preserve">  en un 15% o menos. Este nivel de precaución es coherente con decisiones anteriores de la Comisión sobre otros stocks, al tiempo que tiene en cuenta las especificidades del tiburón azul en comparación con las especies de atún y pez espada. La propuesta también incluye una regla de estabilidad de ±15% para los cambios de TAC entre periodos de ordenación. La adopción en 2025 permitirá al SCRS iniciar los trabajos de MSE en 2026. Aunque la propuesta fija un plazo para la adopción de un procedimiento de ordenación para 2029, los objetivos permiten flexibilidad y una vía más rápida, en función de la disponibilidad de recursos del SCRS.</w:t>
      </w:r>
      <w:r>
        <w:rPr>
          <w:rFonts w:ascii="Cambria" w:hAnsi="Cambria"/>
          <w:b/>
          <w:sz w:val="20"/>
        </w:rPr>
        <w:t xml:space="preserve"> </w:t>
      </w:r>
      <w:r>
        <w:rPr>
          <w:rFonts w:ascii="Cambria" w:hAnsi="Cambria"/>
          <w:b/>
          <w:sz w:val="20"/>
        </w:rPr>
        <w:br w:type="page"/>
      </w:r>
    </w:p>
    <w:p w14:paraId="354DAE99" w14:textId="5E57E2B4" w:rsidR="00515668" w:rsidRPr="00B10E54" w:rsidRDefault="00515668" w:rsidP="00B10E54">
      <w:pPr>
        <w:widowControl w:val="0"/>
        <w:ind w:right="115"/>
        <w:jc w:val="right"/>
        <w:outlineLvl w:val="0"/>
        <w:rPr>
          <w:rFonts w:ascii="Cambria" w:eastAsia="Cambria" w:hAnsi="Cambria" w:cs="Cambria"/>
          <w:b/>
          <w:bCs/>
          <w:sz w:val="20"/>
          <w:szCs w:val="20"/>
        </w:rPr>
      </w:pPr>
      <w:r>
        <w:rPr>
          <w:rFonts w:ascii="Cambria" w:hAnsi="Cambria"/>
          <w:b/>
          <w:sz w:val="20"/>
        </w:rPr>
        <w:lastRenderedPageBreak/>
        <w:t>Original: inglés</w:t>
      </w:r>
    </w:p>
    <w:p w14:paraId="00000002" w14:textId="77777777" w:rsidR="009F6F25" w:rsidRPr="00B10E54" w:rsidRDefault="009F6F25" w:rsidP="00B10E54">
      <w:pPr>
        <w:pBdr>
          <w:top w:val="nil"/>
          <w:left w:val="nil"/>
          <w:bottom w:val="nil"/>
          <w:right w:val="nil"/>
          <w:between w:val="nil"/>
        </w:pBdr>
        <w:jc w:val="center"/>
        <w:rPr>
          <w:rFonts w:ascii="Cambria" w:eastAsia="Cambria" w:hAnsi="Cambria" w:cs="Cambria"/>
          <w:b/>
          <w:color w:val="000000"/>
          <w:sz w:val="20"/>
          <w:szCs w:val="20"/>
        </w:rPr>
      </w:pPr>
    </w:p>
    <w:p w14:paraId="40CDB1F5" w14:textId="77777777" w:rsidR="00564468" w:rsidRDefault="00843BFE" w:rsidP="00B10E54">
      <w:pPr>
        <w:pBdr>
          <w:top w:val="nil"/>
          <w:left w:val="nil"/>
          <w:bottom w:val="nil"/>
          <w:right w:val="nil"/>
          <w:between w:val="nil"/>
        </w:pBdr>
        <w:jc w:val="center"/>
        <w:rPr>
          <w:rFonts w:ascii="Cambria" w:hAnsi="Cambria"/>
          <w:b/>
          <w:color w:val="000000"/>
          <w:sz w:val="20"/>
        </w:rPr>
      </w:pPr>
      <w:bookmarkStart w:id="1" w:name="_heading=h.gjdgxs"/>
      <w:bookmarkStart w:id="2" w:name="_Hlk151365298"/>
      <w:bookmarkEnd w:id="1"/>
      <w:r>
        <w:rPr>
          <w:rFonts w:ascii="Cambria" w:hAnsi="Cambria"/>
          <w:b/>
          <w:color w:val="000000"/>
          <w:sz w:val="20"/>
        </w:rPr>
        <w:t xml:space="preserve">Proyecto de Resolución de ICCAT sobre objetivos operativos de ordenación </w:t>
      </w:r>
    </w:p>
    <w:p w14:paraId="00000003" w14:textId="0681E8D4" w:rsidR="009F6F25" w:rsidRPr="00B10E54" w:rsidRDefault="00843BFE" w:rsidP="00B10E54">
      <w:pPr>
        <w:pBdr>
          <w:top w:val="nil"/>
          <w:left w:val="nil"/>
          <w:bottom w:val="nil"/>
          <w:right w:val="nil"/>
          <w:between w:val="nil"/>
        </w:pBdr>
        <w:jc w:val="center"/>
        <w:rPr>
          <w:rFonts w:ascii="Cambria" w:eastAsia="Cambria" w:hAnsi="Cambria" w:cs="Cambria"/>
          <w:b/>
          <w:color w:val="000000"/>
          <w:sz w:val="20"/>
          <w:szCs w:val="20"/>
        </w:rPr>
      </w:pPr>
      <w:r>
        <w:rPr>
          <w:rFonts w:ascii="Cambria" w:hAnsi="Cambria"/>
          <w:b/>
          <w:color w:val="000000"/>
          <w:sz w:val="20"/>
        </w:rPr>
        <w:t>para el tiburón azul del Atlántico</w:t>
      </w:r>
    </w:p>
    <w:p w14:paraId="00000004" w14:textId="77777777" w:rsidR="009F6F25" w:rsidRPr="00B10E54" w:rsidRDefault="009F6F25" w:rsidP="00B10E54">
      <w:pPr>
        <w:pBdr>
          <w:top w:val="nil"/>
          <w:left w:val="nil"/>
          <w:bottom w:val="nil"/>
          <w:right w:val="nil"/>
          <w:between w:val="nil"/>
        </w:pBdr>
        <w:jc w:val="center"/>
        <w:rPr>
          <w:rFonts w:ascii="Cambria" w:eastAsia="Cambria" w:hAnsi="Cambria" w:cs="Cambria"/>
          <w:b/>
          <w:color w:val="000000"/>
          <w:sz w:val="20"/>
          <w:szCs w:val="20"/>
        </w:rPr>
      </w:pPr>
    </w:p>
    <w:p w14:paraId="00000005" w14:textId="2E30CC89" w:rsidR="009F6F25" w:rsidRPr="00B10E54" w:rsidRDefault="00FE4D21" w:rsidP="00B10E54">
      <w:pPr>
        <w:pBdr>
          <w:top w:val="nil"/>
          <w:left w:val="nil"/>
          <w:bottom w:val="nil"/>
          <w:right w:val="nil"/>
          <w:between w:val="nil"/>
        </w:pBdr>
        <w:jc w:val="center"/>
        <w:rPr>
          <w:rFonts w:ascii="Cambria" w:eastAsia="Cambria" w:hAnsi="Cambria" w:cs="Cambria"/>
          <w:i/>
          <w:color w:val="000000"/>
          <w:sz w:val="20"/>
          <w:szCs w:val="20"/>
        </w:rPr>
      </w:pPr>
      <w:r>
        <w:rPr>
          <w:rFonts w:ascii="Cambria" w:hAnsi="Cambria"/>
          <w:i/>
          <w:color w:val="000000"/>
          <w:sz w:val="20"/>
        </w:rPr>
        <w:t>(presentado por la Unión Europea)</w:t>
      </w:r>
    </w:p>
    <w:bookmarkEnd w:id="2"/>
    <w:p w14:paraId="00000006" w14:textId="77777777" w:rsidR="009F6F25" w:rsidRPr="00B10E54" w:rsidRDefault="009F6F25" w:rsidP="00B10E54">
      <w:pPr>
        <w:pBdr>
          <w:top w:val="nil"/>
          <w:left w:val="nil"/>
          <w:bottom w:val="nil"/>
          <w:right w:val="nil"/>
          <w:between w:val="nil"/>
        </w:pBdr>
        <w:rPr>
          <w:rFonts w:ascii="Cambria" w:eastAsia="Cambria" w:hAnsi="Cambria" w:cs="Cambria"/>
          <w:color w:val="000000"/>
          <w:sz w:val="20"/>
          <w:szCs w:val="20"/>
        </w:rPr>
      </w:pPr>
    </w:p>
    <w:p w14:paraId="14DDD8F7" w14:textId="01F7B22F" w:rsidR="003F5292" w:rsidRPr="00B10E54" w:rsidRDefault="003F5292" w:rsidP="00B10E54">
      <w:pPr>
        <w:ind w:firstLine="426"/>
        <w:jc w:val="both"/>
        <w:rPr>
          <w:rFonts w:ascii="Cambria" w:eastAsia="Cambria" w:hAnsi="Cambria" w:cs="Cambria"/>
          <w:sz w:val="20"/>
          <w:szCs w:val="20"/>
        </w:rPr>
      </w:pPr>
      <w:r>
        <w:rPr>
          <w:rFonts w:ascii="Cambria" w:hAnsi="Cambria"/>
          <w:i/>
          <w:sz w:val="20"/>
        </w:rPr>
        <w:t>TRATANDO</w:t>
      </w:r>
      <w:r>
        <w:rPr>
          <w:rFonts w:ascii="Cambria" w:hAnsi="Cambria"/>
          <w:sz w:val="20"/>
        </w:rPr>
        <w:t xml:space="preserve"> de avanzar en el desarrollo de procedimientos de ordenación, tal y como acordó la Comisión de conformidad con la </w:t>
      </w:r>
      <w:r>
        <w:rPr>
          <w:rFonts w:ascii="Cambria" w:hAnsi="Cambria"/>
          <w:i/>
          <w:sz w:val="20"/>
        </w:rPr>
        <w:t>Recomendación de ICCAT sobre el desarrollo de normas de control de la captura y de evaluación de estrategias de ordenación</w:t>
      </w:r>
      <w:r>
        <w:rPr>
          <w:rFonts w:ascii="Cambria" w:hAnsi="Cambria"/>
          <w:sz w:val="20"/>
        </w:rPr>
        <w:t xml:space="preserve"> </w:t>
      </w:r>
      <w:r>
        <w:rPr>
          <w:rFonts w:ascii="Cambria" w:hAnsi="Cambria"/>
          <w:i/>
          <w:sz w:val="20"/>
        </w:rPr>
        <w:t xml:space="preserve">(MSE) </w:t>
      </w:r>
      <w:r>
        <w:rPr>
          <w:rFonts w:ascii="Cambria" w:hAnsi="Cambria"/>
          <w:sz w:val="20"/>
        </w:rPr>
        <w:t xml:space="preserve">(Rec. 15-07); </w:t>
      </w:r>
    </w:p>
    <w:p w14:paraId="00000007" w14:textId="77777777" w:rsidR="009F6F25" w:rsidRPr="00B10E54" w:rsidRDefault="009F6F25" w:rsidP="00B10E54">
      <w:pPr>
        <w:pBdr>
          <w:top w:val="nil"/>
          <w:left w:val="nil"/>
          <w:bottom w:val="nil"/>
          <w:right w:val="nil"/>
          <w:between w:val="nil"/>
        </w:pBdr>
        <w:jc w:val="both"/>
        <w:rPr>
          <w:rFonts w:ascii="Cambria" w:eastAsia="Cambria" w:hAnsi="Cambria" w:cs="Cambria"/>
          <w:color w:val="000000"/>
          <w:sz w:val="20"/>
          <w:szCs w:val="20"/>
        </w:rPr>
      </w:pPr>
    </w:p>
    <w:p w14:paraId="10CEB2BD" w14:textId="2E176D2E" w:rsidR="003F5292" w:rsidRPr="008E66C3" w:rsidRDefault="003F5292" w:rsidP="00B10E54">
      <w:pPr>
        <w:ind w:firstLine="426"/>
        <w:jc w:val="both"/>
        <w:rPr>
          <w:rFonts w:ascii="Cambria" w:eastAsia="Cambria" w:hAnsi="Cambria" w:cs="Cambria"/>
          <w:iCs/>
          <w:sz w:val="20"/>
          <w:szCs w:val="20"/>
        </w:rPr>
      </w:pPr>
      <w:r w:rsidRPr="00564468">
        <w:rPr>
          <w:rFonts w:ascii="Cambria" w:hAnsi="Cambria"/>
          <w:i/>
          <w:iCs/>
          <w:sz w:val="20"/>
        </w:rPr>
        <w:t>RECONOCIENDO</w:t>
      </w:r>
      <w:r>
        <w:rPr>
          <w:rFonts w:ascii="Cambria" w:hAnsi="Cambria"/>
          <w:sz w:val="20"/>
        </w:rPr>
        <w:t xml:space="preserve"> que el tiburón azul del Atlántico (</w:t>
      </w:r>
      <w:proofErr w:type="spellStart"/>
      <w:r w:rsidRPr="00564468">
        <w:rPr>
          <w:rFonts w:ascii="Cambria" w:hAnsi="Cambria"/>
          <w:i/>
          <w:iCs/>
          <w:sz w:val="20"/>
        </w:rPr>
        <w:t>Prionace</w:t>
      </w:r>
      <w:proofErr w:type="spellEnd"/>
      <w:r w:rsidRPr="00564468">
        <w:rPr>
          <w:rFonts w:ascii="Cambria" w:hAnsi="Cambria"/>
          <w:i/>
          <w:iCs/>
          <w:sz w:val="20"/>
        </w:rPr>
        <w:t xml:space="preserve"> glauca</w:t>
      </w:r>
      <w:r>
        <w:rPr>
          <w:rFonts w:ascii="Cambria" w:hAnsi="Cambria"/>
          <w:sz w:val="20"/>
        </w:rPr>
        <w:t>) se captura en asociación con las pesquerías gestionadas por ICCAT;</w:t>
      </w:r>
    </w:p>
    <w:p w14:paraId="502FB9CE" w14:textId="77777777" w:rsidR="003F5292" w:rsidRPr="00B10E54" w:rsidRDefault="003F5292" w:rsidP="00B10E54">
      <w:pPr>
        <w:jc w:val="both"/>
        <w:rPr>
          <w:rFonts w:ascii="Cambria" w:eastAsia="Cambria" w:hAnsi="Cambria" w:cs="Cambria"/>
          <w:i/>
          <w:sz w:val="20"/>
          <w:szCs w:val="20"/>
        </w:rPr>
      </w:pPr>
    </w:p>
    <w:p w14:paraId="1283E09F" w14:textId="2A8B79FD" w:rsidR="00DA1A37" w:rsidRPr="008E66C3" w:rsidRDefault="0047547D" w:rsidP="00B34921">
      <w:pPr>
        <w:ind w:firstLine="426"/>
        <w:jc w:val="both"/>
        <w:rPr>
          <w:rFonts w:ascii="Cambria" w:eastAsia="Cambria" w:hAnsi="Cambria" w:cs="Cambria"/>
          <w:sz w:val="20"/>
          <w:szCs w:val="20"/>
        </w:rPr>
      </w:pPr>
      <w:r>
        <w:rPr>
          <w:rFonts w:ascii="Cambria" w:hAnsi="Cambria"/>
          <w:i/>
          <w:sz w:val="20"/>
        </w:rPr>
        <w:t xml:space="preserve">RECORDANDO </w:t>
      </w:r>
      <w:r>
        <w:rPr>
          <w:rFonts w:ascii="Cambria" w:hAnsi="Cambria"/>
          <w:sz w:val="20"/>
        </w:rPr>
        <w:t xml:space="preserve">que la ordenación actual de los dos stocks de tiburón azul del Atlántico mediante límites de capturas establecidos con arreglo a lo dispuesto en la </w:t>
      </w:r>
      <w:r>
        <w:rPr>
          <w:rFonts w:ascii="Cambria" w:hAnsi="Cambria"/>
          <w:i/>
          <w:sz w:val="20"/>
        </w:rPr>
        <w:t xml:space="preserve">Recomendación de ICCAT que enmienda la Recomendación 19-07 sobre medidas de ordenación para la conservación del tiburón azul del Atlántico norte capturado en asociación con pesquerías de ICCAT </w:t>
      </w:r>
      <w:r w:rsidRPr="00564468">
        <w:rPr>
          <w:rFonts w:ascii="Cambria" w:hAnsi="Cambria"/>
          <w:iCs/>
          <w:sz w:val="20"/>
        </w:rPr>
        <w:t>(Rec. 23-10)</w:t>
      </w:r>
      <w:r>
        <w:rPr>
          <w:rFonts w:ascii="Cambria" w:hAnsi="Cambria"/>
          <w:i/>
          <w:sz w:val="20"/>
        </w:rPr>
        <w:t xml:space="preserve"> </w:t>
      </w:r>
      <w:r>
        <w:rPr>
          <w:rFonts w:ascii="Cambria" w:hAnsi="Cambria"/>
          <w:sz w:val="20"/>
        </w:rPr>
        <w:t xml:space="preserve">y la </w:t>
      </w:r>
      <w:r>
        <w:rPr>
          <w:rFonts w:ascii="Cambria" w:hAnsi="Cambria"/>
          <w:i/>
          <w:sz w:val="20"/>
        </w:rPr>
        <w:t xml:space="preserve">Recomendación de ICCAT que enmienda la Recomendación 19-08 sobre medidas de ordenación para la conservación del tiburón azul del Atlántico sur capturado en asociación con pesquerías de ICCAT </w:t>
      </w:r>
      <w:r w:rsidRPr="00564468">
        <w:rPr>
          <w:rFonts w:ascii="Cambria" w:hAnsi="Cambria"/>
          <w:iCs/>
          <w:sz w:val="20"/>
        </w:rPr>
        <w:t>(Rec. 23-11)</w:t>
      </w:r>
      <w:r w:rsidR="00564468" w:rsidRPr="00564468">
        <w:rPr>
          <w:rFonts w:ascii="Cambria" w:hAnsi="Cambria"/>
          <w:iCs/>
          <w:sz w:val="20"/>
        </w:rPr>
        <w:t>;</w:t>
      </w:r>
      <w:r>
        <w:rPr>
          <w:rFonts w:ascii="Cambria" w:hAnsi="Cambria"/>
          <w:sz w:val="20"/>
        </w:rPr>
        <w:t xml:space="preserve"> </w:t>
      </w:r>
    </w:p>
    <w:p w14:paraId="30861C6B" w14:textId="77777777" w:rsidR="0047547D" w:rsidRPr="008E66C3" w:rsidRDefault="0047547D" w:rsidP="00B10E54">
      <w:pPr>
        <w:ind w:firstLine="426"/>
        <w:jc w:val="both"/>
        <w:rPr>
          <w:rFonts w:ascii="Cambria" w:eastAsia="Cambria" w:hAnsi="Cambria" w:cs="Cambria"/>
          <w:sz w:val="20"/>
          <w:szCs w:val="20"/>
        </w:rPr>
      </w:pPr>
    </w:p>
    <w:p w14:paraId="3F130350" w14:textId="6F02ABDE" w:rsidR="0047547D" w:rsidRPr="008E66C3" w:rsidRDefault="000569B9" w:rsidP="00B10E54">
      <w:pPr>
        <w:ind w:firstLine="426"/>
        <w:jc w:val="both"/>
        <w:rPr>
          <w:rFonts w:ascii="Cambria" w:eastAsia="Cambria" w:hAnsi="Cambria" w:cs="Cambria"/>
          <w:iCs/>
          <w:sz w:val="20"/>
          <w:szCs w:val="20"/>
        </w:rPr>
      </w:pPr>
      <w:r>
        <w:rPr>
          <w:rFonts w:ascii="Cambria" w:hAnsi="Cambria"/>
          <w:i/>
          <w:sz w:val="20"/>
        </w:rPr>
        <w:t xml:space="preserve">TENIENDO EN CUENTA </w:t>
      </w:r>
      <w:r>
        <w:rPr>
          <w:rFonts w:ascii="Cambria" w:hAnsi="Cambria"/>
          <w:sz w:val="20"/>
        </w:rPr>
        <w:t xml:space="preserve">la intención de la Comisión, expresada en las Rec. 23-10 y 23-11, de desarrollar un marco de MSE para la ordenación de los dos stocks de tiburón azul del Atlántico. </w:t>
      </w:r>
    </w:p>
    <w:p w14:paraId="12693CF1" w14:textId="77777777" w:rsidR="00157934" w:rsidRPr="00B10E54" w:rsidRDefault="00157934" w:rsidP="00B10E54">
      <w:pPr>
        <w:ind w:firstLine="426"/>
        <w:jc w:val="both"/>
        <w:rPr>
          <w:rFonts w:ascii="Cambria" w:eastAsia="Cambria" w:hAnsi="Cambria" w:cs="Cambria"/>
          <w:i/>
          <w:sz w:val="20"/>
          <w:szCs w:val="20"/>
        </w:rPr>
      </w:pPr>
    </w:p>
    <w:p w14:paraId="231DF9D7" w14:textId="4AA50635" w:rsidR="00157934" w:rsidRPr="008E66C3" w:rsidRDefault="000569B9" w:rsidP="00B10E54">
      <w:pPr>
        <w:ind w:firstLine="426"/>
        <w:jc w:val="both"/>
        <w:rPr>
          <w:rFonts w:ascii="Cambria" w:eastAsia="Cambria" w:hAnsi="Cambria" w:cs="Cambria"/>
          <w:iCs/>
          <w:sz w:val="20"/>
          <w:szCs w:val="20"/>
        </w:rPr>
      </w:pPr>
      <w:r>
        <w:rPr>
          <w:rFonts w:ascii="Cambria" w:hAnsi="Cambria"/>
          <w:i/>
          <w:sz w:val="20"/>
        </w:rPr>
        <w:t xml:space="preserve">CONSIDERANDO </w:t>
      </w:r>
      <w:r>
        <w:rPr>
          <w:rFonts w:ascii="Cambria" w:hAnsi="Cambria"/>
          <w:sz w:val="20"/>
        </w:rPr>
        <w:t xml:space="preserve">que el SCRS, en su reunión de 2025, concluyó que el desarrollo de una MSE para el tiburón azul era viable. </w:t>
      </w:r>
    </w:p>
    <w:p w14:paraId="3BF18120" w14:textId="77777777" w:rsidR="000569B9" w:rsidRPr="00B10E54" w:rsidRDefault="000569B9" w:rsidP="00B10E54">
      <w:pPr>
        <w:ind w:firstLine="426"/>
        <w:jc w:val="both"/>
        <w:rPr>
          <w:rFonts w:ascii="Cambria" w:eastAsia="Cambria" w:hAnsi="Cambria" w:cs="Cambria"/>
          <w:i/>
          <w:sz w:val="20"/>
          <w:szCs w:val="20"/>
        </w:rPr>
      </w:pPr>
    </w:p>
    <w:p w14:paraId="00000018" w14:textId="6296E346" w:rsidR="009F6F25" w:rsidRPr="008E66C3" w:rsidRDefault="000569B9" w:rsidP="00B10E54">
      <w:pPr>
        <w:ind w:firstLine="426"/>
        <w:jc w:val="both"/>
        <w:rPr>
          <w:rFonts w:ascii="Cambria" w:eastAsia="Cambria" w:hAnsi="Cambria" w:cs="Cambria"/>
          <w:iCs/>
          <w:sz w:val="20"/>
          <w:szCs w:val="20"/>
        </w:rPr>
      </w:pPr>
      <w:r>
        <w:rPr>
          <w:rFonts w:ascii="Cambria" w:hAnsi="Cambria"/>
          <w:i/>
          <w:sz w:val="20"/>
        </w:rPr>
        <w:t xml:space="preserve">CONSIDERANDO ADEMÁS </w:t>
      </w:r>
      <w:r>
        <w:rPr>
          <w:rFonts w:ascii="Cambria" w:hAnsi="Cambria"/>
          <w:sz w:val="20"/>
        </w:rPr>
        <w:t>que la Comisión, en su 24ª Reunión extraordinaria, acordó una hoja de ruta preliminar para el desarrollo de una MSE para el tiburón azul del Atlántico:</w:t>
      </w:r>
    </w:p>
    <w:p w14:paraId="00000019" w14:textId="77777777" w:rsidR="009F6F25" w:rsidRPr="00B10E54" w:rsidRDefault="009F6F25" w:rsidP="00B10E54">
      <w:pPr>
        <w:jc w:val="both"/>
        <w:rPr>
          <w:rFonts w:ascii="Cambria" w:eastAsia="Cambria" w:hAnsi="Cambria" w:cs="Cambria"/>
          <w:b/>
          <w:sz w:val="20"/>
          <w:szCs w:val="20"/>
        </w:rPr>
      </w:pPr>
    </w:p>
    <w:p w14:paraId="5E1C3774" w14:textId="77777777" w:rsidR="00FC62BD" w:rsidRPr="00B10E54" w:rsidRDefault="00FC62BD" w:rsidP="00B10E54">
      <w:pPr>
        <w:jc w:val="both"/>
        <w:rPr>
          <w:rFonts w:ascii="Cambria" w:eastAsia="Cambria" w:hAnsi="Cambria" w:cs="Cambria"/>
          <w:b/>
          <w:sz w:val="20"/>
          <w:szCs w:val="20"/>
        </w:rPr>
      </w:pPr>
    </w:p>
    <w:p w14:paraId="0000001A" w14:textId="77777777" w:rsidR="009F6F25" w:rsidRPr="00B10E54" w:rsidRDefault="00FE4D21" w:rsidP="00B10E54">
      <w:pPr>
        <w:jc w:val="center"/>
        <w:rPr>
          <w:rFonts w:ascii="Cambria" w:eastAsia="Cambria" w:hAnsi="Cambria" w:cs="Cambria"/>
          <w:sz w:val="20"/>
          <w:szCs w:val="20"/>
        </w:rPr>
      </w:pPr>
      <w:r>
        <w:rPr>
          <w:rFonts w:ascii="Cambria" w:hAnsi="Cambria"/>
          <w:sz w:val="20"/>
        </w:rPr>
        <w:t>LA COMISIÓN INTERNACIONAL PARA LA</w:t>
      </w:r>
    </w:p>
    <w:p w14:paraId="0000001B" w14:textId="77777777" w:rsidR="009F6F25" w:rsidRPr="00B10E54" w:rsidRDefault="00FE4D21" w:rsidP="00B10E54">
      <w:pPr>
        <w:jc w:val="center"/>
        <w:rPr>
          <w:rFonts w:ascii="Cambria" w:eastAsia="Cambria" w:hAnsi="Cambria" w:cs="Cambria"/>
          <w:sz w:val="20"/>
          <w:szCs w:val="20"/>
        </w:rPr>
      </w:pPr>
      <w:r>
        <w:rPr>
          <w:rFonts w:ascii="Cambria" w:hAnsi="Cambria"/>
          <w:sz w:val="20"/>
        </w:rPr>
        <w:t>CONSERVACIÓN DEL ATÚN ATLÁNTICO (ICCAT) RESUELVE LO SIGUIENTE:</w:t>
      </w:r>
    </w:p>
    <w:p w14:paraId="0000001C" w14:textId="77777777" w:rsidR="009F6F25" w:rsidRPr="00B10E54" w:rsidRDefault="009F6F25" w:rsidP="00B10E54">
      <w:pPr>
        <w:jc w:val="both"/>
        <w:rPr>
          <w:rFonts w:ascii="Cambria" w:eastAsia="Cambria" w:hAnsi="Cambria" w:cs="Cambria"/>
          <w:sz w:val="20"/>
          <w:szCs w:val="20"/>
        </w:rPr>
      </w:pPr>
    </w:p>
    <w:p w14:paraId="0000001D" w14:textId="2A4FA759" w:rsidR="009F6F25" w:rsidRPr="00B10E54" w:rsidRDefault="00FE4D21" w:rsidP="00B10E54">
      <w:pPr>
        <w:numPr>
          <w:ilvl w:val="0"/>
          <w:numId w:val="1"/>
        </w:numPr>
        <w:pBdr>
          <w:top w:val="nil"/>
          <w:left w:val="nil"/>
          <w:bottom w:val="nil"/>
          <w:right w:val="nil"/>
          <w:between w:val="nil"/>
        </w:pBdr>
        <w:ind w:left="426" w:hanging="426"/>
        <w:jc w:val="both"/>
        <w:rPr>
          <w:rFonts w:ascii="Cambria" w:eastAsia="Cambria" w:hAnsi="Cambria" w:cs="Cambria"/>
          <w:color w:val="000000"/>
          <w:sz w:val="20"/>
          <w:szCs w:val="20"/>
        </w:rPr>
      </w:pPr>
      <w:r>
        <w:rPr>
          <w:rFonts w:ascii="Cambria" w:hAnsi="Cambria"/>
          <w:color w:val="000000"/>
          <w:sz w:val="20"/>
        </w:rPr>
        <w:t>Deberían establecerse objetivos de ordenación para el tiburón azul del Atlántico que sean coherentes con el objetivo del Convenio de mantener los stocks en o por encima de los niveles que soporten la captura máxima sostenible (normalmente denominad</w:t>
      </w:r>
      <w:r w:rsidR="00564468">
        <w:rPr>
          <w:rFonts w:ascii="Cambria" w:hAnsi="Cambria"/>
          <w:color w:val="000000"/>
          <w:sz w:val="20"/>
        </w:rPr>
        <w:t>o</w:t>
      </w:r>
      <w:r>
        <w:rPr>
          <w:rFonts w:ascii="Cambria" w:hAnsi="Cambria"/>
          <w:color w:val="000000"/>
          <w:sz w:val="20"/>
        </w:rPr>
        <w:t xml:space="preserve"> RMS). </w:t>
      </w:r>
    </w:p>
    <w:p w14:paraId="3C7F5D62" w14:textId="77777777" w:rsidR="00380D63" w:rsidRPr="00B10E54" w:rsidRDefault="00380D63" w:rsidP="00B10E54">
      <w:pPr>
        <w:pBdr>
          <w:top w:val="nil"/>
          <w:left w:val="nil"/>
          <w:bottom w:val="nil"/>
          <w:right w:val="nil"/>
          <w:between w:val="nil"/>
        </w:pBdr>
        <w:ind w:left="426"/>
        <w:jc w:val="both"/>
        <w:rPr>
          <w:rFonts w:ascii="Cambria" w:eastAsia="Cambria" w:hAnsi="Cambria" w:cs="Cambria"/>
          <w:color w:val="000000"/>
          <w:sz w:val="20"/>
          <w:szCs w:val="20"/>
        </w:rPr>
      </w:pPr>
    </w:p>
    <w:p w14:paraId="61F7A2C7" w14:textId="38FA29AC" w:rsidR="00380D63" w:rsidRPr="00B10E54" w:rsidRDefault="00380D63" w:rsidP="00B10E54">
      <w:pPr>
        <w:numPr>
          <w:ilvl w:val="0"/>
          <w:numId w:val="1"/>
        </w:numPr>
        <w:pBdr>
          <w:top w:val="nil"/>
          <w:left w:val="nil"/>
          <w:bottom w:val="nil"/>
          <w:right w:val="nil"/>
          <w:between w:val="nil"/>
        </w:pBdr>
        <w:ind w:left="426" w:hanging="426"/>
        <w:jc w:val="both"/>
        <w:rPr>
          <w:rFonts w:ascii="Cambria" w:eastAsia="Cambria" w:hAnsi="Cambria" w:cs="Cambria"/>
          <w:sz w:val="20"/>
          <w:szCs w:val="20"/>
        </w:rPr>
      </w:pPr>
      <w:r>
        <w:rPr>
          <w:rFonts w:ascii="Cambria" w:hAnsi="Cambria"/>
          <w:sz w:val="20"/>
        </w:rPr>
        <w:t>Al evaluar el estado del stock y proporcionar recomendaciones de ordenación a la Comisión, el SCRS considerará el punto de referencia límite provisional (</w:t>
      </w:r>
      <w:proofErr w:type="spellStart"/>
      <w:r>
        <w:rPr>
          <w:rFonts w:ascii="Cambria" w:hAnsi="Cambria"/>
          <w:sz w:val="20"/>
        </w:rPr>
        <w:t>LRP</w:t>
      </w:r>
      <w:proofErr w:type="spellEnd"/>
      <w:r>
        <w:rPr>
          <w:rFonts w:ascii="Cambria" w:hAnsi="Cambria"/>
          <w:sz w:val="20"/>
        </w:rPr>
        <w:t>) de 0,4*B</w:t>
      </w:r>
      <w:r>
        <w:rPr>
          <w:rFonts w:ascii="Cambria" w:hAnsi="Cambria"/>
          <w:sz w:val="20"/>
          <w:vertAlign w:val="subscript"/>
        </w:rPr>
        <w:t>RMS</w:t>
      </w:r>
      <w:r>
        <w:rPr>
          <w:rFonts w:ascii="Cambria" w:hAnsi="Cambria"/>
          <w:sz w:val="20"/>
        </w:rPr>
        <w:t xml:space="preserve"> o cualquier </w:t>
      </w:r>
      <w:proofErr w:type="spellStart"/>
      <w:r>
        <w:rPr>
          <w:rFonts w:ascii="Cambria" w:hAnsi="Cambria"/>
          <w:sz w:val="20"/>
        </w:rPr>
        <w:t>LRP</w:t>
      </w:r>
      <w:proofErr w:type="spellEnd"/>
      <w:r>
        <w:rPr>
          <w:rFonts w:ascii="Cambria" w:hAnsi="Cambria"/>
          <w:sz w:val="20"/>
        </w:rPr>
        <w:t xml:space="preserve"> más robusto establecido mediante otros análisis de los stocks de tiburón azul del Atlántico norte y sur. </w:t>
      </w:r>
    </w:p>
    <w:p w14:paraId="0000001E" w14:textId="77777777" w:rsidR="009F6F25" w:rsidRPr="00B10E54" w:rsidRDefault="009F6F25" w:rsidP="00B10E54">
      <w:pPr>
        <w:jc w:val="both"/>
        <w:rPr>
          <w:rFonts w:ascii="Cambria" w:eastAsia="Cambria" w:hAnsi="Cambria" w:cs="Cambria"/>
          <w:sz w:val="20"/>
          <w:szCs w:val="20"/>
        </w:rPr>
      </w:pPr>
    </w:p>
    <w:p w14:paraId="0000001F" w14:textId="79DB6AD9" w:rsidR="009F6F25" w:rsidRPr="00B10E54" w:rsidRDefault="00E94982" w:rsidP="00B10E54">
      <w:pPr>
        <w:numPr>
          <w:ilvl w:val="0"/>
          <w:numId w:val="1"/>
        </w:numPr>
        <w:pBdr>
          <w:top w:val="nil"/>
          <w:left w:val="nil"/>
          <w:bottom w:val="nil"/>
          <w:right w:val="nil"/>
          <w:between w:val="nil"/>
        </w:pBdr>
        <w:ind w:left="426" w:hanging="426"/>
        <w:jc w:val="both"/>
        <w:rPr>
          <w:rFonts w:ascii="Cambria" w:eastAsia="Cambria" w:hAnsi="Cambria" w:cs="Cambria"/>
          <w:color w:val="000000"/>
          <w:sz w:val="20"/>
          <w:szCs w:val="20"/>
        </w:rPr>
      </w:pPr>
      <w:r>
        <w:rPr>
          <w:rFonts w:ascii="Cambria" w:hAnsi="Cambria"/>
          <w:color w:val="000000"/>
          <w:sz w:val="20"/>
        </w:rPr>
        <w:t xml:space="preserve">Deberían considerarse los siguientes objetivos de ordenación operativos provisionales con el fin de desarrollar, probar y perfeccionar los procedimientos de ordenación candidatos: </w:t>
      </w:r>
    </w:p>
    <w:p w14:paraId="00000020" w14:textId="77777777" w:rsidR="009F6F25" w:rsidRPr="00B10E54" w:rsidRDefault="009F6F25" w:rsidP="00B10E54">
      <w:pPr>
        <w:pBdr>
          <w:top w:val="nil"/>
          <w:left w:val="nil"/>
          <w:bottom w:val="nil"/>
          <w:right w:val="nil"/>
          <w:between w:val="nil"/>
        </w:pBdr>
        <w:ind w:left="720"/>
        <w:jc w:val="both"/>
        <w:rPr>
          <w:rFonts w:ascii="Cambria" w:eastAsia="Cambria" w:hAnsi="Cambria" w:cs="Cambria"/>
          <w:color w:val="000000"/>
          <w:sz w:val="20"/>
          <w:szCs w:val="20"/>
        </w:rPr>
      </w:pPr>
    </w:p>
    <w:p w14:paraId="4559A172" w14:textId="1C3B3459" w:rsidR="00FC62BD" w:rsidRPr="00B10E54" w:rsidRDefault="00FE4D21" w:rsidP="00B10E54">
      <w:pPr>
        <w:numPr>
          <w:ilvl w:val="1"/>
          <w:numId w:val="1"/>
        </w:numPr>
        <w:pBdr>
          <w:top w:val="nil"/>
          <w:left w:val="nil"/>
          <w:bottom w:val="nil"/>
          <w:right w:val="nil"/>
          <w:between w:val="nil"/>
        </w:pBdr>
        <w:ind w:left="851" w:hanging="425"/>
        <w:jc w:val="both"/>
        <w:rPr>
          <w:rFonts w:ascii="Cambria" w:eastAsia="Cambria" w:hAnsi="Cambria" w:cs="Cambria"/>
          <w:sz w:val="20"/>
          <w:szCs w:val="20"/>
        </w:rPr>
      </w:pPr>
      <w:r>
        <w:rPr>
          <w:rFonts w:ascii="Cambria" w:hAnsi="Cambria"/>
          <w:color w:val="000000" w:themeColor="text1"/>
          <w:sz w:val="20"/>
        </w:rPr>
        <w:t xml:space="preserve">Estado del stock: </w:t>
      </w:r>
      <w:r>
        <w:rPr>
          <w:rFonts w:ascii="Cambria" w:hAnsi="Cambria"/>
          <w:sz w:val="20"/>
        </w:rPr>
        <w:t xml:space="preserve">Cada uno de los stocks de tiburón azul debería tener una probabilidad de al menos el 60% de situarse en el cuadrante verde del diagrama de fase de Kobe (no sobrepescado ni objeto de sobrepesca) durante el periodo de proyección de 30 años (determinado por el SCRS); </w:t>
      </w:r>
    </w:p>
    <w:p w14:paraId="25E33D52" w14:textId="77777777" w:rsidR="00FC62BD" w:rsidRPr="00B10E54" w:rsidRDefault="00FC62BD" w:rsidP="00B10E54">
      <w:pPr>
        <w:pBdr>
          <w:top w:val="nil"/>
          <w:left w:val="nil"/>
          <w:bottom w:val="nil"/>
          <w:right w:val="nil"/>
          <w:between w:val="nil"/>
        </w:pBdr>
        <w:ind w:left="851"/>
        <w:jc w:val="both"/>
        <w:rPr>
          <w:rFonts w:ascii="Cambria" w:eastAsia="Cambria" w:hAnsi="Cambria" w:cs="Cambria"/>
          <w:sz w:val="20"/>
          <w:szCs w:val="20"/>
        </w:rPr>
      </w:pPr>
    </w:p>
    <w:p w14:paraId="4533DBE9" w14:textId="7FC24E3E" w:rsidR="00E012CA" w:rsidRPr="00B10E54" w:rsidRDefault="00FE4D21" w:rsidP="00B10E54">
      <w:pPr>
        <w:numPr>
          <w:ilvl w:val="1"/>
          <w:numId w:val="1"/>
        </w:numPr>
        <w:pBdr>
          <w:top w:val="nil"/>
          <w:left w:val="nil"/>
          <w:bottom w:val="nil"/>
          <w:right w:val="nil"/>
          <w:between w:val="nil"/>
        </w:pBdr>
        <w:ind w:left="851" w:hanging="425"/>
        <w:jc w:val="both"/>
        <w:rPr>
          <w:rFonts w:ascii="Cambria" w:eastAsia="Cambria" w:hAnsi="Cambria" w:cs="Cambria"/>
          <w:sz w:val="20"/>
          <w:szCs w:val="20"/>
        </w:rPr>
      </w:pPr>
      <w:r>
        <w:rPr>
          <w:rFonts w:ascii="Cambria" w:hAnsi="Cambria"/>
          <w:sz w:val="20"/>
        </w:rPr>
        <w:t xml:space="preserve">Seguridad: Cada uno de los stocks de tiburón azul debería tener una probabilidad del 15% o inferior de caer por debajo del punto de referencia límite provisional en cualquier momento durante el periodo de proyección de 30 años; </w:t>
      </w:r>
    </w:p>
    <w:p w14:paraId="00000024" w14:textId="77777777" w:rsidR="009F6F25" w:rsidRPr="00B10E54" w:rsidRDefault="009F6F25" w:rsidP="00B10E54">
      <w:pPr>
        <w:pBdr>
          <w:top w:val="nil"/>
          <w:left w:val="nil"/>
          <w:bottom w:val="nil"/>
          <w:right w:val="nil"/>
          <w:between w:val="nil"/>
        </w:pBdr>
        <w:jc w:val="both"/>
        <w:rPr>
          <w:rFonts w:ascii="Cambria" w:eastAsia="Cambria" w:hAnsi="Cambria" w:cs="Cambria"/>
          <w:sz w:val="20"/>
          <w:szCs w:val="20"/>
        </w:rPr>
      </w:pPr>
    </w:p>
    <w:p w14:paraId="00000025" w14:textId="33DFBB3D" w:rsidR="009F6F25" w:rsidRPr="00B10E54" w:rsidRDefault="00FE4D21" w:rsidP="00B10E54">
      <w:pPr>
        <w:numPr>
          <w:ilvl w:val="1"/>
          <w:numId w:val="1"/>
        </w:numPr>
        <w:pBdr>
          <w:top w:val="nil"/>
          <w:left w:val="nil"/>
          <w:bottom w:val="nil"/>
          <w:right w:val="nil"/>
          <w:between w:val="nil"/>
        </w:pBdr>
        <w:ind w:left="851" w:hanging="425"/>
        <w:jc w:val="both"/>
        <w:rPr>
          <w:rFonts w:ascii="Cambria" w:eastAsia="Cambria" w:hAnsi="Cambria" w:cs="Cambria"/>
          <w:sz w:val="20"/>
          <w:szCs w:val="20"/>
        </w:rPr>
      </w:pPr>
      <w:r>
        <w:rPr>
          <w:rFonts w:ascii="Cambria" w:hAnsi="Cambria"/>
          <w:sz w:val="20"/>
        </w:rPr>
        <w:t xml:space="preserve">Rendimiento: Los niveles de captura totales deberían maximizarse, siempre que sea posible, a corto plazo (por ejemplo, 1-3 años), medio plazo (por ejemplo, 4-10 años) y largo plazo (por ejemplo, 11-30 años); </w:t>
      </w:r>
    </w:p>
    <w:p w14:paraId="00000026" w14:textId="77777777" w:rsidR="009F6F25" w:rsidRPr="00B10E54" w:rsidRDefault="009F6F25" w:rsidP="00B10E54">
      <w:pPr>
        <w:pBdr>
          <w:top w:val="nil"/>
          <w:left w:val="nil"/>
          <w:bottom w:val="nil"/>
          <w:right w:val="nil"/>
          <w:between w:val="nil"/>
        </w:pBdr>
        <w:ind w:left="851"/>
        <w:jc w:val="both"/>
        <w:rPr>
          <w:rFonts w:ascii="Cambria" w:eastAsia="Cambria" w:hAnsi="Cambria" w:cs="Cambria"/>
          <w:sz w:val="20"/>
          <w:szCs w:val="20"/>
        </w:rPr>
      </w:pPr>
    </w:p>
    <w:p w14:paraId="0C15F77F" w14:textId="5D47C02F" w:rsidR="00E94982" w:rsidRPr="00B10E54" w:rsidRDefault="00FE4D21" w:rsidP="00B10E54">
      <w:pPr>
        <w:numPr>
          <w:ilvl w:val="1"/>
          <w:numId w:val="1"/>
        </w:numPr>
        <w:pBdr>
          <w:top w:val="nil"/>
          <w:left w:val="nil"/>
          <w:bottom w:val="nil"/>
          <w:right w:val="nil"/>
          <w:between w:val="nil"/>
        </w:pBdr>
        <w:ind w:left="851" w:hanging="425"/>
        <w:jc w:val="both"/>
        <w:rPr>
          <w:rFonts w:ascii="Cambria" w:eastAsia="Cambria" w:hAnsi="Cambria"/>
          <w:sz w:val="20"/>
          <w:szCs w:val="20"/>
        </w:rPr>
      </w:pPr>
      <w:r>
        <w:rPr>
          <w:rFonts w:ascii="Cambria" w:hAnsi="Cambria"/>
          <w:sz w:val="20"/>
        </w:rPr>
        <w:t>Estabilidad: Cualquier cambio del TAC entre periodos de ordenación consecutivos debe</w:t>
      </w:r>
      <w:r w:rsidR="00564468">
        <w:rPr>
          <w:rFonts w:ascii="Cambria" w:hAnsi="Cambria"/>
          <w:sz w:val="20"/>
        </w:rPr>
        <w:t>ría</w:t>
      </w:r>
      <w:r>
        <w:rPr>
          <w:rFonts w:ascii="Cambria" w:hAnsi="Cambria"/>
          <w:sz w:val="20"/>
        </w:rPr>
        <w:t xml:space="preserve"> reducirse al mínimo y, en ningún caso, superar un aumento o una disminución del 15%. </w:t>
      </w:r>
    </w:p>
    <w:p w14:paraId="0000002C" w14:textId="77777777" w:rsidR="009F6F25" w:rsidRPr="00B10E54" w:rsidRDefault="009F6F25" w:rsidP="00B10E54">
      <w:pPr>
        <w:pBdr>
          <w:top w:val="nil"/>
          <w:left w:val="nil"/>
          <w:bottom w:val="nil"/>
          <w:right w:val="nil"/>
          <w:between w:val="nil"/>
        </w:pBdr>
        <w:ind w:left="720"/>
        <w:jc w:val="both"/>
        <w:rPr>
          <w:rFonts w:ascii="Cambria" w:eastAsia="Cambria" w:hAnsi="Cambria" w:cs="Cambria"/>
          <w:color w:val="000000"/>
          <w:sz w:val="20"/>
          <w:szCs w:val="20"/>
        </w:rPr>
      </w:pPr>
    </w:p>
    <w:p w14:paraId="0000002D" w14:textId="6E151EB1" w:rsidR="009F6F25" w:rsidRPr="00B10E54" w:rsidRDefault="001526F7" w:rsidP="00B10E54">
      <w:pPr>
        <w:numPr>
          <w:ilvl w:val="0"/>
          <w:numId w:val="1"/>
        </w:numPr>
        <w:pBdr>
          <w:top w:val="nil"/>
          <w:left w:val="nil"/>
          <w:bottom w:val="nil"/>
          <w:right w:val="nil"/>
          <w:between w:val="nil"/>
        </w:pBdr>
        <w:ind w:left="426" w:hanging="426"/>
        <w:jc w:val="both"/>
        <w:rPr>
          <w:rFonts w:ascii="Cambria" w:eastAsia="Cambria" w:hAnsi="Cambria" w:cs="Cambria"/>
          <w:color w:val="000000"/>
          <w:sz w:val="20"/>
          <w:szCs w:val="20"/>
        </w:rPr>
      </w:pPr>
      <w:r>
        <w:rPr>
          <w:rFonts w:ascii="Cambria" w:hAnsi="Cambria"/>
          <w:color w:val="000000" w:themeColor="text1"/>
          <w:sz w:val="20"/>
        </w:rPr>
        <w:t xml:space="preserve">Los objetivos operativos de ordenación provisionales se remitirán al SCRS para su examen y evaluación a través del proceso de MSE. </w:t>
      </w:r>
    </w:p>
    <w:p w14:paraId="0000002E" w14:textId="77777777" w:rsidR="009F6F25" w:rsidRPr="00B10E54" w:rsidRDefault="009F6F25" w:rsidP="00B10E54">
      <w:pPr>
        <w:jc w:val="both"/>
        <w:rPr>
          <w:rFonts w:ascii="Cambria" w:eastAsia="Cambria" w:hAnsi="Cambria" w:cs="Cambria"/>
          <w:sz w:val="20"/>
          <w:szCs w:val="20"/>
        </w:rPr>
      </w:pPr>
    </w:p>
    <w:p w14:paraId="0000002F" w14:textId="2C737668" w:rsidR="009F6F25" w:rsidRPr="002E3982" w:rsidRDefault="00FE4D21" w:rsidP="00B10E54">
      <w:pPr>
        <w:numPr>
          <w:ilvl w:val="0"/>
          <w:numId w:val="1"/>
        </w:numPr>
        <w:pBdr>
          <w:top w:val="nil"/>
          <w:left w:val="nil"/>
          <w:bottom w:val="nil"/>
          <w:right w:val="nil"/>
          <w:between w:val="nil"/>
        </w:pBdr>
        <w:ind w:left="426" w:hanging="426"/>
        <w:jc w:val="both"/>
        <w:rPr>
          <w:rFonts w:ascii="Cambria" w:eastAsia="Cambria" w:hAnsi="Cambria" w:cs="Cambria"/>
          <w:color w:val="000000"/>
          <w:sz w:val="20"/>
          <w:szCs w:val="20"/>
        </w:rPr>
      </w:pPr>
      <w:r>
        <w:rPr>
          <w:rFonts w:ascii="Cambria" w:hAnsi="Cambria"/>
          <w:color w:val="000000" w:themeColor="text1"/>
          <w:sz w:val="20"/>
        </w:rPr>
        <w:t xml:space="preserve">La Subcomisión 4 presentará a la Comisión sus recomendaciones para confirmar o enmendar los objetivos de ordenación para ambos stocks de tiburón azul del Atlántico, teniendo en cuenta las aportaciones del SCRS a la Comisión como parte de la selección de un procedimiento de ordenación, en su reunión anual de 2027 o lo antes posible a partir de entonces. </w:t>
      </w:r>
    </w:p>
    <w:p w14:paraId="57829F65" w14:textId="77777777" w:rsidR="002E3982" w:rsidRDefault="002E3982" w:rsidP="002E3982">
      <w:pPr>
        <w:pStyle w:val="ListParagraph"/>
        <w:rPr>
          <w:rFonts w:ascii="Cambria" w:eastAsia="Cambria" w:hAnsi="Cambria" w:cs="Cambria"/>
          <w:color w:val="000000"/>
          <w:sz w:val="20"/>
          <w:szCs w:val="20"/>
        </w:rPr>
      </w:pPr>
    </w:p>
    <w:p w14:paraId="00000031" w14:textId="62911577" w:rsidR="009F6F25" w:rsidRPr="00B10E54" w:rsidRDefault="00FE4D21" w:rsidP="00B10E54">
      <w:pPr>
        <w:numPr>
          <w:ilvl w:val="0"/>
          <w:numId w:val="1"/>
        </w:numPr>
        <w:pBdr>
          <w:top w:val="nil"/>
          <w:left w:val="nil"/>
          <w:bottom w:val="nil"/>
          <w:right w:val="nil"/>
          <w:between w:val="nil"/>
        </w:pBdr>
        <w:ind w:left="426" w:hanging="426"/>
        <w:jc w:val="both"/>
        <w:rPr>
          <w:rFonts w:ascii="Cambria" w:eastAsia="Cambria" w:hAnsi="Cambria" w:cs="Cambria"/>
          <w:color w:val="000000"/>
          <w:sz w:val="20"/>
          <w:szCs w:val="20"/>
        </w:rPr>
      </w:pPr>
      <w:r>
        <w:rPr>
          <w:rFonts w:ascii="Cambria" w:hAnsi="Cambria"/>
          <w:color w:val="000000"/>
          <w:sz w:val="20"/>
        </w:rPr>
        <w:t>Esta Resolución se revocará cuando la Comisión adopte procedimientos de ordenación para el tiburón azul del Atlántico.</w:t>
      </w:r>
    </w:p>
    <w:p w14:paraId="00000032" w14:textId="77777777" w:rsidR="009F6F25" w:rsidRPr="00B10E54" w:rsidRDefault="009F6F25" w:rsidP="00B10E54">
      <w:pPr>
        <w:pBdr>
          <w:top w:val="nil"/>
          <w:left w:val="nil"/>
          <w:bottom w:val="nil"/>
          <w:right w:val="nil"/>
          <w:between w:val="nil"/>
        </w:pBdr>
        <w:ind w:left="720"/>
        <w:jc w:val="both"/>
        <w:rPr>
          <w:rFonts w:ascii="Cambria" w:eastAsia="Cambria" w:hAnsi="Cambria" w:cs="Cambria"/>
          <w:color w:val="000000"/>
          <w:sz w:val="20"/>
          <w:szCs w:val="20"/>
        </w:rPr>
      </w:pPr>
    </w:p>
    <w:p w14:paraId="00000033" w14:textId="77777777" w:rsidR="009F6F25" w:rsidRPr="00B10E54" w:rsidRDefault="009F6F25" w:rsidP="00B10E54">
      <w:pPr>
        <w:jc w:val="both"/>
        <w:rPr>
          <w:rFonts w:ascii="Cambria" w:eastAsia="Cambria" w:hAnsi="Cambria" w:cs="Cambria"/>
          <w:sz w:val="20"/>
          <w:szCs w:val="20"/>
        </w:rPr>
      </w:pPr>
    </w:p>
    <w:p w14:paraId="00000034" w14:textId="77777777" w:rsidR="009F6F25" w:rsidRPr="00B10E54" w:rsidRDefault="009F6F25" w:rsidP="00B10E54">
      <w:pPr>
        <w:jc w:val="both"/>
        <w:rPr>
          <w:rFonts w:ascii="Cambria" w:eastAsia="Times New Roman" w:hAnsi="Cambria" w:cs="Times New Roman"/>
          <w:sz w:val="20"/>
          <w:szCs w:val="20"/>
        </w:rPr>
      </w:pPr>
    </w:p>
    <w:p w14:paraId="00000035" w14:textId="77777777" w:rsidR="009F6F25" w:rsidRPr="00B10E54" w:rsidRDefault="009F6F25" w:rsidP="00B10E54">
      <w:pPr>
        <w:jc w:val="both"/>
        <w:rPr>
          <w:rFonts w:ascii="Cambria" w:eastAsia="Times New Roman" w:hAnsi="Cambria" w:cs="Times New Roman"/>
          <w:sz w:val="20"/>
          <w:szCs w:val="20"/>
        </w:rPr>
      </w:pPr>
    </w:p>
    <w:p w14:paraId="00000036" w14:textId="77777777" w:rsidR="009F6F25" w:rsidRPr="00B10E54" w:rsidRDefault="009F6F25" w:rsidP="00B10E54">
      <w:pPr>
        <w:jc w:val="both"/>
        <w:rPr>
          <w:rFonts w:ascii="Cambria" w:eastAsia="Times New Roman" w:hAnsi="Cambria" w:cs="Times New Roman"/>
          <w:sz w:val="20"/>
          <w:szCs w:val="20"/>
        </w:rPr>
      </w:pPr>
    </w:p>
    <w:p w14:paraId="00000037" w14:textId="77777777" w:rsidR="009F6F25" w:rsidRPr="00B10E54" w:rsidRDefault="009F6F25" w:rsidP="00B10E54">
      <w:pPr>
        <w:jc w:val="both"/>
        <w:rPr>
          <w:rFonts w:ascii="Cambria" w:eastAsia="Times New Roman" w:hAnsi="Cambria" w:cs="Times New Roman"/>
          <w:sz w:val="20"/>
          <w:szCs w:val="20"/>
        </w:rPr>
      </w:pPr>
    </w:p>
    <w:p w14:paraId="00000038" w14:textId="77777777" w:rsidR="009F6F25" w:rsidRPr="00B10E54" w:rsidRDefault="009F6F25" w:rsidP="00B10E54">
      <w:pPr>
        <w:pBdr>
          <w:top w:val="nil"/>
          <w:left w:val="nil"/>
          <w:bottom w:val="nil"/>
          <w:right w:val="nil"/>
          <w:between w:val="nil"/>
        </w:pBdr>
        <w:ind w:left="720"/>
        <w:jc w:val="both"/>
        <w:rPr>
          <w:rFonts w:ascii="Cambria" w:eastAsia="Times New Roman" w:hAnsi="Cambria" w:cs="Times New Roman"/>
          <w:color w:val="000000"/>
          <w:sz w:val="20"/>
          <w:szCs w:val="20"/>
        </w:rPr>
      </w:pPr>
    </w:p>
    <w:p w14:paraId="00000039" w14:textId="77777777" w:rsidR="009F6F25" w:rsidRPr="00B10E54" w:rsidRDefault="009F6F25" w:rsidP="00B10E54">
      <w:pPr>
        <w:jc w:val="both"/>
        <w:rPr>
          <w:rFonts w:ascii="Cambria" w:eastAsia="Times New Roman" w:hAnsi="Cambria" w:cs="Times New Roman"/>
          <w:sz w:val="20"/>
          <w:szCs w:val="20"/>
        </w:rPr>
      </w:pPr>
    </w:p>
    <w:p w14:paraId="0000003A" w14:textId="77777777" w:rsidR="009F6F25" w:rsidRPr="00B10E54" w:rsidRDefault="009F6F25" w:rsidP="00B10E54">
      <w:pPr>
        <w:jc w:val="both"/>
        <w:rPr>
          <w:rFonts w:ascii="Cambria" w:eastAsia="Times New Roman" w:hAnsi="Cambria" w:cs="Times New Roman"/>
          <w:sz w:val="20"/>
          <w:szCs w:val="20"/>
        </w:rPr>
      </w:pPr>
    </w:p>
    <w:p w14:paraId="0000003B" w14:textId="77777777" w:rsidR="009F6F25" w:rsidRPr="00B10E54" w:rsidRDefault="00FE4D21" w:rsidP="00B10E54">
      <w:pPr>
        <w:tabs>
          <w:tab w:val="left" w:pos="6919"/>
        </w:tabs>
        <w:rPr>
          <w:rFonts w:ascii="Cambria" w:eastAsia="Times New Roman" w:hAnsi="Cambria" w:cs="Times New Roman"/>
          <w:sz w:val="20"/>
          <w:szCs w:val="20"/>
        </w:rPr>
      </w:pPr>
      <w:r>
        <w:rPr>
          <w:rFonts w:ascii="Cambria" w:hAnsi="Cambria"/>
          <w:sz w:val="20"/>
        </w:rPr>
        <w:tab/>
      </w:r>
    </w:p>
    <w:sectPr w:rsidR="009F6F25" w:rsidRPr="00B10E54">
      <w:headerReference w:type="default" r:id="rId11"/>
      <w:footerReference w:type="default" r:id="rId12"/>
      <w:pgSz w:w="11907" w:h="16840"/>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A3EED" w14:textId="77777777" w:rsidR="00880C2F" w:rsidRDefault="00880C2F">
      <w:r>
        <w:separator/>
      </w:r>
    </w:p>
  </w:endnote>
  <w:endnote w:type="continuationSeparator" w:id="0">
    <w:p w14:paraId="2619FEC2" w14:textId="77777777" w:rsidR="00880C2F" w:rsidRDefault="00880C2F">
      <w:r>
        <w:continuationSeparator/>
      </w:r>
    </w:p>
  </w:endnote>
  <w:endnote w:type="continuationNotice" w:id="1">
    <w:p w14:paraId="49B57F5F" w14:textId="77777777" w:rsidR="00880C2F" w:rsidRDefault="00880C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F" w14:textId="44D64114" w:rsidR="009F6F25" w:rsidRDefault="00FE4D21" w:rsidP="00FC62BD">
    <w:pPr>
      <w:tabs>
        <w:tab w:val="center" w:pos="4535"/>
        <w:tab w:val="center" w:pos="4680"/>
        <w:tab w:val="left" w:pos="6150"/>
        <w:tab w:val="right" w:pos="9360"/>
      </w:tabs>
      <w:jc w:val="center"/>
      <w:rPr>
        <w:rFonts w:ascii="Cambria" w:eastAsia="Cambria" w:hAnsi="Cambria" w:cs="Cambria"/>
        <w:sz w:val="20"/>
        <w:szCs w:val="20"/>
      </w:rPr>
    </w:pPr>
    <w:r>
      <w:rPr>
        <w:rFonts w:ascii="Cambria" w:eastAsia="Cambria" w:hAnsi="Cambria" w:cs="Cambria"/>
        <w:sz w:val="20"/>
      </w:rPr>
      <w:fldChar w:fldCharType="begin"/>
    </w:r>
    <w:r>
      <w:rPr>
        <w:rFonts w:ascii="Cambria" w:eastAsia="Cambria" w:hAnsi="Cambria" w:cs="Cambria"/>
        <w:sz w:val="20"/>
      </w:rPr>
      <w:instrText>PAGE</w:instrText>
    </w:r>
    <w:r>
      <w:rPr>
        <w:rFonts w:ascii="Cambria" w:eastAsia="Cambria" w:hAnsi="Cambria" w:cs="Cambria"/>
        <w:sz w:val="20"/>
      </w:rPr>
      <w:fldChar w:fldCharType="separate"/>
    </w:r>
    <w:r w:rsidR="00E568B8">
      <w:rPr>
        <w:rFonts w:ascii="Cambria" w:eastAsia="Cambria" w:hAnsi="Cambria" w:cs="Cambria"/>
        <w:sz w:val="20"/>
      </w:rPr>
      <w:t>1</w:t>
    </w:r>
    <w:r>
      <w:rPr>
        <w:rFonts w:ascii="Cambria" w:eastAsia="Cambria" w:hAnsi="Cambria" w:cs="Cambria"/>
        <w:sz w:val="20"/>
      </w:rPr>
      <w:fldChar w:fldCharType="end"/>
    </w:r>
    <w:r>
      <w:rPr>
        <w:rFonts w:ascii="Cambria" w:hAnsi="Cambria"/>
        <w:sz w:val="20"/>
      </w:rPr>
      <w:t xml:space="preserve"> / </w:t>
    </w:r>
    <w:r>
      <w:rPr>
        <w:rFonts w:ascii="Cambria" w:eastAsia="Cambria" w:hAnsi="Cambria" w:cs="Cambria"/>
        <w:sz w:val="20"/>
      </w:rPr>
      <w:fldChar w:fldCharType="begin"/>
    </w:r>
    <w:r>
      <w:rPr>
        <w:rFonts w:ascii="Cambria" w:eastAsia="Cambria" w:hAnsi="Cambria" w:cs="Cambria"/>
        <w:sz w:val="20"/>
      </w:rPr>
      <w:instrText>NUMPAGES</w:instrText>
    </w:r>
    <w:r>
      <w:rPr>
        <w:rFonts w:ascii="Cambria" w:eastAsia="Cambria" w:hAnsi="Cambria" w:cs="Cambria"/>
        <w:sz w:val="20"/>
      </w:rPr>
      <w:fldChar w:fldCharType="separate"/>
    </w:r>
    <w:r w:rsidR="00E568B8">
      <w:rPr>
        <w:rFonts w:ascii="Cambria" w:eastAsia="Cambria" w:hAnsi="Cambria" w:cs="Cambria"/>
        <w:sz w:val="20"/>
      </w:rPr>
      <w:t>2</w:t>
    </w:r>
    <w:r>
      <w:rPr>
        <w:rFonts w:ascii="Cambria" w:eastAsia="Cambria" w:hAnsi="Cambria" w:cs="Cambri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85547" w14:textId="77777777" w:rsidR="00880C2F" w:rsidRDefault="00880C2F">
      <w:r>
        <w:separator/>
      </w:r>
    </w:p>
  </w:footnote>
  <w:footnote w:type="continuationSeparator" w:id="0">
    <w:p w14:paraId="5AF04BDC" w14:textId="77777777" w:rsidR="00880C2F" w:rsidRDefault="00880C2F">
      <w:r>
        <w:continuationSeparator/>
      </w:r>
    </w:p>
  </w:footnote>
  <w:footnote w:type="continuationNotice" w:id="1">
    <w:p w14:paraId="0C2C4B83" w14:textId="77777777" w:rsidR="00880C2F" w:rsidRDefault="00880C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886FF" w14:textId="1ABF8499" w:rsidR="00081FE8" w:rsidRPr="00081FE8" w:rsidRDefault="00081FE8" w:rsidP="00081FE8">
    <w:pPr>
      <w:tabs>
        <w:tab w:val="center" w:pos="4680"/>
        <w:tab w:val="left" w:pos="6520"/>
        <w:tab w:val="right" w:pos="9360"/>
        <w:tab w:val="right" w:pos="14240"/>
      </w:tabs>
      <w:jc w:val="right"/>
      <w:rPr>
        <w:rFonts w:ascii="Cambria" w:hAnsi="Cambria" w:cs="Times New Roman"/>
        <w:b/>
        <w:bCs/>
        <w:sz w:val="20"/>
        <w:szCs w:val="20"/>
      </w:rPr>
    </w:pPr>
    <w:bookmarkStart w:id="3" w:name="_Hlk107908354"/>
    <w:bookmarkStart w:id="4" w:name="_Hlk107908355"/>
    <w:bookmarkStart w:id="5" w:name="_Hlk107908359"/>
    <w:bookmarkStart w:id="6" w:name="_Hlk107908360"/>
    <w:bookmarkStart w:id="7" w:name="_Hlk107908361"/>
    <w:bookmarkStart w:id="8" w:name="_Hlk107908362"/>
    <w:r>
      <w:rPr>
        <w:rFonts w:ascii="Cambria" w:hAnsi="Cambria"/>
        <w:b/>
        <w:sz w:val="20"/>
      </w:rPr>
      <w:t>PA4_813/2025</w:t>
    </w:r>
  </w:p>
  <w:p w14:paraId="0C9FBC15" w14:textId="0BB3AC5C" w:rsidR="00081FE8" w:rsidRPr="00081FE8" w:rsidRDefault="00081FE8" w:rsidP="00081FE8">
    <w:pPr>
      <w:tabs>
        <w:tab w:val="left" w:pos="7320"/>
      </w:tabs>
      <w:spacing w:line="240" w:lineRule="exact"/>
      <w:jc w:val="right"/>
      <w:rPr>
        <w:rFonts w:ascii="Cambria" w:eastAsia="Times New Roman" w:hAnsi="Cambria" w:cs="Times New Roman"/>
        <w:b/>
        <w:bCs/>
        <w:sz w:val="16"/>
        <w:szCs w:val="16"/>
      </w:rPr>
    </w:pPr>
    <w:r w:rsidRPr="00081FE8">
      <w:rPr>
        <w:rFonts w:ascii="Cambria" w:eastAsia="Times New Roman" w:hAnsi="Cambria" w:cs="Times New Roman"/>
        <w:b/>
        <w:sz w:val="16"/>
      </w:rPr>
      <w:fldChar w:fldCharType="begin"/>
    </w:r>
    <w:r w:rsidRPr="00081FE8">
      <w:rPr>
        <w:rFonts w:ascii="Cambria" w:eastAsia="Times New Roman" w:hAnsi="Cambria" w:cs="Times New Roman"/>
        <w:b/>
        <w:sz w:val="16"/>
      </w:rPr>
      <w:instrText xml:space="preserve"> TIME \@ "dd/MM/yyyy H:mm" </w:instrText>
    </w:r>
    <w:r w:rsidRPr="00081FE8">
      <w:rPr>
        <w:rFonts w:ascii="Cambria" w:eastAsia="Times New Roman" w:hAnsi="Cambria" w:cs="Times New Roman"/>
        <w:b/>
        <w:sz w:val="16"/>
      </w:rPr>
      <w:fldChar w:fldCharType="separate"/>
    </w:r>
    <w:r w:rsidR="00564468">
      <w:rPr>
        <w:rFonts w:ascii="Cambria" w:eastAsia="Times New Roman" w:hAnsi="Cambria" w:cs="Times New Roman"/>
        <w:b/>
        <w:noProof/>
        <w:sz w:val="16"/>
      </w:rPr>
      <w:t>12/11/2025 12:01</w:t>
    </w:r>
    <w:r w:rsidRPr="00081FE8">
      <w:rPr>
        <w:rFonts w:ascii="Cambria" w:eastAsia="Times New Roman" w:hAnsi="Cambria" w:cs="Times New Roman"/>
        <w:b/>
        <w:bCs/>
        <w:sz w:val="16"/>
        <w:szCs w:val="16"/>
        <w:lang w:val="es-ES_tradnl"/>
      </w:rPr>
      <w:fldChar w:fldCharType="end"/>
    </w:r>
    <w:bookmarkEnd w:id="3"/>
    <w:bookmarkEnd w:id="4"/>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4DCD"/>
    <w:multiLevelType w:val="multilevel"/>
    <w:tmpl w:val="D5386A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D061936"/>
    <w:multiLevelType w:val="multilevel"/>
    <w:tmpl w:val="BEDA4B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ABE2167"/>
    <w:multiLevelType w:val="hybridMultilevel"/>
    <w:tmpl w:val="9EA81416"/>
    <w:lvl w:ilvl="0" w:tplc="E762506C">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341513453">
    <w:abstractNumId w:val="1"/>
  </w:num>
  <w:num w:numId="2" w16cid:durableId="675571053">
    <w:abstractNumId w:val="0"/>
  </w:num>
  <w:num w:numId="3" w16cid:durableId="37125249">
    <w:abstractNumId w:val="2"/>
  </w:num>
  <w:num w:numId="4" w16cid:durableId="324363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9F6F25"/>
    <w:rsid w:val="0000440C"/>
    <w:rsid w:val="0001653F"/>
    <w:rsid w:val="00034957"/>
    <w:rsid w:val="00034AB0"/>
    <w:rsid w:val="0004532D"/>
    <w:rsid w:val="00046259"/>
    <w:rsid w:val="00046515"/>
    <w:rsid w:val="00055D95"/>
    <w:rsid w:val="000569B9"/>
    <w:rsid w:val="00081FE8"/>
    <w:rsid w:val="00094490"/>
    <w:rsid w:val="000C1B8C"/>
    <w:rsid w:val="000C40A0"/>
    <w:rsid w:val="000C7F2C"/>
    <w:rsid w:val="000D21B3"/>
    <w:rsid w:val="000E294B"/>
    <w:rsid w:val="001264E7"/>
    <w:rsid w:val="00137386"/>
    <w:rsid w:val="001447A4"/>
    <w:rsid w:val="00151697"/>
    <w:rsid w:val="001526F7"/>
    <w:rsid w:val="00157934"/>
    <w:rsid w:val="001738F5"/>
    <w:rsid w:val="00183616"/>
    <w:rsid w:val="001947C4"/>
    <w:rsid w:val="001A512F"/>
    <w:rsid w:val="001C0B43"/>
    <w:rsid w:val="001C573E"/>
    <w:rsid w:val="001D05AD"/>
    <w:rsid w:val="001E3CDC"/>
    <w:rsid w:val="001E57C4"/>
    <w:rsid w:val="00211D15"/>
    <w:rsid w:val="00215E82"/>
    <w:rsid w:val="002174A4"/>
    <w:rsid w:val="002571D2"/>
    <w:rsid w:val="00265561"/>
    <w:rsid w:val="002667B6"/>
    <w:rsid w:val="0027098D"/>
    <w:rsid w:val="002810ED"/>
    <w:rsid w:val="002860E3"/>
    <w:rsid w:val="00287C4D"/>
    <w:rsid w:val="00293B4B"/>
    <w:rsid w:val="002C0640"/>
    <w:rsid w:val="002E2A20"/>
    <w:rsid w:val="002E3982"/>
    <w:rsid w:val="002F1380"/>
    <w:rsid w:val="002F67A7"/>
    <w:rsid w:val="002F690A"/>
    <w:rsid w:val="003223CB"/>
    <w:rsid w:val="0032725C"/>
    <w:rsid w:val="0033355F"/>
    <w:rsid w:val="00351553"/>
    <w:rsid w:val="00351B67"/>
    <w:rsid w:val="00356F32"/>
    <w:rsid w:val="003604EE"/>
    <w:rsid w:val="003712FF"/>
    <w:rsid w:val="00375709"/>
    <w:rsid w:val="003758BD"/>
    <w:rsid w:val="00377836"/>
    <w:rsid w:val="00380D63"/>
    <w:rsid w:val="003902E0"/>
    <w:rsid w:val="00397C1A"/>
    <w:rsid w:val="003A39B9"/>
    <w:rsid w:val="003C5C40"/>
    <w:rsid w:val="003F5292"/>
    <w:rsid w:val="004033BB"/>
    <w:rsid w:val="004059F4"/>
    <w:rsid w:val="0042207C"/>
    <w:rsid w:val="0043045F"/>
    <w:rsid w:val="004409D5"/>
    <w:rsid w:val="0044293C"/>
    <w:rsid w:val="004464C3"/>
    <w:rsid w:val="004612A5"/>
    <w:rsid w:val="0046407A"/>
    <w:rsid w:val="00471102"/>
    <w:rsid w:val="00472545"/>
    <w:rsid w:val="00474132"/>
    <w:rsid w:val="0047547D"/>
    <w:rsid w:val="004760FF"/>
    <w:rsid w:val="00486688"/>
    <w:rsid w:val="0049137A"/>
    <w:rsid w:val="004A417E"/>
    <w:rsid w:val="004B01D1"/>
    <w:rsid w:val="004C149C"/>
    <w:rsid w:val="004C365B"/>
    <w:rsid w:val="004D7C54"/>
    <w:rsid w:val="004F04A1"/>
    <w:rsid w:val="004F14AB"/>
    <w:rsid w:val="005129B3"/>
    <w:rsid w:val="00513C06"/>
    <w:rsid w:val="00515668"/>
    <w:rsid w:val="00535D24"/>
    <w:rsid w:val="0053606B"/>
    <w:rsid w:val="00544D74"/>
    <w:rsid w:val="00553172"/>
    <w:rsid w:val="00564468"/>
    <w:rsid w:val="005E4A0B"/>
    <w:rsid w:val="00601EB8"/>
    <w:rsid w:val="00604383"/>
    <w:rsid w:val="0060709E"/>
    <w:rsid w:val="00630353"/>
    <w:rsid w:val="0063560E"/>
    <w:rsid w:val="006570A3"/>
    <w:rsid w:val="00671AF1"/>
    <w:rsid w:val="006833B4"/>
    <w:rsid w:val="006A1976"/>
    <w:rsid w:val="006A4781"/>
    <w:rsid w:val="006B5C31"/>
    <w:rsid w:val="006C2D72"/>
    <w:rsid w:val="006C4D37"/>
    <w:rsid w:val="006E40EA"/>
    <w:rsid w:val="00706FCA"/>
    <w:rsid w:val="00737B09"/>
    <w:rsid w:val="007576FF"/>
    <w:rsid w:val="00772318"/>
    <w:rsid w:val="0078129F"/>
    <w:rsid w:val="0079004B"/>
    <w:rsid w:val="007929D0"/>
    <w:rsid w:val="00797C79"/>
    <w:rsid w:val="007A305E"/>
    <w:rsid w:val="007B0CAC"/>
    <w:rsid w:val="007C1D94"/>
    <w:rsid w:val="007C69EF"/>
    <w:rsid w:val="007D242B"/>
    <w:rsid w:val="007F117F"/>
    <w:rsid w:val="007F6D2B"/>
    <w:rsid w:val="00813CBD"/>
    <w:rsid w:val="00843BFE"/>
    <w:rsid w:val="0084710B"/>
    <w:rsid w:val="008535CD"/>
    <w:rsid w:val="00856970"/>
    <w:rsid w:val="00866114"/>
    <w:rsid w:val="0087343E"/>
    <w:rsid w:val="00880C2F"/>
    <w:rsid w:val="00893A74"/>
    <w:rsid w:val="008A7BD1"/>
    <w:rsid w:val="008A7C4B"/>
    <w:rsid w:val="008B4AA1"/>
    <w:rsid w:val="008B7275"/>
    <w:rsid w:val="008D1955"/>
    <w:rsid w:val="008E5ED3"/>
    <w:rsid w:val="008E66C3"/>
    <w:rsid w:val="008F673C"/>
    <w:rsid w:val="00920BB2"/>
    <w:rsid w:val="00927981"/>
    <w:rsid w:val="00930029"/>
    <w:rsid w:val="00935AF9"/>
    <w:rsid w:val="00967081"/>
    <w:rsid w:val="009769A3"/>
    <w:rsid w:val="009843C2"/>
    <w:rsid w:val="0099104F"/>
    <w:rsid w:val="009B1ACB"/>
    <w:rsid w:val="009D2182"/>
    <w:rsid w:val="009D4A0C"/>
    <w:rsid w:val="009E4FFA"/>
    <w:rsid w:val="009E6170"/>
    <w:rsid w:val="009F6F25"/>
    <w:rsid w:val="00A10894"/>
    <w:rsid w:val="00A16632"/>
    <w:rsid w:val="00A20334"/>
    <w:rsid w:val="00A260A9"/>
    <w:rsid w:val="00A3525C"/>
    <w:rsid w:val="00A36517"/>
    <w:rsid w:val="00A53AF6"/>
    <w:rsid w:val="00A60FC8"/>
    <w:rsid w:val="00A62B3D"/>
    <w:rsid w:val="00A632A2"/>
    <w:rsid w:val="00A72CF6"/>
    <w:rsid w:val="00A75052"/>
    <w:rsid w:val="00A8661E"/>
    <w:rsid w:val="00AA5159"/>
    <w:rsid w:val="00AC1532"/>
    <w:rsid w:val="00AC5663"/>
    <w:rsid w:val="00AC686F"/>
    <w:rsid w:val="00AE6233"/>
    <w:rsid w:val="00B02CA1"/>
    <w:rsid w:val="00B10E54"/>
    <w:rsid w:val="00B25C48"/>
    <w:rsid w:val="00B25ECD"/>
    <w:rsid w:val="00B34921"/>
    <w:rsid w:val="00B43F15"/>
    <w:rsid w:val="00B54B1E"/>
    <w:rsid w:val="00B55B8D"/>
    <w:rsid w:val="00B87BC9"/>
    <w:rsid w:val="00BC182C"/>
    <w:rsid w:val="00BD3FAE"/>
    <w:rsid w:val="00BF4DB9"/>
    <w:rsid w:val="00C167FB"/>
    <w:rsid w:val="00C21FF7"/>
    <w:rsid w:val="00C30CB6"/>
    <w:rsid w:val="00C51E08"/>
    <w:rsid w:val="00C52D88"/>
    <w:rsid w:val="00C61BDD"/>
    <w:rsid w:val="00C80BF7"/>
    <w:rsid w:val="00CA06F1"/>
    <w:rsid w:val="00CA0813"/>
    <w:rsid w:val="00CA2ADE"/>
    <w:rsid w:val="00CC3DEB"/>
    <w:rsid w:val="00CD148D"/>
    <w:rsid w:val="00CF45DD"/>
    <w:rsid w:val="00D02A64"/>
    <w:rsid w:val="00D14446"/>
    <w:rsid w:val="00D16C0B"/>
    <w:rsid w:val="00D22935"/>
    <w:rsid w:val="00D23C23"/>
    <w:rsid w:val="00D30806"/>
    <w:rsid w:val="00D3255D"/>
    <w:rsid w:val="00D37FB7"/>
    <w:rsid w:val="00D71ED7"/>
    <w:rsid w:val="00DA1A37"/>
    <w:rsid w:val="00DB5477"/>
    <w:rsid w:val="00DF54C5"/>
    <w:rsid w:val="00E012CA"/>
    <w:rsid w:val="00E049DC"/>
    <w:rsid w:val="00E16178"/>
    <w:rsid w:val="00E21808"/>
    <w:rsid w:val="00E26446"/>
    <w:rsid w:val="00E34EDC"/>
    <w:rsid w:val="00E568B8"/>
    <w:rsid w:val="00E60737"/>
    <w:rsid w:val="00E611A2"/>
    <w:rsid w:val="00E62559"/>
    <w:rsid w:val="00E64277"/>
    <w:rsid w:val="00E663F0"/>
    <w:rsid w:val="00E67248"/>
    <w:rsid w:val="00E76E37"/>
    <w:rsid w:val="00E80461"/>
    <w:rsid w:val="00E94982"/>
    <w:rsid w:val="00E97AEB"/>
    <w:rsid w:val="00EB4B65"/>
    <w:rsid w:val="00EB5D50"/>
    <w:rsid w:val="00EC4172"/>
    <w:rsid w:val="00EC5253"/>
    <w:rsid w:val="00ED65B7"/>
    <w:rsid w:val="00ED74AB"/>
    <w:rsid w:val="00EE737B"/>
    <w:rsid w:val="00EF5DE2"/>
    <w:rsid w:val="00F14611"/>
    <w:rsid w:val="00F17C0C"/>
    <w:rsid w:val="00F2434B"/>
    <w:rsid w:val="00F244F5"/>
    <w:rsid w:val="00F34B38"/>
    <w:rsid w:val="00F4068D"/>
    <w:rsid w:val="00F4679E"/>
    <w:rsid w:val="00F836C4"/>
    <w:rsid w:val="00FC62BD"/>
    <w:rsid w:val="00FD6414"/>
    <w:rsid w:val="00FD78A2"/>
    <w:rsid w:val="00FE4D21"/>
    <w:rsid w:val="00FF21F6"/>
    <w:rsid w:val="00FF7123"/>
    <w:rsid w:val="0187FAB3"/>
    <w:rsid w:val="081D8B46"/>
    <w:rsid w:val="0DDCA94D"/>
    <w:rsid w:val="11182B60"/>
    <w:rsid w:val="112F721B"/>
    <w:rsid w:val="13D45FFC"/>
    <w:rsid w:val="18CC79E1"/>
    <w:rsid w:val="1A6066B7"/>
    <w:rsid w:val="25EF9E62"/>
    <w:rsid w:val="2A53A725"/>
    <w:rsid w:val="308ADA3C"/>
    <w:rsid w:val="3321421D"/>
    <w:rsid w:val="35CD9FE7"/>
    <w:rsid w:val="3645E6AB"/>
    <w:rsid w:val="39F96856"/>
    <w:rsid w:val="40734C69"/>
    <w:rsid w:val="413B5EC3"/>
    <w:rsid w:val="449A4B25"/>
    <w:rsid w:val="49497073"/>
    <w:rsid w:val="4B8E3C1B"/>
    <w:rsid w:val="569AD2ED"/>
    <w:rsid w:val="57C3F913"/>
    <w:rsid w:val="585BEC64"/>
    <w:rsid w:val="592EED06"/>
    <w:rsid w:val="5C14C124"/>
    <w:rsid w:val="6338DEBE"/>
    <w:rsid w:val="63D2E195"/>
    <w:rsid w:val="641CB91E"/>
    <w:rsid w:val="65166A83"/>
    <w:rsid w:val="67B0DD91"/>
    <w:rsid w:val="6C4B1E29"/>
    <w:rsid w:val="7451D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4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DD1C10"/>
    <w:pPr>
      <w:autoSpaceDE w:val="0"/>
      <w:autoSpaceDN w:val="0"/>
      <w:adjustRightInd w:val="0"/>
    </w:pPr>
    <w:rPr>
      <w:rFonts w:ascii="Cambria" w:hAnsi="Cambria" w:cs="Cambria"/>
      <w:color w:val="000000"/>
    </w:rPr>
  </w:style>
  <w:style w:type="paragraph" w:styleId="ListParagraph">
    <w:name w:val="List Paragraph"/>
    <w:basedOn w:val="Normal"/>
    <w:uiPriority w:val="1"/>
    <w:qFormat/>
    <w:rsid w:val="00DD1C10"/>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9175E"/>
    <w:pPr>
      <w:tabs>
        <w:tab w:val="center" w:pos="4680"/>
        <w:tab w:val="right" w:pos="9360"/>
      </w:tabs>
    </w:pPr>
  </w:style>
  <w:style w:type="character" w:customStyle="1" w:styleId="HeaderChar">
    <w:name w:val="Header Char"/>
    <w:basedOn w:val="DefaultParagraphFont"/>
    <w:link w:val="Header"/>
    <w:uiPriority w:val="99"/>
    <w:rsid w:val="0049175E"/>
  </w:style>
  <w:style w:type="paragraph" w:styleId="Footer">
    <w:name w:val="footer"/>
    <w:basedOn w:val="Normal"/>
    <w:link w:val="FooterChar"/>
    <w:uiPriority w:val="99"/>
    <w:unhideWhenUsed/>
    <w:rsid w:val="0049175E"/>
    <w:pPr>
      <w:tabs>
        <w:tab w:val="center" w:pos="4680"/>
        <w:tab w:val="right" w:pos="9360"/>
      </w:tabs>
    </w:pPr>
  </w:style>
  <w:style w:type="character" w:customStyle="1" w:styleId="FooterChar">
    <w:name w:val="Footer Char"/>
    <w:basedOn w:val="DefaultParagraphFont"/>
    <w:link w:val="Footer"/>
    <w:uiPriority w:val="99"/>
    <w:rsid w:val="0049175E"/>
  </w:style>
  <w:style w:type="paragraph" w:styleId="FootnoteText">
    <w:name w:val="footnote text"/>
    <w:basedOn w:val="Normal"/>
    <w:link w:val="FootnoteTextChar"/>
    <w:uiPriority w:val="99"/>
    <w:semiHidden/>
    <w:unhideWhenUsed/>
    <w:rsid w:val="00FD5474"/>
    <w:rPr>
      <w:sz w:val="20"/>
      <w:szCs w:val="20"/>
    </w:rPr>
  </w:style>
  <w:style w:type="character" w:customStyle="1" w:styleId="FootnoteTextChar">
    <w:name w:val="Footnote Text Char"/>
    <w:basedOn w:val="DefaultParagraphFont"/>
    <w:link w:val="FootnoteText"/>
    <w:uiPriority w:val="99"/>
    <w:semiHidden/>
    <w:rsid w:val="00FD5474"/>
    <w:rPr>
      <w:sz w:val="20"/>
      <w:szCs w:val="20"/>
    </w:rPr>
  </w:style>
  <w:style w:type="character" w:styleId="FootnoteReference">
    <w:name w:val="footnote reference"/>
    <w:basedOn w:val="DefaultParagraphFont"/>
    <w:uiPriority w:val="99"/>
    <w:semiHidden/>
    <w:unhideWhenUsed/>
    <w:rsid w:val="00FD5474"/>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C41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172"/>
    <w:rPr>
      <w:rFonts w:ascii="Segoe UI" w:hAnsi="Segoe UI" w:cs="Segoe UI"/>
      <w:sz w:val="18"/>
      <w:szCs w:val="18"/>
    </w:rPr>
  </w:style>
  <w:style w:type="paragraph" w:styleId="Revision">
    <w:name w:val="Revision"/>
    <w:hidden/>
    <w:uiPriority w:val="99"/>
    <w:semiHidden/>
    <w:rsid w:val="00E012CA"/>
  </w:style>
  <w:style w:type="paragraph" w:styleId="CommentSubject">
    <w:name w:val="annotation subject"/>
    <w:basedOn w:val="CommentText"/>
    <w:next w:val="CommentText"/>
    <w:link w:val="CommentSubjectChar"/>
    <w:uiPriority w:val="99"/>
    <w:semiHidden/>
    <w:unhideWhenUsed/>
    <w:rsid w:val="00E012CA"/>
    <w:rPr>
      <w:b/>
      <w:bCs/>
    </w:rPr>
  </w:style>
  <w:style w:type="character" w:customStyle="1" w:styleId="CommentSubjectChar">
    <w:name w:val="Comment Subject Char"/>
    <w:basedOn w:val="CommentTextChar"/>
    <w:link w:val="CommentSubject"/>
    <w:uiPriority w:val="99"/>
    <w:semiHidden/>
    <w:rsid w:val="00E012CA"/>
    <w:rPr>
      <w:b/>
      <w:bCs/>
      <w:sz w:val="20"/>
      <w:szCs w:val="20"/>
    </w:rPr>
  </w:style>
  <w:style w:type="paragraph" w:styleId="BodyText">
    <w:name w:val="Body Text"/>
    <w:basedOn w:val="Normal"/>
    <w:link w:val="BodyTextChar"/>
    <w:uiPriority w:val="1"/>
    <w:qFormat/>
    <w:rsid w:val="009843C2"/>
    <w:pPr>
      <w:widowControl w:val="0"/>
      <w:autoSpaceDE w:val="0"/>
      <w:autoSpaceDN w:val="0"/>
    </w:pPr>
    <w:rPr>
      <w:rFonts w:ascii="Cambria" w:eastAsia="Cambria" w:hAnsi="Cambria" w:cs="Cambria"/>
      <w:sz w:val="20"/>
      <w:szCs w:val="20"/>
    </w:rPr>
  </w:style>
  <w:style w:type="character" w:customStyle="1" w:styleId="BodyTextChar">
    <w:name w:val="Body Text Char"/>
    <w:basedOn w:val="DefaultParagraphFont"/>
    <w:link w:val="BodyText"/>
    <w:uiPriority w:val="1"/>
    <w:rsid w:val="009843C2"/>
    <w:rPr>
      <w:rFonts w:ascii="Cambria" w:eastAsia="Cambria" w:hAnsi="Cambria" w:cs="Cambr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ée un document." ma:contentTypeScope="" ma:versionID="c7cd7706a0ec565d5f2866d788f9b76b">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1ae6799d5c024fc439ef7cff9f91b7ee"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FC1DDC-925A-4F1F-B48E-47B29458901C}">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customXml/itemProps2.xml><?xml version="1.0" encoding="utf-8"?>
<ds:datastoreItem xmlns:ds="http://schemas.openxmlformats.org/officeDocument/2006/customXml" ds:itemID="{01C13F75-4837-4CB9-91EE-30AD5242C15D}">
  <ds:schemaRefs>
    <ds:schemaRef ds:uri="http://schemas.microsoft.com/sharepoint/v3/contenttype/forms"/>
  </ds:schemaRefs>
</ds:datastoreItem>
</file>

<file path=customXml/itemProps3.xml><?xml version="1.0" encoding="utf-8"?>
<ds:datastoreItem xmlns:ds="http://schemas.openxmlformats.org/officeDocument/2006/customXml" ds:itemID="{EEE1865F-A670-421D-B0DF-51FC9E186075}">
  <ds:schemaRefs>
    <ds:schemaRef ds:uri="http://schemas.openxmlformats.org/officeDocument/2006/bibliography"/>
  </ds:schemaRefs>
</ds:datastoreItem>
</file>

<file path=customXml/itemProps4.xml><?xml version="1.0" encoding="utf-8"?>
<ds:datastoreItem xmlns:ds="http://schemas.openxmlformats.org/officeDocument/2006/customXml" ds:itemID="{02E8D3F9-87F2-4C3C-B6E8-DBB5CBABF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f01cf0-dd39-4ca8-8ed8-80cbd24f5bed}" enabled="1" method="Standard" siteId="{6219f119-3e79-4e7f-acde-a5750808cd9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1203</Words>
  <Characters>6619</Characters>
  <Application>Microsoft Office Word</Application>
  <DocSecurity>0</DocSecurity>
  <Lines>55</Lines>
  <Paragraphs>15</Paragraphs>
  <ScaleCrop>false</ScaleCrop>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cp:revision>
  <dcterms:created xsi:type="dcterms:W3CDTF">2025-10-06T16:22:00Z</dcterms:created>
  <dcterms:modified xsi:type="dcterms:W3CDTF">2025-11-12T11:10:00Z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2024-09-25T14:33:23Z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e64b830f-8521-4387-99e2-fc3980e04fe5</vt:lpwstr>
  </property>
  <property fmtid="{D5CDD505-2E9C-101B-9397-08002B2CF9AE}" pid="8" name="MSIP_Label_6bd9ddd1-4d20-43f6-abfa-fc3c07406f94_ContentBits">
    <vt:lpwstr>0</vt:lpwstr>
  </property>
  <property fmtid="{D5CDD505-2E9C-101B-9397-08002B2CF9AE}" pid="9" name="ContentTypeId">
    <vt:lpwstr>0x01010017FF78C904FD5D479F9D99C5899B7D55</vt:lpwstr>
  </property>
  <property fmtid="{D5CDD505-2E9C-101B-9397-08002B2CF9AE}" pid="10" name="MediaServiceImageTags">
    <vt:lpwstr/>
  </property>
</Properties>
</file>