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6089" w14:textId="77777777" w:rsidR="00F836C4" w:rsidRPr="00022CB4" w:rsidRDefault="00F836C4" w:rsidP="00F836C4">
      <w:pPr>
        <w:shd w:val="clear" w:color="auto" w:fill="FFFFFF"/>
        <w:suppressAutoHyphens/>
        <w:autoSpaceDN w:val="0"/>
        <w:textAlignment w:val="baseline"/>
        <w:rPr>
          <w:rFonts w:ascii="Cambria" w:eastAsia="Times New Roman" w:hAnsi="Cambria" w:cs="Times New Roman"/>
          <w:b/>
          <w:color w:val="000000"/>
          <w:kern w:val="3"/>
          <w:sz w:val="20"/>
          <w:szCs w:val="20"/>
          <w:lang w:eastAsia="zh-CN" w:bidi="hi-IN"/>
        </w:rPr>
      </w:pPr>
    </w:p>
    <w:p w14:paraId="7CA25516" w14:textId="77777777" w:rsidR="00F836C4" w:rsidRPr="00022CB4" w:rsidRDefault="00F836C4" w:rsidP="00F836C4">
      <w:pPr>
        <w:widowControl w:val="0"/>
        <w:autoSpaceDE w:val="0"/>
        <w:autoSpaceDN w:val="0"/>
        <w:ind w:left="487" w:right="392"/>
        <w:jc w:val="center"/>
        <w:rPr>
          <w:rFonts w:ascii="Cambria" w:eastAsia="Cambria" w:hAnsi="Cambria" w:cs="Cambria"/>
          <w:b/>
          <w:spacing w:val="-2"/>
          <w:sz w:val="20"/>
          <w:szCs w:val="20"/>
        </w:rPr>
      </w:pPr>
      <w:r w:rsidRPr="00022CB4">
        <w:rPr>
          <w:rFonts w:ascii="Cambria" w:hAnsi="Cambria"/>
          <w:b/>
          <w:sz w:val="20"/>
          <w:szCs w:val="20"/>
        </w:rPr>
        <w:t>Page de garde accompagnant les nouvelles propositions</w:t>
      </w:r>
    </w:p>
    <w:p w14:paraId="7AA72DCA" w14:textId="77777777" w:rsidR="00F836C4" w:rsidRPr="00022CB4" w:rsidRDefault="00F836C4" w:rsidP="00F836C4">
      <w:pPr>
        <w:widowControl w:val="0"/>
        <w:autoSpaceDE w:val="0"/>
        <w:autoSpaceDN w:val="0"/>
        <w:ind w:left="487" w:right="392"/>
        <w:jc w:val="center"/>
        <w:rPr>
          <w:rFonts w:ascii="Cambria" w:eastAsia="Cambria" w:hAnsi="Cambria" w:cs="Cambria"/>
          <w:b/>
          <w:sz w:val="20"/>
          <w:szCs w:val="20"/>
        </w:rPr>
      </w:pPr>
    </w:p>
    <w:p w14:paraId="7A94A7DF" w14:textId="1F7357A7" w:rsidR="00F836C4" w:rsidRPr="00022CB4" w:rsidRDefault="00F836C4" w:rsidP="00F836C4">
      <w:pPr>
        <w:widowControl w:val="0"/>
        <w:jc w:val="center"/>
        <w:rPr>
          <w:rFonts w:ascii="Cambria" w:eastAsia="Cambria" w:hAnsi="Cambria" w:cs="Cambria"/>
          <w:i/>
          <w:sz w:val="20"/>
          <w:szCs w:val="20"/>
        </w:rPr>
      </w:pPr>
      <w:r w:rsidRPr="00022CB4">
        <w:rPr>
          <w:rFonts w:ascii="Cambria" w:hAnsi="Cambria"/>
          <w:i/>
          <w:sz w:val="20"/>
          <w:szCs w:val="20"/>
        </w:rPr>
        <w:t>(Document présenté par l’Union européenne)</w:t>
      </w:r>
    </w:p>
    <w:p w14:paraId="25EF21A0" w14:textId="77777777" w:rsidR="00081FE8" w:rsidRPr="00022CB4" w:rsidRDefault="00081FE8" w:rsidP="009843C2">
      <w:pPr>
        <w:jc w:val="both"/>
        <w:rPr>
          <w:rFonts w:ascii="Cambria" w:hAnsi="Cambria"/>
          <w:b/>
          <w:bCs/>
          <w:sz w:val="20"/>
          <w:szCs w:val="20"/>
        </w:rPr>
      </w:pPr>
    </w:p>
    <w:p w14:paraId="605058EE" w14:textId="77777777" w:rsidR="00081FE8" w:rsidRPr="00022CB4" w:rsidRDefault="00081FE8" w:rsidP="009843C2">
      <w:pPr>
        <w:jc w:val="both"/>
        <w:rPr>
          <w:rFonts w:ascii="Cambria" w:hAnsi="Cambria"/>
          <w:b/>
          <w:bCs/>
          <w:sz w:val="20"/>
          <w:szCs w:val="20"/>
        </w:rPr>
      </w:pPr>
    </w:p>
    <w:p w14:paraId="38594CDA" w14:textId="7F3DCECC" w:rsidR="00F4679E" w:rsidRPr="00022CB4" w:rsidRDefault="009843C2" w:rsidP="0027098D">
      <w:pPr>
        <w:widowControl w:val="0"/>
        <w:suppressAutoHyphens/>
        <w:autoSpaceDE w:val="0"/>
        <w:autoSpaceDN w:val="0"/>
        <w:spacing w:after="120"/>
        <w:contextualSpacing/>
        <w:jc w:val="both"/>
        <w:rPr>
          <w:rFonts w:ascii="Cambria" w:hAnsi="Cambria"/>
          <w:color w:val="EE0000"/>
          <w:sz w:val="20"/>
          <w:szCs w:val="20"/>
        </w:rPr>
      </w:pPr>
      <w:r w:rsidRPr="00022CB4">
        <w:rPr>
          <w:rFonts w:ascii="Cambria" w:hAnsi="Cambria"/>
          <w:b/>
          <w:bCs/>
          <w:sz w:val="20"/>
          <w:szCs w:val="20"/>
        </w:rPr>
        <w:t>Titre de la proposition de projet de Recommandation/Résolution :</w:t>
      </w:r>
      <w:r w:rsidRPr="00022CB4">
        <w:rPr>
          <w:rFonts w:ascii="Cambria" w:hAnsi="Cambria"/>
          <w:b/>
          <w:bCs/>
          <w:color w:val="EE0000"/>
          <w:sz w:val="20"/>
          <w:szCs w:val="20"/>
        </w:rPr>
        <w:t xml:space="preserve"> </w:t>
      </w:r>
      <w:r w:rsidRPr="00022CB4">
        <w:rPr>
          <w:rFonts w:ascii="Cambria" w:hAnsi="Cambria"/>
          <w:color w:val="EE0000"/>
          <w:sz w:val="20"/>
          <w:szCs w:val="20"/>
        </w:rPr>
        <w:t xml:space="preserve">Projet de </w:t>
      </w:r>
      <w:r w:rsidR="005812FE" w:rsidRPr="00022CB4">
        <w:rPr>
          <w:rFonts w:ascii="Cambria" w:hAnsi="Cambria"/>
          <w:color w:val="EE0000"/>
          <w:sz w:val="20"/>
          <w:szCs w:val="20"/>
        </w:rPr>
        <w:t xml:space="preserve">Résolution </w:t>
      </w:r>
      <w:r w:rsidRPr="00022CB4">
        <w:rPr>
          <w:rFonts w:ascii="Cambria" w:hAnsi="Cambria"/>
          <w:color w:val="EE0000"/>
          <w:sz w:val="20"/>
          <w:szCs w:val="20"/>
        </w:rPr>
        <w:t>de l’ICCAT sur des objectifs de gestion opérationnels pour le requin peau bleue de l’Atlantique</w:t>
      </w:r>
    </w:p>
    <w:p w14:paraId="72712BB1" w14:textId="77777777" w:rsidR="00F4679E" w:rsidRPr="00022CB4" w:rsidRDefault="00F4679E" w:rsidP="009843C2">
      <w:pPr>
        <w:ind w:left="318"/>
        <w:jc w:val="both"/>
        <w:rPr>
          <w:rFonts w:ascii="Cambria" w:hAnsi="Cambria"/>
          <w:sz w:val="20"/>
          <w:szCs w:val="20"/>
        </w:rPr>
      </w:pPr>
    </w:p>
    <w:p w14:paraId="6A7AFEB1" w14:textId="77777777" w:rsidR="009843C2" w:rsidRPr="00022CB4" w:rsidRDefault="009843C2" w:rsidP="009843C2">
      <w:pPr>
        <w:jc w:val="both"/>
        <w:rPr>
          <w:rFonts w:ascii="Cambria" w:hAnsi="Cambria"/>
          <w:b/>
          <w:bCs/>
          <w:sz w:val="20"/>
          <w:szCs w:val="20"/>
        </w:rPr>
      </w:pPr>
      <w:r w:rsidRPr="00022CB4">
        <w:rPr>
          <w:rFonts w:ascii="Cambria" w:hAnsi="Cambria"/>
          <w:b/>
          <w:bCs/>
          <w:sz w:val="20"/>
          <w:szCs w:val="20"/>
        </w:rPr>
        <w:t>Titre de la ou des Recommandations ou Résolutions en vigueur traitant des mêmes questions ou de questions connexes :</w:t>
      </w:r>
    </w:p>
    <w:p w14:paraId="0B89C191" w14:textId="77777777" w:rsidR="009843C2" w:rsidRPr="00022CB4" w:rsidRDefault="009843C2" w:rsidP="009843C2">
      <w:pPr>
        <w:ind w:left="318"/>
        <w:jc w:val="both"/>
        <w:rPr>
          <w:rFonts w:ascii="Cambria" w:hAnsi="Cambria"/>
          <w:sz w:val="20"/>
          <w:szCs w:val="20"/>
        </w:rPr>
      </w:pPr>
    </w:p>
    <w:p w14:paraId="3ED3956B" w14:textId="77777777" w:rsidR="009843C2" w:rsidRPr="00022CB4" w:rsidRDefault="009843C2" w:rsidP="009843C2">
      <w:pPr>
        <w:ind w:left="318"/>
        <w:jc w:val="both"/>
        <w:rPr>
          <w:rFonts w:ascii="Cambria" w:hAnsi="Cambria"/>
          <w:sz w:val="20"/>
          <w:szCs w:val="20"/>
        </w:rPr>
      </w:pPr>
    </w:p>
    <w:p w14:paraId="0CB9EA75" w14:textId="78CAEA03" w:rsidR="00F14611" w:rsidRPr="005812FE" w:rsidRDefault="009843C2" w:rsidP="00F14611">
      <w:pPr>
        <w:widowControl w:val="0"/>
        <w:numPr>
          <w:ilvl w:val="0"/>
          <w:numId w:val="3"/>
        </w:numPr>
        <w:suppressAutoHyphens/>
        <w:autoSpaceDE w:val="0"/>
        <w:autoSpaceDN w:val="0"/>
        <w:ind w:left="426" w:hanging="426"/>
        <w:jc w:val="both"/>
        <w:rPr>
          <w:rFonts w:ascii="Cambria" w:eastAsia="Cambria" w:hAnsi="Cambria" w:cs="Cambria"/>
          <w:color w:val="EE0000"/>
          <w:sz w:val="20"/>
          <w:szCs w:val="20"/>
        </w:rPr>
      </w:pPr>
      <w:r w:rsidRPr="00022CB4">
        <w:rPr>
          <w:rFonts w:ascii="Cambria" w:hAnsi="Cambria"/>
          <w:sz w:val="20"/>
          <w:szCs w:val="20"/>
        </w:rPr>
        <w:t xml:space="preserve">Cela crée-t-il de nouvelles </w:t>
      </w:r>
      <w:r w:rsidRPr="00022CB4">
        <w:rPr>
          <w:rFonts w:ascii="Cambria" w:hAnsi="Cambria"/>
          <w:b/>
          <w:bCs/>
          <w:sz w:val="20"/>
          <w:szCs w:val="20"/>
        </w:rPr>
        <w:t xml:space="preserve">obligations de déclaration </w:t>
      </w:r>
      <w:r w:rsidRPr="00022CB4">
        <w:rPr>
          <w:rFonts w:ascii="Cambria" w:hAnsi="Cambria"/>
          <w:sz w:val="20"/>
          <w:szCs w:val="20"/>
        </w:rPr>
        <w:t xml:space="preserve">pour les CPC ? </w:t>
      </w:r>
      <w:r w:rsidRPr="00022CB4">
        <w:rPr>
          <w:rFonts w:ascii="Cambria" w:hAnsi="Cambria"/>
          <w:sz w:val="20"/>
          <w:szCs w:val="20"/>
        </w:rPr>
        <w:tab/>
      </w:r>
      <w:r w:rsidRPr="00022CB4">
        <w:rPr>
          <w:rFonts w:ascii="Cambria" w:hAnsi="Cambria"/>
          <w:sz w:val="20"/>
          <w:szCs w:val="20"/>
        </w:rPr>
        <w:tab/>
        <w:t xml:space="preserve">Oui </w:t>
      </w:r>
      <w:r w:rsidRPr="00022CB4">
        <w:rPr>
          <w:rFonts w:ascii="Cambria" w:hAnsi="Cambria"/>
          <w:sz w:val="20"/>
          <w:szCs w:val="20"/>
        </w:rPr>
        <w:tab/>
      </w:r>
      <w:proofErr w:type="gramStart"/>
      <w:r w:rsidRPr="005812FE">
        <w:rPr>
          <w:rFonts w:ascii="Cambria" w:hAnsi="Cambria"/>
          <w:color w:val="EE0000"/>
          <w:sz w:val="20"/>
          <w:szCs w:val="20"/>
        </w:rPr>
        <w:t xml:space="preserve">Non </w:t>
      </w:r>
      <w:r w:rsidR="005812FE">
        <w:rPr>
          <w:rFonts w:ascii="Cambria" w:hAnsi="Cambria"/>
          <w:color w:val="EE0000"/>
          <w:sz w:val="20"/>
          <w:szCs w:val="20"/>
        </w:rPr>
        <w:t>X</w:t>
      </w:r>
      <w:proofErr w:type="gramEnd"/>
    </w:p>
    <w:p w14:paraId="1BA31A2A" w14:textId="77777777" w:rsidR="009843C2" w:rsidRPr="00022CB4" w:rsidRDefault="009843C2" w:rsidP="00FF7123">
      <w:pPr>
        <w:rPr>
          <w:rFonts w:ascii="Cambria" w:hAnsi="Cambria"/>
          <w:sz w:val="20"/>
          <w:szCs w:val="20"/>
        </w:rPr>
      </w:pPr>
    </w:p>
    <w:p w14:paraId="19DE54E2" w14:textId="77777777" w:rsidR="00EB5D50" w:rsidRPr="00022CB4" w:rsidRDefault="00EB5D50" w:rsidP="00EB5D50">
      <w:pPr>
        <w:widowControl w:val="0"/>
        <w:suppressAutoHyphens/>
        <w:autoSpaceDE w:val="0"/>
        <w:autoSpaceDN w:val="0"/>
        <w:ind w:left="426"/>
        <w:jc w:val="both"/>
        <w:rPr>
          <w:rFonts w:ascii="Cambria" w:eastAsia="Cambria" w:hAnsi="Cambria" w:cs="Cambria"/>
          <w:sz w:val="20"/>
          <w:szCs w:val="20"/>
        </w:rPr>
      </w:pPr>
      <w:r w:rsidRPr="00022CB4">
        <w:rPr>
          <w:rFonts w:ascii="Cambria" w:hAnsi="Cambria"/>
          <w:sz w:val="20"/>
          <w:szCs w:val="20"/>
        </w:rPr>
        <w:t>Brève description de la ou des nouvelle(s) obligation(s) de déclaration :</w:t>
      </w:r>
    </w:p>
    <w:p w14:paraId="311BFDA4" w14:textId="77777777" w:rsidR="00EB5D50" w:rsidRPr="00022CB4" w:rsidRDefault="00EB5D50" w:rsidP="00FF7123">
      <w:pPr>
        <w:rPr>
          <w:rFonts w:ascii="Cambria" w:hAnsi="Cambria"/>
          <w:sz w:val="20"/>
          <w:szCs w:val="20"/>
        </w:rPr>
      </w:pPr>
    </w:p>
    <w:p w14:paraId="2576FB50" w14:textId="31C08E5F" w:rsidR="001E57C4" w:rsidRPr="00022CB4" w:rsidRDefault="009843C2" w:rsidP="001E57C4">
      <w:pPr>
        <w:widowControl w:val="0"/>
        <w:numPr>
          <w:ilvl w:val="0"/>
          <w:numId w:val="3"/>
        </w:numPr>
        <w:suppressAutoHyphens/>
        <w:autoSpaceDE w:val="0"/>
        <w:autoSpaceDN w:val="0"/>
        <w:ind w:left="426" w:hanging="426"/>
        <w:jc w:val="both"/>
        <w:rPr>
          <w:rFonts w:ascii="Cambria" w:eastAsia="Cambria" w:hAnsi="Cambria" w:cs="Cambria"/>
          <w:sz w:val="20"/>
          <w:szCs w:val="20"/>
        </w:rPr>
      </w:pPr>
      <w:r w:rsidRPr="00022CB4">
        <w:rPr>
          <w:rFonts w:ascii="Cambria" w:hAnsi="Cambria"/>
          <w:sz w:val="20"/>
          <w:szCs w:val="20"/>
        </w:rPr>
        <w:t xml:space="preserve">Cela nécessite-t-il une contribution ou un </w:t>
      </w:r>
      <w:r w:rsidRPr="00022CB4">
        <w:rPr>
          <w:rFonts w:ascii="Cambria" w:hAnsi="Cambria"/>
          <w:b/>
          <w:sz w:val="20"/>
          <w:szCs w:val="20"/>
        </w:rPr>
        <w:t>travail supplémentaire de la part du SCRS</w:t>
      </w:r>
      <w:r w:rsidRPr="00022CB4">
        <w:rPr>
          <w:rFonts w:ascii="Cambria" w:hAnsi="Cambria"/>
          <w:sz w:val="20"/>
          <w:szCs w:val="20"/>
        </w:rPr>
        <w:t xml:space="preserve"> ?  </w:t>
      </w:r>
      <w:r w:rsidRPr="005812FE">
        <w:rPr>
          <w:rFonts w:ascii="Cambria" w:hAnsi="Cambria"/>
          <w:color w:val="EE0000"/>
          <w:sz w:val="20"/>
          <w:szCs w:val="20"/>
        </w:rPr>
        <w:t>Oui</w:t>
      </w:r>
      <w:r w:rsidR="005812FE">
        <w:rPr>
          <w:rFonts w:ascii="Cambria" w:hAnsi="Cambria"/>
          <w:color w:val="EE0000"/>
          <w:sz w:val="20"/>
          <w:szCs w:val="20"/>
        </w:rPr>
        <w:t xml:space="preserve"> </w:t>
      </w:r>
      <w:r w:rsidR="005812FE">
        <w:rPr>
          <w:rFonts w:ascii="Cambria" w:hAnsi="Cambria"/>
          <w:color w:val="EE0000"/>
          <w:sz w:val="20"/>
          <w:szCs w:val="20"/>
        </w:rPr>
        <w:t>X</w:t>
      </w:r>
      <w:r w:rsidRPr="005812FE">
        <w:rPr>
          <w:rFonts w:ascii="Cambria" w:hAnsi="Cambria"/>
          <w:color w:val="EE0000"/>
          <w:sz w:val="20"/>
          <w:szCs w:val="20"/>
        </w:rPr>
        <w:t xml:space="preserve"> </w:t>
      </w:r>
      <w:r w:rsidRPr="00022CB4">
        <w:rPr>
          <w:rFonts w:ascii="Cambria" w:hAnsi="Cambria"/>
          <w:sz w:val="20"/>
          <w:szCs w:val="20"/>
        </w:rPr>
        <w:t xml:space="preserve">   Non ¨</w:t>
      </w:r>
    </w:p>
    <w:p w14:paraId="4A6B7B46" w14:textId="6093E53B" w:rsidR="009843C2" w:rsidRPr="00022CB4" w:rsidRDefault="009843C2" w:rsidP="001E57C4">
      <w:pPr>
        <w:pStyle w:val="ListParagraph"/>
        <w:widowControl w:val="0"/>
        <w:autoSpaceDE w:val="0"/>
        <w:autoSpaceDN w:val="0"/>
        <w:ind w:left="360"/>
        <w:contextualSpacing w:val="0"/>
        <w:jc w:val="both"/>
        <w:rPr>
          <w:rFonts w:ascii="Cambria" w:hAnsi="Cambria"/>
          <w:sz w:val="20"/>
          <w:szCs w:val="20"/>
        </w:rPr>
      </w:pPr>
    </w:p>
    <w:p w14:paraId="186501A0" w14:textId="22943D61" w:rsidR="009843C2" w:rsidRPr="005812FE" w:rsidRDefault="009843C2" w:rsidP="009843C2">
      <w:pPr>
        <w:ind w:left="360" w:firstLine="66"/>
        <w:jc w:val="both"/>
        <w:rPr>
          <w:rFonts w:ascii="Cambria" w:hAnsi="Cambria"/>
          <w:color w:val="EE0000"/>
          <w:sz w:val="20"/>
          <w:szCs w:val="20"/>
        </w:rPr>
      </w:pPr>
      <w:r w:rsidRPr="00022CB4">
        <w:rPr>
          <w:rFonts w:ascii="Cambria" w:hAnsi="Cambria"/>
          <w:sz w:val="20"/>
          <w:szCs w:val="20"/>
        </w:rPr>
        <w:t>Ce travail est-il déjà inclus dans le plan de travail actuel du SCRS ? Oui ¨</w:t>
      </w:r>
      <w:r w:rsidRPr="00022CB4">
        <w:rPr>
          <w:rFonts w:ascii="Cambria" w:hAnsi="Cambria"/>
          <w:sz w:val="20"/>
          <w:szCs w:val="20"/>
        </w:rPr>
        <w:tab/>
      </w:r>
      <w:proofErr w:type="gramStart"/>
      <w:r w:rsidRPr="005812FE">
        <w:rPr>
          <w:rFonts w:ascii="Cambria" w:hAnsi="Cambria"/>
          <w:color w:val="EE0000"/>
          <w:sz w:val="20"/>
          <w:szCs w:val="20"/>
        </w:rPr>
        <w:t xml:space="preserve">Non </w:t>
      </w:r>
      <w:r w:rsidR="005812FE">
        <w:rPr>
          <w:rFonts w:ascii="Cambria" w:hAnsi="Cambria"/>
          <w:color w:val="EE0000"/>
          <w:sz w:val="20"/>
          <w:szCs w:val="20"/>
        </w:rPr>
        <w:t>X</w:t>
      </w:r>
      <w:proofErr w:type="gramEnd"/>
    </w:p>
    <w:p w14:paraId="75FC1EC1" w14:textId="77777777" w:rsidR="009843C2" w:rsidRPr="00022CB4" w:rsidRDefault="009843C2" w:rsidP="009843C2">
      <w:pPr>
        <w:ind w:left="360"/>
        <w:rPr>
          <w:rFonts w:ascii="Cambria" w:hAnsi="Cambria"/>
          <w:sz w:val="20"/>
          <w:szCs w:val="20"/>
        </w:rPr>
      </w:pPr>
    </w:p>
    <w:p w14:paraId="6434C4D4" w14:textId="77777777" w:rsidR="009843C2" w:rsidRPr="00022CB4" w:rsidRDefault="009843C2" w:rsidP="004C149C">
      <w:pPr>
        <w:widowControl w:val="0"/>
        <w:suppressAutoHyphens/>
        <w:autoSpaceDE w:val="0"/>
        <w:autoSpaceDN w:val="0"/>
        <w:ind w:left="426"/>
        <w:jc w:val="both"/>
        <w:rPr>
          <w:rFonts w:ascii="Cambria" w:eastAsia="Cambria" w:hAnsi="Cambria" w:cs="Cambria"/>
          <w:sz w:val="20"/>
          <w:szCs w:val="20"/>
        </w:rPr>
      </w:pPr>
      <w:r w:rsidRPr="00022CB4">
        <w:rPr>
          <w:rFonts w:ascii="Cambria" w:hAnsi="Cambria"/>
          <w:sz w:val="20"/>
          <w:szCs w:val="20"/>
        </w:rPr>
        <w:t>Brève description des nouveaux travaux scientifiques requis (évaluation des stocks, analyse, consultant externe) :</w:t>
      </w:r>
    </w:p>
    <w:p w14:paraId="576FD673" w14:textId="77777777" w:rsidR="009843C2" w:rsidRPr="00022CB4" w:rsidRDefault="009843C2" w:rsidP="004C149C">
      <w:pPr>
        <w:widowControl w:val="0"/>
        <w:suppressAutoHyphens/>
        <w:autoSpaceDE w:val="0"/>
        <w:autoSpaceDN w:val="0"/>
        <w:ind w:left="426"/>
        <w:jc w:val="both"/>
        <w:rPr>
          <w:rFonts w:ascii="Cambria" w:eastAsia="Cambria" w:hAnsi="Cambria" w:cs="Cambria"/>
          <w:sz w:val="20"/>
          <w:szCs w:val="20"/>
        </w:rPr>
      </w:pPr>
    </w:p>
    <w:p w14:paraId="7882E705" w14:textId="6EB6CDEE" w:rsidR="009843C2" w:rsidRPr="00022CB4" w:rsidRDefault="009843C2" w:rsidP="004C149C">
      <w:pPr>
        <w:ind w:left="426"/>
        <w:jc w:val="both"/>
        <w:rPr>
          <w:rFonts w:ascii="Cambria" w:hAnsi="Cambria"/>
          <w:color w:val="EE0000"/>
          <w:sz w:val="20"/>
          <w:szCs w:val="20"/>
        </w:rPr>
      </w:pPr>
      <w:r w:rsidRPr="00022CB4">
        <w:rPr>
          <w:rFonts w:ascii="Cambria" w:hAnsi="Cambria"/>
          <w:color w:val="EE0000"/>
          <w:sz w:val="20"/>
          <w:szCs w:val="20"/>
        </w:rPr>
        <w:t>L’adoption d’objectifs de gestion pour le requin peau bleue fournira des orientations au SCRS pour ses travaux actuels concernant le développement d’une MSE pour les deux stocks (Atlantique Nord et Sud). La définition d</w:t>
      </w:r>
      <w:r w:rsidR="00022CB4">
        <w:rPr>
          <w:rFonts w:ascii="Cambria" w:hAnsi="Cambria"/>
          <w:color w:val="EE0000"/>
          <w:sz w:val="20"/>
          <w:szCs w:val="20"/>
        </w:rPr>
        <w:t xml:space="preserve">es </w:t>
      </w:r>
      <w:r w:rsidRPr="00022CB4">
        <w:rPr>
          <w:rFonts w:ascii="Cambria" w:hAnsi="Cambria"/>
          <w:color w:val="EE0000"/>
          <w:sz w:val="20"/>
          <w:szCs w:val="20"/>
        </w:rPr>
        <w:t xml:space="preserve">objectifs permettra de rationaliser les travaux du SCRS et de lui fournir des orientations en ce qui concerne des indicateurs de performance spécifiques pour le développement de procédures de gestion. </w:t>
      </w:r>
    </w:p>
    <w:p w14:paraId="14E77BB0" w14:textId="77777777" w:rsidR="009843C2" w:rsidRPr="00022CB4" w:rsidRDefault="009843C2" w:rsidP="00FF7123">
      <w:pPr>
        <w:rPr>
          <w:rFonts w:ascii="Cambria" w:hAnsi="Cambria"/>
          <w:sz w:val="20"/>
          <w:szCs w:val="20"/>
        </w:rPr>
      </w:pPr>
    </w:p>
    <w:p w14:paraId="21D702C2" w14:textId="1DDCDB8E" w:rsidR="004C149C" w:rsidRPr="005812FE" w:rsidRDefault="009843C2" w:rsidP="004C149C">
      <w:pPr>
        <w:widowControl w:val="0"/>
        <w:numPr>
          <w:ilvl w:val="0"/>
          <w:numId w:val="3"/>
        </w:numPr>
        <w:suppressAutoHyphens/>
        <w:autoSpaceDE w:val="0"/>
        <w:autoSpaceDN w:val="0"/>
        <w:ind w:left="426" w:hanging="426"/>
        <w:jc w:val="both"/>
        <w:rPr>
          <w:rFonts w:ascii="Cambria" w:hAnsi="Cambria"/>
          <w:color w:val="EE0000"/>
          <w:sz w:val="20"/>
          <w:szCs w:val="20"/>
        </w:rPr>
      </w:pPr>
      <w:r w:rsidRPr="00022CB4">
        <w:rPr>
          <w:rFonts w:ascii="Cambria" w:hAnsi="Cambria"/>
          <w:sz w:val="20"/>
          <w:szCs w:val="20"/>
        </w:rPr>
        <w:t xml:space="preserve">Cela implique-t-il la création d'un </w:t>
      </w:r>
      <w:r w:rsidRPr="00022CB4">
        <w:rPr>
          <w:rFonts w:ascii="Cambria" w:hAnsi="Cambria"/>
          <w:b/>
          <w:bCs/>
          <w:sz w:val="20"/>
          <w:szCs w:val="20"/>
        </w:rPr>
        <w:t xml:space="preserve">nouveau groupe de travail ou d'un processus intersessions </w:t>
      </w:r>
      <w:r w:rsidRPr="00022CB4">
        <w:rPr>
          <w:rFonts w:ascii="Cambria" w:hAnsi="Cambria"/>
          <w:sz w:val="20"/>
          <w:szCs w:val="20"/>
        </w:rPr>
        <w:t xml:space="preserve">?  Oui ¨ </w:t>
      </w:r>
      <w:proofErr w:type="gramStart"/>
      <w:r w:rsidRPr="005812FE">
        <w:rPr>
          <w:rFonts w:ascii="Cambria" w:hAnsi="Cambria"/>
          <w:color w:val="EE0000"/>
          <w:sz w:val="20"/>
          <w:szCs w:val="20"/>
        </w:rPr>
        <w:t xml:space="preserve">Non </w:t>
      </w:r>
      <w:r w:rsidR="005812FE" w:rsidRPr="005812FE">
        <w:rPr>
          <w:rFonts w:ascii="Cambria" w:hAnsi="Cambria"/>
          <w:color w:val="EE0000"/>
          <w:sz w:val="20"/>
          <w:szCs w:val="20"/>
        </w:rPr>
        <w:t>X</w:t>
      </w:r>
      <w:proofErr w:type="gramEnd"/>
    </w:p>
    <w:p w14:paraId="3807E740" w14:textId="77777777" w:rsidR="009843C2" w:rsidRPr="00022CB4" w:rsidRDefault="009843C2" w:rsidP="009843C2">
      <w:pPr>
        <w:rPr>
          <w:rFonts w:ascii="Cambria" w:hAnsi="Cambria"/>
          <w:sz w:val="20"/>
          <w:szCs w:val="20"/>
        </w:rPr>
      </w:pPr>
    </w:p>
    <w:p w14:paraId="223F520D" w14:textId="12C4DB86" w:rsidR="009843C2" w:rsidRPr="00022CB4" w:rsidRDefault="009843C2" w:rsidP="009843C2">
      <w:pPr>
        <w:pStyle w:val="ListParagraph"/>
        <w:widowControl w:val="0"/>
        <w:numPr>
          <w:ilvl w:val="0"/>
          <w:numId w:val="3"/>
        </w:numPr>
        <w:autoSpaceDE w:val="0"/>
        <w:autoSpaceDN w:val="0"/>
        <w:ind w:left="426" w:hanging="426"/>
        <w:contextualSpacing w:val="0"/>
        <w:jc w:val="both"/>
        <w:rPr>
          <w:rFonts w:ascii="Cambria" w:hAnsi="Cambria"/>
          <w:sz w:val="20"/>
          <w:szCs w:val="20"/>
        </w:rPr>
      </w:pPr>
      <w:r w:rsidRPr="00022CB4">
        <w:rPr>
          <w:rFonts w:ascii="Cambria" w:hAnsi="Cambria"/>
          <w:sz w:val="20"/>
          <w:szCs w:val="20"/>
        </w:rPr>
        <w:t xml:space="preserve">Cela nécessite-t-il un nouveau </w:t>
      </w:r>
      <w:r w:rsidRPr="00022CB4">
        <w:rPr>
          <w:rFonts w:ascii="Cambria" w:hAnsi="Cambria"/>
          <w:b/>
          <w:bCs/>
          <w:sz w:val="20"/>
          <w:szCs w:val="20"/>
        </w:rPr>
        <w:t xml:space="preserve">programme ou des activités supplémentaires à gérer par le Secrétariat </w:t>
      </w:r>
      <w:r w:rsidRPr="00022CB4">
        <w:rPr>
          <w:rFonts w:ascii="Cambria" w:hAnsi="Cambria"/>
          <w:sz w:val="20"/>
          <w:szCs w:val="20"/>
        </w:rPr>
        <w:t xml:space="preserve">? </w:t>
      </w:r>
    </w:p>
    <w:p w14:paraId="723B815B" w14:textId="77777777" w:rsidR="009843C2" w:rsidRPr="00022CB4" w:rsidRDefault="009843C2" w:rsidP="009843C2">
      <w:pPr>
        <w:pStyle w:val="ListParagraph"/>
        <w:ind w:left="426"/>
        <w:rPr>
          <w:rFonts w:ascii="Cambria" w:hAnsi="Cambria"/>
          <w:spacing w:val="-2"/>
          <w:sz w:val="20"/>
          <w:szCs w:val="20"/>
        </w:rPr>
      </w:pPr>
    </w:p>
    <w:p w14:paraId="3947CE4F" w14:textId="677B3113" w:rsidR="004C149C" w:rsidRPr="005812FE" w:rsidRDefault="004C149C" w:rsidP="004C149C">
      <w:pPr>
        <w:ind w:left="360" w:firstLine="66"/>
        <w:jc w:val="both"/>
        <w:rPr>
          <w:rFonts w:ascii="Cambria" w:hAnsi="Cambria"/>
          <w:color w:val="EE0000"/>
          <w:sz w:val="20"/>
          <w:szCs w:val="20"/>
        </w:rPr>
      </w:pPr>
      <w:r w:rsidRPr="00022CB4">
        <w:rPr>
          <w:rFonts w:ascii="Cambria" w:hAnsi="Cambria"/>
          <w:sz w:val="20"/>
          <w:szCs w:val="20"/>
        </w:rPr>
        <w:t>Oui ¨</w:t>
      </w:r>
      <w:r w:rsidRPr="00022CB4">
        <w:rPr>
          <w:rFonts w:ascii="Cambria" w:hAnsi="Cambria"/>
          <w:sz w:val="20"/>
          <w:szCs w:val="20"/>
        </w:rPr>
        <w:tab/>
      </w:r>
      <w:proofErr w:type="gramStart"/>
      <w:r w:rsidRPr="005812FE">
        <w:rPr>
          <w:rFonts w:ascii="Cambria" w:hAnsi="Cambria"/>
          <w:color w:val="EE0000"/>
          <w:sz w:val="20"/>
          <w:szCs w:val="20"/>
        </w:rPr>
        <w:t xml:space="preserve">Non </w:t>
      </w:r>
      <w:r w:rsidR="005812FE">
        <w:rPr>
          <w:rFonts w:ascii="Cambria" w:hAnsi="Cambria"/>
          <w:color w:val="EE0000"/>
          <w:sz w:val="20"/>
          <w:szCs w:val="20"/>
        </w:rPr>
        <w:t>X</w:t>
      </w:r>
      <w:proofErr w:type="gramEnd"/>
    </w:p>
    <w:p w14:paraId="6FDE6895" w14:textId="03D9F2F1" w:rsidR="009843C2" w:rsidRPr="00022CB4" w:rsidRDefault="009843C2" w:rsidP="009843C2">
      <w:pPr>
        <w:pStyle w:val="ListParagraph"/>
        <w:ind w:left="426"/>
        <w:rPr>
          <w:rFonts w:ascii="Cambria" w:hAnsi="Cambria"/>
          <w:sz w:val="20"/>
          <w:szCs w:val="20"/>
        </w:rPr>
      </w:pPr>
    </w:p>
    <w:p w14:paraId="30C6782B" w14:textId="77777777" w:rsidR="009843C2" w:rsidRPr="00022CB4" w:rsidRDefault="009843C2" w:rsidP="009843C2">
      <w:pPr>
        <w:pStyle w:val="ListParagraph"/>
        <w:widowControl w:val="0"/>
        <w:numPr>
          <w:ilvl w:val="0"/>
          <w:numId w:val="3"/>
        </w:numPr>
        <w:autoSpaceDE w:val="0"/>
        <w:autoSpaceDN w:val="0"/>
        <w:ind w:left="426" w:hanging="426"/>
        <w:contextualSpacing w:val="0"/>
        <w:jc w:val="both"/>
        <w:rPr>
          <w:rFonts w:ascii="Cambria" w:hAnsi="Cambria"/>
          <w:spacing w:val="-2"/>
          <w:sz w:val="20"/>
          <w:szCs w:val="20"/>
        </w:rPr>
      </w:pPr>
      <w:r w:rsidRPr="00022CB4">
        <w:rPr>
          <w:rFonts w:ascii="Cambria" w:hAnsi="Cambria"/>
          <w:sz w:val="20"/>
          <w:szCs w:val="20"/>
        </w:rPr>
        <w:t>Quel est le calendrier proposé pour la mise en œuvre, et existe-t-il des calendriers spécifiques différents pour certaines CPC, pêcheries, régions, etc. ?</w:t>
      </w:r>
    </w:p>
    <w:p w14:paraId="48FCE841" w14:textId="77777777" w:rsidR="009843C2" w:rsidRPr="00022CB4" w:rsidRDefault="009843C2" w:rsidP="009843C2">
      <w:pPr>
        <w:ind w:left="426"/>
        <w:rPr>
          <w:rFonts w:ascii="Cambria" w:hAnsi="Cambria"/>
          <w:spacing w:val="-2"/>
          <w:sz w:val="20"/>
          <w:szCs w:val="20"/>
        </w:rPr>
      </w:pPr>
    </w:p>
    <w:p w14:paraId="2966EF44" w14:textId="55E118F3" w:rsidR="009843C2" w:rsidRPr="00022CB4" w:rsidRDefault="009843C2" w:rsidP="004C149C">
      <w:pPr>
        <w:ind w:left="426"/>
        <w:jc w:val="both"/>
        <w:rPr>
          <w:rFonts w:ascii="Cambria" w:hAnsi="Cambria"/>
          <w:color w:val="EE0000"/>
          <w:sz w:val="20"/>
          <w:szCs w:val="20"/>
        </w:rPr>
      </w:pPr>
      <w:r w:rsidRPr="00022CB4">
        <w:rPr>
          <w:rFonts w:ascii="Cambria" w:hAnsi="Cambria"/>
          <w:color w:val="EE0000"/>
          <w:sz w:val="20"/>
          <w:szCs w:val="20"/>
        </w:rPr>
        <w:t>Aucune mise en œuvre requise par les CPC. Les objectifs de gestion opérationnels provisoires seront transmis au SCRS pour examen et évaluation dans le cadre du processus de la MSE dès leur adoption. La résolution entrerait en vigueur en 2026.</w:t>
      </w:r>
    </w:p>
    <w:p w14:paraId="2A27E9E2" w14:textId="77777777" w:rsidR="009843C2" w:rsidRPr="00022CB4" w:rsidRDefault="009843C2" w:rsidP="009843C2">
      <w:pPr>
        <w:rPr>
          <w:rFonts w:ascii="Cambria" w:hAnsi="Cambria"/>
          <w:spacing w:val="-2"/>
          <w:sz w:val="20"/>
          <w:szCs w:val="20"/>
        </w:rPr>
      </w:pPr>
    </w:p>
    <w:p w14:paraId="584453A6" w14:textId="77777777" w:rsidR="009843C2" w:rsidRPr="00022CB4" w:rsidRDefault="009843C2" w:rsidP="009843C2">
      <w:pPr>
        <w:pStyle w:val="ListParagraph"/>
        <w:widowControl w:val="0"/>
        <w:numPr>
          <w:ilvl w:val="0"/>
          <w:numId w:val="3"/>
        </w:numPr>
        <w:autoSpaceDE w:val="0"/>
        <w:autoSpaceDN w:val="0"/>
        <w:ind w:left="426" w:hanging="426"/>
        <w:contextualSpacing w:val="0"/>
        <w:jc w:val="both"/>
        <w:rPr>
          <w:rFonts w:ascii="Cambria" w:hAnsi="Cambria"/>
          <w:spacing w:val="-2"/>
          <w:sz w:val="20"/>
          <w:szCs w:val="20"/>
        </w:rPr>
      </w:pPr>
      <w:r w:rsidRPr="00022CB4">
        <w:rPr>
          <w:rFonts w:ascii="Cambria" w:hAnsi="Cambria"/>
          <w:sz w:val="20"/>
          <w:szCs w:val="20"/>
        </w:rPr>
        <w:t>Existe-t-il d'autres informations pertinentes concernant les implications de la proposition en termes de ressources et de charge de travail ?</w:t>
      </w:r>
    </w:p>
    <w:p w14:paraId="3ED328A8" w14:textId="77777777" w:rsidR="009843C2" w:rsidRPr="00022CB4" w:rsidRDefault="009843C2" w:rsidP="009843C2">
      <w:pPr>
        <w:jc w:val="both"/>
        <w:rPr>
          <w:rFonts w:ascii="Cambria" w:hAnsi="Cambria"/>
          <w:i/>
          <w:iCs/>
          <w:spacing w:val="-2"/>
          <w:sz w:val="20"/>
          <w:szCs w:val="20"/>
        </w:rPr>
      </w:pPr>
    </w:p>
    <w:p w14:paraId="45CB7B2A" w14:textId="3ABF9937" w:rsidR="009843C2" w:rsidRPr="00022CB4" w:rsidRDefault="009843C2" w:rsidP="004C149C">
      <w:pPr>
        <w:ind w:left="426"/>
        <w:jc w:val="both"/>
        <w:rPr>
          <w:rFonts w:ascii="Cambria" w:hAnsi="Cambria"/>
          <w:color w:val="EE0000"/>
          <w:sz w:val="20"/>
          <w:szCs w:val="20"/>
        </w:rPr>
      </w:pPr>
      <w:r w:rsidRPr="00022CB4">
        <w:rPr>
          <w:rFonts w:ascii="Cambria" w:hAnsi="Cambria"/>
          <w:color w:val="EE0000"/>
          <w:sz w:val="20"/>
          <w:szCs w:val="20"/>
        </w:rPr>
        <w:t xml:space="preserve">L’adoption d’objectifs de gestion pour le requin peau bleue permettra à l’ICCAT et au SCRS de suivre la feuille de route des MSE convenue en 2024. Alors que les travaux sur la MSE du requin peau bleue seront réalisés en même temps que les autres tâches en rapport avec le Groupe d’espèces sur les requins, l’adoption d’objectifs de gestion permettra au SCRS d’écarter les procédures de gestion qui n’atteignent pas les objectifs. </w:t>
      </w:r>
    </w:p>
    <w:p w14:paraId="662269B5" w14:textId="77777777" w:rsidR="009843C2" w:rsidRPr="00022CB4" w:rsidRDefault="009843C2" w:rsidP="009843C2">
      <w:pPr>
        <w:pStyle w:val="BodyText"/>
        <w:ind w:left="280"/>
      </w:pPr>
    </w:p>
    <w:p w14:paraId="6CA0E92E" w14:textId="0E9DB5AF" w:rsidR="00B25ECD" w:rsidRPr="00022CB4" w:rsidRDefault="009843C2">
      <w:pPr>
        <w:rPr>
          <w:rFonts w:ascii="Cambria" w:eastAsia="Cambria" w:hAnsi="Cambria" w:cs="Cambria"/>
          <w:b/>
          <w:bCs/>
          <w:sz w:val="20"/>
          <w:szCs w:val="20"/>
        </w:rPr>
      </w:pPr>
      <w:r w:rsidRPr="00022CB4">
        <w:rPr>
          <w:rFonts w:ascii="Cambria" w:hAnsi="Cambria"/>
        </w:rPr>
        <w:br w:type="page"/>
      </w:r>
    </w:p>
    <w:p w14:paraId="4698DF63" w14:textId="1F05A09E" w:rsidR="00397C1A" w:rsidRPr="00022CB4" w:rsidRDefault="00601EB8" w:rsidP="00601EB8">
      <w:pPr>
        <w:jc w:val="right"/>
        <w:rPr>
          <w:rFonts w:ascii="Cambria" w:hAnsi="Cambria"/>
          <w:b/>
          <w:bCs/>
          <w:sz w:val="20"/>
          <w:szCs w:val="20"/>
        </w:rPr>
      </w:pPr>
      <w:r w:rsidRPr="00022CB4">
        <w:rPr>
          <w:rFonts w:ascii="Cambria" w:hAnsi="Cambria"/>
          <w:b/>
          <w:color w:val="000000"/>
          <w:sz w:val="20"/>
          <w:szCs w:val="20"/>
        </w:rPr>
        <w:lastRenderedPageBreak/>
        <w:t>Original : anglais</w:t>
      </w:r>
    </w:p>
    <w:p w14:paraId="3C70F3EA" w14:textId="77777777" w:rsidR="00397C1A" w:rsidRPr="00022CB4" w:rsidRDefault="00397C1A" w:rsidP="00B10E54">
      <w:pPr>
        <w:jc w:val="center"/>
        <w:rPr>
          <w:rFonts w:ascii="Cambria" w:hAnsi="Cambria"/>
          <w:b/>
          <w:bCs/>
          <w:sz w:val="20"/>
          <w:szCs w:val="20"/>
        </w:rPr>
      </w:pPr>
    </w:p>
    <w:p w14:paraId="42378188" w14:textId="0BF7CB19" w:rsidR="00B25ECD" w:rsidRPr="00022CB4" w:rsidRDefault="00B25ECD" w:rsidP="00B10E54">
      <w:pPr>
        <w:jc w:val="center"/>
        <w:rPr>
          <w:rFonts w:ascii="Cambria" w:hAnsi="Cambria"/>
          <w:b/>
          <w:bCs/>
          <w:sz w:val="20"/>
          <w:szCs w:val="20"/>
        </w:rPr>
      </w:pPr>
      <w:r w:rsidRPr="00022CB4">
        <w:rPr>
          <w:rFonts w:ascii="Cambria" w:hAnsi="Cambria"/>
          <w:b/>
          <w:bCs/>
          <w:sz w:val="20"/>
          <w:szCs w:val="20"/>
        </w:rPr>
        <w:t xml:space="preserve">Note explicative sur le projet de </w:t>
      </w:r>
      <w:r w:rsidR="005812FE" w:rsidRPr="00022CB4">
        <w:rPr>
          <w:rFonts w:ascii="Cambria" w:hAnsi="Cambria"/>
          <w:b/>
          <w:bCs/>
          <w:sz w:val="20"/>
          <w:szCs w:val="20"/>
        </w:rPr>
        <w:t xml:space="preserve">Résolution </w:t>
      </w:r>
      <w:r w:rsidRPr="00022CB4">
        <w:rPr>
          <w:rFonts w:ascii="Cambria" w:hAnsi="Cambria"/>
          <w:b/>
          <w:bCs/>
          <w:sz w:val="20"/>
          <w:szCs w:val="20"/>
        </w:rPr>
        <w:t>de l’ICCAT sur des objectifs de gestion opérationnels pour le requin peau bleue de l’Atlantique</w:t>
      </w:r>
    </w:p>
    <w:p w14:paraId="6DB91155" w14:textId="77777777" w:rsidR="00CF45DD" w:rsidRPr="005812FE" w:rsidRDefault="00CF45DD" w:rsidP="00B10E54">
      <w:pPr>
        <w:jc w:val="center"/>
        <w:rPr>
          <w:rFonts w:ascii="Cambria" w:hAnsi="Cambria"/>
          <w:b/>
          <w:bCs/>
          <w:i/>
          <w:iCs/>
          <w:sz w:val="20"/>
          <w:szCs w:val="20"/>
        </w:rPr>
      </w:pPr>
    </w:p>
    <w:p w14:paraId="6671161C" w14:textId="1070DD9B" w:rsidR="00B25ECD" w:rsidRPr="00022CB4" w:rsidRDefault="00B25ECD" w:rsidP="00B10E54">
      <w:pPr>
        <w:jc w:val="center"/>
        <w:rPr>
          <w:rFonts w:ascii="Cambria" w:hAnsi="Cambria"/>
          <w:i/>
          <w:iCs/>
          <w:sz w:val="20"/>
          <w:szCs w:val="20"/>
        </w:rPr>
      </w:pPr>
      <w:r w:rsidRPr="00022CB4">
        <w:rPr>
          <w:rFonts w:ascii="Cambria" w:hAnsi="Cambria"/>
          <w:i/>
          <w:iCs/>
          <w:sz w:val="20"/>
          <w:szCs w:val="20"/>
        </w:rPr>
        <w:t>(Document présenté par l’Union européenne)</w:t>
      </w:r>
    </w:p>
    <w:p w14:paraId="1ED04109" w14:textId="77777777" w:rsidR="008A7BD1" w:rsidRPr="00022CB4" w:rsidRDefault="008A7BD1" w:rsidP="00B10E54">
      <w:pPr>
        <w:pBdr>
          <w:top w:val="nil"/>
          <w:left w:val="nil"/>
          <w:bottom w:val="nil"/>
          <w:right w:val="nil"/>
          <w:between w:val="nil"/>
        </w:pBdr>
        <w:jc w:val="both"/>
        <w:rPr>
          <w:rFonts w:ascii="Cambria" w:eastAsia="Cambria" w:hAnsi="Cambria" w:cs="Cambria"/>
          <w:color w:val="000000"/>
          <w:sz w:val="20"/>
          <w:szCs w:val="20"/>
        </w:rPr>
      </w:pPr>
    </w:p>
    <w:p w14:paraId="69691FA6" w14:textId="1B14D6E6" w:rsidR="00553172" w:rsidRPr="00022CB4" w:rsidRDefault="00553172" w:rsidP="00B10E54">
      <w:pPr>
        <w:pBdr>
          <w:top w:val="nil"/>
          <w:left w:val="nil"/>
          <w:bottom w:val="nil"/>
          <w:right w:val="nil"/>
          <w:between w:val="nil"/>
        </w:pBdr>
        <w:jc w:val="both"/>
        <w:rPr>
          <w:rFonts w:ascii="Cambria" w:eastAsia="Cambria" w:hAnsi="Cambria" w:cs="Cambria"/>
          <w:color w:val="000000"/>
          <w:sz w:val="20"/>
          <w:szCs w:val="20"/>
        </w:rPr>
      </w:pPr>
      <w:r w:rsidRPr="00022CB4">
        <w:rPr>
          <w:rFonts w:ascii="Cambria" w:hAnsi="Cambria"/>
          <w:color w:val="000000" w:themeColor="text1"/>
          <w:sz w:val="20"/>
          <w:szCs w:val="20"/>
        </w:rPr>
        <w:t>Cette initiative suit les engagements pris dans les Recommandations 23-10 et 23-11 de l’ICCAT, qui demandaient le développement de cadres d’évaluation de la stratégie de gestion (MSE) pour les deux stocks. La proposition fixe des objectifs de gestion opérationnels pour le requin peau bleue de l’Atlantique Nord et Sud afin de guider les travaux du SCRS sur le développement d’une MSE, comme convenu par la Commission en 2024.</w:t>
      </w:r>
    </w:p>
    <w:p w14:paraId="759B4902" w14:textId="77777777" w:rsidR="00DF21D1" w:rsidRDefault="008A7BD1" w:rsidP="00B10E54">
      <w:pPr>
        <w:pBdr>
          <w:top w:val="nil"/>
          <w:left w:val="nil"/>
          <w:bottom w:val="nil"/>
          <w:right w:val="nil"/>
          <w:between w:val="nil"/>
        </w:pBdr>
        <w:jc w:val="both"/>
        <w:rPr>
          <w:rFonts w:ascii="Cambria" w:hAnsi="Cambria"/>
          <w:color w:val="000000" w:themeColor="text1"/>
          <w:sz w:val="20"/>
          <w:szCs w:val="20"/>
        </w:rPr>
      </w:pPr>
      <w:r w:rsidRPr="00022CB4">
        <w:rPr>
          <w:rFonts w:ascii="Cambria" w:hAnsi="Cambria"/>
          <w:sz w:val="20"/>
          <w:szCs w:val="20"/>
        </w:rPr>
        <w:br/>
      </w:r>
      <w:r w:rsidRPr="00022CB4">
        <w:rPr>
          <w:rFonts w:ascii="Cambria" w:hAnsi="Cambria"/>
          <w:color w:val="000000" w:themeColor="text1"/>
          <w:sz w:val="20"/>
          <w:szCs w:val="20"/>
        </w:rPr>
        <w:t>Les objectifs garantissent une probabilité d'au moins 60% que les stocks restent dans le quadrant vert sur 30 ans et limitent le risque de tomber en-deçà de 0</w:t>
      </w:r>
      <w:r w:rsidR="00C664B7">
        <w:rPr>
          <w:rFonts w:ascii="Cambria" w:hAnsi="Cambria"/>
          <w:color w:val="000000" w:themeColor="text1"/>
          <w:sz w:val="20"/>
          <w:szCs w:val="20"/>
        </w:rPr>
        <w:t>,</w:t>
      </w:r>
      <w:r w:rsidRPr="00022CB4">
        <w:rPr>
          <w:rFonts w:ascii="Cambria" w:hAnsi="Cambria"/>
          <w:color w:val="000000" w:themeColor="text1"/>
          <w:sz w:val="20"/>
          <w:szCs w:val="20"/>
        </w:rPr>
        <w:t>4 B</w:t>
      </w:r>
      <w:r w:rsidRPr="00022CB4">
        <w:rPr>
          <w:rFonts w:ascii="Cambria" w:hAnsi="Cambria"/>
          <w:color w:val="000000" w:themeColor="text1"/>
          <w:sz w:val="20"/>
          <w:szCs w:val="20"/>
          <w:vertAlign w:val="subscript"/>
        </w:rPr>
        <w:t>PME</w:t>
      </w:r>
      <w:r w:rsidRPr="00022CB4">
        <w:rPr>
          <w:rFonts w:ascii="Cambria" w:hAnsi="Cambria"/>
          <w:color w:val="000000" w:themeColor="text1"/>
          <w:sz w:val="20"/>
          <w:szCs w:val="20"/>
        </w:rPr>
        <w:t xml:space="preserve"> de 15% ou moins. Ce niveau de précaution est en conformité avec les décisions précédemment prises par la Commission sur d’autres stocks, tout en tenant compte des spécificités du requin peau bleue par rapport aux espèces de thons et d’espadon. La proposition inclut également une règle de stabilité de ±15% pour les changements de TAC entre les périodes de gestion. L’adoption en 2025 permettra au SCRS de lancer les travaux sur la MSE en 2026. Bien que la proposition </w:t>
      </w:r>
      <w:r w:rsidRPr="00E039BA">
        <w:rPr>
          <w:rFonts w:ascii="Cambria" w:hAnsi="Cambria"/>
          <w:color w:val="000000" w:themeColor="text1"/>
          <w:sz w:val="20"/>
          <w:szCs w:val="20"/>
        </w:rPr>
        <w:t>fixe une date limite</w:t>
      </w:r>
      <w:r w:rsidRPr="00022CB4">
        <w:rPr>
          <w:rFonts w:ascii="Cambria" w:hAnsi="Cambria"/>
          <w:color w:val="000000" w:themeColor="text1"/>
          <w:sz w:val="20"/>
          <w:szCs w:val="20"/>
        </w:rPr>
        <w:t xml:space="preserve"> pour l’adoption d’une procédure de gestion d’ici 2029, les objectifs permettent une certaine souplesse et une voie plus rapide, en fonction de la disponibilité des ressources du SCRS.</w:t>
      </w:r>
    </w:p>
    <w:p w14:paraId="3A0B738E" w14:textId="614CB84D" w:rsidR="00CF45DD" w:rsidRPr="00022CB4" w:rsidRDefault="008A7BD1" w:rsidP="00B10E54">
      <w:pPr>
        <w:pBdr>
          <w:top w:val="nil"/>
          <w:left w:val="nil"/>
          <w:bottom w:val="nil"/>
          <w:right w:val="nil"/>
          <w:between w:val="nil"/>
        </w:pBdr>
        <w:jc w:val="both"/>
        <w:rPr>
          <w:rFonts w:ascii="Cambria" w:eastAsia="Cambria" w:hAnsi="Cambria" w:cs="Cambria"/>
          <w:b/>
          <w:bCs/>
          <w:sz w:val="20"/>
          <w:szCs w:val="20"/>
        </w:rPr>
      </w:pPr>
      <w:r w:rsidRPr="00022CB4">
        <w:rPr>
          <w:rFonts w:ascii="Cambria" w:hAnsi="Cambria"/>
          <w:b/>
          <w:bCs/>
          <w:sz w:val="20"/>
          <w:szCs w:val="20"/>
        </w:rPr>
        <w:br w:type="page"/>
      </w:r>
    </w:p>
    <w:p w14:paraId="354DAE99" w14:textId="5E57E2B4" w:rsidR="00515668" w:rsidRPr="00022CB4" w:rsidRDefault="00515668" w:rsidP="00B10E54">
      <w:pPr>
        <w:widowControl w:val="0"/>
        <w:ind w:right="115"/>
        <w:jc w:val="right"/>
        <w:outlineLvl w:val="0"/>
        <w:rPr>
          <w:rFonts w:ascii="Cambria" w:eastAsia="Cambria" w:hAnsi="Cambria" w:cs="Cambria"/>
          <w:b/>
          <w:bCs/>
          <w:sz w:val="20"/>
          <w:szCs w:val="20"/>
        </w:rPr>
      </w:pPr>
      <w:r w:rsidRPr="00022CB4">
        <w:rPr>
          <w:rFonts w:ascii="Cambria" w:hAnsi="Cambria"/>
          <w:b/>
          <w:bCs/>
          <w:sz w:val="20"/>
          <w:szCs w:val="20"/>
        </w:rPr>
        <w:lastRenderedPageBreak/>
        <w:t>Original : anglais</w:t>
      </w:r>
    </w:p>
    <w:p w14:paraId="00000002" w14:textId="77777777" w:rsidR="009F6F25" w:rsidRPr="00022CB4" w:rsidRDefault="009F6F25" w:rsidP="00B10E54">
      <w:pPr>
        <w:pBdr>
          <w:top w:val="nil"/>
          <w:left w:val="nil"/>
          <w:bottom w:val="nil"/>
          <w:right w:val="nil"/>
          <w:between w:val="nil"/>
        </w:pBdr>
        <w:jc w:val="center"/>
        <w:rPr>
          <w:rFonts w:ascii="Cambria" w:eastAsia="Cambria" w:hAnsi="Cambria" w:cs="Cambria"/>
          <w:b/>
          <w:color w:val="000000"/>
          <w:sz w:val="20"/>
          <w:szCs w:val="20"/>
        </w:rPr>
      </w:pPr>
    </w:p>
    <w:p w14:paraId="00000003" w14:textId="2A8C629C" w:rsidR="009F6F25" w:rsidRPr="00022CB4" w:rsidRDefault="00843BFE" w:rsidP="00B10E54">
      <w:pPr>
        <w:pBdr>
          <w:top w:val="nil"/>
          <w:left w:val="nil"/>
          <w:bottom w:val="nil"/>
          <w:right w:val="nil"/>
          <w:between w:val="nil"/>
        </w:pBdr>
        <w:jc w:val="center"/>
        <w:rPr>
          <w:rFonts w:ascii="Cambria" w:eastAsia="Cambria" w:hAnsi="Cambria" w:cs="Cambria"/>
          <w:b/>
          <w:color w:val="000000"/>
          <w:sz w:val="20"/>
          <w:szCs w:val="20"/>
        </w:rPr>
      </w:pPr>
      <w:bookmarkStart w:id="0" w:name="_heading=h.gjdgxs"/>
      <w:bookmarkStart w:id="1" w:name="_Hlk151365298"/>
      <w:bookmarkEnd w:id="0"/>
      <w:r w:rsidRPr="00022CB4">
        <w:rPr>
          <w:rFonts w:ascii="Cambria" w:hAnsi="Cambria"/>
          <w:b/>
          <w:color w:val="000000"/>
          <w:sz w:val="20"/>
          <w:szCs w:val="20"/>
        </w:rPr>
        <w:t xml:space="preserve">Projet de </w:t>
      </w:r>
      <w:r w:rsidR="005812FE" w:rsidRPr="00022CB4">
        <w:rPr>
          <w:rFonts w:ascii="Cambria" w:hAnsi="Cambria"/>
          <w:b/>
          <w:color w:val="000000"/>
          <w:sz w:val="20"/>
          <w:szCs w:val="20"/>
        </w:rPr>
        <w:t xml:space="preserve">Résolution </w:t>
      </w:r>
      <w:r w:rsidRPr="00022CB4">
        <w:rPr>
          <w:rFonts w:ascii="Cambria" w:hAnsi="Cambria"/>
          <w:b/>
          <w:color w:val="000000"/>
          <w:sz w:val="20"/>
          <w:szCs w:val="20"/>
        </w:rPr>
        <w:t>de l’ICCAT sur des objectifs de gestion opérationnels pour le requin peau bleue de l’Atlantique</w:t>
      </w:r>
    </w:p>
    <w:p w14:paraId="00000004" w14:textId="77777777" w:rsidR="009F6F25" w:rsidRPr="00022CB4" w:rsidRDefault="009F6F25" w:rsidP="00B10E54">
      <w:pPr>
        <w:pBdr>
          <w:top w:val="nil"/>
          <w:left w:val="nil"/>
          <w:bottom w:val="nil"/>
          <w:right w:val="nil"/>
          <w:between w:val="nil"/>
        </w:pBdr>
        <w:jc w:val="center"/>
        <w:rPr>
          <w:rFonts w:ascii="Cambria" w:eastAsia="Cambria" w:hAnsi="Cambria" w:cs="Cambria"/>
          <w:b/>
          <w:color w:val="000000"/>
          <w:sz w:val="20"/>
          <w:szCs w:val="20"/>
        </w:rPr>
      </w:pPr>
    </w:p>
    <w:p w14:paraId="00000005" w14:textId="2118E896" w:rsidR="009F6F25" w:rsidRPr="00022CB4" w:rsidRDefault="00FE4D21" w:rsidP="00B10E54">
      <w:pPr>
        <w:pBdr>
          <w:top w:val="nil"/>
          <w:left w:val="nil"/>
          <w:bottom w:val="nil"/>
          <w:right w:val="nil"/>
          <w:between w:val="nil"/>
        </w:pBdr>
        <w:jc w:val="center"/>
        <w:rPr>
          <w:rFonts w:ascii="Cambria" w:eastAsia="Cambria" w:hAnsi="Cambria" w:cs="Cambria"/>
          <w:i/>
          <w:color w:val="000000"/>
          <w:sz w:val="20"/>
          <w:szCs w:val="20"/>
        </w:rPr>
      </w:pPr>
      <w:r w:rsidRPr="00022CB4">
        <w:rPr>
          <w:rFonts w:ascii="Cambria" w:hAnsi="Cambria"/>
          <w:i/>
          <w:color w:val="000000"/>
          <w:sz w:val="20"/>
          <w:szCs w:val="20"/>
        </w:rPr>
        <w:t>(Document présenté par l’Union européenne)</w:t>
      </w:r>
    </w:p>
    <w:bookmarkEnd w:id="1"/>
    <w:p w14:paraId="00000006" w14:textId="77777777" w:rsidR="009F6F25" w:rsidRPr="00022CB4" w:rsidRDefault="009F6F25" w:rsidP="00B10E54">
      <w:pPr>
        <w:pBdr>
          <w:top w:val="nil"/>
          <w:left w:val="nil"/>
          <w:bottom w:val="nil"/>
          <w:right w:val="nil"/>
          <w:between w:val="nil"/>
        </w:pBdr>
        <w:rPr>
          <w:rFonts w:ascii="Cambria" w:eastAsia="Cambria" w:hAnsi="Cambria" w:cs="Cambria"/>
          <w:color w:val="000000"/>
          <w:sz w:val="20"/>
          <w:szCs w:val="20"/>
        </w:rPr>
      </w:pPr>
    </w:p>
    <w:p w14:paraId="14DDD8F7" w14:textId="528867BD" w:rsidR="003F5292" w:rsidRPr="00022CB4" w:rsidRDefault="003F5292" w:rsidP="00B10E54">
      <w:pPr>
        <w:ind w:firstLine="426"/>
        <w:jc w:val="both"/>
        <w:rPr>
          <w:rFonts w:ascii="Cambria" w:eastAsia="Cambria" w:hAnsi="Cambria" w:cs="Cambria"/>
          <w:sz w:val="20"/>
          <w:szCs w:val="20"/>
        </w:rPr>
      </w:pPr>
      <w:r w:rsidRPr="00022CB4">
        <w:rPr>
          <w:rFonts w:ascii="Cambria" w:hAnsi="Cambria"/>
          <w:i/>
          <w:sz w:val="20"/>
          <w:szCs w:val="20"/>
        </w:rPr>
        <w:t>CHERCHANT</w:t>
      </w:r>
      <w:r w:rsidRPr="00022CB4">
        <w:rPr>
          <w:rFonts w:ascii="Cambria" w:hAnsi="Cambria"/>
          <w:sz w:val="20"/>
          <w:szCs w:val="20"/>
        </w:rPr>
        <w:t xml:space="preserve"> à faire avancer le développement de procédures de gestion, comme convenu par la Commission conformément à la </w:t>
      </w:r>
      <w:r w:rsidRPr="00022CB4">
        <w:rPr>
          <w:rFonts w:ascii="Cambria" w:hAnsi="Cambria"/>
          <w:i/>
          <w:sz w:val="20"/>
          <w:szCs w:val="20"/>
        </w:rPr>
        <w:t>Recommandation de l’ICCAT sur le développement de règles de contrôle de l’exploitation et d'une évaluation de la stratégie de gestion</w:t>
      </w:r>
      <w:r w:rsidRPr="00022CB4">
        <w:rPr>
          <w:rFonts w:ascii="Cambria" w:hAnsi="Cambria"/>
          <w:sz w:val="20"/>
          <w:szCs w:val="20"/>
        </w:rPr>
        <w:t xml:space="preserve"> </w:t>
      </w:r>
      <w:r w:rsidRPr="00022CB4">
        <w:rPr>
          <w:rFonts w:ascii="Cambria" w:hAnsi="Cambria"/>
          <w:i/>
          <w:sz w:val="20"/>
          <w:szCs w:val="20"/>
        </w:rPr>
        <w:t>(MSE)</w:t>
      </w:r>
      <w:r w:rsidRPr="00022CB4">
        <w:rPr>
          <w:rFonts w:ascii="Cambria" w:hAnsi="Cambria"/>
          <w:sz w:val="20"/>
          <w:szCs w:val="20"/>
        </w:rPr>
        <w:t xml:space="preserve"> (Rec. 15-07) ;</w:t>
      </w:r>
    </w:p>
    <w:p w14:paraId="00000007" w14:textId="77777777" w:rsidR="009F6F25" w:rsidRPr="00022CB4" w:rsidRDefault="009F6F25" w:rsidP="00B10E54">
      <w:pPr>
        <w:pBdr>
          <w:top w:val="nil"/>
          <w:left w:val="nil"/>
          <w:bottom w:val="nil"/>
          <w:right w:val="nil"/>
          <w:between w:val="nil"/>
        </w:pBdr>
        <w:jc w:val="both"/>
        <w:rPr>
          <w:rFonts w:ascii="Cambria" w:eastAsia="Cambria" w:hAnsi="Cambria" w:cs="Cambria"/>
          <w:color w:val="000000"/>
          <w:sz w:val="20"/>
          <w:szCs w:val="20"/>
        </w:rPr>
      </w:pPr>
    </w:p>
    <w:p w14:paraId="10CEB2BD" w14:textId="2E176D2E" w:rsidR="003F5292" w:rsidRPr="00022CB4" w:rsidRDefault="003F5292" w:rsidP="00B10E54">
      <w:pPr>
        <w:ind w:firstLine="426"/>
        <w:jc w:val="both"/>
        <w:rPr>
          <w:rFonts w:ascii="Cambria" w:eastAsia="Cambria" w:hAnsi="Cambria" w:cs="Cambria"/>
          <w:iCs/>
          <w:sz w:val="20"/>
          <w:szCs w:val="20"/>
        </w:rPr>
      </w:pPr>
      <w:r w:rsidRPr="00022CB4">
        <w:rPr>
          <w:rFonts w:ascii="Cambria" w:hAnsi="Cambria"/>
          <w:i/>
          <w:sz w:val="20"/>
          <w:szCs w:val="20"/>
        </w:rPr>
        <w:t>RECONNAISSANT</w:t>
      </w:r>
      <w:r w:rsidRPr="00022CB4">
        <w:rPr>
          <w:rFonts w:ascii="Cambria" w:hAnsi="Cambria"/>
          <w:sz w:val="20"/>
          <w:szCs w:val="20"/>
        </w:rPr>
        <w:t xml:space="preserve"> que le requin peau bleue de l'Atlantique (</w:t>
      </w:r>
      <w:proofErr w:type="spellStart"/>
      <w:r w:rsidRPr="00022CB4">
        <w:rPr>
          <w:rFonts w:ascii="Cambria" w:hAnsi="Cambria"/>
          <w:i/>
          <w:iCs/>
          <w:sz w:val="20"/>
          <w:szCs w:val="20"/>
        </w:rPr>
        <w:t>Prionace</w:t>
      </w:r>
      <w:proofErr w:type="spellEnd"/>
      <w:r w:rsidRPr="00022CB4">
        <w:rPr>
          <w:rFonts w:ascii="Cambria" w:hAnsi="Cambria"/>
          <w:i/>
          <w:iCs/>
          <w:sz w:val="20"/>
          <w:szCs w:val="20"/>
        </w:rPr>
        <w:t xml:space="preserve"> </w:t>
      </w:r>
      <w:proofErr w:type="spellStart"/>
      <w:r w:rsidRPr="00022CB4">
        <w:rPr>
          <w:rFonts w:ascii="Cambria" w:hAnsi="Cambria"/>
          <w:i/>
          <w:iCs/>
          <w:sz w:val="20"/>
          <w:szCs w:val="20"/>
        </w:rPr>
        <w:t>glauca</w:t>
      </w:r>
      <w:proofErr w:type="spellEnd"/>
      <w:r w:rsidRPr="00022CB4">
        <w:rPr>
          <w:rFonts w:ascii="Cambria" w:hAnsi="Cambria"/>
          <w:sz w:val="20"/>
          <w:szCs w:val="20"/>
        </w:rPr>
        <w:t>) est capturé en association avec des pêcheries gérées par l’ICCAT ;</w:t>
      </w:r>
    </w:p>
    <w:p w14:paraId="502FB9CE" w14:textId="77777777" w:rsidR="003F5292" w:rsidRPr="00022CB4" w:rsidRDefault="003F5292" w:rsidP="00B10E54">
      <w:pPr>
        <w:jc w:val="both"/>
        <w:rPr>
          <w:rFonts w:ascii="Cambria" w:eastAsia="Cambria" w:hAnsi="Cambria" w:cs="Cambria"/>
          <w:i/>
          <w:sz w:val="20"/>
          <w:szCs w:val="20"/>
        </w:rPr>
      </w:pPr>
    </w:p>
    <w:p w14:paraId="1283E09F" w14:textId="04A45F2B" w:rsidR="00DA1A37" w:rsidRPr="00022CB4" w:rsidRDefault="0047547D" w:rsidP="00B34921">
      <w:pPr>
        <w:ind w:firstLine="426"/>
        <w:jc w:val="both"/>
        <w:rPr>
          <w:rFonts w:ascii="Cambria" w:eastAsia="Cambria" w:hAnsi="Cambria" w:cs="Cambria"/>
          <w:sz w:val="20"/>
          <w:szCs w:val="20"/>
        </w:rPr>
      </w:pPr>
      <w:r w:rsidRPr="00022CB4">
        <w:rPr>
          <w:rFonts w:ascii="Cambria" w:hAnsi="Cambria"/>
          <w:i/>
          <w:iCs/>
          <w:sz w:val="20"/>
          <w:szCs w:val="20"/>
        </w:rPr>
        <w:t xml:space="preserve">RAPPELANT </w:t>
      </w:r>
      <w:r w:rsidRPr="00022CB4">
        <w:rPr>
          <w:rFonts w:ascii="Cambria" w:hAnsi="Cambria"/>
          <w:sz w:val="20"/>
          <w:szCs w:val="20"/>
        </w:rPr>
        <w:t xml:space="preserve">la gestion actuelle des deux stocks de requin peau bleue de l’Atlantique à travers des limites de captures établies, comme exposé dans la </w:t>
      </w:r>
      <w:r w:rsidRPr="00022CB4">
        <w:rPr>
          <w:rFonts w:ascii="Cambria" w:hAnsi="Cambria"/>
          <w:i/>
          <w:sz w:val="20"/>
          <w:szCs w:val="20"/>
        </w:rPr>
        <w:t>Recommandation de l'ICCAT remplaçant la Recommandation 19-07 sur des mesures de gestion pour la conservation du requin peau bleue de l’Atlantique Nord capturé en association avec les pêcheries de l’ICCAT</w:t>
      </w:r>
      <w:r w:rsidRPr="00022CB4">
        <w:rPr>
          <w:rFonts w:ascii="Cambria" w:hAnsi="Cambria"/>
          <w:sz w:val="20"/>
          <w:szCs w:val="20"/>
        </w:rPr>
        <w:t xml:space="preserve"> (Rec. 23-10) et la </w:t>
      </w:r>
      <w:r w:rsidRPr="00022CB4">
        <w:rPr>
          <w:rFonts w:ascii="Cambria" w:hAnsi="Cambria"/>
          <w:i/>
          <w:sz w:val="20"/>
          <w:szCs w:val="20"/>
        </w:rPr>
        <w:t xml:space="preserve">Recommandation de l'ICCAT remplaçant la Recommandation 19-08 sur des mesures de gestion pour la conservation du requin peau bleue de l’Atlantique Sud capturé en association avec les pêcheries de l’ICCAT </w:t>
      </w:r>
      <w:r w:rsidRPr="00022CB4">
        <w:rPr>
          <w:rFonts w:ascii="Cambria" w:hAnsi="Cambria"/>
          <w:sz w:val="20"/>
          <w:szCs w:val="20"/>
        </w:rPr>
        <w:t>(Rec. 23-11) ;</w:t>
      </w:r>
    </w:p>
    <w:p w14:paraId="30861C6B" w14:textId="77777777" w:rsidR="0047547D" w:rsidRPr="00022CB4" w:rsidRDefault="0047547D" w:rsidP="00B10E54">
      <w:pPr>
        <w:ind w:firstLine="426"/>
        <w:jc w:val="both"/>
        <w:rPr>
          <w:rFonts w:ascii="Cambria" w:eastAsia="Cambria" w:hAnsi="Cambria" w:cs="Cambria"/>
          <w:sz w:val="20"/>
          <w:szCs w:val="20"/>
        </w:rPr>
      </w:pPr>
    </w:p>
    <w:p w14:paraId="3F130350" w14:textId="6F02ABDE" w:rsidR="0047547D" w:rsidRPr="00022CB4" w:rsidRDefault="000569B9" w:rsidP="00B10E54">
      <w:pPr>
        <w:ind w:firstLine="426"/>
        <w:jc w:val="both"/>
        <w:rPr>
          <w:rFonts w:ascii="Cambria" w:eastAsia="Cambria" w:hAnsi="Cambria" w:cs="Cambria"/>
          <w:iCs/>
          <w:sz w:val="20"/>
          <w:szCs w:val="20"/>
        </w:rPr>
      </w:pPr>
      <w:r w:rsidRPr="00022CB4">
        <w:rPr>
          <w:rFonts w:ascii="Cambria" w:hAnsi="Cambria"/>
          <w:i/>
          <w:sz w:val="20"/>
          <w:szCs w:val="20"/>
        </w:rPr>
        <w:t xml:space="preserve">NOTANT </w:t>
      </w:r>
      <w:r w:rsidRPr="00022CB4">
        <w:rPr>
          <w:rFonts w:ascii="Cambria" w:hAnsi="Cambria"/>
          <w:iCs/>
          <w:sz w:val="20"/>
          <w:szCs w:val="20"/>
        </w:rPr>
        <w:t xml:space="preserve">l’intention de la Commission exprimée dans les Rec. 23-10 et 23-11 de développer un cadre de MSE pour la gestion des deux stocks de requin peau bleue de l’Atlantique ; </w:t>
      </w:r>
    </w:p>
    <w:p w14:paraId="12693CF1" w14:textId="77777777" w:rsidR="00157934" w:rsidRPr="00022CB4" w:rsidRDefault="00157934" w:rsidP="00B10E54">
      <w:pPr>
        <w:ind w:firstLine="426"/>
        <w:jc w:val="both"/>
        <w:rPr>
          <w:rFonts w:ascii="Cambria" w:eastAsia="Cambria" w:hAnsi="Cambria" w:cs="Cambria"/>
          <w:i/>
          <w:sz w:val="20"/>
          <w:szCs w:val="20"/>
        </w:rPr>
      </w:pPr>
    </w:p>
    <w:p w14:paraId="231DF9D7" w14:textId="778299CD" w:rsidR="00157934" w:rsidRPr="00022CB4" w:rsidRDefault="000569B9" w:rsidP="00B10E54">
      <w:pPr>
        <w:ind w:firstLine="426"/>
        <w:jc w:val="both"/>
        <w:rPr>
          <w:rFonts w:ascii="Cambria" w:eastAsia="Cambria" w:hAnsi="Cambria" w:cs="Cambria"/>
          <w:iCs/>
          <w:sz w:val="20"/>
          <w:szCs w:val="20"/>
        </w:rPr>
      </w:pPr>
      <w:r w:rsidRPr="00022CB4">
        <w:rPr>
          <w:rFonts w:ascii="Cambria" w:hAnsi="Cambria"/>
          <w:i/>
          <w:sz w:val="20"/>
          <w:szCs w:val="20"/>
        </w:rPr>
        <w:t xml:space="preserve">CONSIDÉRANT </w:t>
      </w:r>
      <w:r w:rsidRPr="00022CB4">
        <w:rPr>
          <w:rFonts w:ascii="Cambria" w:hAnsi="Cambria"/>
          <w:sz w:val="20"/>
          <w:szCs w:val="20"/>
        </w:rPr>
        <w:t xml:space="preserve">que le </w:t>
      </w:r>
      <w:r w:rsidRPr="00022CB4">
        <w:rPr>
          <w:rFonts w:ascii="Cambria" w:hAnsi="Cambria"/>
          <w:iCs/>
          <w:sz w:val="20"/>
          <w:szCs w:val="20"/>
        </w:rPr>
        <w:t>SCRS, à sa réunion de 2025, a conclu que le développement d’une MSE pour le requin peau bleue était réalisable ;</w:t>
      </w:r>
    </w:p>
    <w:p w14:paraId="3BF18120" w14:textId="77777777" w:rsidR="000569B9" w:rsidRPr="00022CB4" w:rsidRDefault="000569B9" w:rsidP="00B10E54">
      <w:pPr>
        <w:ind w:firstLine="426"/>
        <w:jc w:val="both"/>
        <w:rPr>
          <w:rFonts w:ascii="Cambria" w:eastAsia="Cambria" w:hAnsi="Cambria" w:cs="Cambria"/>
          <w:i/>
          <w:sz w:val="20"/>
          <w:szCs w:val="20"/>
        </w:rPr>
      </w:pPr>
    </w:p>
    <w:p w14:paraId="00000018" w14:textId="6296E346" w:rsidR="009F6F25" w:rsidRPr="00022CB4" w:rsidRDefault="000569B9" w:rsidP="00B10E54">
      <w:pPr>
        <w:ind w:firstLine="426"/>
        <w:jc w:val="both"/>
        <w:rPr>
          <w:rFonts w:ascii="Cambria" w:eastAsia="Cambria" w:hAnsi="Cambria" w:cs="Cambria"/>
          <w:iCs/>
          <w:sz w:val="20"/>
          <w:szCs w:val="20"/>
        </w:rPr>
      </w:pPr>
      <w:r w:rsidRPr="00022CB4">
        <w:rPr>
          <w:rFonts w:ascii="Cambria" w:hAnsi="Cambria"/>
          <w:i/>
          <w:sz w:val="20"/>
          <w:szCs w:val="20"/>
        </w:rPr>
        <w:t>CONSIDÉRANT EN OUTRE</w:t>
      </w:r>
      <w:r w:rsidRPr="00022CB4">
        <w:rPr>
          <w:rFonts w:ascii="Cambria" w:hAnsi="Cambria"/>
          <w:sz w:val="20"/>
          <w:szCs w:val="20"/>
        </w:rPr>
        <w:t xml:space="preserve"> </w:t>
      </w:r>
      <w:r w:rsidRPr="00022CB4">
        <w:rPr>
          <w:rFonts w:ascii="Cambria" w:hAnsi="Cambria"/>
          <w:iCs/>
          <w:sz w:val="20"/>
          <w:szCs w:val="20"/>
        </w:rPr>
        <w:t>que la Commission, à sa 24e réunion extraordinaire, a convenu d’une feuille de route préliminaire pour le développement d’une MSE pour le requin peau bleue de l'Atlantique</w:t>
      </w:r>
      <w:r w:rsidRPr="00022CB4">
        <w:rPr>
          <w:rFonts w:ascii="Cambria" w:hAnsi="Cambria"/>
          <w:sz w:val="20"/>
          <w:szCs w:val="20"/>
        </w:rPr>
        <w:t> ;</w:t>
      </w:r>
    </w:p>
    <w:p w14:paraId="5E1C3774" w14:textId="77777777" w:rsidR="00FC62BD" w:rsidRPr="00022CB4" w:rsidRDefault="00FC62BD" w:rsidP="00B10E54">
      <w:pPr>
        <w:jc w:val="both"/>
        <w:rPr>
          <w:rFonts w:ascii="Cambria" w:eastAsia="Cambria" w:hAnsi="Cambria" w:cs="Cambria"/>
          <w:b/>
          <w:sz w:val="20"/>
          <w:szCs w:val="20"/>
        </w:rPr>
      </w:pPr>
    </w:p>
    <w:p w14:paraId="0000001A" w14:textId="49D56306" w:rsidR="009F6F25" w:rsidRPr="00022CB4" w:rsidRDefault="00FE4D21" w:rsidP="00B10E54">
      <w:pPr>
        <w:jc w:val="center"/>
        <w:rPr>
          <w:rFonts w:ascii="Cambria" w:eastAsia="Cambria" w:hAnsi="Cambria" w:cs="Cambria"/>
          <w:sz w:val="20"/>
          <w:szCs w:val="20"/>
        </w:rPr>
      </w:pPr>
      <w:r w:rsidRPr="00022CB4">
        <w:rPr>
          <w:rFonts w:ascii="Cambria" w:hAnsi="Cambria"/>
          <w:sz w:val="20"/>
          <w:szCs w:val="20"/>
        </w:rPr>
        <w:t>LA COMMISSION INTERNATIONALE POUR LA</w:t>
      </w:r>
      <w:r w:rsidR="004A5F70">
        <w:rPr>
          <w:rFonts w:ascii="Cambria" w:hAnsi="Cambria"/>
          <w:sz w:val="20"/>
          <w:szCs w:val="20"/>
        </w:rPr>
        <w:t xml:space="preserve"> </w:t>
      </w:r>
      <w:r w:rsidR="00CA7EE2" w:rsidRPr="004A5F70">
        <w:rPr>
          <w:rFonts w:ascii="Cambria" w:hAnsi="Cambria"/>
          <w:sz w:val="20"/>
          <w:szCs w:val="20"/>
        </w:rPr>
        <w:t>CONSERVATION</w:t>
      </w:r>
    </w:p>
    <w:p w14:paraId="0000001B" w14:textId="244A1A08" w:rsidR="009F6F25" w:rsidRPr="00022CB4" w:rsidRDefault="004A5F70" w:rsidP="00B10E54">
      <w:pPr>
        <w:jc w:val="center"/>
        <w:rPr>
          <w:rFonts w:ascii="Cambria" w:eastAsia="Cambria" w:hAnsi="Cambria" w:cs="Cambria"/>
          <w:sz w:val="20"/>
          <w:szCs w:val="20"/>
        </w:rPr>
      </w:pPr>
      <w:r w:rsidRPr="004A5F70">
        <w:rPr>
          <w:rFonts w:ascii="Cambria" w:hAnsi="Cambria"/>
          <w:sz w:val="20"/>
          <w:szCs w:val="20"/>
        </w:rPr>
        <w:t>DES THONIDÉS DE L’ATLANTIQUE (ICCAT) DÉCIDE CE QUI SUI</w:t>
      </w:r>
      <w:r w:rsidR="00295BC3">
        <w:rPr>
          <w:rFonts w:ascii="Cambria" w:hAnsi="Cambria"/>
          <w:sz w:val="20"/>
          <w:szCs w:val="20"/>
        </w:rPr>
        <w:t>T</w:t>
      </w:r>
      <w:r w:rsidR="00FE4D21" w:rsidRPr="00022CB4">
        <w:rPr>
          <w:rFonts w:ascii="Cambria" w:hAnsi="Cambria"/>
          <w:sz w:val="20"/>
          <w:szCs w:val="20"/>
        </w:rPr>
        <w:t> :</w:t>
      </w:r>
    </w:p>
    <w:p w14:paraId="0000001C" w14:textId="77777777" w:rsidR="009F6F25" w:rsidRPr="00022CB4" w:rsidRDefault="009F6F25" w:rsidP="00B10E54">
      <w:pPr>
        <w:jc w:val="both"/>
        <w:rPr>
          <w:rFonts w:ascii="Cambria" w:eastAsia="Cambria" w:hAnsi="Cambria" w:cs="Cambria"/>
          <w:sz w:val="20"/>
          <w:szCs w:val="20"/>
        </w:rPr>
      </w:pPr>
    </w:p>
    <w:p w14:paraId="0000001D" w14:textId="3749897E" w:rsidR="009F6F25" w:rsidRPr="00022CB4" w:rsidRDefault="00FE4D21" w:rsidP="00B10E54">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022CB4">
        <w:rPr>
          <w:rFonts w:ascii="Cambria" w:hAnsi="Cambria"/>
          <w:color w:val="000000"/>
          <w:sz w:val="20"/>
          <w:szCs w:val="20"/>
        </w:rPr>
        <w:t xml:space="preserve">Des objectifs de gestion devraient être établis pour le requin peau bleue de l’Atlantique, conformément à l’objectif de la Convention de maintenir les populations à des niveaux ou au-delà des niveaux qui permettront d’obtenir la prise maximale équilibrée (généralement désignée PME). </w:t>
      </w:r>
    </w:p>
    <w:p w14:paraId="3C7F5D62" w14:textId="77777777" w:rsidR="00380D63" w:rsidRPr="00022CB4" w:rsidRDefault="00380D63" w:rsidP="00B10E54">
      <w:pPr>
        <w:pBdr>
          <w:top w:val="nil"/>
          <w:left w:val="nil"/>
          <w:bottom w:val="nil"/>
          <w:right w:val="nil"/>
          <w:between w:val="nil"/>
        </w:pBdr>
        <w:ind w:left="426"/>
        <w:jc w:val="both"/>
        <w:rPr>
          <w:rFonts w:ascii="Cambria" w:eastAsia="Cambria" w:hAnsi="Cambria" w:cs="Cambria"/>
          <w:color w:val="000000"/>
          <w:sz w:val="20"/>
          <w:szCs w:val="20"/>
        </w:rPr>
      </w:pPr>
    </w:p>
    <w:p w14:paraId="61F7A2C7" w14:textId="4DB7CBCA" w:rsidR="00380D63" w:rsidRPr="00022CB4" w:rsidRDefault="00380D63" w:rsidP="00B10E54">
      <w:pPr>
        <w:numPr>
          <w:ilvl w:val="0"/>
          <w:numId w:val="1"/>
        </w:numPr>
        <w:pBdr>
          <w:top w:val="nil"/>
          <w:left w:val="nil"/>
          <w:bottom w:val="nil"/>
          <w:right w:val="nil"/>
          <w:between w:val="nil"/>
        </w:pBdr>
        <w:ind w:left="426" w:hanging="426"/>
        <w:jc w:val="both"/>
        <w:rPr>
          <w:rFonts w:ascii="Cambria" w:eastAsia="Cambria" w:hAnsi="Cambria" w:cs="Cambria"/>
          <w:sz w:val="20"/>
          <w:szCs w:val="20"/>
        </w:rPr>
      </w:pPr>
      <w:r w:rsidRPr="00022CB4">
        <w:rPr>
          <w:rFonts w:ascii="Cambria" w:hAnsi="Cambria"/>
          <w:sz w:val="20"/>
          <w:szCs w:val="20"/>
        </w:rPr>
        <w:t>Lorsqu’il évaluera l’état du stock et qu’il formulera des recommandations de gestion à la Commission, le SCRS devra tenir compte du point de référence limite (« LRP ») provisoire de 0,4*B</w:t>
      </w:r>
      <w:r w:rsidRPr="00022CB4">
        <w:rPr>
          <w:rFonts w:ascii="Cambria" w:hAnsi="Cambria"/>
          <w:sz w:val="20"/>
          <w:szCs w:val="20"/>
          <w:vertAlign w:val="subscript"/>
        </w:rPr>
        <w:t>PME</w:t>
      </w:r>
      <w:r w:rsidRPr="00022CB4">
        <w:rPr>
          <w:rFonts w:ascii="Cambria" w:hAnsi="Cambria"/>
          <w:sz w:val="20"/>
          <w:szCs w:val="20"/>
        </w:rPr>
        <w:t xml:space="preserve"> ou de tout autre LRP plus solide qui serait établi au moyen d’autres analyses pour les stocks de requin peau bleue de l’Atlantique Nord et Sud.</w:t>
      </w:r>
    </w:p>
    <w:p w14:paraId="0000001E" w14:textId="77777777" w:rsidR="009F6F25" w:rsidRPr="00022CB4" w:rsidRDefault="009F6F25" w:rsidP="00B10E54">
      <w:pPr>
        <w:jc w:val="both"/>
        <w:rPr>
          <w:rFonts w:ascii="Cambria" w:eastAsia="Cambria" w:hAnsi="Cambria" w:cs="Cambria"/>
          <w:sz w:val="20"/>
          <w:szCs w:val="20"/>
        </w:rPr>
      </w:pPr>
    </w:p>
    <w:p w14:paraId="0000001F" w14:textId="79DB6AD9" w:rsidR="009F6F25" w:rsidRPr="00022CB4" w:rsidRDefault="00E94982" w:rsidP="00B10E54">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022CB4">
        <w:rPr>
          <w:rFonts w:ascii="Cambria" w:hAnsi="Cambria"/>
          <w:color w:val="000000"/>
          <w:sz w:val="20"/>
          <w:szCs w:val="20"/>
        </w:rPr>
        <w:t xml:space="preserve">Les objectifs de gestion opérationnels provisoires suivants devraient être pris en considération dans le but d'élaborer, de tester et d'affiner les procédures de gestion potentielles : </w:t>
      </w:r>
    </w:p>
    <w:p w14:paraId="00000020" w14:textId="77777777" w:rsidR="009F6F25" w:rsidRPr="00022CB4" w:rsidRDefault="009F6F25" w:rsidP="00B10E54">
      <w:pPr>
        <w:pBdr>
          <w:top w:val="nil"/>
          <w:left w:val="nil"/>
          <w:bottom w:val="nil"/>
          <w:right w:val="nil"/>
          <w:between w:val="nil"/>
        </w:pBdr>
        <w:ind w:left="720"/>
        <w:jc w:val="both"/>
        <w:rPr>
          <w:rFonts w:ascii="Cambria" w:eastAsia="Cambria" w:hAnsi="Cambria" w:cs="Cambria"/>
          <w:color w:val="000000"/>
          <w:sz w:val="20"/>
          <w:szCs w:val="20"/>
        </w:rPr>
      </w:pPr>
    </w:p>
    <w:p w14:paraId="4559A172" w14:textId="78E548B6" w:rsidR="00FC62BD" w:rsidRPr="00022CB4" w:rsidRDefault="00FE4D21" w:rsidP="00B10E54">
      <w:pPr>
        <w:numPr>
          <w:ilvl w:val="1"/>
          <w:numId w:val="1"/>
        </w:numPr>
        <w:pBdr>
          <w:top w:val="nil"/>
          <w:left w:val="nil"/>
          <w:bottom w:val="nil"/>
          <w:right w:val="nil"/>
          <w:between w:val="nil"/>
        </w:pBdr>
        <w:ind w:left="851" w:hanging="425"/>
        <w:jc w:val="both"/>
        <w:rPr>
          <w:rFonts w:ascii="Cambria" w:eastAsia="Cambria" w:hAnsi="Cambria" w:cs="Cambria"/>
          <w:sz w:val="20"/>
          <w:szCs w:val="20"/>
        </w:rPr>
      </w:pPr>
      <w:r w:rsidRPr="00022CB4">
        <w:rPr>
          <w:rFonts w:ascii="Cambria" w:hAnsi="Cambria"/>
          <w:sz w:val="20"/>
          <w:szCs w:val="20"/>
        </w:rPr>
        <w:t xml:space="preserve">État du </w:t>
      </w:r>
      <w:r w:rsidR="005812FE" w:rsidRPr="00022CB4">
        <w:rPr>
          <w:rFonts w:ascii="Cambria" w:hAnsi="Cambria"/>
          <w:sz w:val="20"/>
          <w:szCs w:val="20"/>
        </w:rPr>
        <w:t>stock :</w:t>
      </w:r>
      <w:r w:rsidRPr="00022CB4">
        <w:rPr>
          <w:rFonts w:ascii="Cambria" w:hAnsi="Cambria"/>
          <w:color w:val="000000" w:themeColor="text1"/>
          <w:sz w:val="20"/>
          <w:szCs w:val="20"/>
        </w:rPr>
        <w:t xml:space="preserve"> </w:t>
      </w:r>
      <w:r w:rsidRPr="00022CB4">
        <w:rPr>
          <w:rFonts w:ascii="Cambria" w:hAnsi="Cambria"/>
          <w:sz w:val="20"/>
          <w:szCs w:val="20"/>
        </w:rPr>
        <w:t>Les stocks de requin peau bleue devraient chacun avoir une probabilité d’au moins 60% de se situer dans le quadrant vert du diagramme de phase de Kobe (absence de surpêche et non surexploité) au cours de la période de projection de 30 ans (telle que déterminée par le SCRS) ;</w:t>
      </w:r>
    </w:p>
    <w:p w14:paraId="25E33D52" w14:textId="77777777" w:rsidR="00FC62BD" w:rsidRPr="00022CB4" w:rsidRDefault="00FC62BD" w:rsidP="00B10E54">
      <w:pPr>
        <w:pBdr>
          <w:top w:val="nil"/>
          <w:left w:val="nil"/>
          <w:bottom w:val="nil"/>
          <w:right w:val="nil"/>
          <w:between w:val="nil"/>
        </w:pBdr>
        <w:ind w:left="851"/>
        <w:jc w:val="both"/>
        <w:rPr>
          <w:rFonts w:ascii="Cambria" w:eastAsia="Cambria" w:hAnsi="Cambria" w:cs="Cambria"/>
          <w:sz w:val="20"/>
          <w:szCs w:val="20"/>
        </w:rPr>
      </w:pPr>
    </w:p>
    <w:p w14:paraId="4533DBE9" w14:textId="7FC24E3E" w:rsidR="00E012CA" w:rsidRPr="00022CB4" w:rsidRDefault="00FE4D21" w:rsidP="00B10E54">
      <w:pPr>
        <w:numPr>
          <w:ilvl w:val="1"/>
          <w:numId w:val="1"/>
        </w:numPr>
        <w:pBdr>
          <w:top w:val="nil"/>
          <w:left w:val="nil"/>
          <w:bottom w:val="nil"/>
          <w:right w:val="nil"/>
          <w:between w:val="nil"/>
        </w:pBdr>
        <w:ind w:left="851" w:hanging="425"/>
        <w:jc w:val="both"/>
        <w:rPr>
          <w:rFonts w:ascii="Cambria" w:eastAsia="Cambria" w:hAnsi="Cambria" w:cs="Cambria"/>
          <w:sz w:val="20"/>
          <w:szCs w:val="20"/>
        </w:rPr>
      </w:pPr>
      <w:r w:rsidRPr="00022CB4">
        <w:rPr>
          <w:rFonts w:ascii="Cambria" w:hAnsi="Cambria"/>
          <w:sz w:val="20"/>
          <w:szCs w:val="20"/>
        </w:rPr>
        <w:t xml:space="preserve">Sécurité : Les stocks de requin peau bleue devraient chacun avoir une probabilité de 15% ou moins de tomber en dessous du point de référence limite provisoire à tout moment au cours de la période de projection de 30 ans ; </w:t>
      </w:r>
    </w:p>
    <w:p w14:paraId="00000024" w14:textId="77777777" w:rsidR="009F6F25" w:rsidRPr="00022CB4" w:rsidRDefault="009F6F25" w:rsidP="00B10E54">
      <w:pPr>
        <w:pBdr>
          <w:top w:val="nil"/>
          <w:left w:val="nil"/>
          <w:bottom w:val="nil"/>
          <w:right w:val="nil"/>
          <w:between w:val="nil"/>
        </w:pBdr>
        <w:jc w:val="both"/>
        <w:rPr>
          <w:rFonts w:ascii="Cambria" w:eastAsia="Cambria" w:hAnsi="Cambria" w:cs="Cambria"/>
          <w:sz w:val="20"/>
          <w:szCs w:val="20"/>
        </w:rPr>
      </w:pPr>
    </w:p>
    <w:p w14:paraId="00000025" w14:textId="05D014E4" w:rsidR="009F6F25" w:rsidRPr="00022CB4" w:rsidRDefault="00FE4D21" w:rsidP="00B10E54">
      <w:pPr>
        <w:numPr>
          <w:ilvl w:val="1"/>
          <w:numId w:val="1"/>
        </w:numPr>
        <w:pBdr>
          <w:top w:val="nil"/>
          <w:left w:val="nil"/>
          <w:bottom w:val="nil"/>
          <w:right w:val="nil"/>
          <w:between w:val="nil"/>
        </w:pBdr>
        <w:ind w:left="851" w:hanging="425"/>
        <w:jc w:val="both"/>
        <w:rPr>
          <w:rFonts w:ascii="Cambria" w:eastAsia="Cambria" w:hAnsi="Cambria" w:cs="Cambria"/>
          <w:sz w:val="20"/>
          <w:szCs w:val="20"/>
        </w:rPr>
      </w:pPr>
      <w:r w:rsidRPr="00022CB4">
        <w:rPr>
          <w:rFonts w:ascii="Cambria" w:hAnsi="Cambria"/>
          <w:sz w:val="20"/>
          <w:szCs w:val="20"/>
        </w:rPr>
        <w:t>Production : Les niveaux de capture globaux devraient être maximisés dans la mesure du possible à court terme (par exemple 1-3 ans), à moyen terme (par exemple 4‑10 ans) et à long terme (par exemple 11-30 ans) ;</w:t>
      </w:r>
    </w:p>
    <w:p w14:paraId="00000026" w14:textId="77777777" w:rsidR="009F6F25" w:rsidRPr="00022CB4" w:rsidRDefault="009F6F25" w:rsidP="00B10E54">
      <w:pPr>
        <w:pBdr>
          <w:top w:val="nil"/>
          <w:left w:val="nil"/>
          <w:bottom w:val="nil"/>
          <w:right w:val="nil"/>
          <w:between w:val="nil"/>
        </w:pBdr>
        <w:ind w:left="851"/>
        <w:jc w:val="both"/>
        <w:rPr>
          <w:rFonts w:ascii="Cambria" w:eastAsia="Cambria" w:hAnsi="Cambria" w:cs="Cambria"/>
          <w:sz w:val="20"/>
          <w:szCs w:val="20"/>
        </w:rPr>
      </w:pPr>
    </w:p>
    <w:p w14:paraId="0C15F77F" w14:textId="2A6A5563" w:rsidR="00E94982" w:rsidRPr="00022CB4" w:rsidRDefault="00FE4D21" w:rsidP="00B10E54">
      <w:pPr>
        <w:numPr>
          <w:ilvl w:val="1"/>
          <w:numId w:val="1"/>
        </w:numPr>
        <w:pBdr>
          <w:top w:val="nil"/>
          <w:left w:val="nil"/>
          <w:bottom w:val="nil"/>
          <w:right w:val="nil"/>
          <w:between w:val="nil"/>
        </w:pBdr>
        <w:ind w:left="851" w:hanging="425"/>
        <w:jc w:val="both"/>
        <w:rPr>
          <w:rFonts w:ascii="Cambria" w:eastAsia="Cambria" w:hAnsi="Cambria"/>
          <w:sz w:val="20"/>
          <w:szCs w:val="20"/>
        </w:rPr>
      </w:pPr>
      <w:r w:rsidRPr="00022CB4">
        <w:rPr>
          <w:rFonts w:ascii="Cambria" w:hAnsi="Cambria"/>
          <w:sz w:val="20"/>
          <w:szCs w:val="20"/>
        </w:rPr>
        <w:t xml:space="preserve">Stabilité : Tout changement du TAC entre des périodes de gestion consécutives devrait être réduit au minimum, et en aucun cas dépasser une augmentation ou une réduction de 15%. </w:t>
      </w:r>
    </w:p>
    <w:p w14:paraId="0000002C" w14:textId="77777777" w:rsidR="009F6F25" w:rsidRPr="00022CB4" w:rsidRDefault="009F6F25" w:rsidP="00B10E54">
      <w:pPr>
        <w:pBdr>
          <w:top w:val="nil"/>
          <w:left w:val="nil"/>
          <w:bottom w:val="nil"/>
          <w:right w:val="nil"/>
          <w:between w:val="nil"/>
        </w:pBdr>
        <w:ind w:left="720"/>
        <w:jc w:val="both"/>
        <w:rPr>
          <w:rFonts w:ascii="Cambria" w:eastAsia="Cambria" w:hAnsi="Cambria" w:cs="Cambria"/>
          <w:color w:val="000000"/>
          <w:sz w:val="20"/>
          <w:szCs w:val="20"/>
        </w:rPr>
      </w:pPr>
    </w:p>
    <w:p w14:paraId="0000002D" w14:textId="02B1C9CF" w:rsidR="009F6F25" w:rsidRPr="00022CB4" w:rsidRDefault="001526F7" w:rsidP="00B10E54">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022CB4">
        <w:rPr>
          <w:rFonts w:ascii="Cambria" w:hAnsi="Cambria"/>
          <w:color w:val="000000" w:themeColor="text1"/>
          <w:sz w:val="20"/>
          <w:szCs w:val="20"/>
        </w:rPr>
        <w:t>Ces objectifs de gestion opérationnels provisoires seront présentés au SCRS pour examen et évaluation dans le cadre du processus de la MSE.</w:t>
      </w:r>
    </w:p>
    <w:p w14:paraId="0000002E" w14:textId="77777777" w:rsidR="009F6F25" w:rsidRPr="00022CB4" w:rsidRDefault="009F6F25" w:rsidP="00B10E54">
      <w:pPr>
        <w:jc w:val="both"/>
        <w:rPr>
          <w:rFonts w:ascii="Cambria" w:eastAsia="Cambria" w:hAnsi="Cambria" w:cs="Cambria"/>
          <w:sz w:val="20"/>
          <w:szCs w:val="20"/>
        </w:rPr>
      </w:pPr>
    </w:p>
    <w:p w14:paraId="0000002F" w14:textId="2C737668" w:rsidR="009F6F25" w:rsidRPr="00022CB4" w:rsidRDefault="00FE4D21" w:rsidP="00B10E54">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022CB4">
        <w:rPr>
          <w:rFonts w:ascii="Cambria" w:hAnsi="Cambria"/>
          <w:color w:val="000000" w:themeColor="text1"/>
          <w:sz w:val="20"/>
          <w:szCs w:val="20"/>
        </w:rPr>
        <w:t xml:space="preserve">La Sous-commission 4 devra soumettre ses recommandations pour confirmer ou modifier les objectifs de gestion pour les deux stocks de requin peau bleue de l'Atlantique, en tenant compte de la contribution du SCRS, à la Commission à des fins d'examen dans le cadre de la sélection d'une procédure de gestion, à sa réunion annuelle de 2027, ou dès que possible par la suite. </w:t>
      </w:r>
    </w:p>
    <w:p w14:paraId="57829F65" w14:textId="77777777" w:rsidR="002E3982" w:rsidRPr="00022CB4" w:rsidRDefault="002E3982" w:rsidP="002E3982">
      <w:pPr>
        <w:pStyle w:val="ListParagraph"/>
        <w:rPr>
          <w:rFonts w:ascii="Cambria" w:eastAsia="Cambria" w:hAnsi="Cambria" w:cs="Cambria"/>
          <w:color w:val="000000"/>
          <w:sz w:val="20"/>
          <w:szCs w:val="20"/>
        </w:rPr>
      </w:pPr>
    </w:p>
    <w:p w14:paraId="0000003B" w14:textId="79690047" w:rsidR="009F6F25" w:rsidRPr="007F2F70" w:rsidRDefault="00FE4D21" w:rsidP="00B10E54">
      <w:pPr>
        <w:numPr>
          <w:ilvl w:val="0"/>
          <w:numId w:val="1"/>
        </w:numPr>
        <w:pBdr>
          <w:top w:val="nil"/>
          <w:left w:val="nil"/>
          <w:bottom w:val="nil"/>
          <w:right w:val="nil"/>
          <w:between w:val="nil"/>
        </w:pBdr>
        <w:ind w:left="426" w:hanging="426"/>
        <w:jc w:val="both"/>
        <w:rPr>
          <w:rFonts w:ascii="Cambria" w:eastAsia="Times New Roman" w:hAnsi="Cambria" w:cs="Times New Roman"/>
          <w:sz w:val="20"/>
          <w:szCs w:val="20"/>
        </w:rPr>
      </w:pPr>
      <w:r w:rsidRPr="007F2F70">
        <w:rPr>
          <w:rFonts w:ascii="Cambria" w:hAnsi="Cambria"/>
          <w:color w:val="000000"/>
          <w:sz w:val="20"/>
          <w:szCs w:val="20"/>
        </w:rPr>
        <w:t>La présente Résolution sera abrogée lors de l'adoption par la Commission de procédures de gestion pour le requin peau bleue de l’Atlantique.</w:t>
      </w:r>
    </w:p>
    <w:sectPr w:rsidR="009F6F25" w:rsidRPr="007F2F70">
      <w:headerReference w:type="default" r:id="rId11"/>
      <w:footerReference w:type="default" r:id="rId12"/>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5C9C" w14:textId="77777777" w:rsidR="00F50A35" w:rsidRDefault="00F50A35">
      <w:r>
        <w:separator/>
      </w:r>
    </w:p>
  </w:endnote>
  <w:endnote w:type="continuationSeparator" w:id="0">
    <w:p w14:paraId="2553D3E3" w14:textId="77777777" w:rsidR="00F50A35" w:rsidRDefault="00F50A35">
      <w:r>
        <w:continuationSeparator/>
      </w:r>
    </w:p>
  </w:endnote>
  <w:endnote w:type="continuationNotice" w:id="1">
    <w:p w14:paraId="0B8BB6F7" w14:textId="77777777" w:rsidR="00F50A35" w:rsidRDefault="00F50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F" w14:textId="44D64114" w:rsidR="009F6F25" w:rsidRDefault="00FE4D21" w:rsidP="00FC62BD">
    <w:pPr>
      <w:tabs>
        <w:tab w:val="center" w:pos="4535"/>
        <w:tab w:val="center" w:pos="4680"/>
        <w:tab w:val="left" w:pos="6150"/>
        <w:tab w:val="right" w:pos="9360"/>
      </w:tabs>
      <w:jc w:val="center"/>
      <w:rPr>
        <w:rFonts w:ascii="Cambria" w:eastAsia="Cambria" w:hAnsi="Cambria" w:cs="Cambria"/>
        <w:sz w:val="20"/>
        <w:szCs w:val="20"/>
      </w:rPr>
    </w:pPr>
    <w:r>
      <w:rPr>
        <w:rFonts w:ascii="Cambria" w:eastAsia="Cambria" w:hAnsi="Cambria" w:cs="Cambria"/>
        <w:sz w:val="20"/>
        <w:szCs w:val="20"/>
      </w:rPr>
      <w:fldChar w:fldCharType="begin"/>
    </w:r>
    <w:r>
      <w:rPr>
        <w:rFonts w:ascii="Cambria" w:eastAsia="Cambria" w:hAnsi="Cambria" w:cs="Cambria"/>
        <w:sz w:val="20"/>
        <w:szCs w:val="20"/>
      </w:rPr>
      <w:instrText>PAGE</w:instrText>
    </w:r>
    <w:r>
      <w:rPr>
        <w:rFonts w:ascii="Cambria" w:eastAsia="Cambria" w:hAnsi="Cambria" w:cs="Cambria"/>
        <w:sz w:val="20"/>
        <w:szCs w:val="20"/>
      </w:rPr>
      <w:fldChar w:fldCharType="separate"/>
    </w:r>
    <w:r w:rsidR="00E568B8">
      <w:rPr>
        <w:rFonts w:ascii="Cambria" w:eastAsia="Cambria" w:hAnsi="Cambria" w:cs="Cambria"/>
        <w:sz w:val="20"/>
        <w:szCs w:val="20"/>
      </w:rPr>
      <w:t>1</w:t>
    </w:r>
    <w:r>
      <w:rPr>
        <w:rFonts w:ascii="Cambria" w:eastAsia="Cambria" w:hAnsi="Cambria" w:cs="Cambria"/>
        <w:sz w:val="20"/>
        <w:szCs w:val="20"/>
      </w:rPr>
      <w:fldChar w:fldCharType="end"/>
    </w:r>
    <w:r>
      <w:t xml:space="preserve"> / </w:t>
    </w:r>
    <w:r>
      <w:rPr>
        <w:rFonts w:ascii="Cambria" w:eastAsia="Cambria" w:hAnsi="Cambria" w:cs="Cambria"/>
        <w:sz w:val="20"/>
        <w:szCs w:val="20"/>
      </w:rPr>
      <w:fldChar w:fldCharType="begin"/>
    </w:r>
    <w:r>
      <w:rPr>
        <w:rFonts w:ascii="Cambria" w:eastAsia="Cambria" w:hAnsi="Cambria" w:cs="Cambria"/>
        <w:sz w:val="20"/>
        <w:szCs w:val="20"/>
      </w:rPr>
      <w:instrText>NUMPAGES</w:instrText>
    </w:r>
    <w:r>
      <w:rPr>
        <w:rFonts w:ascii="Cambria" w:eastAsia="Cambria" w:hAnsi="Cambria" w:cs="Cambria"/>
        <w:sz w:val="20"/>
        <w:szCs w:val="20"/>
      </w:rPr>
      <w:fldChar w:fldCharType="separate"/>
    </w:r>
    <w:r w:rsidR="00E568B8">
      <w:rPr>
        <w:rFonts w:ascii="Cambria" w:eastAsia="Cambria" w:hAnsi="Cambria" w:cs="Cambria"/>
        <w:sz w:val="20"/>
        <w:szCs w:val="20"/>
      </w:rPr>
      <w:t>2</w:t>
    </w:r>
    <w:r>
      <w:rPr>
        <w:rFonts w:ascii="Cambria" w:eastAsia="Cambria" w:hAnsi="Cambria" w:cs="Cambr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D6A3" w14:textId="77777777" w:rsidR="00F50A35" w:rsidRDefault="00F50A35">
      <w:r>
        <w:separator/>
      </w:r>
    </w:p>
  </w:footnote>
  <w:footnote w:type="continuationSeparator" w:id="0">
    <w:p w14:paraId="5FBCA4F0" w14:textId="77777777" w:rsidR="00F50A35" w:rsidRDefault="00F50A35">
      <w:r>
        <w:continuationSeparator/>
      </w:r>
    </w:p>
  </w:footnote>
  <w:footnote w:type="continuationNotice" w:id="1">
    <w:p w14:paraId="0A8A067B" w14:textId="77777777" w:rsidR="00F50A35" w:rsidRDefault="00F50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86FF" w14:textId="1ABF8499" w:rsidR="00081FE8" w:rsidRPr="00081FE8" w:rsidRDefault="00081FE8" w:rsidP="00081FE8">
    <w:pPr>
      <w:tabs>
        <w:tab w:val="center" w:pos="4680"/>
        <w:tab w:val="left" w:pos="6520"/>
        <w:tab w:val="right" w:pos="9360"/>
        <w:tab w:val="right" w:pos="14240"/>
      </w:tabs>
      <w:jc w:val="right"/>
      <w:rPr>
        <w:rFonts w:ascii="Cambria" w:hAnsi="Cambria" w:cs="Times New Roman"/>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rFonts w:ascii="Cambria" w:hAnsi="Cambria"/>
        <w:b/>
        <w:sz w:val="20"/>
      </w:rPr>
      <w:t>PA4_813/2025</w:t>
    </w:r>
  </w:p>
  <w:bookmarkEnd w:id="2"/>
  <w:bookmarkEnd w:id="3"/>
  <w:bookmarkEnd w:id="4"/>
  <w:bookmarkEnd w:id="5"/>
  <w:bookmarkEnd w:id="6"/>
  <w:bookmarkEnd w:id="7"/>
  <w:p w14:paraId="0C9FBC15" w14:textId="2E49EDDF" w:rsidR="00081FE8" w:rsidRPr="00081FE8" w:rsidRDefault="00022CB4" w:rsidP="00081FE8">
    <w:pPr>
      <w:tabs>
        <w:tab w:val="left" w:pos="7320"/>
      </w:tabs>
      <w:spacing w:line="240" w:lineRule="exact"/>
      <w:jc w:val="right"/>
      <w:rPr>
        <w:rFonts w:ascii="Cambria" w:eastAsia="Times New Roman" w:hAnsi="Cambria" w:cs="Times New Roman"/>
        <w:b/>
        <w:bCs/>
        <w:sz w:val="16"/>
        <w:szCs w:val="16"/>
      </w:rPr>
    </w:pPr>
    <w:r>
      <w:rPr>
        <w:rFonts w:ascii="Cambria" w:eastAsia="Times New Roman" w:hAnsi="Cambria" w:cs="Times New Roman"/>
        <w:b/>
        <w:sz w:val="16"/>
      </w:rPr>
      <w:fldChar w:fldCharType="begin"/>
    </w:r>
    <w:r>
      <w:rPr>
        <w:rFonts w:ascii="Cambria" w:eastAsia="Times New Roman" w:hAnsi="Cambria" w:cs="Times New Roman"/>
        <w:b/>
        <w:sz w:val="16"/>
      </w:rPr>
      <w:instrText xml:space="preserve"> TIME  \@ "dd/MM/yyyy HH:mm" </w:instrText>
    </w:r>
    <w:r>
      <w:rPr>
        <w:rFonts w:ascii="Cambria" w:eastAsia="Times New Roman" w:hAnsi="Cambria" w:cs="Times New Roman"/>
        <w:b/>
        <w:sz w:val="16"/>
      </w:rPr>
      <w:fldChar w:fldCharType="separate"/>
    </w:r>
    <w:r w:rsidR="005812FE">
      <w:rPr>
        <w:rFonts w:ascii="Cambria" w:eastAsia="Times New Roman" w:hAnsi="Cambria" w:cs="Times New Roman"/>
        <w:b/>
        <w:noProof/>
        <w:sz w:val="16"/>
      </w:rPr>
      <w:t>12/11/2025 11:48</w:t>
    </w:r>
    <w:r>
      <w:rPr>
        <w:rFonts w:ascii="Cambria" w:eastAsia="Times New Roman" w:hAnsi="Cambria" w:cs="Times New Roman"/>
        <w:b/>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4DCD"/>
    <w:multiLevelType w:val="multilevel"/>
    <w:tmpl w:val="D5386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061936"/>
    <w:multiLevelType w:val="multilevel"/>
    <w:tmpl w:val="BEDA4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341513453">
    <w:abstractNumId w:val="1"/>
  </w:num>
  <w:num w:numId="2" w16cid:durableId="675571053">
    <w:abstractNumId w:val="0"/>
  </w:num>
  <w:num w:numId="3" w16cid:durableId="37125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F6F25"/>
    <w:rsid w:val="0000440C"/>
    <w:rsid w:val="0001653F"/>
    <w:rsid w:val="00022CB4"/>
    <w:rsid w:val="00022D0A"/>
    <w:rsid w:val="00034957"/>
    <w:rsid w:val="00034AB0"/>
    <w:rsid w:val="0004532D"/>
    <w:rsid w:val="00046259"/>
    <w:rsid w:val="00046515"/>
    <w:rsid w:val="00055D95"/>
    <w:rsid w:val="000569B9"/>
    <w:rsid w:val="00081FE8"/>
    <w:rsid w:val="00094490"/>
    <w:rsid w:val="000C1B8C"/>
    <w:rsid w:val="000C40A0"/>
    <w:rsid w:val="000C7F2C"/>
    <w:rsid w:val="000D21B3"/>
    <w:rsid w:val="000E294B"/>
    <w:rsid w:val="001264E7"/>
    <w:rsid w:val="00136274"/>
    <w:rsid w:val="00137386"/>
    <w:rsid w:val="001447A4"/>
    <w:rsid w:val="00151697"/>
    <w:rsid w:val="001526F7"/>
    <w:rsid w:val="00157934"/>
    <w:rsid w:val="001738F5"/>
    <w:rsid w:val="00183616"/>
    <w:rsid w:val="001908C6"/>
    <w:rsid w:val="001947C4"/>
    <w:rsid w:val="001A512F"/>
    <w:rsid w:val="001C0B43"/>
    <w:rsid w:val="001C573E"/>
    <w:rsid w:val="001D05AD"/>
    <w:rsid w:val="001D1653"/>
    <w:rsid w:val="001E3CDC"/>
    <w:rsid w:val="001E57C4"/>
    <w:rsid w:val="00211D15"/>
    <w:rsid w:val="00215E82"/>
    <w:rsid w:val="002174A4"/>
    <w:rsid w:val="002571D2"/>
    <w:rsid w:val="00265561"/>
    <w:rsid w:val="002667B6"/>
    <w:rsid w:val="0027098D"/>
    <w:rsid w:val="002810ED"/>
    <w:rsid w:val="002860E3"/>
    <w:rsid w:val="00287C4D"/>
    <w:rsid w:val="00293B4B"/>
    <w:rsid w:val="00295BC3"/>
    <w:rsid w:val="002C0640"/>
    <w:rsid w:val="002E2A20"/>
    <w:rsid w:val="002E3982"/>
    <w:rsid w:val="002F1380"/>
    <w:rsid w:val="002F67A7"/>
    <w:rsid w:val="002F690A"/>
    <w:rsid w:val="00312A93"/>
    <w:rsid w:val="003223CB"/>
    <w:rsid w:val="0032725C"/>
    <w:rsid w:val="0033355F"/>
    <w:rsid w:val="00351553"/>
    <w:rsid w:val="00351B67"/>
    <w:rsid w:val="00356F32"/>
    <w:rsid w:val="003604EE"/>
    <w:rsid w:val="003712FF"/>
    <w:rsid w:val="00375709"/>
    <w:rsid w:val="003758BD"/>
    <w:rsid w:val="00377836"/>
    <w:rsid w:val="00380D63"/>
    <w:rsid w:val="003902E0"/>
    <w:rsid w:val="00397C1A"/>
    <w:rsid w:val="003A39B9"/>
    <w:rsid w:val="003C5C40"/>
    <w:rsid w:val="003F5292"/>
    <w:rsid w:val="004033BB"/>
    <w:rsid w:val="004059F4"/>
    <w:rsid w:val="0042207C"/>
    <w:rsid w:val="0043045F"/>
    <w:rsid w:val="004409D5"/>
    <w:rsid w:val="0044293C"/>
    <w:rsid w:val="004464C3"/>
    <w:rsid w:val="004612A5"/>
    <w:rsid w:val="0046407A"/>
    <w:rsid w:val="00471102"/>
    <w:rsid w:val="00472545"/>
    <w:rsid w:val="00474132"/>
    <w:rsid w:val="0047547D"/>
    <w:rsid w:val="004760FF"/>
    <w:rsid w:val="00486688"/>
    <w:rsid w:val="0049137A"/>
    <w:rsid w:val="004A417E"/>
    <w:rsid w:val="004A5F70"/>
    <w:rsid w:val="004B01D1"/>
    <w:rsid w:val="004C149C"/>
    <w:rsid w:val="004C365B"/>
    <w:rsid w:val="004D7C54"/>
    <w:rsid w:val="004F04A1"/>
    <w:rsid w:val="004F14AB"/>
    <w:rsid w:val="005129B3"/>
    <w:rsid w:val="00513C06"/>
    <w:rsid w:val="00515668"/>
    <w:rsid w:val="00535D24"/>
    <w:rsid w:val="0053606B"/>
    <w:rsid w:val="00544D74"/>
    <w:rsid w:val="00553172"/>
    <w:rsid w:val="005812FE"/>
    <w:rsid w:val="005E3737"/>
    <w:rsid w:val="005E4A0B"/>
    <w:rsid w:val="005F53CF"/>
    <w:rsid w:val="00601EB8"/>
    <w:rsid w:val="00604383"/>
    <w:rsid w:val="0060709E"/>
    <w:rsid w:val="00630353"/>
    <w:rsid w:val="0063560E"/>
    <w:rsid w:val="006570A3"/>
    <w:rsid w:val="00671AF1"/>
    <w:rsid w:val="006833B4"/>
    <w:rsid w:val="006A1976"/>
    <w:rsid w:val="006A4781"/>
    <w:rsid w:val="006B5C31"/>
    <w:rsid w:val="006C2D72"/>
    <w:rsid w:val="006C4D37"/>
    <w:rsid w:val="006E40EA"/>
    <w:rsid w:val="00706FCA"/>
    <w:rsid w:val="00726355"/>
    <w:rsid w:val="00737B09"/>
    <w:rsid w:val="007576FF"/>
    <w:rsid w:val="00772318"/>
    <w:rsid w:val="0078129F"/>
    <w:rsid w:val="0079004B"/>
    <w:rsid w:val="007929D0"/>
    <w:rsid w:val="00797C79"/>
    <w:rsid w:val="007A305E"/>
    <w:rsid w:val="007B0CAC"/>
    <w:rsid w:val="007C1D94"/>
    <w:rsid w:val="007C69EF"/>
    <w:rsid w:val="007D242B"/>
    <w:rsid w:val="007F117F"/>
    <w:rsid w:val="007F2F70"/>
    <w:rsid w:val="007F6D2B"/>
    <w:rsid w:val="00813CBD"/>
    <w:rsid w:val="00843BFE"/>
    <w:rsid w:val="0084710B"/>
    <w:rsid w:val="008535CD"/>
    <w:rsid w:val="00856970"/>
    <w:rsid w:val="008574EC"/>
    <w:rsid w:val="00866114"/>
    <w:rsid w:val="0087343E"/>
    <w:rsid w:val="00880C2F"/>
    <w:rsid w:val="00893A74"/>
    <w:rsid w:val="008A7BD1"/>
    <w:rsid w:val="008A7C4B"/>
    <w:rsid w:val="008B4AA1"/>
    <w:rsid w:val="008B7275"/>
    <w:rsid w:val="008D1955"/>
    <w:rsid w:val="008E5ED3"/>
    <w:rsid w:val="008E66C3"/>
    <w:rsid w:val="008F673C"/>
    <w:rsid w:val="00920BB2"/>
    <w:rsid w:val="00926FD9"/>
    <w:rsid w:val="00927981"/>
    <w:rsid w:val="00930029"/>
    <w:rsid w:val="00935AF9"/>
    <w:rsid w:val="00967081"/>
    <w:rsid w:val="009769A3"/>
    <w:rsid w:val="009843C2"/>
    <w:rsid w:val="0099104F"/>
    <w:rsid w:val="009B1ACB"/>
    <w:rsid w:val="009C06BA"/>
    <w:rsid w:val="009D2182"/>
    <w:rsid w:val="009D4A0C"/>
    <w:rsid w:val="009E4FFA"/>
    <w:rsid w:val="009E6170"/>
    <w:rsid w:val="009F6F25"/>
    <w:rsid w:val="00A028AF"/>
    <w:rsid w:val="00A10894"/>
    <w:rsid w:val="00A16632"/>
    <w:rsid w:val="00A20334"/>
    <w:rsid w:val="00A260A9"/>
    <w:rsid w:val="00A3525C"/>
    <w:rsid w:val="00A36517"/>
    <w:rsid w:val="00A53AF6"/>
    <w:rsid w:val="00A60FC8"/>
    <w:rsid w:val="00A62B3D"/>
    <w:rsid w:val="00A632A2"/>
    <w:rsid w:val="00A72CF6"/>
    <w:rsid w:val="00A75052"/>
    <w:rsid w:val="00A8661E"/>
    <w:rsid w:val="00AA5159"/>
    <w:rsid w:val="00AC1532"/>
    <w:rsid w:val="00AC5663"/>
    <w:rsid w:val="00AC686F"/>
    <w:rsid w:val="00AE6233"/>
    <w:rsid w:val="00AF14AB"/>
    <w:rsid w:val="00B02CA1"/>
    <w:rsid w:val="00B10E54"/>
    <w:rsid w:val="00B25C48"/>
    <w:rsid w:val="00B25ECD"/>
    <w:rsid w:val="00B34921"/>
    <w:rsid w:val="00B43F15"/>
    <w:rsid w:val="00B54B1E"/>
    <w:rsid w:val="00B55B8D"/>
    <w:rsid w:val="00B64FFB"/>
    <w:rsid w:val="00B87BC9"/>
    <w:rsid w:val="00BC182C"/>
    <w:rsid w:val="00BD3FAE"/>
    <w:rsid w:val="00BF4DB9"/>
    <w:rsid w:val="00C167FB"/>
    <w:rsid w:val="00C21FF7"/>
    <w:rsid w:val="00C30CB6"/>
    <w:rsid w:val="00C51E08"/>
    <w:rsid w:val="00C52D88"/>
    <w:rsid w:val="00C61BDD"/>
    <w:rsid w:val="00C664B7"/>
    <w:rsid w:val="00C80BF7"/>
    <w:rsid w:val="00CA06F1"/>
    <w:rsid w:val="00CA0813"/>
    <w:rsid w:val="00CA2ADE"/>
    <w:rsid w:val="00CA7EE2"/>
    <w:rsid w:val="00CC3DEB"/>
    <w:rsid w:val="00CD148D"/>
    <w:rsid w:val="00CF45DD"/>
    <w:rsid w:val="00D02A64"/>
    <w:rsid w:val="00D14446"/>
    <w:rsid w:val="00D16C0B"/>
    <w:rsid w:val="00D22935"/>
    <w:rsid w:val="00D229E6"/>
    <w:rsid w:val="00D23C23"/>
    <w:rsid w:val="00D3255D"/>
    <w:rsid w:val="00D37FB7"/>
    <w:rsid w:val="00D65070"/>
    <w:rsid w:val="00D71ED7"/>
    <w:rsid w:val="00DA0DE0"/>
    <w:rsid w:val="00DA1A37"/>
    <w:rsid w:val="00DB5477"/>
    <w:rsid w:val="00DF21D1"/>
    <w:rsid w:val="00DF54C5"/>
    <w:rsid w:val="00E012CA"/>
    <w:rsid w:val="00E039BA"/>
    <w:rsid w:val="00E049DC"/>
    <w:rsid w:val="00E16178"/>
    <w:rsid w:val="00E21808"/>
    <w:rsid w:val="00E26446"/>
    <w:rsid w:val="00E34EDC"/>
    <w:rsid w:val="00E568B8"/>
    <w:rsid w:val="00E60737"/>
    <w:rsid w:val="00E611A2"/>
    <w:rsid w:val="00E62559"/>
    <w:rsid w:val="00E64277"/>
    <w:rsid w:val="00E663F0"/>
    <w:rsid w:val="00E67248"/>
    <w:rsid w:val="00E76E37"/>
    <w:rsid w:val="00E80461"/>
    <w:rsid w:val="00E94982"/>
    <w:rsid w:val="00E97AEB"/>
    <w:rsid w:val="00EB185E"/>
    <w:rsid w:val="00EB4B65"/>
    <w:rsid w:val="00EB5D50"/>
    <w:rsid w:val="00EC4172"/>
    <w:rsid w:val="00EC5253"/>
    <w:rsid w:val="00ED65B7"/>
    <w:rsid w:val="00ED74AB"/>
    <w:rsid w:val="00EE737B"/>
    <w:rsid w:val="00EF5DE2"/>
    <w:rsid w:val="00F14611"/>
    <w:rsid w:val="00F17C0C"/>
    <w:rsid w:val="00F2434B"/>
    <w:rsid w:val="00F244F5"/>
    <w:rsid w:val="00F34B38"/>
    <w:rsid w:val="00F4068D"/>
    <w:rsid w:val="00F4679E"/>
    <w:rsid w:val="00F50A35"/>
    <w:rsid w:val="00F836C4"/>
    <w:rsid w:val="00FC62BD"/>
    <w:rsid w:val="00FD6414"/>
    <w:rsid w:val="00FD78A2"/>
    <w:rsid w:val="00FE4D21"/>
    <w:rsid w:val="00FF21F6"/>
    <w:rsid w:val="00FF7123"/>
    <w:rsid w:val="0187FAB3"/>
    <w:rsid w:val="081D8B46"/>
    <w:rsid w:val="0DDCA94D"/>
    <w:rsid w:val="11182B60"/>
    <w:rsid w:val="112F721B"/>
    <w:rsid w:val="13D45FFC"/>
    <w:rsid w:val="18CC79E1"/>
    <w:rsid w:val="1A6066B7"/>
    <w:rsid w:val="25EF9E62"/>
    <w:rsid w:val="2A53A725"/>
    <w:rsid w:val="308ADA3C"/>
    <w:rsid w:val="3321421D"/>
    <w:rsid w:val="35CD9FE7"/>
    <w:rsid w:val="3645E6AB"/>
    <w:rsid w:val="39F96856"/>
    <w:rsid w:val="40734C69"/>
    <w:rsid w:val="413B5EC3"/>
    <w:rsid w:val="449A4B25"/>
    <w:rsid w:val="49497073"/>
    <w:rsid w:val="4B8E3C1B"/>
    <w:rsid w:val="569AD2ED"/>
    <w:rsid w:val="57C3F913"/>
    <w:rsid w:val="585BEC64"/>
    <w:rsid w:val="592EED06"/>
    <w:rsid w:val="5C14C124"/>
    <w:rsid w:val="6338DEBE"/>
    <w:rsid w:val="63D2E195"/>
    <w:rsid w:val="641CB91E"/>
    <w:rsid w:val="65166A83"/>
    <w:rsid w:val="67B0DD91"/>
    <w:rsid w:val="6C4B1E29"/>
    <w:rsid w:val="7451D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4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DD1C10"/>
    <w:pPr>
      <w:autoSpaceDE w:val="0"/>
      <w:autoSpaceDN w:val="0"/>
      <w:adjustRightInd w:val="0"/>
    </w:pPr>
    <w:rPr>
      <w:rFonts w:ascii="Cambria" w:hAnsi="Cambria" w:cs="Cambria"/>
      <w:color w:val="000000"/>
    </w:rPr>
  </w:style>
  <w:style w:type="paragraph" w:styleId="ListParagraph">
    <w:name w:val="List Paragraph"/>
    <w:basedOn w:val="Normal"/>
    <w:uiPriority w:val="1"/>
    <w:qFormat/>
    <w:rsid w:val="00DD1C1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9175E"/>
    <w:pPr>
      <w:tabs>
        <w:tab w:val="center" w:pos="4680"/>
        <w:tab w:val="right" w:pos="9360"/>
      </w:tabs>
    </w:pPr>
  </w:style>
  <w:style w:type="character" w:customStyle="1" w:styleId="HeaderChar">
    <w:name w:val="Header Char"/>
    <w:basedOn w:val="DefaultParagraphFont"/>
    <w:link w:val="Header"/>
    <w:uiPriority w:val="99"/>
    <w:rsid w:val="0049175E"/>
  </w:style>
  <w:style w:type="paragraph" w:styleId="Footer">
    <w:name w:val="footer"/>
    <w:basedOn w:val="Normal"/>
    <w:link w:val="FooterChar"/>
    <w:uiPriority w:val="99"/>
    <w:unhideWhenUsed/>
    <w:rsid w:val="0049175E"/>
    <w:pPr>
      <w:tabs>
        <w:tab w:val="center" w:pos="4680"/>
        <w:tab w:val="right" w:pos="9360"/>
      </w:tabs>
    </w:pPr>
  </w:style>
  <w:style w:type="character" w:customStyle="1" w:styleId="FooterChar">
    <w:name w:val="Footer Char"/>
    <w:basedOn w:val="DefaultParagraphFont"/>
    <w:link w:val="Footer"/>
    <w:uiPriority w:val="99"/>
    <w:rsid w:val="0049175E"/>
  </w:style>
  <w:style w:type="paragraph" w:styleId="FootnoteText">
    <w:name w:val="footnote text"/>
    <w:basedOn w:val="Normal"/>
    <w:link w:val="FootnoteTextChar"/>
    <w:uiPriority w:val="99"/>
    <w:semiHidden/>
    <w:unhideWhenUsed/>
    <w:rsid w:val="00FD5474"/>
    <w:rPr>
      <w:sz w:val="20"/>
      <w:szCs w:val="20"/>
    </w:rPr>
  </w:style>
  <w:style w:type="character" w:customStyle="1" w:styleId="FootnoteTextChar">
    <w:name w:val="Footnote Text Char"/>
    <w:basedOn w:val="DefaultParagraphFont"/>
    <w:link w:val="FootnoteText"/>
    <w:uiPriority w:val="99"/>
    <w:semiHidden/>
    <w:rsid w:val="00FD5474"/>
    <w:rPr>
      <w:sz w:val="20"/>
      <w:szCs w:val="20"/>
    </w:rPr>
  </w:style>
  <w:style w:type="character" w:styleId="FootnoteReference">
    <w:name w:val="footnote reference"/>
    <w:basedOn w:val="DefaultParagraphFont"/>
    <w:uiPriority w:val="99"/>
    <w:semiHidden/>
    <w:unhideWhenUsed/>
    <w:rsid w:val="00FD5474"/>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C41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172"/>
    <w:rPr>
      <w:rFonts w:ascii="Segoe UI" w:hAnsi="Segoe UI" w:cs="Segoe UI"/>
      <w:sz w:val="18"/>
      <w:szCs w:val="18"/>
    </w:rPr>
  </w:style>
  <w:style w:type="paragraph" w:styleId="Revision">
    <w:name w:val="Revision"/>
    <w:hidden/>
    <w:uiPriority w:val="99"/>
    <w:semiHidden/>
    <w:rsid w:val="00E012CA"/>
  </w:style>
  <w:style w:type="paragraph" w:styleId="CommentSubject">
    <w:name w:val="annotation subject"/>
    <w:basedOn w:val="CommentText"/>
    <w:next w:val="CommentText"/>
    <w:link w:val="CommentSubjectChar"/>
    <w:uiPriority w:val="99"/>
    <w:semiHidden/>
    <w:unhideWhenUsed/>
    <w:rsid w:val="00E012CA"/>
    <w:rPr>
      <w:b/>
      <w:bCs/>
    </w:rPr>
  </w:style>
  <w:style w:type="character" w:customStyle="1" w:styleId="CommentSubjectChar">
    <w:name w:val="Comment Subject Char"/>
    <w:basedOn w:val="CommentTextChar"/>
    <w:link w:val="CommentSubject"/>
    <w:uiPriority w:val="99"/>
    <w:semiHidden/>
    <w:rsid w:val="00E012CA"/>
    <w:rPr>
      <w:b/>
      <w:bCs/>
      <w:sz w:val="20"/>
      <w:szCs w:val="20"/>
    </w:rPr>
  </w:style>
  <w:style w:type="paragraph" w:styleId="BodyText">
    <w:name w:val="Body Text"/>
    <w:basedOn w:val="Normal"/>
    <w:link w:val="BodyTextChar"/>
    <w:uiPriority w:val="1"/>
    <w:qFormat/>
    <w:rsid w:val="009843C2"/>
    <w:pPr>
      <w:widowControl w:val="0"/>
      <w:autoSpaceDE w:val="0"/>
      <w:autoSpaceDN w:val="0"/>
    </w:pPr>
    <w:rPr>
      <w:rFonts w:ascii="Cambria" w:eastAsia="Cambria" w:hAnsi="Cambria" w:cs="Cambria"/>
      <w:sz w:val="20"/>
      <w:szCs w:val="20"/>
    </w:rPr>
  </w:style>
  <w:style w:type="character" w:customStyle="1" w:styleId="BodyTextChar">
    <w:name w:val="Body Text Char"/>
    <w:basedOn w:val="DefaultParagraphFont"/>
    <w:link w:val="BodyText"/>
    <w:uiPriority w:val="1"/>
    <w:rsid w:val="009843C2"/>
    <w:rPr>
      <w:rFonts w:ascii="Cambria" w:eastAsia="Cambria" w:hAnsi="Cambria"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7cd7706a0ec565d5f2866d788f9b76b">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1ae6799d5c024fc439ef7cff9f91b7ee"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C1DDC-925A-4F1F-B48E-47B29458901C}">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2.xml><?xml version="1.0" encoding="utf-8"?>
<ds:datastoreItem xmlns:ds="http://schemas.openxmlformats.org/officeDocument/2006/customXml" ds:itemID="{02E8D3F9-87F2-4C3C-B6E8-DBB5CBABF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1865F-A670-421D-B0DF-51FC9E186075}">
  <ds:schemaRefs>
    <ds:schemaRef ds:uri="http://schemas.openxmlformats.org/officeDocument/2006/bibliography"/>
  </ds:schemaRefs>
</ds:datastoreItem>
</file>

<file path=customXml/itemProps4.xml><?xml version="1.0" encoding="utf-8"?>
<ds:datastoreItem xmlns:ds="http://schemas.openxmlformats.org/officeDocument/2006/customXml" ds:itemID="{01C13F75-4837-4CB9-91EE-30AD5242C15D}">
  <ds:schemaRefs>
    <ds:schemaRef ds:uri="http://schemas.microsoft.com/sharepoint/v3/contenttype/forms"/>
  </ds:schemaRefs>
</ds:datastoreItem>
</file>

<file path=docMetadata/LabelInfo.xml><?xml version="1.0" encoding="utf-8"?>
<clbl:labelList xmlns:clbl="http://schemas.microsoft.com/office/2020/mipLabelMetadata">
  <clbl:label id="{92f01cf0-dd39-4ca8-8ed8-80cbd24f5bed}" enabled="1" method="Standard" siteId="{6219f119-3e79-4e7f-acde-a5750808cd9b}"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6931</Characters>
  <Application>Microsoft Office Word</Application>
  <DocSecurity>0</DocSecurity>
  <Lines>577</Lines>
  <Paragraphs>452</Paragraphs>
  <ScaleCrop>false</ScaleCrop>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2025-10-06T16:22:00Z</dcterms:created>
  <dcterms:modified xsi:type="dcterms:W3CDTF">2025-11-12T10:50:00Z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2024-09-25T14:33:23Z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e64b830f-8521-4387-99e2-fc3980e04fe5</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