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C900CB" w:rsidRDefault="00F96574" w:rsidP="00F96574">
      <w:pPr>
        <w:spacing w:after="0"/>
        <w:ind w:left="88"/>
        <w:jc w:val="center"/>
        <w:rPr>
          <w:rFonts w:ascii="Cambria" w:eastAsia="Cambria" w:hAnsi="Cambria" w:cs="Cambria"/>
          <w:b/>
          <w:spacing w:val="-2"/>
          <w:kern w:val="0"/>
          <w:sz w:val="20"/>
          <w:szCs w:val="20"/>
          <w14:ligatures w14:val="none"/>
        </w:rPr>
      </w:pPr>
      <w:r w:rsidRPr="00C900CB">
        <w:rPr>
          <w:rFonts w:ascii="Cambria" w:hAnsi="Cambria"/>
          <w:b/>
          <w:sz w:val="20"/>
          <w:szCs w:val="20"/>
        </w:rPr>
        <w:t>Portada para acompañar nuevas propuestas</w:t>
      </w:r>
    </w:p>
    <w:p w14:paraId="3451F472" w14:textId="77777777" w:rsidR="00F96574" w:rsidRPr="00C900CB"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r w:rsidRPr="00C900CB">
        <w:rPr>
          <w:rFonts w:ascii="Cambria" w:hAnsi="Cambria"/>
          <w:b/>
          <w:sz w:val="20"/>
          <w:szCs w:val="20"/>
        </w:rPr>
        <w:tab/>
      </w:r>
    </w:p>
    <w:p w14:paraId="471B8D1C" w14:textId="4632FA1F" w:rsidR="00F96574" w:rsidRPr="00C900CB" w:rsidRDefault="00F96574" w:rsidP="00F96574">
      <w:pPr>
        <w:widowControl w:val="0"/>
        <w:spacing w:after="0" w:line="240" w:lineRule="auto"/>
        <w:jc w:val="center"/>
        <w:rPr>
          <w:rFonts w:ascii="Cambria" w:eastAsia="Cambria" w:hAnsi="Cambria" w:cs="Cambria"/>
          <w:i/>
          <w:kern w:val="0"/>
          <w:sz w:val="20"/>
          <w:szCs w:val="20"/>
          <w14:ligatures w14:val="none"/>
        </w:rPr>
      </w:pPr>
      <w:r w:rsidRPr="00C900CB">
        <w:rPr>
          <w:rFonts w:ascii="Cambria" w:hAnsi="Cambria"/>
          <w:i/>
          <w:sz w:val="20"/>
          <w:szCs w:val="20"/>
        </w:rPr>
        <w:t>(presentado por el Reino Unido</w:t>
      </w:r>
      <w:r w:rsidR="004A7A63">
        <w:rPr>
          <w:rFonts w:ascii="Cambria" w:hAnsi="Cambria"/>
          <w:i/>
          <w:sz w:val="20"/>
          <w:szCs w:val="20"/>
        </w:rPr>
        <w:t xml:space="preserve">, </w:t>
      </w:r>
      <w:r w:rsidR="00D41169" w:rsidRPr="004A7A63">
        <w:rPr>
          <w:rFonts w:ascii="Cambria" w:hAnsi="Cambria"/>
          <w:i/>
          <w:sz w:val="20"/>
          <w:szCs w:val="20"/>
        </w:rPr>
        <w:t>Brasil</w:t>
      </w:r>
      <w:r w:rsidR="000C1681" w:rsidRPr="000C1681">
        <w:rPr>
          <w:rFonts w:ascii="Cambria" w:hAnsi="Cambria"/>
          <w:i/>
          <w:sz w:val="20"/>
          <w:szCs w:val="20"/>
        </w:rPr>
        <w:t xml:space="preserve">, </w:t>
      </w:r>
      <w:r w:rsidR="004A7A63" w:rsidRPr="000C1681">
        <w:rPr>
          <w:rFonts w:ascii="Cambria" w:hAnsi="Cambria"/>
          <w:i/>
          <w:sz w:val="20"/>
          <w:szCs w:val="20"/>
        </w:rPr>
        <w:t>Marruecos</w:t>
      </w:r>
      <w:r w:rsidR="00B95175" w:rsidRPr="00B95175">
        <w:rPr>
          <w:rFonts w:ascii="Cambria" w:hAnsi="Cambria"/>
          <w:i/>
          <w:sz w:val="20"/>
          <w:szCs w:val="20"/>
        </w:rPr>
        <w:t xml:space="preserve">, </w:t>
      </w:r>
      <w:r w:rsidR="000C1681" w:rsidRPr="00B95175">
        <w:rPr>
          <w:rFonts w:ascii="Cambria" w:hAnsi="Cambria"/>
          <w:i/>
          <w:sz w:val="20"/>
          <w:szCs w:val="20"/>
        </w:rPr>
        <w:t>Sudáfrica</w:t>
      </w:r>
      <w:r w:rsidR="00B95175">
        <w:rPr>
          <w:rFonts w:ascii="Cambria" w:hAnsi="Cambria"/>
          <w:i/>
          <w:sz w:val="20"/>
          <w:szCs w:val="20"/>
          <w:u w:val="single"/>
        </w:rPr>
        <w:t xml:space="preserve"> y Canadá</w:t>
      </w:r>
      <w:r w:rsidRPr="00C900CB">
        <w:rPr>
          <w:rFonts w:ascii="Cambria" w:hAnsi="Cambria"/>
          <w:i/>
          <w:sz w:val="20"/>
          <w:szCs w:val="20"/>
        </w:rPr>
        <w:t>)</w:t>
      </w:r>
    </w:p>
    <w:p w14:paraId="070140E5" w14:textId="77777777" w:rsidR="00F96574" w:rsidRPr="00C900CB" w:rsidRDefault="00F96574" w:rsidP="00F96574">
      <w:pPr>
        <w:pStyle w:val="Default"/>
        <w:rPr>
          <w:sz w:val="20"/>
          <w:szCs w:val="20"/>
        </w:rPr>
      </w:pPr>
    </w:p>
    <w:p w14:paraId="3C283878" w14:textId="77777777" w:rsidR="00F96574" w:rsidRPr="00C900CB"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C900CB"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C900CB">
        <w:rPr>
          <w:rFonts w:ascii="Cambria" w:hAnsi="Cambria"/>
          <w:b/>
          <w:sz w:val="20"/>
          <w:szCs w:val="20"/>
        </w:rPr>
        <w:t>Título de la propuesta de Proyecto de Recomendación/Resolución:</w:t>
      </w:r>
      <w:r w:rsidRPr="00C900CB">
        <w:rPr>
          <w:rFonts w:ascii="Cambria" w:hAnsi="Cambria"/>
          <w:sz w:val="20"/>
          <w:szCs w:val="20"/>
        </w:rPr>
        <w:t xml:space="preserve"> </w:t>
      </w:r>
      <w:r w:rsidRPr="00C900CB">
        <w:rPr>
          <w:rFonts w:ascii="Cambria" w:hAnsi="Cambria"/>
          <w:color w:val="EE0000"/>
          <w:sz w:val="20"/>
          <w:szCs w:val="20"/>
        </w:rPr>
        <w:t>Proyecto de Recomendación de ICCAT sobre tiburón peregrino y jaquetón blanco capturados en asociación con pesquerías gestionadas por ICCAT</w:t>
      </w:r>
    </w:p>
    <w:p w14:paraId="15F9A8AD" w14:textId="77777777" w:rsidR="00893254" w:rsidRPr="00C900CB"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Pr="00C900CB" w:rsidRDefault="00EA2058" w:rsidP="00EA2058">
      <w:pPr>
        <w:widowControl w:val="0"/>
        <w:autoSpaceDE w:val="0"/>
        <w:autoSpaceDN w:val="0"/>
        <w:spacing w:after="0" w:line="240" w:lineRule="auto"/>
        <w:jc w:val="both"/>
        <w:rPr>
          <w:rFonts w:ascii="Cambria" w:hAnsi="Cambria"/>
          <w:sz w:val="20"/>
          <w:szCs w:val="20"/>
        </w:rPr>
      </w:pPr>
      <w:r w:rsidRPr="00C900CB">
        <w:rPr>
          <w:rFonts w:ascii="Cambria" w:hAnsi="Cambria"/>
          <w:b/>
          <w:sz w:val="20"/>
          <w:szCs w:val="20"/>
        </w:rPr>
        <w:t>Título de la(s) recomendación(es) o resolución(es) actualmente vigente(s) que aborda(n) la misma cuestión o cuestiones relacionadas:</w:t>
      </w:r>
      <w:r w:rsidRPr="00C900CB">
        <w:rPr>
          <w:rFonts w:ascii="Cambria" w:hAnsi="Cambria"/>
          <w:b/>
          <w:color w:val="000000" w:themeColor="text1"/>
          <w:sz w:val="20"/>
          <w:szCs w:val="20"/>
        </w:rPr>
        <w:t xml:space="preserve">  </w:t>
      </w:r>
      <w:r w:rsidRPr="00C900CB">
        <w:rPr>
          <w:rFonts w:ascii="Cambria" w:hAnsi="Cambria"/>
          <w:color w:val="EE0000"/>
          <w:sz w:val="20"/>
          <w:szCs w:val="20"/>
        </w:rPr>
        <w:t>No aplicable</w:t>
      </w:r>
    </w:p>
    <w:p w14:paraId="0A05991F" w14:textId="77777777" w:rsidR="002148D6" w:rsidRPr="00C900CB" w:rsidRDefault="002148D6" w:rsidP="002148D6">
      <w:pPr>
        <w:widowControl w:val="0"/>
        <w:spacing w:after="0" w:line="240" w:lineRule="auto"/>
        <w:jc w:val="both"/>
        <w:rPr>
          <w:rFonts w:ascii="Cambria" w:eastAsia="Cambria" w:hAnsi="Cambria" w:cs="Cambria"/>
          <w:kern w:val="0"/>
          <w:sz w:val="20"/>
          <w:szCs w:val="20"/>
          <w14:ligatures w14:val="none"/>
        </w:rPr>
      </w:pPr>
    </w:p>
    <w:p w14:paraId="0F5AE68D"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C900CB">
        <w:rPr>
          <w:rFonts w:ascii="Cambria" w:eastAsia="Cambria" w:hAnsi="Cambria" w:cs="Cambria"/>
          <w:kern w:val="0"/>
          <w:sz w:val="20"/>
          <w:szCs w:val="20"/>
          <w14:ligatures w14:val="none"/>
        </w:rPr>
        <w:t xml:space="preserve">¿Crea nuevas </w:t>
      </w:r>
      <w:r w:rsidRPr="00C900CB">
        <w:rPr>
          <w:rFonts w:ascii="Cambria" w:eastAsia="Cambria" w:hAnsi="Cambria" w:cs="Cambria"/>
          <w:b/>
          <w:kern w:val="0"/>
          <w:sz w:val="20"/>
          <w:szCs w:val="20"/>
          <w14:ligatures w14:val="none"/>
        </w:rPr>
        <w:t xml:space="preserve">obligaciones de comunicación </w:t>
      </w:r>
      <w:r w:rsidRPr="00C900CB">
        <w:rPr>
          <w:rFonts w:ascii="Cambria" w:eastAsia="Cambria" w:hAnsi="Cambria" w:cs="Cambria"/>
          <w:kern w:val="0"/>
          <w:sz w:val="20"/>
          <w:szCs w:val="20"/>
          <w14:ligatures w14:val="none"/>
        </w:rPr>
        <w:t xml:space="preserve">para las CPC?     Sí </w:t>
      </w:r>
      <w:sdt>
        <w:sdtPr>
          <w:rPr>
            <w:rFonts w:ascii="Cambria" w:eastAsia="Cambria" w:hAnsi="Cambria" w:cs="Cambria"/>
            <w:kern w:val="0"/>
            <w:sz w:val="20"/>
            <w:szCs w:val="20"/>
            <w14:ligatures w14:val="none"/>
          </w:rPr>
          <w:id w:val="279852826"/>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068185848"/>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2D4B7369" w14:textId="77777777" w:rsidR="00C900CB" w:rsidRPr="00C900CB" w:rsidRDefault="00C900CB" w:rsidP="00C900CB">
      <w:pPr>
        <w:widowControl w:val="0"/>
        <w:autoSpaceDE w:val="0"/>
        <w:autoSpaceDN w:val="0"/>
        <w:spacing w:after="0" w:line="240" w:lineRule="auto"/>
        <w:rPr>
          <w:rFonts w:ascii="Cambria" w:eastAsia="Cambria" w:hAnsi="Cambria" w:cs="Cambria"/>
          <w:kern w:val="0"/>
          <w:sz w:val="20"/>
          <w:szCs w:val="20"/>
          <w14:ligatures w14:val="none"/>
        </w:rPr>
      </w:pPr>
    </w:p>
    <w:p w14:paraId="429741DC" w14:textId="77777777" w:rsidR="00C900CB" w:rsidRPr="00C900CB" w:rsidRDefault="00C900CB" w:rsidP="00C900CB">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Breve descripción de la(s) nueva(s) obligación(es) de comunicación: </w:t>
      </w:r>
    </w:p>
    <w:p w14:paraId="40D1B180" w14:textId="77777777" w:rsidR="00893254" w:rsidRPr="00C900CB"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23AC409F" w14:textId="77777777" w:rsidR="00C900CB" w:rsidRPr="00C900CB" w:rsidRDefault="00C900CB" w:rsidP="00C900CB">
      <w:pPr>
        <w:widowControl w:val="0"/>
        <w:numPr>
          <w:ilvl w:val="0"/>
          <w:numId w:val="10"/>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¿Requiere aportaciones o </w:t>
      </w:r>
      <w:r w:rsidRPr="00C900CB">
        <w:rPr>
          <w:rFonts w:ascii="Cambria" w:eastAsia="Cambria" w:hAnsi="Cambria" w:cs="Cambria"/>
          <w:b/>
          <w:kern w:val="0"/>
          <w:sz w:val="20"/>
          <w:szCs w:val="20"/>
          <w14:ligatures w14:val="none"/>
        </w:rPr>
        <w:t xml:space="preserve">trabajo </w:t>
      </w:r>
      <w:r w:rsidRPr="00C900CB">
        <w:rPr>
          <w:rFonts w:ascii="Cambria" w:eastAsia="Cambria" w:hAnsi="Cambria" w:cs="Cambria"/>
          <w:bCs/>
          <w:kern w:val="0"/>
          <w:sz w:val="20"/>
          <w:szCs w:val="20"/>
          <w14:ligatures w14:val="none"/>
        </w:rPr>
        <w:t>adicional</w:t>
      </w:r>
      <w:r w:rsidRPr="00C900CB">
        <w:rPr>
          <w:rFonts w:ascii="Cambria" w:eastAsia="Cambria" w:hAnsi="Cambria" w:cs="Cambria"/>
          <w:b/>
          <w:kern w:val="0"/>
          <w:sz w:val="20"/>
          <w:szCs w:val="20"/>
          <w14:ligatures w14:val="none"/>
        </w:rPr>
        <w:t xml:space="preserve"> por parte del SCRS</w:t>
      </w: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89124157"/>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2237E968" w14:textId="77777777" w:rsidR="00C900CB" w:rsidRPr="00C900CB"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560205DC" w14:textId="3838568E" w:rsidR="00C900CB" w:rsidRPr="00C900CB" w:rsidRDefault="00C900CB" w:rsidP="00C900CB">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¿Está este trabajo ya incluido en el Plan de trabajo actual del SCRS?</w:t>
      </w:r>
      <w:r w:rsidRPr="00C900CB">
        <w:rPr>
          <w:rFonts w:ascii="Cambria" w:eastAsia="Cambria" w:hAnsi="Cambria" w:cs="Cambria"/>
          <w:kern w:val="0"/>
          <w:sz w:val="20"/>
          <w:szCs w:val="20"/>
          <w14:ligatures w14:val="none"/>
        </w:rPr>
        <w:tab/>
        <w:t xml:space="preserve">Sí </w:t>
      </w:r>
      <w:sdt>
        <w:sdtPr>
          <w:rPr>
            <w:rFonts w:ascii="Cambria" w:eastAsia="Cambria" w:hAnsi="Cambria" w:cs="Cambria"/>
            <w:kern w:val="0"/>
            <w:sz w:val="20"/>
            <w:szCs w:val="20"/>
            <w14:ligatures w14:val="none"/>
          </w:rPr>
          <w:id w:val="-1260672485"/>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818388141"/>
          <w14:checkbox>
            <w14:checked w14:val="1"/>
            <w14:checkedState w14:val="2612" w14:font="MS Gothic"/>
            <w14:uncheckedState w14:val="2610" w14:font="MS Gothic"/>
          </w14:checkbox>
        </w:sdtPr>
        <w:sdtEndPr/>
        <w:sdtContent>
          <w:r w:rsidRPr="00C900CB">
            <w:rPr>
              <w:rFonts w:ascii="Segoe UI Symbol" w:eastAsia="MS Gothic" w:hAnsi="Segoe UI Symbol" w:cs="Segoe UI Symbol"/>
              <w:color w:val="FF0000"/>
              <w:spacing w:val="-2"/>
              <w:kern w:val="0"/>
              <w:sz w:val="20"/>
              <w:szCs w:val="20"/>
              <w14:ligatures w14:val="none"/>
            </w:rPr>
            <w:t>☒</w:t>
          </w:r>
        </w:sdtContent>
      </w:sdt>
    </w:p>
    <w:p w14:paraId="26A7A2EA" w14:textId="77777777" w:rsidR="00C900CB" w:rsidRPr="00C900CB"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7CB9D590" w14:textId="0821A442" w:rsidR="003C5ACB" w:rsidRPr="00C900CB"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Breve descripción del nuevo trabajo científico necesario (es decir, evaluación del stock, análisis, consultor externo): </w:t>
      </w:r>
    </w:p>
    <w:p w14:paraId="7D85D107" w14:textId="77777777" w:rsidR="00C900CB" w:rsidRPr="00C900CB"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5617656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¿Implica la creación de un </w:t>
      </w:r>
      <w:r w:rsidRPr="00C900CB">
        <w:rPr>
          <w:rFonts w:ascii="Cambria" w:eastAsia="Cambria" w:hAnsi="Cambria" w:cs="Cambria"/>
          <w:b/>
          <w:kern w:val="0"/>
          <w:sz w:val="20"/>
          <w:szCs w:val="20"/>
          <w14:ligatures w14:val="none"/>
        </w:rPr>
        <w:t>nuevo grupo de trabajo o proceso intersesiones</w:t>
      </w: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144702017"/>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5A98F9B4"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B04276"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F27B1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¿Requiere un nuevo </w:t>
      </w:r>
      <w:r w:rsidRPr="00C900CB">
        <w:rPr>
          <w:rFonts w:ascii="Cambria" w:eastAsia="Cambria" w:hAnsi="Cambria" w:cs="Cambria"/>
          <w:b/>
          <w:kern w:val="0"/>
          <w:sz w:val="20"/>
          <w:szCs w:val="20"/>
          <w14:ligatures w14:val="none"/>
        </w:rPr>
        <w:t>programa o actividades adicionales que deba gestionar la Secretaría</w:t>
      </w:r>
      <w:r w:rsidRPr="00C900CB">
        <w:rPr>
          <w:rFonts w:ascii="Cambria" w:eastAsia="Cambria" w:hAnsi="Cambria" w:cs="Cambria"/>
          <w:kern w:val="0"/>
          <w:sz w:val="20"/>
          <w:szCs w:val="20"/>
          <w14:ligatures w14:val="none"/>
        </w:rPr>
        <w:t xml:space="preserve">?  </w:t>
      </w:r>
    </w:p>
    <w:p w14:paraId="2667F89E" w14:textId="77777777" w:rsidR="00C900CB" w:rsidRPr="00C900CB" w:rsidRDefault="00C900CB" w:rsidP="00C900CB">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DB99D23" w14:textId="77777777" w:rsidR="00C900CB" w:rsidRPr="00C900CB" w:rsidRDefault="00C900CB" w:rsidP="00C900CB">
      <w:pPr>
        <w:widowControl w:val="0"/>
        <w:autoSpaceDE w:val="0"/>
        <w:autoSpaceDN w:val="0"/>
        <w:spacing w:after="0" w:line="240" w:lineRule="auto"/>
        <w:ind w:left="318"/>
        <w:rPr>
          <w:rFonts w:ascii="Cambria" w:eastAsia="Cambria" w:hAnsi="Cambria" w:cs="Cambria"/>
          <w:color w:val="FF0000"/>
          <w:spacing w:val="-2"/>
          <w:kern w:val="0"/>
          <w:sz w:val="20"/>
          <w:szCs w:val="20"/>
          <w14:ligatures w14:val="none"/>
        </w:rPr>
      </w:pP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536081079"/>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560759300"/>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54CE3C74"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06F207FC" w14:textId="63030D2C" w:rsidR="00C900CB" w:rsidRPr="00C900CB" w:rsidRDefault="00C900CB" w:rsidP="00C900CB">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C900CB">
        <w:rPr>
          <w:rFonts w:ascii="Cambria" w:eastAsia="Cambria" w:hAnsi="Cambria" w:cs="Cambria"/>
          <w:kern w:val="0"/>
          <w:sz w:val="20"/>
          <w:szCs w:val="20"/>
          <w14:ligatures w14:val="none"/>
        </w:rPr>
        <w:t xml:space="preserve">Breve descripción del nuevo trabajo necesario de la Secretaría: </w:t>
      </w:r>
    </w:p>
    <w:p w14:paraId="0E28F9DC" w14:textId="77777777" w:rsidR="00C900CB" w:rsidRPr="00C900CB"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55061FF2" w14:textId="77777777" w:rsidR="00C900CB" w:rsidRPr="00C900CB"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67047B8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C900CB">
        <w:rPr>
          <w:rFonts w:ascii="Cambria" w:eastAsia="Cambria" w:hAnsi="Cambria" w:cs="Cambria"/>
          <w:kern w:val="0"/>
          <w:sz w:val="20"/>
          <w:szCs w:val="20"/>
          <w14:ligatures w14:val="none"/>
        </w:rPr>
        <w:t>¿Cuál es el calendario propuesto para la implementación? ¿Existen distintos calendarios específicos para determinadas CPC, pesquerías, regiones, etc.?</w:t>
      </w:r>
    </w:p>
    <w:p w14:paraId="3C1ED5EA" w14:textId="77777777" w:rsidR="00893254" w:rsidRPr="00C900CB"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C900CB"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sidRPr="00C900CB">
        <w:rPr>
          <w:rFonts w:ascii="Cambria" w:hAnsi="Cambria"/>
          <w:color w:val="EE0000"/>
          <w:sz w:val="20"/>
          <w:szCs w:val="20"/>
        </w:rPr>
        <w:t xml:space="preserve">Aplicación uniforme para todas las CPC con fecha de entrada en vigor predeterminada. </w:t>
      </w:r>
    </w:p>
    <w:p w14:paraId="7CBE9EDE" w14:textId="77777777" w:rsidR="00893254" w:rsidRPr="00C900CB"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C900CB"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703A902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bookmarkStart w:id="0" w:name="_Hlk211955220"/>
      <w:r w:rsidRPr="00C900CB">
        <w:rPr>
          <w:rFonts w:ascii="Cambria" w:eastAsia="Cambria" w:hAnsi="Cambria" w:cs="Cambria"/>
          <w:kern w:val="0"/>
          <w:sz w:val="20"/>
          <w:szCs w:val="20"/>
          <w14:ligatures w14:val="none"/>
        </w:rPr>
        <w:t>¿Hay alguna otra información pertinente sobre las repercusiones de la propuesta en lo referente a los recursos y a la carga de trabajo?</w:t>
      </w:r>
    </w:p>
    <w:bookmarkEnd w:id="0"/>
    <w:p w14:paraId="687B1252" w14:textId="77777777" w:rsidR="00893254" w:rsidRPr="00C900CB"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C900CB"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sidRPr="00C900CB">
        <w:rPr>
          <w:rFonts w:ascii="Cambria" w:hAnsi="Cambria"/>
          <w:color w:val="EE0000"/>
          <w:sz w:val="20"/>
          <w:szCs w:val="20"/>
        </w:rPr>
        <w:t>No.</w:t>
      </w:r>
    </w:p>
    <w:p w14:paraId="04A84588" w14:textId="77777777" w:rsidR="00893254" w:rsidRPr="00C900CB"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C900CB"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C900CB"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C900CB" w:rsidRDefault="00D32C30">
      <w:pPr>
        <w:rPr>
          <w:rFonts w:ascii="Cambria" w:eastAsia="Calibri" w:hAnsi="Cambria" w:cs="Calibri"/>
          <w:b/>
          <w:bCs/>
          <w:color w:val="000000" w:themeColor="text1"/>
          <w:sz w:val="20"/>
          <w:szCs w:val="20"/>
        </w:rPr>
      </w:pPr>
      <w:r w:rsidRPr="00C900CB">
        <w:rPr>
          <w:rFonts w:ascii="Cambria" w:hAnsi="Cambria"/>
          <w:sz w:val="20"/>
          <w:szCs w:val="20"/>
        </w:rPr>
        <w:br w:type="page"/>
      </w:r>
    </w:p>
    <w:p w14:paraId="79EC4392" w14:textId="482A1CEF" w:rsidR="00D32C30" w:rsidRPr="00C900CB" w:rsidRDefault="00D32C30" w:rsidP="006D6195">
      <w:pPr>
        <w:spacing w:after="0" w:line="240" w:lineRule="auto"/>
        <w:jc w:val="right"/>
        <w:rPr>
          <w:rFonts w:ascii="Cambria" w:eastAsia="Calibri" w:hAnsi="Cambria" w:cs="Calibri"/>
          <w:b/>
          <w:bCs/>
          <w:color w:val="000000" w:themeColor="text1"/>
          <w:sz w:val="20"/>
          <w:szCs w:val="20"/>
        </w:rPr>
      </w:pPr>
      <w:r w:rsidRPr="00C900CB">
        <w:rPr>
          <w:rFonts w:ascii="Cambria" w:hAnsi="Cambria"/>
          <w:b/>
          <w:color w:val="000000" w:themeColor="text1"/>
          <w:sz w:val="20"/>
          <w:szCs w:val="20"/>
        </w:rPr>
        <w:lastRenderedPageBreak/>
        <w:t>Original: inglés</w:t>
      </w:r>
    </w:p>
    <w:p w14:paraId="1AF316EA" w14:textId="77777777" w:rsidR="006D6195" w:rsidRPr="00C900CB" w:rsidRDefault="006D6195" w:rsidP="006D6195">
      <w:pPr>
        <w:spacing w:after="0" w:line="240" w:lineRule="auto"/>
        <w:jc w:val="center"/>
        <w:rPr>
          <w:rFonts w:ascii="Cambria" w:eastAsia="Calibri" w:hAnsi="Cambria" w:cs="Calibri"/>
          <w:b/>
          <w:bCs/>
          <w:color w:val="000000" w:themeColor="text1"/>
          <w:sz w:val="20"/>
          <w:szCs w:val="20"/>
        </w:rPr>
      </w:pPr>
    </w:p>
    <w:p w14:paraId="4942A447" w14:textId="443C1BD5" w:rsidR="00C47F31" w:rsidRPr="00C900CB" w:rsidRDefault="00C47F31" w:rsidP="006D6195">
      <w:pPr>
        <w:spacing w:after="0" w:line="240" w:lineRule="auto"/>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xml:space="preserve">Nota explicativa al Proyecto de Recomendación de ICCAT sobre tiburón peregrino y jaquetón blanco capturados en asociación con pesquerías gestionadas por ICCAT </w:t>
      </w:r>
    </w:p>
    <w:p w14:paraId="595FFF73" w14:textId="54AE9979" w:rsidR="0034484E" w:rsidRPr="00C900CB" w:rsidRDefault="0034484E" w:rsidP="006D6195">
      <w:pPr>
        <w:spacing w:after="0" w:line="240" w:lineRule="auto"/>
        <w:jc w:val="center"/>
        <w:rPr>
          <w:rFonts w:ascii="Cambria" w:eastAsia="Calibri" w:hAnsi="Cambria" w:cs="Calibri"/>
          <w:b/>
          <w:bCs/>
          <w:color w:val="000000" w:themeColor="text1"/>
          <w:sz w:val="20"/>
          <w:szCs w:val="20"/>
        </w:rPr>
      </w:pPr>
    </w:p>
    <w:p w14:paraId="6B2F2D9A" w14:textId="48B4272B" w:rsidR="005F1C13" w:rsidRPr="000C1681" w:rsidRDefault="005F1C13" w:rsidP="000C1681">
      <w:pPr>
        <w:widowControl w:val="0"/>
        <w:spacing w:after="0" w:line="240" w:lineRule="auto"/>
        <w:jc w:val="center"/>
        <w:rPr>
          <w:rFonts w:ascii="Cambria" w:eastAsia="Cambria" w:hAnsi="Cambria" w:cs="Cambria"/>
          <w:i/>
          <w:kern w:val="0"/>
          <w:sz w:val="20"/>
          <w:szCs w:val="20"/>
          <w14:ligatures w14:val="none"/>
        </w:rPr>
      </w:pPr>
      <w:r w:rsidRPr="00C900CB">
        <w:rPr>
          <w:rFonts w:ascii="Cambria" w:hAnsi="Cambria"/>
          <w:i/>
          <w:color w:val="000000" w:themeColor="text1"/>
          <w:sz w:val="20"/>
          <w:szCs w:val="20"/>
        </w:rPr>
        <w:t>(presentado por el Reino Unido</w:t>
      </w:r>
      <w:r w:rsidR="004A7A63">
        <w:rPr>
          <w:rFonts w:ascii="Cambria" w:hAnsi="Cambria"/>
          <w:i/>
          <w:color w:val="000000" w:themeColor="text1"/>
          <w:sz w:val="20"/>
          <w:szCs w:val="20"/>
        </w:rPr>
        <w:t xml:space="preserve">, </w:t>
      </w:r>
      <w:r w:rsidR="004A7A63" w:rsidRPr="004A7A63">
        <w:rPr>
          <w:rFonts w:ascii="Cambria" w:hAnsi="Cambria"/>
          <w:i/>
          <w:sz w:val="20"/>
          <w:szCs w:val="20"/>
        </w:rPr>
        <w:t>Brasil</w:t>
      </w:r>
      <w:r w:rsidR="000C1681" w:rsidRPr="000C1681">
        <w:rPr>
          <w:rFonts w:ascii="Cambria" w:hAnsi="Cambria"/>
          <w:i/>
          <w:sz w:val="20"/>
          <w:szCs w:val="20"/>
        </w:rPr>
        <w:t>, Marruecos</w:t>
      </w:r>
      <w:r w:rsidR="00B95175" w:rsidRPr="00B95175">
        <w:rPr>
          <w:rFonts w:ascii="Cambria" w:hAnsi="Cambria"/>
          <w:i/>
          <w:sz w:val="20"/>
          <w:szCs w:val="20"/>
        </w:rPr>
        <w:t>, Sudáfrica</w:t>
      </w:r>
      <w:r w:rsidR="00B95175">
        <w:rPr>
          <w:rFonts w:ascii="Cambria" w:hAnsi="Cambria"/>
          <w:i/>
          <w:sz w:val="20"/>
          <w:szCs w:val="20"/>
          <w:u w:val="single"/>
        </w:rPr>
        <w:t xml:space="preserve"> y Canadá</w:t>
      </w:r>
      <w:r w:rsidRPr="00C900CB">
        <w:rPr>
          <w:rFonts w:ascii="Cambria" w:hAnsi="Cambria"/>
          <w:i/>
          <w:color w:val="000000" w:themeColor="text1"/>
          <w:sz w:val="20"/>
          <w:szCs w:val="20"/>
        </w:rPr>
        <w:t>)</w:t>
      </w:r>
    </w:p>
    <w:p w14:paraId="39C1F545" w14:textId="77777777" w:rsidR="006D6195" w:rsidRPr="00C900CB" w:rsidRDefault="006D6195" w:rsidP="006D6195">
      <w:pPr>
        <w:spacing w:after="0" w:line="240" w:lineRule="auto"/>
        <w:jc w:val="center"/>
        <w:rPr>
          <w:rFonts w:ascii="Cambria" w:eastAsia="Calibri" w:hAnsi="Cambria" w:cs="Calibri"/>
          <w:i/>
          <w:iCs/>
          <w:color w:val="000000" w:themeColor="text1"/>
          <w:sz w:val="20"/>
          <w:szCs w:val="20"/>
        </w:rPr>
      </w:pPr>
    </w:p>
    <w:p w14:paraId="0BF56176" w14:textId="7DD5816E" w:rsidR="005F1C13" w:rsidRPr="00C900CB" w:rsidRDefault="005F1C13" w:rsidP="006D6195">
      <w:pPr>
        <w:spacing w:after="0" w:line="240" w:lineRule="auto"/>
        <w:jc w:val="both"/>
        <w:rPr>
          <w:rFonts w:ascii="Cambria" w:eastAsia="Calibri" w:hAnsi="Cambria" w:cs="Calibri"/>
          <w:color w:val="000000" w:themeColor="text1"/>
          <w:sz w:val="20"/>
          <w:szCs w:val="20"/>
        </w:rPr>
      </w:pPr>
      <w:r w:rsidRPr="00C900CB">
        <w:rPr>
          <w:rFonts w:ascii="Cambria" w:hAnsi="Cambria"/>
          <w:color w:val="000000" w:themeColor="text1"/>
          <w:sz w:val="20"/>
          <w:szCs w:val="20"/>
        </w:rPr>
        <w:t>En 2025, el Subcomité de ecosistemas y captura fortuita recomendó que la Comisión considerara la adopción de medidas de ordenación precautorias tanto para el tiburón peregrino (</w:t>
      </w:r>
      <w:r w:rsidRPr="00C900CB">
        <w:rPr>
          <w:rFonts w:ascii="Cambria" w:hAnsi="Cambria"/>
          <w:i/>
          <w:iCs/>
          <w:color w:val="000000" w:themeColor="text1"/>
          <w:sz w:val="20"/>
          <w:szCs w:val="20"/>
        </w:rPr>
        <w:t>Cetorhinus maximus</w:t>
      </w:r>
      <w:r w:rsidRPr="00C900CB">
        <w:rPr>
          <w:rFonts w:ascii="Cambria" w:hAnsi="Cambria"/>
          <w:color w:val="000000" w:themeColor="text1"/>
          <w:sz w:val="20"/>
          <w:szCs w:val="20"/>
        </w:rPr>
        <w:t>) como para el jaquetón blanco (</w:t>
      </w:r>
      <w:r w:rsidRPr="00C900CB">
        <w:rPr>
          <w:rFonts w:ascii="Cambria" w:hAnsi="Cambria"/>
          <w:i/>
          <w:iCs/>
          <w:color w:val="000000" w:themeColor="text1"/>
          <w:sz w:val="20"/>
          <w:szCs w:val="20"/>
        </w:rPr>
        <w:t>Carcharodon carcharias</w:t>
      </w:r>
      <w:r w:rsidRPr="00C900CB">
        <w:rPr>
          <w:rFonts w:ascii="Cambria" w:hAnsi="Cambria"/>
          <w:color w:val="000000" w:themeColor="text1"/>
          <w:sz w:val="20"/>
          <w:szCs w:val="20"/>
        </w:rPr>
        <w:t>). Esta propuesta de Recomendación introduciría la prohibición de retener tiburón peregrino y jaquetón blanco capturados en asociación con las pesquerías de ICCAT, así como la obligación de comunicar las interacciones con estas especies, de conformidad con los requisitos de comunicación de datos de ICCAT.   </w:t>
      </w:r>
    </w:p>
    <w:p w14:paraId="12C95530" w14:textId="77777777" w:rsidR="00C47F31" w:rsidRPr="00C900CB" w:rsidRDefault="00C47F31" w:rsidP="006D6195">
      <w:pPr>
        <w:spacing w:after="0" w:line="240" w:lineRule="auto"/>
        <w:jc w:val="both"/>
        <w:rPr>
          <w:rFonts w:ascii="Cambria" w:eastAsia="Calibri" w:hAnsi="Cambria" w:cs="Calibri"/>
          <w:color w:val="000000" w:themeColor="text1"/>
          <w:sz w:val="20"/>
          <w:szCs w:val="20"/>
        </w:rPr>
      </w:pPr>
    </w:p>
    <w:p w14:paraId="5FA8B0BA" w14:textId="75F12B0D" w:rsidR="005F1C13" w:rsidRPr="00C900CB" w:rsidRDefault="005F1C13" w:rsidP="00A737FD">
      <w:pPr>
        <w:spacing w:after="0" w:line="240" w:lineRule="auto"/>
        <w:jc w:val="both"/>
        <w:rPr>
          <w:rFonts w:ascii="Cambria" w:eastAsia="Calibri" w:hAnsi="Cambria" w:cs="Calibri"/>
          <w:color w:val="000000" w:themeColor="text1"/>
          <w:sz w:val="20"/>
          <w:szCs w:val="20"/>
        </w:rPr>
      </w:pPr>
      <w:r w:rsidRPr="00C900CB">
        <w:rPr>
          <w:rFonts w:ascii="Cambria" w:hAnsi="Cambria"/>
          <w:color w:val="000000" w:themeColor="text1"/>
          <w:sz w:val="20"/>
          <w:szCs w:val="20"/>
        </w:rPr>
        <w:t>La propuesta pretende subsanar una laguna en la cobertura de las Organizaciones Regionales de Ordenación Pesquera (OROP), teniendo en cuenta que estas son las dos únicas especies de tiburones reguladas por ICCAT que figuran en el Apéndice I de la Convención de las Naciones Unidas sobre la Conservación de las Especies Migratorias de Animales Silvestres (</w:t>
      </w:r>
      <w:proofErr w:type="spellStart"/>
      <w:r w:rsidRPr="00C900CB">
        <w:rPr>
          <w:rFonts w:ascii="Cambria" w:hAnsi="Cambria"/>
          <w:color w:val="000000" w:themeColor="text1"/>
          <w:sz w:val="20"/>
          <w:szCs w:val="20"/>
        </w:rPr>
        <w:t>CMS</w:t>
      </w:r>
      <w:proofErr w:type="spellEnd"/>
      <w:r w:rsidRPr="00C900CB">
        <w:rPr>
          <w:rFonts w:ascii="Cambria" w:hAnsi="Cambria"/>
          <w:color w:val="000000" w:themeColor="text1"/>
          <w:sz w:val="20"/>
          <w:szCs w:val="20"/>
        </w:rPr>
        <w:t>), pero que actualmente no están sujetas a las prohibiciones de retención de ICCAT.  </w:t>
      </w:r>
    </w:p>
    <w:p w14:paraId="34081454" w14:textId="77777777" w:rsidR="00C47F31" w:rsidRPr="00C900CB" w:rsidRDefault="00C47F31" w:rsidP="006D6195">
      <w:pPr>
        <w:spacing w:after="0" w:line="240" w:lineRule="auto"/>
        <w:jc w:val="both"/>
        <w:rPr>
          <w:rFonts w:ascii="Cambria" w:eastAsia="Calibri" w:hAnsi="Cambria" w:cs="Calibri"/>
          <w:color w:val="000000" w:themeColor="text1"/>
          <w:sz w:val="20"/>
          <w:szCs w:val="20"/>
        </w:rPr>
      </w:pPr>
    </w:p>
    <w:p w14:paraId="6590A6A3" w14:textId="6B858455" w:rsidR="005F1C13" w:rsidRPr="00C900CB" w:rsidRDefault="005F1C13" w:rsidP="006D6195">
      <w:pPr>
        <w:spacing w:after="0" w:line="240" w:lineRule="auto"/>
        <w:jc w:val="both"/>
        <w:rPr>
          <w:rFonts w:ascii="Cambria" w:eastAsia="Calibri" w:hAnsi="Cambria" w:cs="Calibri"/>
          <w:b/>
          <w:bCs/>
          <w:color w:val="000000" w:themeColor="text1"/>
          <w:sz w:val="20"/>
          <w:szCs w:val="20"/>
        </w:rPr>
      </w:pPr>
      <w:r w:rsidRPr="00C900CB">
        <w:rPr>
          <w:rFonts w:ascii="Cambria" w:hAnsi="Cambria"/>
          <w:color w:val="000000" w:themeColor="text1"/>
          <w:sz w:val="20"/>
          <w:szCs w:val="20"/>
        </w:rPr>
        <w:t xml:space="preserve">La prohibición propuesta sobre la retención en las pesquerías de ICCAT alinearía a ICCAT con la </w:t>
      </w:r>
      <w:proofErr w:type="spellStart"/>
      <w:r w:rsidRPr="00C900CB">
        <w:rPr>
          <w:rFonts w:ascii="Cambria" w:hAnsi="Cambria"/>
          <w:color w:val="000000" w:themeColor="text1"/>
          <w:sz w:val="20"/>
          <w:szCs w:val="20"/>
        </w:rPr>
        <w:t>CMS</w:t>
      </w:r>
      <w:proofErr w:type="spellEnd"/>
      <w:r w:rsidRPr="00C900CB">
        <w:rPr>
          <w:rFonts w:ascii="Cambria" w:hAnsi="Cambria"/>
          <w:color w:val="000000" w:themeColor="text1"/>
          <w:sz w:val="20"/>
          <w:szCs w:val="20"/>
        </w:rPr>
        <w:t xml:space="preserve"> y tiene por objeto reforzar la conservación de estas especies, teniendo en cuenta que el tiburón peregrino está considerado en peligro y el jaquetón blanco vulnerable por la Unión Internacional para la Conservación de la Naturaleza (</w:t>
      </w:r>
      <w:proofErr w:type="spellStart"/>
      <w:r w:rsidRPr="00C900CB">
        <w:rPr>
          <w:rFonts w:ascii="Cambria" w:hAnsi="Cambria"/>
          <w:color w:val="000000" w:themeColor="text1"/>
          <w:sz w:val="20"/>
          <w:szCs w:val="20"/>
        </w:rPr>
        <w:t>UICN</w:t>
      </w:r>
      <w:proofErr w:type="spellEnd"/>
      <w:r w:rsidRPr="00C900CB">
        <w:rPr>
          <w:rFonts w:ascii="Cambria" w:hAnsi="Cambria"/>
          <w:color w:val="000000" w:themeColor="text1"/>
          <w:sz w:val="20"/>
          <w:szCs w:val="20"/>
        </w:rPr>
        <w:t>) y que ambos figuran en el Apéndice II de la Convención sobre el Comercio Internacional de Especies Amenazadas de Fauna y Flora Silvestres (CITES).</w:t>
      </w:r>
      <w:r w:rsidRPr="00C900CB">
        <w:rPr>
          <w:rFonts w:ascii="Cambria" w:hAnsi="Cambria"/>
          <w:b/>
          <w:color w:val="000000" w:themeColor="text1"/>
          <w:sz w:val="20"/>
          <w:szCs w:val="20"/>
        </w:rPr>
        <w:t>  </w:t>
      </w:r>
    </w:p>
    <w:p w14:paraId="79559799" w14:textId="77777777" w:rsidR="005F1C13" w:rsidRPr="00C900CB" w:rsidRDefault="005F1C13" w:rsidP="005F1C13">
      <w:pPr>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w:t>
      </w:r>
    </w:p>
    <w:p w14:paraId="63A5C75C" w14:textId="77777777" w:rsidR="005F1C13" w:rsidRPr="00C900CB" w:rsidRDefault="005F1C13" w:rsidP="005F1C13">
      <w:pPr>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w:t>
      </w:r>
    </w:p>
    <w:p w14:paraId="347BE221" w14:textId="77777777" w:rsidR="005F1C13" w:rsidRPr="00C900CB" w:rsidRDefault="005F1C13" w:rsidP="737EC8C4">
      <w:pPr>
        <w:jc w:val="center"/>
        <w:rPr>
          <w:rFonts w:ascii="Cambria" w:eastAsia="Calibri" w:hAnsi="Cambria" w:cs="Calibri"/>
          <w:b/>
          <w:bCs/>
          <w:color w:val="000000" w:themeColor="text1"/>
          <w:sz w:val="20"/>
          <w:szCs w:val="20"/>
        </w:rPr>
      </w:pPr>
    </w:p>
    <w:p w14:paraId="5B923264" w14:textId="77777777" w:rsidR="005F1C13" w:rsidRPr="00C900CB" w:rsidRDefault="005F1C13" w:rsidP="737EC8C4">
      <w:pPr>
        <w:jc w:val="center"/>
        <w:rPr>
          <w:rFonts w:ascii="Cambria" w:eastAsia="Calibri" w:hAnsi="Cambria" w:cs="Calibri"/>
          <w:b/>
          <w:bCs/>
          <w:color w:val="000000" w:themeColor="text1"/>
          <w:sz w:val="20"/>
          <w:szCs w:val="20"/>
        </w:rPr>
      </w:pPr>
    </w:p>
    <w:p w14:paraId="3C82A6E8" w14:textId="77777777" w:rsidR="005F1C13" w:rsidRPr="00C900CB" w:rsidRDefault="005F1C13" w:rsidP="737EC8C4">
      <w:pPr>
        <w:jc w:val="center"/>
        <w:rPr>
          <w:rFonts w:ascii="Cambria" w:eastAsia="Calibri" w:hAnsi="Cambria" w:cs="Calibri"/>
          <w:b/>
          <w:bCs/>
          <w:color w:val="000000" w:themeColor="text1"/>
          <w:sz w:val="20"/>
          <w:szCs w:val="20"/>
        </w:rPr>
      </w:pPr>
    </w:p>
    <w:p w14:paraId="5EFCA709" w14:textId="77777777" w:rsidR="005F1C13" w:rsidRPr="00C900CB" w:rsidRDefault="005F1C13" w:rsidP="737EC8C4">
      <w:pPr>
        <w:jc w:val="center"/>
        <w:rPr>
          <w:rFonts w:ascii="Cambria" w:eastAsia="Calibri" w:hAnsi="Cambria" w:cs="Calibri"/>
          <w:b/>
          <w:bCs/>
          <w:color w:val="000000" w:themeColor="text1"/>
          <w:sz w:val="20"/>
          <w:szCs w:val="20"/>
        </w:rPr>
      </w:pPr>
    </w:p>
    <w:p w14:paraId="4016A29A" w14:textId="77777777" w:rsidR="005F1C13" w:rsidRPr="00C900CB" w:rsidRDefault="005F1C13" w:rsidP="737EC8C4">
      <w:pPr>
        <w:jc w:val="center"/>
        <w:rPr>
          <w:rFonts w:ascii="Cambria" w:eastAsia="Calibri" w:hAnsi="Cambria" w:cs="Calibri"/>
          <w:b/>
          <w:bCs/>
          <w:color w:val="000000" w:themeColor="text1"/>
          <w:sz w:val="20"/>
          <w:szCs w:val="20"/>
        </w:rPr>
      </w:pPr>
    </w:p>
    <w:p w14:paraId="319CFD81" w14:textId="77777777" w:rsidR="005F1C13" w:rsidRPr="00C900CB" w:rsidRDefault="005F1C13" w:rsidP="737EC8C4">
      <w:pPr>
        <w:jc w:val="center"/>
        <w:rPr>
          <w:rFonts w:ascii="Cambria" w:eastAsia="Calibri" w:hAnsi="Cambria" w:cs="Calibri"/>
          <w:b/>
          <w:bCs/>
          <w:color w:val="000000" w:themeColor="text1"/>
          <w:sz w:val="20"/>
          <w:szCs w:val="20"/>
        </w:rPr>
      </w:pPr>
    </w:p>
    <w:p w14:paraId="57CCC7B0" w14:textId="77777777" w:rsidR="005F1C13" w:rsidRPr="00C900CB" w:rsidRDefault="005F1C13" w:rsidP="737EC8C4">
      <w:pPr>
        <w:jc w:val="center"/>
        <w:rPr>
          <w:rFonts w:ascii="Cambria" w:eastAsia="Calibri" w:hAnsi="Cambria" w:cs="Calibri"/>
          <w:b/>
          <w:bCs/>
          <w:color w:val="000000" w:themeColor="text1"/>
          <w:sz w:val="20"/>
          <w:szCs w:val="20"/>
        </w:rPr>
      </w:pPr>
    </w:p>
    <w:p w14:paraId="62209D23" w14:textId="77777777" w:rsidR="005F1C13" w:rsidRPr="00C900CB" w:rsidRDefault="005F1C13" w:rsidP="737EC8C4">
      <w:pPr>
        <w:jc w:val="center"/>
        <w:rPr>
          <w:rFonts w:ascii="Cambria" w:eastAsia="Calibri" w:hAnsi="Cambria" w:cs="Calibri"/>
          <w:b/>
          <w:bCs/>
          <w:color w:val="000000" w:themeColor="text1"/>
          <w:sz w:val="20"/>
          <w:szCs w:val="20"/>
        </w:rPr>
      </w:pPr>
    </w:p>
    <w:p w14:paraId="646CC360" w14:textId="77777777" w:rsidR="005F1C13" w:rsidRPr="00C900CB" w:rsidRDefault="005F1C13" w:rsidP="737EC8C4">
      <w:pPr>
        <w:jc w:val="center"/>
        <w:rPr>
          <w:rFonts w:ascii="Cambria" w:eastAsia="Calibri" w:hAnsi="Cambria" w:cs="Calibri"/>
          <w:b/>
          <w:bCs/>
          <w:color w:val="000000" w:themeColor="text1"/>
          <w:sz w:val="20"/>
          <w:szCs w:val="20"/>
        </w:rPr>
      </w:pPr>
    </w:p>
    <w:p w14:paraId="231190FB" w14:textId="77777777" w:rsidR="005F1C13" w:rsidRPr="00C900CB" w:rsidRDefault="005F1C13" w:rsidP="737EC8C4">
      <w:pPr>
        <w:jc w:val="center"/>
        <w:rPr>
          <w:rFonts w:ascii="Cambria" w:eastAsia="Calibri" w:hAnsi="Cambria" w:cs="Calibri"/>
          <w:b/>
          <w:bCs/>
          <w:color w:val="000000" w:themeColor="text1"/>
          <w:sz w:val="20"/>
          <w:szCs w:val="20"/>
        </w:rPr>
      </w:pPr>
    </w:p>
    <w:p w14:paraId="65BA75CE" w14:textId="77777777" w:rsidR="005F1C13" w:rsidRPr="00C900CB" w:rsidRDefault="005F1C13" w:rsidP="737EC8C4">
      <w:pPr>
        <w:jc w:val="center"/>
        <w:rPr>
          <w:rFonts w:ascii="Cambria" w:eastAsia="Calibri" w:hAnsi="Cambria" w:cs="Calibri"/>
          <w:b/>
          <w:bCs/>
          <w:color w:val="000000" w:themeColor="text1"/>
          <w:sz w:val="20"/>
          <w:szCs w:val="20"/>
        </w:rPr>
      </w:pPr>
    </w:p>
    <w:p w14:paraId="4BEB5ED4" w14:textId="77777777" w:rsidR="005F1C13" w:rsidRPr="00C900CB" w:rsidRDefault="005F1C13" w:rsidP="737EC8C4">
      <w:pPr>
        <w:jc w:val="center"/>
        <w:rPr>
          <w:rFonts w:ascii="Cambria" w:eastAsia="Calibri" w:hAnsi="Cambria" w:cs="Calibri"/>
          <w:b/>
          <w:bCs/>
          <w:color w:val="000000" w:themeColor="text1"/>
          <w:sz w:val="20"/>
          <w:szCs w:val="20"/>
        </w:rPr>
      </w:pPr>
    </w:p>
    <w:p w14:paraId="1AE4A46D" w14:textId="77777777" w:rsidR="005F1C13" w:rsidRPr="00C900CB" w:rsidRDefault="005F1C13" w:rsidP="737EC8C4">
      <w:pPr>
        <w:jc w:val="center"/>
        <w:rPr>
          <w:rFonts w:ascii="Cambria" w:eastAsia="Calibri" w:hAnsi="Cambria" w:cs="Calibri"/>
          <w:b/>
          <w:bCs/>
          <w:color w:val="000000" w:themeColor="text1"/>
          <w:sz w:val="20"/>
          <w:szCs w:val="20"/>
        </w:rPr>
      </w:pPr>
    </w:p>
    <w:p w14:paraId="0A3A3733" w14:textId="77777777" w:rsidR="005F1C13" w:rsidRPr="00C900CB" w:rsidRDefault="005F1C13" w:rsidP="737EC8C4">
      <w:pPr>
        <w:jc w:val="center"/>
        <w:rPr>
          <w:rFonts w:ascii="Cambria" w:eastAsia="Calibri" w:hAnsi="Cambria" w:cs="Calibri"/>
          <w:b/>
          <w:bCs/>
          <w:color w:val="000000" w:themeColor="text1"/>
          <w:sz w:val="20"/>
          <w:szCs w:val="20"/>
        </w:rPr>
      </w:pPr>
    </w:p>
    <w:p w14:paraId="01CB5F4C" w14:textId="77777777" w:rsidR="005F1C13" w:rsidRPr="00C900CB" w:rsidRDefault="005F1C13" w:rsidP="737EC8C4">
      <w:pPr>
        <w:jc w:val="center"/>
        <w:rPr>
          <w:rFonts w:ascii="Cambria" w:eastAsia="Calibri" w:hAnsi="Cambria" w:cs="Calibri"/>
          <w:b/>
          <w:bCs/>
          <w:color w:val="000000" w:themeColor="text1"/>
          <w:sz w:val="20"/>
          <w:szCs w:val="20"/>
        </w:rPr>
      </w:pPr>
    </w:p>
    <w:p w14:paraId="76360237" w14:textId="77777777" w:rsidR="005F1C13" w:rsidRPr="00C900CB" w:rsidRDefault="005F1C13" w:rsidP="737EC8C4">
      <w:pPr>
        <w:jc w:val="center"/>
        <w:rPr>
          <w:rFonts w:ascii="Cambria" w:eastAsia="Calibri" w:hAnsi="Cambria" w:cs="Calibri"/>
          <w:b/>
          <w:bCs/>
          <w:color w:val="000000" w:themeColor="text1"/>
          <w:sz w:val="20"/>
          <w:szCs w:val="20"/>
        </w:rPr>
      </w:pPr>
    </w:p>
    <w:p w14:paraId="510238C5" w14:textId="77777777" w:rsidR="00F858BF" w:rsidRPr="00C900CB" w:rsidRDefault="00F858BF" w:rsidP="737EC8C4">
      <w:pPr>
        <w:jc w:val="center"/>
        <w:rPr>
          <w:rFonts w:ascii="Cambria" w:eastAsia="Calibri" w:hAnsi="Cambria" w:cs="Calibri"/>
          <w:b/>
          <w:bCs/>
          <w:color w:val="000000" w:themeColor="text1"/>
          <w:sz w:val="20"/>
          <w:szCs w:val="20"/>
        </w:rPr>
      </w:pPr>
    </w:p>
    <w:p w14:paraId="50B8A15C" w14:textId="3DC9538A" w:rsidR="007350D8" w:rsidRDefault="007350D8" w:rsidP="007350D8">
      <w:pPr>
        <w:spacing w:after="0" w:line="240" w:lineRule="auto"/>
        <w:jc w:val="right"/>
        <w:rPr>
          <w:rFonts w:ascii="Cambria" w:hAnsi="Cambria"/>
          <w:b/>
          <w:color w:val="000000" w:themeColor="text1"/>
          <w:sz w:val="20"/>
          <w:szCs w:val="20"/>
        </w:rPr>
      </w:pPr>
      <w:r>
        <w:rPr>
          <w:rFonts w:ascii="Cambria" w:hAnsi="Cambria"/>
          <w:b/>
          <w:color w:val="000000" w:themeColor="text1"/>
          <w:sz w:val="20"/>
          <w:szCs w:val="20"/>
        </w:rPr>
        <w:lastRenderedPageBreak/>
        <w:t>Original: inglés</w:t>
      </w:r>
    </w:p>
    <w:p w14:paraId="04D44056" w14:textId="77777777" w:rsidR="007350D8" w:rsidRDefault="007350D8" w:rsidP="007350D8">
      <w:pPr>
        <w:spacing w:after="0" w:line="240" w:lineRule="auto"/>
        <w:jc w:val="right"/>
        <w:rPr>
          <w:rFonts w:ascii="Cambria" w:hAnsi="Cambria"/>
          <w:b/>
          <w:color w:val="000000" w:themeColor="text1"/>
          <w:sz w:val="20"/>
          <w:szCs w:val="20"/>
        </w:rPr>
      </w:pPr>
    </w:p>
    <w:p w14:paraId="29D47061" w14:textId="4C1EB2A7" w:rsidR="00AB0F66" w:rsidRPr="00C900CB" w:rsidRDefault="00C47F31" w:rsidP="00AB0F66">
      <w:pPr>
        <w:spacing w:after="0" w:line="240" w:lineRule="auto"/>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xml:space="preserve">Proyecto de Recomendación de ICCAT sobre tiburón peregrino y jaquetón blanco capturados en asociación con pesquerías gestionadas por ICCAT </w:t>
      </w:r>
    </w:p>
    <w:p w14:paraId="3DACE0B6" w14:textId="6DDBF1B4" w:rsidR="00506D0F" w:rsidRPr="00C900CB" w:rsidRDefault="00506D0F" w:rsidP="00AB0F66">
      <w:pPr>
        <w:spacing w:after="0" w:line="240" w:lineRule="auto"/>
        <w:jc w:val="center"/>
        <w:rPr>
          <w:rFonts w:ascii="Cambria" w:eastAsia="Calibri" w:hAnsi="Cambria" w:cs="Calibri"/>
          <w:b/>
          <w:bCs/>
          <w:color w:val="000000" w:themeColor="text1"/>
          <w:sz w:val="20"/>
          <w:szCs w:val="20"/>
        </w:rPr>
      </w:pPr>
    </w:p>
    <w:p w14:paraId="2E3BD60B" w14:textId="79B4247A" w:rsidR="00C47F31" w:rsidRPr="000C1681" w:rsidRDefault="00C47F31" w:rsidP="000C1681">
      <w:pPr>
        <w:widowControl w:val="0"/>
        <w:spacing w:after="0" w:line="240" w:lineRule="auto"/>
        <w:jc w:val="center"/>
        <w:rPr>
          <w:rFonts w:ascii="Cambria" w:eastAsia="Cambria" w:hAnsi="Cambria" w:cs="Cambria"/>
          <w:i/>
          <w:kern w:val="0"/>
          <w:sz w:val="20"/>
          <w:szCs w:val="20"/>
          <w14:ligatures w14:val="none"/>
        </w:rPr>
      </w:pPr>
      <w:r w:rsidRPr="00C900CB">
        <w:rPr>
          <w:rFonts w:ascii="Cambria" w:hAnsi="Cambria"/>
          <w:i/>
          <w:color w:val="000000" w:themeColor="text1"/>
          <w:sz w:val="20"/>
          <w:szCs w:val="20"/>
        </w:rPr>
        <w:t>(presentado por el Reino Unid</w:t>
      </w:r>
      <w:r w:rsidR="00B95175">
        <w:rPr>
          <w:rFonts w:ascii="Cambria" w:hAnsi="Cambria"/>
          <w:i/>
          <w:color w:val="000000" w:themeColor="text1"/>
          <w:sz w:val="20"/>
          <w:szCs w:val="20"/>
        </w:rPr>
        <w:t>o</w:t>
      </w:r>
      <w:r w:rsidR="004A7A63">
        <w:rPr>
          <w:rFonts w:ascii="Cambria" w:hAnsi="Cambria"/>
          <w:i/>
          <w:color w:val="000000" w:themeColor="text1"/>
          <w:sz w:val="20"/>
          <w:szCs w:val="20"/>
        </w:rPr>
        <w:t xml:space="preserve">, </w:t>
      </w:r>
      <w:r w:rsidR="004A7A63" w:rsidRPr="004A7A63">
        <w:rPr>
          <w:rFonts w:ascii="Cambria" w:hAnsi="Cambria"/>
          <w:i/>
          <w:sz w:val="20"/>
          <w:szCs w:val="20"/>
        </w:rPr>
        <w:t>Brasil</w:t>
      </w:r>
      <w:r w:rsidR="000C1681" w:rsidRPr="000C1681">
        <w:rPr>
          <w:rFonts w:ascii="Cambria" w:hAnsi="Cambria"/>
          <w:i/>
          <w:sz w:val="20"/>
          <w:szCs w:val="20"/>
        </w:rPr>
        <w:t>, Marruecos</w:t>
      </w:r>
      <w:r w:rsidR="00B95175" w:rsidRPr="00B95175">
        <w:rPr>
          <w:rFonts w:ascii="Cambria" w:hAnsi="Cambria"/>
          <w:i/>
          <w:sz w:val="20"/>
          <w:szCs w:val="20"/>
        </w:rPr>
        <w:t>, Sudáfrica</w:t>
      </w:r>
      <w:r w:rsidR="00B95175">
        <w:rPr>
          <w:rFonts w:ascii="Cambria" w:hAnsi="Cambria"/>
          <w:i/>
          <w:sz w:val="20"/>
          <w:szCs w:val="20"/>
          <w:u w:val="single"/>
        </w:rPr>
        <w:t xml:space="preserve"> y Canadá</w:t>
      </w:r>
      <w:r w:rsidRPr="00C900CB">
        <w:rPr>
          <w:rFonts w:ascii="Cambria" w:hAnsi="Cambria"/>
          <w:i/>
          <w:color w:val="000000" w:themeColor="text1"/>
          <w:sz w:val="20"/>
          <w:szCs w:val="20"/>
        </w:rPr>
        <w:t>)</w:t>
      </w:r>
    </w:p>
    <w:p w14:paraId="04EA5E99" w14:textId="77777777" w:rsidR="00C47F31" w:rsidRPr="00C900CB" w:rsidRDefault="00C47F31" w:rsidP="00AB0F66">
      <w:pPr>
        <w:spacing w:after="0" w:line="240" w:lineRule="auto"/>
        <w:jc w:val="center"/>
        <w:rPr>
          <w:rFonts w:ascii="Cambria" w:eastAsia="Aptos" w:hAnsi="Cambria" w:cs="Aptos"/>
          <w:sz w:val="20"/>
          <w:szCs w:val="20"/>
        </w:rPr>
      </w:pPr>
    </w:p>
    <w:p w14:paraId="62158990" w14:textId="50284BB5" w:rsidR="125F9628" w:rsidRPr="00C900CB" w:rsidRDefault="4DF291B1"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OBSERVANDO</w:t>
      </w:r>
      <w:r w:rsidRPr="00C900CB">
        <w:rPr>
          <w:rFonts w:ascii="Cambria" w:hAnsi="Cambria"/>
          <w:sz w:val="20"/>
          <w:szCs w:val="20"/>
        </w:rPr>
        <w:t xml:space="preserve"> que el Artículo 5 del Acuerdo de Naciones Unidas sobre las poblaciones de peces (</w:t>
      </w:r>
      <w:proofErr w:type="spellStart"/>
      <w:r w:rsidRPr="00C900CB">
        <w:rPr>
          <w:rFonts w:ascii="Cambria" w:hAnsi="Cambria"/>
          <w:sz w:val="20"/>
          <w:szCs w:val="20"/>
        </w:rPr>
        <w:t>UNFSA</w:t>
      </w:r>
      <w:proofErr w:type="spellEnd"/>
      <w:r w:rsidRPr="00C900CB">
        <w:rPr>
          <w:rFonts w:ascii="Cambria" w:hAnsi="Cambria"/>
          <w:sz w:val="20"/>
          <w:szCs w:val="20"/>
        </w:rPr>
        <w:t>) requiere que los Estados de pabellón de los buques pesqueros que capturan especies altamente migratorias reduzcan al mínimo los impactos sobre las especies capturadas de forma fortuita, protejan la biodiversidad marina y recopilen los datos pertinentes para el desarrollo de medidas adecuadas de conservación y ordenación basadas en la ciencia para garantizar la protección de dichas especies;</w:t>
      </w:r>
    </w:p>
    <w:p w14:paraId="245D1615" w14:textId="77777777" w:rsidR="002E75AE" w:rsidRPr="00C900CB" w:rsidRDefault="002E75AE" w:rsidP="002E75AE">
      <w:pPr>
        <w:spacing w:after="0" w:line="240" w:lineRule="auto"/>
        <w:jc w:val="both"/>
        <w:rPr>
          <w:rFonts w:ascii="Cambria" w:eastAsia="Cambria" w:hAnsi="Cambria" w:cs="Cambria"/>
          <w:i/>
          <w:sz w:val="20"/>
          <w:szCs w:val="20"/>
        </w:rPr>
      </w:pPr>
    </w:p>
    <w:p w14:paraId="176A75AD" w14:textId="088ECE93" w:rsidR="00445693" w:rsidRPr="00C900CB" w:rsidRDefault="4661D84C"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iCs/>
          <w:sz w:val="20"/>
          <w:szCs w:val="20"/>
        </w:rPr>
        <w:t>CONSIDERANDO</w:t>
      </w:r>
      <w:r w:rsidRPr="00C900CB">
        <w:rPr>
          <w:rFonts w:ascii="Cambria" w:hAnsi="Cambria"/>
          <w:sz w:val="20"/>
          <w:szCs w:val="20"/>
        </w:rPr>
        <w:t xml:space="preserve"> que el tiburón peregrino (</w:t>
      </w:r>
      <w:r w:rsidRPr="00C900CB">
        <w:rPr>
          <w:rFonts w:ascii="Cambria" w:hAnsi="Cambria"/>
          <w:i/>
          <w:iCs/>
          <w:sz w:val="20"/>
          <w:szCs w:val="20"/>
        </w:rPr>
        <w:t>Cetorhinus maximus</w:t>
      </w:r>
      <w:r w:rsidRPr="00C900CB">
        <w:rPr>
          <w:rFonts w:ascii="Cambria" w:hAnsi="Cambria"/>
          <w:sz w:val="20"/>
          <w:szCs w:val="20"/>
        </w:rPr>
        <w:t>) y el jaquetón blanco (</w:t>
      </w:r>
      <w:r w:rsidRPr="00C900CB">
        <w:rPr>
          <w:rFonts w:ascii="Cambria" w:hAnsi="Cambria"/>
          <w:i/>
          <w:iCs/>
          <w:sz w:val="20"/>
          <w:szCs w:val="20"/>
        </w:rPr>
        <w:t>Carcharodon carcharias</w:t>
      </w:r>
      <w:r w:rsidRPr="00C900CB">
        <w:rPr>
          <w:rFonts w:ascii="Cambria" w:hAnsi="Cambria"/>
          <w:sz w:val="20"/>
          <w:szCs w:val="20"/>
        </w:rPr>
        <w:t>) se capturan en asociación con las pesquerías de ICCAT;</w:t>
      </w:r>
    </w:p>
    <w:p w14:paraId="7DBB51AE" w14:textId="77777777" w:rsidR="002E75AE" w:rsidRPr="00C900CB" w:rsidRDefault="002E75AE" w:rsidP="002E75AE">
      <w:pPr>
        <w:spacing w:after="0" w:line="240" w:lineRule="auto"/>
        <w:jc w:val="both"/>
        <w:rPr>
          <w:rFonts w:ascii="Cambria" w:eastAsia="Cambria" w:hAnsi="Cambria" w:cs="Cambria"/>
          <w:i/>
          <w:sz w:val="20"/>
          <w:szCs w:val="20"/>
        </w:rPr>
      </w:pPr>
    </w:p>
    <w:p w14:paraId="20BF44C8" w14:textId="2224ED96" w:rsidR="0F815F8B" w:rsidRPr="00C900CB" w:rsidRDefault="0F815F8B"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OBSERVANDO</w:t>
      </w:r>
      <w:r w:rsidRPr="00C900CB">
        <w:rPr>
          <w:rFonts w:ascii="Cambria" w:hAnsi="Cambria"/>
          <w:sz w:val="20"/>
          <w:szCs w:val="20"/>
        </w:rPr>
        <w:t xml:space="preserve"> que el tiburón peregrino y el jaquetón blanco presentan tasas de crecimiento lentas y una fecundidad muy reducida, y que las tasas de crecimiento de la población son muy bajas, lo que las hace extremadamente vulnerables a la sobrepesca;</w:t>
      </w:r>
    </w:p>
    <w:p w14:paraId="35A18409"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7D64494D" w14:textId="16397746" w:rsidR="4661D84C" w:rsidRPr="00C900CB"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sidRPr="00C900CB">
        <w:rPr>
          <w:rFonts w:ascii="Cambria" w:hAnsi="Cambria"/>
          <w:i/>
          <w:sz w:val="20"/>
          <w:szCs w:val="20"/>
        </w:rPr>
        <w:t>CONSIDERANDO</w:t>
      </w:r>
      <w:r w:rsidRPr="00C900CB">
        <w:rPr>
          <w:rFonts w:ascii="Cambria" w:hAnsi="Cambria"/>
          <w:sz w:val="20"/>
          <w:szCs w:val="20"/>
        </w:rPr>
        <w:t xml:space="preserve"> que el tiburón peregrino y el jaquetón blanco figuran en los Apéndices I y II de la Convención sobre la Conservación de las Especies Migratorias de Animales Silvestres (</w:t>
      </w:r>
      <w:proofErr w:type="spellStart"/>
      <w:r w:rsidRPr="00C900CB">
        <w:rPr>
          <w:rFonts w:ascii="Cambria" w:hAnsi="Cambria"/>
          <w:sz w:val="20"/>
          <w:szCs w:val="20"/>
        </w:rPr>
        <w:t>CMS</w:t>
      </w:r>
      <w:proofErr w:type="spellEnd"/>
      <w:r w:rsidRPr="00C900CB">
        <w:rPr>
          <w:rFonts w:ascii="Cambria" w:hAnsi="Cambria"/>
          <w:sz w:val="20"/>
          <w:szCs w:val="20"/>
        </w:rPr>
        <w:t>);</w:t>
      </w:r>
      <w:r w:rsidRPr="00C900CB">
        <w:rPr>
          <w:rFonts w:ascii="Cambria" w:hAnsi="Cambria"/>
          <w:color w:val="000000" w:themeColor="text1"/>
          <w:sz w:val="20"/>
          <w:szCs w:val="20"/>
        </w:rPr>
        <w:t xml:space="preserve"> </w:t>
      </w:r>
    </w:p>
    <w:p w14:paraId="5CE5BED2"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53E98ABE" w14:textId="10530B50" w:rsidR="001F599C" w:rsidRPr="00C900CB"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sidRPr="00C900CB">
        <w:rPr>
          <w:rFonts w:ascii="Cambria" w:hAnsi="Cambria"/>
          <w:i/>
          <w:iCs/>
          <w:sz w:val="20"/>
          <w:szCs w:val="20"/>
        </w:rPr>
        <w:t xml:space="preserve">CONSIDERANDO ADEMÁS </w:t>
      </w:r>
      <w:r w:rsidRPr="00C900CB">
        <w:rPr>
          <w:rFonts w:ascii="Cambria" w:hAnsi="Cambria"/>
          <w:sz w:val="20"/>
          <w:szCs w:val="20"/>
        </w:rPr>
        <w:t xml:space="preserve">que las Partes en la </w:t>
      </w:r>
      <w:proofErr w:type="spellStart"/>
      <w:r w:rsidRPr="00C900CB">
        <w:rPr>
          <w:rFonts w:ascii="Cambria" w:hAnsi="Cambria"/>
          <w:sz w:val="20"/>
          <w:szCs w:val="20"/>
        </w:rPr>
        <w:t>CMS</w:t>
      </w:r>
      <w:proofErr w:type="spellEnd"/>
      <w:r w:rsidRPr="00C900CB">
        <w:rPr>
          <w:rFonts w:ascii="Cambria" w:hAnsi="Cambria"/>
          <w:sz w:val="20"/>
          <w:szCs w:val="20"/>
        </w:rPr>
        <w:t xml:space="preserve"> "que sean Estados del área de distribución de una especie migratoria que figure en el Apéndice I prohibirán sacar de su ambiente natural animales de esa especie", y que varias flotas que operan en la zona del Convenio de ICCAT ya implementan medidas para proteger el tiburón peregrino y el jaquetón blanco;</w:t>
      </w:r>
    </w:p>
    <w:p w14:paraId="62D6A3EB" w14:textId="77777777" w:rsidR="002E75AE" w:rsidRPr="00C900CB" w:rsidRDefault="002E75AE" w:rsidP="002E75AE">
      <w:pPr>
        <w:spacing w:after="0" w:line="240" w:lineRule="auto"/>
        <w:jc w:val="both"/>
        <w:rPr>
          <w:rFonts w:ascii="Cambria" w:eastAsia="Cambria" w:hAnsi="Cambria" w:cs="Cambria"/>
          <w:sz w:val="20"/>
          <w:szCs w:val="20"/>
        </w:rPr>
      </w:pPr>
    </w:p>
    <w:p w14:paraId="6950E8C4" w14:textId="74D6786B" w:rsidR="003E3991" w:rsidRPr="00C900CB" w:rsidRDefault="003E3991"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 xml:space="preserve">RECONOCIENDO </w:t>
      </w:r>
      <w:r w:rsidRPr="00C900CB">
        <w:rPr>
          <w:rFonts w:ascii="Cambria" w:hAnsi="Cambria"/>
          <w:sz w:val="20"/>
          <w:szCs w:val="20"/>
        </w:rPr>
        <w:t>que el SCRS ha aconsejado anteriormente que “deben considerarse medidas de ordenación precautorias para los stocks con mayor vulnerabilidad biológica y preocupación por la conservación, y para los que existen muy pocos datos”, lo que podría aplicarse razonablemente al tiburón peregrino y al jaquetón blanco;</w:t>
      </w:r>
    </w:p>
    <w:p w14:paraId="4FE7A382"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C900CB" w:rsidRDefault="0BFBCD00" w:rsidP="002E75AE">
      <w:pPr>
        <w:tabs>
          <w:tab w:val="left" w:pos="426"/>
        </w:tabs>
        <w:spacing w:after="0" w:line="240" w:lineRule="auto"/>
        <w:ind w:firstLine="426"/>
        <w:jc w:val="both"/>
        <w:rPr>
          <w:rFonts w:ascii="Cambria" w:hAnsi="Cambria"/>
          <w:sz w:val="20"/>
          <w:szCs w:val="20"/>
        </w:rPr>
      </w:pPr>
      <w:r w:rsidRPr="00C900CB">
        <w:rPr>
          <w:rFonts w:ascii="Cambria" w:hAnsi="Cambria"/>
          <w:i/>
          <w:iCs/>
          <w:sz w:val="20"/>
          <w:szCs w:val="20"/>
        </w:rPr>
        <w:t>TOMANDO NOTA</w:t>
      </w:r>
      <w:r w:rsidRPr="00C900CB">
        <w:rPr>
          <w:rFonts w:ascii="Cambria" w:hAnsi="Cambria"/>
          <w:sz w:val="20"/>
          <w:szCs w:val="20"/>
        </w:rPr>
        <w:t xml:space="preserve"> de la solidez de las pruebas científicas presentadas al Grupo de especies de tiburones y al Subcomité de ecosistemas y captura fortuita, que demostraron que el tiburón peregrino y el jaquetón blanco presentan rasgos del ciclo vital, como una baja productividad y un crecimiento lento, que los hacen vulnerables a la sobrepesca;</w:t>
      </w:r>
    </w:p>
    <w:p w14:paraId="1F68BC70" w14:textId="77777777" w:rsidR="002E75AE" w:rsidRPr="00C900CB" w:rsidRDefault="002E75AE" w:rsidP="002E75AE">
      <w:pPr>
        <w:spacing w:after="0" w:line="240" w:lineRule="auto"/>
        <w:jc w:val="both"/>
        <w:rPr>
          <w:rFonts w:ascii="Cambria" w:eastAsia="Cambria" w:hAnsi="Cambria" w:cs="Cambria"/>
          <w:i/>
          <w:sz w:val="20"/>
          <w:szCs w:val="20"/>
        </w:rPr>
      </w:pPr>
    </w:p>
    <w:p w14:paraId="5CCBADB5" w14:textId="04788A92" w:rsidR="01DD3118" w:rsidRPr="00C900CB" w:rsidRDefault="0BFBCD00"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iCs/>
          <w:sz w:val="20"/>
          <w:szCs w:val="20"/>
        </w:rPr>
        <w:t>RECONOCIENDO</w:t>
      </w:r>
      <w:r w:rsidRPr="00C900CB">
        <w:rPr>
          <w:rFonts w:ascii="Cambria" w:hAnsi="Cambria"/>
          <w:sz w:val="20"/>
          <w:szCs w:val="20"/>
        </w:rPr>
        <w:t xml:space="preserve"> que el Subcomité de ecosistemas y captura fortuita "recomienda considerar tanto al tiburón peregrino como al jaquetón blanco como especies de mayor vulnerabilidad biológica y que la Comisión estudie medidas de ordenación precautorias para su conservación", y que el Grupo de especies de tiburones "recomendó considerar tanto al tiburón peregrino como al jaquetón blanco como especies de mayor vulnerabilidad biológica y que la Comisión estudie medidas de ordenación precautorias para su conservación. En concreto, deberían considerarse medidas similares a las adoptadas para las rayas mobúlidas (</w:t>
      </w:r>
      <w:r w:rsidRPr="00C900CB">
        <w:rPr>
          <w:rFonts w:ascii="Cambria" w:hAnsi="Cambria"/>
          <w:i/>
          <w:sz w:val="20"/>
          <w:szCs w:val="20"/>
        </w:rPr>
        <w:t xml:space="preserve">Recomendación de ICCAT que reemplaza la Recomendación 23-14 sobre rayas mobúlidas (familia </w:t>
      </w:r>
      <w:proofErr w:type="spellStart"/>
      <w:r w:rsidRPr="00C900CB">
        <w:rPr>
          <w:rFonts w:ascii="Cambria" w:hAnsi="Cambria"/>
          <w:i/>
          <w:sz w:val="20"/>
          <w:szCs w:val="20"/>
        </w:rPr>
        <w:t>Mobulidae</w:t>
      </w:r>
      <w:proofErr w:type="spellEnd"/>
      <w:r w:rsidRPr="00C900CB">
        <w:rPr>
          <w:rFonts w:ascii="Cambria" w:hAnsi="Cambria"/>
          <w:i/>
          <w:sz w:val="20"/>
          <w:szCs w:val="20"/>
        </w:rPr>
        <w:t xml:space="preserve">) capturadas en asociación con las pesquerías de ICCAT </w:t>
      </w:r>
      <w:r w:rsidRPr="00C900CB">
        <w:rPr>
          <w:rFonts w:ascii="Cambria" w:hAnsi="Cambria"/>
          <w:sz w:val="20"/>
          <w:szCs w:val="20"/>
        </w:rPr>
        <w:t>(Rec. 24-12)) y los tiburones ballena (</w:t>
      </w:r>
      <w:r w:rsidRPr="00C900CB">
        <w:rPr>
          <w:rFonts w:ascii="Cambria" w:hAnsi="Cambria"/>
          <w:i/>
          <w:iCs/>
          <w:sz w:val="20"/>
          <w:szCs w:val="20"/>
        </w:rPr>
        <w:t>Recomendación de ICCAT para la conservación del tiburón ballena (</w:t>
      </w:r>
      <w:proofErr w:type="spellStart"/>
      <w:r w:rsidRPr="00C900CB">
        <w:rPr>
          <w:rFonts w:ascii="Cambria" w:hAnsi="Cambria"/>
          <w:sz w:val="20"/>
          <w:szCs w:val="20"/>
        </w:rPr>
        <w:t>Rhincodon</w:t>
      </w:r>
      <w:proofErr w:type="spellEnd"/>
      <w:r w:rsidRPr="00C900CB">
        <w:rPr>
          <w:rFonts w:ascii="Cambria" w:hAnsi="Cambria"/>
          <w:sz w:val="20"/>
          <w:szCs w:val="20"/>
        </w:rPr>
        <w:t xml:space="preserve"> </w:t>
      </w:r>
      <w:proofErr w:type="spellStart"/>
      <w:r w:rsidRPr="00C900CB">
        <w:rPr>
          <w:rFonts w:ascii="Cambria" w:hAnsi="Cambria"/>
          <w:sz w:val="20"/>
          <w:szCs w:val="20"/>
        </w:rPr>
        <w:t>typus</w:t>
      </w:r>
      <w:proofErr w:type="spellEnd"/>
      <w:r w:rsidRPr="00C900CB">
        <w:rPr>
          <w:rFonts w:ascii="Cambria" w:hAnsi="Cambria"/>
          <w:i/>
          <w:iCs/>
          <w:sz w:val="20"/>
          <w:szCs w:val="20"/>
        </w:rPr>
        <w:t>) capturado en asociación con las pesquerías de ICCAT</w:t>
      </w:r>
      <w:r w:rsidRPr="00C900CB">
        <w:rPr>
          <w:rFonts w:ascii="Cambria" w:hAnsi="Cambria"/>
          <w:sz w:val="20"/>
          <w:szCs w:val="20"/>
        </w:rPr>
        <w:t xml:space="preserve"> (Rec. 23-12))”.  </w:t>
      </w:r>
    </w:p>
    <w:p w14:paraId="2B5224F7" w14:textId="77777777" w:rsidR="0034484E" w:rsidRPr="00C900CB"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C900CB"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C900CB" w:rsidRDefault="33F1BC33" w:rsidP="002E75AE">
      <w:pPr>
        <w:spacing w:after="0" w:line="240" w:lineRule="auto"/>
        <w:jc w:val="center"/>
        <w:rPr>
          <w:rFonts w:ascii="Cambria" w:eastAsia="Cambria" w:hAnsi="Cambria" w:cs="Cambria"/>
          <w:color w:val="000000" w:themeColor="text1"/>
          <w:sz w:val="20"/>
          <w:szCs w:val="20"/>
        </w:rPr>
      </w:pPr>
      <w:r w:rsidRPr="00C900CB">
        <w:rPr>
          <w:rFonts w:ascii="Cambria" w:hAnsi="Cambria"/>
          <w:color w:val="000000" w:themeColor="text1"/>
          <w:sz w:val="20"/>
          <w:szCs w:val="20"/>
        </w:rPr>
        <w:t xml:space="preserve">LA COMISIÓN INTERNACIONAL PARA LA CONSERVACIÓN </w:t>
      </w:r>
    </w:p>
    <w:p w14:paraId="2674574C" w14:textId="1011CD69" w:rsidR="3CF73AD2" w:rsidRPr="00C900CB" w:rsidRDefault="33F1BC33" w:rsidP="002E75AE">
      <w:pPr>
        <w:spacing w:after="0" w:line="240" w:lineRule="auto"/>
        <w:jc w:val="center"/>
        <w:rPr>
          <w:rFonts w:ascii="Cambria" w:eastAsia="Cambria" w:hAnsi="Cambria" w:cs="Cambria"/>
          <w:color w:val="000000" w:themeColor="text1"/>
          <w:sz w:val="20"/>
          <w:szCs w:val="20"/>
        </w:rPr>
      </w:pPr>
      <w:r w:rsidRPr="00C900CB">
        <w:rPr>
          <w:rFonts w:ascii="Cambria" w:hAnsi="Cambria"/>
          <w:color w:val="000000" w:themeColor="text1"/>
          <w:sz w:val="20"/>
          <w:szCs w:val="20"/>
        </w:rPr>
        <w:t>DEL ATÚN ATLÁNTICO (ICCAT) RECOMIENDA LO SIGUIENTE:</w:t>
      </w:r>
    </w:p>
    <w:p w14:paraId="6462E29D" w14:textId="77777777" w:rsidR="002E75AE" w:rsidRPr="00C900CB" w:rsidRDefault="002E75AE" w:rsidP="002E75AE">
      <w:pPr>
        <w:spacing w:after="0" w:line="240" w:lineRule="auto"/>
        <w:jc w:val="center"/>
        <w:rPr>
          <w:rFonts w:ascii="Cambria" w:eastAsia="Cambria" w:hAnsi="Cambria" w:cs="Cambria"/>
          <w:sz w:val="20"/>
          <w:szCs w:val="20"/>
        </w:rPr>
      </w:pPr>
    </w:p>
    <w:p w14:paraId="583808E8" w14:textId="19472BDF" w:rsidR="227051B1" w:rsidRPr="00C900CB"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Las Partes contratantes y Partes, Entidades o Entidades pesqueras no contratantes colaboradoras (en lo sucesivo denominadas CPC) prohibirán retener a bordo, transbordar, desembarcar o almacenar cualquier parte o la carcasa entera de tiburón peregrino (</w:t>
      </w:r>
      <w:r w:rsidRPr="00C900CB">
        <w:rPr>
          <w:rFonts w:ascii="Cambria" w:hAnsi="Cambria"/>
          <w:i/>
          <w:iCs/>
          <w:sz w:val="20"/>
          <w:szCs w:val="20"/>
        </w:rPr>
        <w:t>Cetorhinus maximus</w:t>
      </w:r>
      <w:r w:rsidRPr="00C900CB">
        <w:rPr>
          <w:rFonts w:ascii="Cambria" w:hAnsi="Cambria"/>
          <w:sz w:val="20"/>
          <w:szCs w:val="20"/>
        </w:rPr>
        <w:t>) y jaquetón blanco (</w:t>
      </w:r>
      <w:r w:rsidRPr="00C900CB">
        <w:rPr>
          <w:rFonts w:ascii="Cambria" w:hAnsi="Cambria"/>
          <w:i/>
          <w:sz w:val="20"/>
          <w:szCs w:val="20"/>
        </w:rPr>
        <w:t>Carcharodon carcharias</w:t>
      </w:r>
      <w:r w:rsidRPr="00C900CB">
        <w:rPr>
          <w:rFonts w:ascii="Cambria" w:hAnsi="Cambria"/>
          <w:sz w:val="20"/>
          <w:szCs w:val="20"/>
        </w:rPr>
        <w:t xml:space="preserve">), capturados en la zona del Convenio en asociación con las pesquerías de ICCAT. </w:t>
      </w:r>
    </w:p>
    <w:p w14:paraId="7D73D777" w14:textId="77777777" w:rsidR="002E75AE" w:rsidRPr="00C900CB"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99039B2" w:rsidR="227051B1" w:rsidRPr="00C900CB"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Las CPC exigirán a los buques que enarbolen su pabellón que liberen sin demora e ilesos, en la medida de lo posible, los ejemplares de tiburón peregrino y jaquetón blanco en cuanto los vean en la red, en el anzuelo o en el buque, de forma que se produzca el menor daño posible al ejemplar, prestando la debida consideración a la seguridad de la tripulación y del buque.</w:t>
      </w:r>
    </w:p>
    <w:p w14:paraId="6BEB785D" w14:textId="77777777" w:rsidR="002E75AE" w:rsidRPr="00C900CB" w:rsidRDefault="002E75AE" w:rsidP="002E75AE">
      <w:pPr>
        <w:pStyle w:val="ListParagraph"/>
        <w:ind w:left="426" w:hanging="426"/>
        <w:rPr>
          <w:rFonts w:ascii="Cambria" w:eastAsia="Cambria" w:hAnsi="Cambria" w:cs="Cambria"/>
          <w:sz w:val="20"/>
          <w:szCs w:val="20"/>
        </w:rPr>
      </w:pPr>
    </w:p>
    <w:p w14:paraId="165E60CE" w14:textId="7780AD47" w:rsidR="00B423AA" w:rsidRPr="00C900CB"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 xml:space="preserve">De conformidad con los requisitos de la </w:t>
      </w:r>
      <w:r w:rsidRPr="00C900CB">
        <w:rPr>
          <w:rFonts w:ascii="Cambria" w:hAnsi="Cambria"/>
          <w:i/>
          <w:iCs/>
          <w:sz w:val="20"/>
          <w:szCs w:val="20"/>
        </w:rPr>
        <w:t xml:space="preserve">Recomendación de ICCAT para establecer normas mínimas para los programas de observadores científicos de buques pesqueros </w:t>
      </w:r>
      <w:r w:rsidRPr="00C900CB">
        <w:rPr>
          <w:rFonts w:ascii="Cambria" w:hAnsi="Cambria"/>
          <w:sz w:val="20"/>
          <w:szCs w:val="20"/>
        </w:rPr>
        <w:t xml:space="preserve">(Rec. 16-14), las CPC registrarán mediante sus programas internos de observadores el número de descartes y liberaciones de tiburón peregrino y jaquetón blanco capturados en las pesquerías de ICCAT y, cuando sea posible, una indicación de su estado (vivo o muerto). Estos datos deberían ser enviados a ICCAT. </w:t>
      </w:r>
    </w:p>
    <w:p w14:paraId="420CBF68" w14:textId="77777777" w:rsidR="002E75AE" w:rsidRPr="00C900CB"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Pr="00C900CB"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 retención de cualquier material biológico procedente del tiburón peregrino o del jaquetón blanco por parte de los observadores científicos debería ajustarse a la Rec. 13-10 y a otros requisitos nacionales pertinentes.</w:t>
      </w:r>
    </w:p>
    <w:p w14:paraId="39B128DA" w14:textId="77777777" w:rsidR="002E75AE" w:rsidRPr="00C900CB"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C900CB"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Cuando proceda, la Comisión y sus CPC deberían emprender, de forma individual y colectiva, esfuerzos de creación de capacidad y otras actividades de colaboración para respaldar la implementación efectiva de esta Recomendación, lo que incluye llegar a acuerdos de colaboración con otros organismos internacionales pertinentes. </w:t>
      </w:r>
    </w:p>
    <w:p w14:paraId="2C94DC84" w14:textId="77777777" w:rsidR="002E75AE" w:rsidRPr="00C900CB" w:rsidRDefault="002E75AE" w:rsidP="002E75AE">
      <w:pPr>
        <w:pStyle w:val="ListParagraph"/>
        <w:rPr>
          <w:rFonts w:ascii="Cambria" w:eastAsia="Cambria" w:hAnsi="Cambria" w:cs="Cambria"/>
          <w:sz w:val="20"/>
          <w:szCs w:val="20"/>
        </w:rPr>
      </w:pPr>
    </w:p>
    <w:p w14:paraId="1B511C60" w14:textId="6BDE1238" w:rsidR="0020375A" w:rsidRPr="00C900CB"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Style w:val="normaltextrun"/>
          <w:rFonts w:ascii="Cambria" w:hAnsi="Cambria"/>
          <w:sz w:val="20"/>
          <w:szCs w:val="20"/>
        </w:rPr>
        <w:t xml:space="preserve">En lo que respecta al jaquetón blanco, los párrafos 1 a 3 no se aplicarán a los buques pesqueros que faenen exclusivamente al norte de 55°N o al este de 10°O, es decir, fuera del área de distribución geográfica principal del jaquetón blanco en el océano Atlántico. </w:t>
      </w:r>
    </w:p>
    <w:p w14:paraId="6858371B" w14:textId="0C7DC8A1" w:rsidR="007F68C4" w:rsidRPr="00C900CB" w:rsidRDefault="007F68C4" w:rsidP="002E75AE">
      <w:pPr>
        <w:spacing w:after="0" w:line="240" w:lineRule="auto"/>
        <w:jc w:val="both"/>
        <w:rPr>
          <w:rFonts w:ascii="Cambria" w:eastAsia="Cambria" w:hAnsi="Cambria" w:cs="Cambria"/>
          <w:sz w:val="20"/>
          <w:szCs w:val="20"/>
        </w:rPr>
      </w:pPr>
    </w:p>
    <w:sectPr w:rsidR="007F68C4" w:rsidRPr="00C900CB" w:rsidSect="006D619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7567E4FE"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4_812</w:t>
    </w:r>
    <w:r w:rsidR="00D41169">
      <w:rPr>
        <w:rFonts w:ascii="Cambria" w:hAnsi="Cambria"/>
        <w:b/>
        <w:sz w:val="20"/>
      </w:rPr>
      <w:t>_SPONS_</w:t>
    </w:r>
    <w:r w:rsidR="00B95175">
      <w:rPr>
        <w:rFonts w:ascii="Cambria" w:hAnsi="Cambria"/>
        <w:b/>
        <w:sz w:val="20"/>
      </w:rPr>
      <w:t>4</w:t>
    </w:r>
    <w:r>
      <w:rPr>
        <w:rFonts w:ascii="Cambria" w:hAnsi="Cambria"/>
        <w:b/>
        <w:sz w:val="20"/>
      </w:rPr>
      <w:t>/2025</w:t>
    </w:r>
  </w:p>
  <w:p w14:paraId="635ED5C4" w14:textId="009C46E3"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B95175">
      <w:rPr>
        <w:rFonts w:ascii="Cambria" w:eastAsia="Calibri" w:hAnsi="Cambria" w:cs="Times New Roman"/>
        <w:b/>
        <w:noProof/>
        <w:sz w:val="16"/>
      </w:rPr>
      <w:t>21/11/2025 10:22</w:t>
    </w:r>
    <w:r w:rsidRPr="00AA236C">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B754B0EE"/>
    <w:lvl w:ilvl="0" w:tplc="1A4E94D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 w:numId="10" w16cid:durableId="324363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0750F"/>
    <w:rsid w:val="00013E42"/>
    <w:rsid w:val="00024782"/>
    <w:rsid w:val="00042479"/>
    <w:rsid w:val="000435DB"/>
    <w:rsid w:val="000635B1"/>
    <w:rsid w:val="000640E3"/>
    <w:rsid w:val="000A0C58"/>
    <w:rsid w:val="000B0D02"/>
    <w:rsid w:val="000C1681"/>
    <w:rsid w:val="000D62CB"/>
    <w:rsid w:val="000F5040"/>
    <w:rsid w:val="001046E7"/>
    <w:rsid w:val="00106593"/>
    <w:rsid w:val="00112714"/>
    <w:rsid w:val="00116B99"/>
    <w:rsid w:val="0012000A"/>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295D"/>
    <w:rsid w:val="002148D6"/>
    <w:rsid w:val="00224DA5"/>
    <w:rsid w:val="0025020D"/>
    <w:rsid w:val="00250C2F"/>
    <w:rsid w:val="00261E26"/>
    <w:rsid w:val="002670F9"/>
    <w:rsid w:val="00286C29"/>
    <w:rsid w:val="00294C5B"/>
    <w:rsid w:val="002967F5"/>
    <w:rsid w:val="002B18A9"/>
    <w:rsid w:val="002D1BB6"/>
    <w:rsid w:val="002E75AE"/>
    <w:rsid w:val="00300A97"/>
    <w:rsid w:val="00300F00"/>
    <w:rsid w:val="00312BA8"/>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24159"/>
    <w:rsid w:val="00442FD0"/>
    <w:rsid w:val="00445693"/>
    <w:rsid w:val="00446905"/>
    <w:rsid w:val="00460E97"/>
    <w:rsid w:val="004809AE"/>
    <w:rsid w:val="0048221D"/>
    <w:rsid w:val="004A75AC"/>
    <w:rsid w:val="004A7A63"/>
    <w:rsid w:val="004B0ABA"/>
    <w:rsid w:val="004B6DC0"/>
    <w:rsid w:val="004D3F96"/>
    <w:rsid w:val="004D6D89"/>
    <w:rsid w:val="004F5FAB"/>
    <w:rsid w:val="00502DBD"/>
    <w:rsid w:val="00506D0F"/>
    <w:rsid w:val="0051110F"/>
    <w:rsid w:val="00517DB5"/>
    <w:rsid w:val="005243F7"/>
    <w:rsid w:val="00531425"/>
    <w:rsid w:val="00551570"/>
    <w:rsid w:val="005771DF"/>
    <w:rsid w:val="00580775"/>
    <w:rsid w:val="00580BA0"/>
    <w:rsid w:val="0058211A"/>
    <w:rsid w:val="00595060"/>
    <w:rsid w:val="005B0A86"/>
    <w:rsid w:val="005B647E"/>
    <w:rsid w:val="005B69F7"/>
    <w:rsid w:val="005C0F5E"/>
    <w:rsid w:val="005C74DF"/>
    <w:rsid w:val="005D5583"/>
    <w:rsid w:val="005E1200"/>
    <w:rsid w:val="005E3145"/>
    <w:rsid w:val="005F1C13"/>
    <w:rsid w:val="00613AEC"/>
    <w:rsid w:val="006203C2"/>
    <w:rsid w:val="006337F9"/>
    <w:rsid w:val="00653714"/>
    <w:rsid w:val="00664352"/>
    <w:rsid w:val="00693DC0"/>
    <w:rsid w:val="006C102F"/>
    <w:rsid w:val="006D6195"/>
    <w:rsid w:val="006E389F"/>
    <w:rsid w:val="00710DF7"/>
    <w:rsid w:val="00712EE1"/>
    <w:rsid w:val="0071703E"/>
    <w:rsid w:val="00723297"/>
    <w:rsid w:val="00725600"/>
    <w:rsid w:val="007350D8"/>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9040D3"/>
    <w:rsid w:val="009064EE"/>
    <w:rsid w:val="00917BCE"/>
    <w:rsid w:val="00946878"/>
    <w:rsid w:val="00964434"/>
    <w:rsid w:val="00970C3A"/>
    <w:rsid w:val="00971AEB"/>
    <w:rsid w:val="00977640"/>
    <w:rsid w:val="009A0F5C"/>
    <w:rsid w:val="009A268C"/>
    <w:rsid w:val="009A5CFF"/>
    <w:rsid w:val="009A6C39"/>
    <w:rsid w:val="009B579A"/>
    <w:rsid w:val="009C4471"/>
    <w:rsid w:val="00A00BBC"/>
    <w:rsid w:val="00A06660"/>
    <w:rsid w:val="00A074C9"/>
    <w:rsid w:val="00A50E10"/>
    <w:rsid w:val="00A5478A"/>
    <w:rsid w:val="00A54F15"/>
    <w:rsid w:val="00A624EA"/>
    <w:rsid w:val="00A70533"/>
    <w:rsid w:val="00A737FD"/>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95175"/>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00CB"/>
    <w:rsid w:val="00CE748B"/>
    <w:rsid w:val="00D03575"/>
    <w:rsid w:val="00D207EB"/>
    <w:rsid w:val="00D30AE4"/>
    <w:rsid w:val="00D32C30"/>
    <w:rsid w:val="00D3353A"/>
    <w:rsid w:val="00D41169"/>
    <w:rsid w:val="00D4119A"/>
    <w:rsid w:val="00D420CB"/>
    <w:rsid w:val="00D46D71"/>
    <w:rsid w:val="00D5119F"/>
    <w:rsid w:val="00D51644"/>
    <w:rsid w:val="00D716F5"/>
    <w:rsid w:val="00D95564"/>
    <w:rsid w:val="00DA2D74"/>
    <w:rsid w:val="00DA65DB"/>
    <w:rsid w:val="00DF1FFC"/>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EF39F6"/>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EF71EE"/>
  <w15:chartTrackingRefBased/>
  <w15:docId w15:val="{0F434E62-4774-4F62-A083-45C49C8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7DFE3-E7C3-41D2-86D5-D5046252EAB9}">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F8A153C8-3403-4125-B87B-FA78082D6062}">
  <ds:schemaRefs>
    <ds:schemaRef ds:uri="http://schemas.microsoft.com/sharepoint/v3/contenttype/forms"/>
  </ds:schemaRefs>
</ds:datastoreItem>
</file>

<file path=customXml/itemProps3.xml><?xml version="1.0" encoding="utf-8"?>
<ds:datastoreItem xmlns:ds="http://schemas.openxmlformats.org/officeDocument/2006/customXml" ds:itemID="{0DF08BAA-EBD5-4812-B2BB-907876B5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1350</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8</cp:revision>
  <dcterms:created xsi:type="dcterms:W3CDTF">2025-11-10T15:21:00Z</dcterms:created>
  <dcterms:modified xsi:type="dcterms:W3CDTF">2025-11-21T09:23:00Z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