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36692" w:rsidRDefault="00F96574" w:rsidP="00F96574">
      <w:pPr>
        <w:spacing w:after="0"/>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3451F472" w14:textId="046453B2" w:rsidR="00F96574" w:rsidRPr="0033669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00BB9573" w:rsidR="00F96574" w:rsidRPr="000B7DA0" w:rsidRDefault="00F96574" w:rsidP="00F96574">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sidR="00AC6D3F">
        <w:rPr>
          <w:rFonts w:ascii="Cambria" w:hAnsi="Cambria"/>
          <w:i/>
          <w:sz w:val="20"/>
        </w:rPr>
        <w:t xml:space="preserve">Royaume-Uni, </w:t>
      </w:r>
      <w:r w:rsidR="0034579A" w:rsidRPr="00AC6D3F">
        <w:rPr>
          <w:rFonts w:ascii="Cambria" w:hAnsi="Cambria"/>
          <w:i/>
          <w:sz w:val="20"/>
        </w:rPr>
        <w:t>le Brésil</w:t>
      </w:r>
      <w:r w:rsidR="000B7DA0">
        <w:rPr>
          <w:rFonts w:ascii="Cambria" w:hAnsi="Cambria"/>
          <w:i/>
          <w:sz w:val="20"/>
        </w:rPr>
        <w:t>,</w:t>
      </w:r>
      <w:r w:rsidR="00AC6D3F" w:rsidRPr="000B7DA0">
        <w:rPr>
          <w:rFonts w:ascii="Cambria" w:hAnsi="Cambria"/>
          <w:i/>
          <w:sz w:val="20"/>
        </w:rPr>
        <w:t xml:space="preserve"> le Maroc</w:t>
      </w:r>
      <w:r w:rsidR="000B7DA0">
        <w:rPr>
          <w:rFonts w:ascii="Cambria" w:hAnsi="Cambria"/>
          <w:i/>
          <w:sz w:val="20"/>
        </w:rPr>
        <w:t xml:space="preserve"> </w:t>
      </w:r>
      <w:r w:rsidR="000B7DA0">
        <w:rPr>
          <w:rFonts w:ascii="Cambria" w:hAnsi="Cambria"/>
          <w:i/>
          <w:sz w:val="20"/>
          <w:u w:val="single"/>
        </w:rPr>
        <w:t>et l’Afrique du Sud</w:t>
      </w:r>
      <w:r w:rsidRPr="000B7DA0">
        <w:rPr>
          <w:rFonts w:ascii="Cambria" w:hAnsi="Cambria"/>
          <w:i/>
          <w:sz w:val="20"/>
        </w:rPr>
        <w:t>)</w:t>
      </w:r>
    </w:p>
    <w:p w14:paraId="070140E5" w14:textId="77777777" w:rsidR="00F96574" w:rsidRPr="00652283" w:rsidRDefault="00F96574" w:rsidP="00F96574">
      <w:pPr>
        <w:pStyle w:val="Default"/>
        <w:rPr>
          <w:sz w:val="20"/>
          <w:szCs w:val="20"/>
        </w:rPr>
      </w:pPr>
    </w:p>
    <w:p w14:paraId="3C283878" w14:textId="77777777" w:rsidR="00F96574" w:rsidRPr="00652283"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93254"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Pr>
          <w:rFonts w:ascii="Cambria" w:hAnsi="Cambria"/>
          <w:b/>
          <w:sz w:val="20"/>
        </w:rPr>
        <w:t>Titre de la proposition de projet de Recommandation/Résolution :</w:t>
      </w:r>
      <w:r>
        <w:rPr>
          <w:rFonts w:ascii="Cambria" w:hAnsi="Cambria"/>
          <w:sz w:val="20"/>
        </w:rPr>
        <w:t xml:space="preserve"> </w:t>
      </w:r>
      <w:r>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52283"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Default="00EA2058" w:rsidP="00EA2058">
      <w:pPr>
        <w:widowControl w:val="0"/>
        <w:autoSpaceDE w:val="0"/>
        <w:autoSpaceDN w:val="0"/>
        <w:spacing w:after="0" w:line="240" w:lineRule="auto"/>
        <w:jc w:val="both"/>
      </w:pPr>
      <w:r>
        <w:rPr>
          <w:rFonts w:ascii="Cambria" w:hAnsi="Cambria"/>
          <w:b/>
          <w:sz w:val="20"/>
        </w:rPr>
        <w:t>Titre de la ou des Recommandations ou Résolutions en vigueur traitant des mêmes questions ou de questions connexes :</w:t>
      </w:r>
      <w:r>
        <w:rPr>
          <w:rFonts w:ascii="Cambria" w:hAnsi="Cambria"/>
          <w:b/>
          <w:color w:val="000000" w:themeColor="text1"/>
          <w:sz w:val="20"/>
        </w:rPr>
        <w:t xml:space="preserve">  </w:t>
      </w:r>
      <w:r>
        <w:rPr>
          <w:rFonts w:ascii="Cambria" w:hAnsi="Cambria"/>
          <w:color w:val="EE0000"/>
          <w:sz w:val="20"/>
        </w:rPr>
        <w:t>N/A</w:t>
      </w:r>
    </w:p>
    <w:p w14:paraId="0A05991F" w14:textId="77777777" w:rsidR="002148D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893254"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Pr>
          <w:rFonts w:ascii="Cambria" w:hAnsi="Cambria"/>
          <w:sz w:val="20"/>
        </w:rPr>
        <w:t>1.</w:t>
      </w:r>
      <w:r>
        <w:rPr>
          <w:rFonts w:ascii="Cambria" w:hAnsi="Cambria"/>
          <w:sz w:val="20"/>
        </w:rPr>
        <w:tab/>
        <w:t xml:space="preserve">Cela crée-t-il de nouvelles </w:t>
      </w:r>
      <w:r>
        <w:rPr>
          <w:rFonts w:ascii="Cambria" w:hAnsi="Cambria"/>
          <w:b/>
          <w:sz w:val="20"/>
        </w:rPr>
        <w:t xml:space="preserve">obligations de déclaration </w:t>
      </w:r>
      <w:r>
        <w:rPr>
          <w:rFonts w:ascii="Cambria" w:hAnsi="Cambria"/>
          <w:sz w:val="20"/>
        </w:rPr>
        <w:t xml:space="preserve">pour les CPC ?     </w:t>
      </w: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sz w:val="20"/>
        </w:rPr>
        <w:tab/>
      </w:r>
      <w:r>
        <w:rPr>
          <w:rFonts w:ascii="Cambria" w:hAnsi="Cambria"/>
          <w:color w:val="EE0000"/>
          <w:sz w:val="20"/>
        </w:rPr>
        <w:t xml:space="preserve">Non  </w:t>
      </w:r>
      <w:r>
        <w:rPr>
          <w:rFonts w:ascii="MS Gothic" w:hAnsi="MS Gothic"/>
          <w:color w:val="EE0000"/>
          <w:sz w:val="20"/>
        </w:rPr>
        <w:t>☒</w:t>
      </w:r>
    </w:p>
    <w:p w14:paraId="6D145A1B"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Pr>
          <w:rFonts w:ascii="Cambria" w:hAnsi="Cambria"/>
          <w:sz w:val="20"/>
        </w:rPr>
        <w:t>2.</w:t>
      </w:r>
      <w:r>
        <w:rPr>
          <w:rFonts w:ascii="Cambria" w:hAnsi="Cambria"/>
          <w:sz w:val="20"/>
        </w:rPr>
        <w:tab/>
        <w:t xml:space="preserve">Cela nécessite-t-il une contribution ou un </w:t>
      </w:r>
      <w:r>
        <w:rPr>
          <w:rFonts w:ascii="Cambria" w:hAnsi="Cambria"/>
          <w:b/>
          <w:bCs/>
          <w:sz w:val="20"/>
        </w:rPr>
        <w:t>travail supplémentaire de la part du SCRS</w:t>
      </w:r>
      <w:r>
        <w:rPr>
          <w:rFonts w:ascii="Cambria" w:hAnsi="Cambria"/>
          <w:sz w:val="20"/>
        </w:rPr>
        <w:t xml:space="preserve"> ? </w:t>
      </w:r>
      <w:r>
        <w:rPr>
          <w:rFonts w:ascii="Cambria" w:hAnsi="Cambria"/>
          <w:color w:val="000000" w:themeColor="text1"/>
          <w:sz w:val="20"/>
        </w:rPr>
        <w:t xml:space="preserve">Oui </w:t>
      </w:r>
      <w:r>
        <w:rPr>
          <w:rFonts w:ascii="Segoe UI Symbol" w:hAnsi="Segoe UI Symbol"/>
          <w:color w:val="000000" w:themeColor="text1"/>
          <w:sz w:val="20"/>
        </w:rPr>
        <w:t>☐</w:t>
      </w:r>
      <w:r w:rsidR="0029028B">
        <w:rPr>
          <w:rFonts w:ascii="Segoe UI Symbol" w:hAnsi="Segoe UI Symbol"/>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7718E07C" w14:textId="77777777" w:rsidR="00893254" w:rsidRPr="00652283"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Pr>
          <w:sz w:val="20"/>
        </w:rPr>
        <w:t xml:space="preserve">Ce travail est-il déjà inclus dans le plan de travail actuel du SCRS ? Oui </w:t>
      </w:r>
      <w:r>
        <w:rPr>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25F7259A" w14:textId="78B33E9D" w:rsidR="00893254" w:rsidRPr="00652283"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Default="002148D6" w:rsidP="0029028B">
      <w:pPr>
        <w:widowControl w:val="0"/>
        <w:tabs>
          <w:tab w:val="left" w:pos="426"/>
        </w:tabs>
        <w:spacing w:after="0" w:line="240" w:lineRule="auto"/>
        <w:ind w:left="360" w:hanging="360"/>
        <w:jc w:val="both"/>
        <w:rPr>
          <w:rFonts w:ascii="Cambria" w:hAnsi="Cambria"/>
          <w:sz w:val="20"/>
        </w:rPr>
      </w:pPr>
      <w:r>
        <w:rPr>
          <w:rFonts w:ascii="Cambria" w:hAnsi="Cambria"/>
          <w:sz w:val="20"/>
        </w:rPr>
        <w:t>3.</w:t>
      </w:r>
      <w:r>
        <w:rPr>
          <w:rFonts w:ascii="Cambria" w:hAnsi="Cambria"/>
          <w:sz w:val="20"/>
        </w:rPr>
        <w:tab/>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w:t>
      </w:r>
    </w:p>
    <w:p w14:paraId="342E2F2C" w14:textId="0A8E0678" w:rsidR="00C029D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Pr>
          <w:rFonts w:ascii="Cambria" w:hAnsi="Cambria"/>
          <w:sz w:val="20"/>
        </w:rPr>
        <w:tab/>
      </w:r>
      <w:r>
        <w:rPr>
          <w:rFonts w:ascii="Cambria" w:hAnsi="Cambria"/>
          <w:sz w:val="20"/>
        </w:rPr>
        <w:tab/>
      </w:r>
      <w:r w:rsidR="002148D6">
        <w:rPr>
          <w:rFonts w:ascii="Cambria" w:hAnsi="Cambria"/>
          <w:color w:val="000000" w:themeColor="text1"/>
          <w:sz w:val="20"/>
        </w:rPr>
        <w:t xml:space="preserve">Oui  </w:t>
      </w:r>
      <w:r w:rsidR="002148D6">
        <w:rPr>
          <w:rFonts w:ascii="Segoe UI Symbol" w:hAnsi="Segoe UI Symbol"/>
          <w:color w:val="000000" w:themeColor="text1"/>
          <w:sz w:val="20"/>
        </w:rPr>
        <w:t>☐</w:t>
      </w:r>
      <w:r w:rsidR="002148D6">
        <w:rPr>
          <w:rFonts w:ascii="Cambria" w:hAnsi="Cambria"/>
          <w:color w:val="000000" w:themeColor="text1"/>
          <w:sz w:val="20"/>
        </w:rPr>
        <w:t xml:space="preserve"> </w:t>
      </w:r>
      <w:r w:rsidR="002148D6">
        <w:rPr>
          <w:rFonts w:ascii="Cambria" w:hAnsi="Cambria"/>
          <w:sz w:val="20"/>
        </w:rPr>
        <w:t xml:space="preserve">      </w:t>
      </w:r>
      <w:r w:rsidR="002148D6">
        <w:rPr>
          <w:rFonts w:ascii="Cambria" w:hAnsi="Cambria"/>
          <w:color w:val="EE0000"/>
          <w:sz w:val="20"/>
        </w:rPr>
        <w:t xml:space="preserve">Non  </w:t>
      </w:r>
      <w:r w:rsidR="002148D6">
        <w:rPr>
          <w:rFonts w:ascii="MS Gothic" w:hAnsi="MS Gothic"/>
          <w:color w:val="EE0000"/>
          <w:sz w:val="20"/>
        </w:rPr>
        <w:t>☒</w:t>
      </w:r>
    </w:p>
    <w:p w14:paraId="6D5A32B2" w14:textId="6AD48AAA" w:rsidR="00893254" w:rsidRPr="00652283"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893254"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Pr>
          <w:rFonts w:ascii="Cambria" w:hAnsi="Cambria"/>
          <w:sz w:val="20"/>
        </w:rPr>
        <w:t>4.</w:t>
      </w:r>
      <w:r>
        <w:rPr>
          <w:rFonts w:ascii="Cambria" w:hAnsi="Cambria"/>
          <w:sz w:val="20"/>
        </w:rPr>
        <w:tab/>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6967A310"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color w:val="000000" w:themeColor="text1"/>
          <w:sz w:val="20"/>
        </w:rPr>
        <w:t xml:space="preserve"> </w:t>
      </w:r>
      <w:r>
        <w:rPr>
          <w:rFonts w:ascii="Cambria" w:hAnsi="Cambria"/>
          <w:sz w:val="20"/>
        </w:rPr>
        <w:t xml:space="preserve">      </w:t>
      </w:r>
      <w:r>
        <w:rPr>
          <w:rFonts w:ascii="Cambria" w:hAnsi="Cambria"/>
          <w:color w:val="EE0000"/>
          <w:sz w:val="20"/>
        </w:rPr>
        <w:t xml:space="preserve">Non  </w:t>
      </w:r>
      <w:r>
        <w:rPr>
          <w:rFonts w:ascii="MS Gothic" w:hAnsi="MS Gothic"/>
          <w:color w:val="EE0000"/>
          <w:sz w:val="20"/>
        </w:rPr>
        <w:t>☒</w:t>
      </w:r>
    </w:p>
    <w:p w14:paraId="47E79D9D" w14:textId="26463849" w:rsidR="00893254" w:rsidRPr="00652283"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5.</w:t>
      </w:r>
      <w:r>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93254"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Pr>
          <w:rFonts w:ascii="Cambria" w:hAnsi="Cambria"/>
          <w:color w:val="EE0000"/>
          <w:sz w:val="20"/>
        </w:rPr>
        <w:t xml:space="preserve">Mise en œuvre uniforme pour toutes les CPC avec date d'entrée en vigueur par défaut. </w:t>
      </w:r>
    </w:p>
    <w:p w14:paraId="7CBE9EDE"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52283"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6.</w:t>
      </w:r>
      <w:r>
        <w:rPr>
          <w:rFonts w:ascii="Cambria" w:hAnsi="Cambria"/>
          <w:sz w:val="20"/>
        </w:rPr>
        <w:tab/>
        <w:t>Existe-t-il d'autres informations pertinentes concernant les implications de la proposition en termes de ressources et de charge de travail ?</w:t>
      </w:r>
    </w:p>
    <w:p w14:paraId="687B1252" w14:textId="77777777" w:rsidR="00893254" w:rsidRPr="00652283"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93254"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Pr>
          <w:rFonts w:ascii="Cambria" w:hAnsi="Cambria"/>
          <w:color w:val="EE0000"/>
          <w:sz w:val="20"/>
        </w:rPr>
        <w:t>Non</w:t>
      </w:r>
    </w:p>
    <w:p w14:paraId="04A84588"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52283"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336692" w:rsidRDefault="00D32C30">
      <w:pPr>
        <w:rPr>
          <w:rFonts w:ascii="Cambria" w:eastAsia="Calibri" w:hAnsi="Cambria" w:cs="Calibri"/>
          <w:b/>
          <w:bCs/>
          <w:color w:val="000000" w:themeColor="text1"/>
          <w:sz w:val="20"/>
          <w:szCs w:val="20"/>
        </w:rPr>
      </w:pPr>
      <w:r>
        <w:br w:type="page"/>
      </w:r>
    </w:p>
    <w:p w14:paraId="79EC4392" w14:textId="482A1CEF" w:rsidR="00D32C30" w:rsidRDefault="00D32C30" w:rsidP="006D6195">
      <w:pPr>
        <w:spacing w:after="0" w:line="240" w:lineRule="auto"/>
        <w:jc w:val="right"/>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1AF316EA" w14:textId="77777777" w:rsidR="006D6195" w:rsidRPr="00652283" w:rsidRDefault="006D6195" w:rsidP="006D6195">
      <w:pPr>
        <w:spacing w:after="0" w:line="240" w:lineRule="auto"/>
        <w:jc w:val="center"/>
        <w:rPr>
          <w:rFonts w:ascii="Cambria" w:eastAsia="Calibri" w:hAnsi="Cambria" w:cs="Calibri"/>
          <w:b/>
          <w:bCs/>
          <w:color w:val="000000" w:themeColor="text1"/>
          <w:sz w:val="20"/>
          <w:szCs w:val="20"/>
        </w:rPr>
      </w:pPr>
    </w:p>
    <w:p w14:paraId="4942A447" w14:textId="77777777" w:rsidR="00C47F31" w:rsidRDefault="00C47F31" w:rsidP="006D6195">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Note explicative concernant le Projet de Recommandation de l’ICCAT concernant le requin pèlerin et le grand requin blanc capturés en association avec les pêcheries gérées par l’ICCAT </w:t>
      </w:r>
    </w:p>
    <w:p w14:paraId="595FFF73" w14:textId="54AE9979" w:rsidR="0034484E" w:rsidRPr="00336692" w:rsidRDefault="0034484E" w:rsidP="006D6195">
      <w:pPr>
        <w:spacing w:after="0" w:line="240" w:lineRule="auto"/>
        <w:jc w:val="center"/>
        <w:rPr>
          <w:rFonts w:ascii="Cambria" w:eastAsia="Calibri" w:hAnsi="Cambria" w:cs="Calibri"/>
          <w:b/>
          <w:bCs/>
          <w:color w:val="000000" w:themeColor="text1"/>
          <w:sz w:val="20"/>
          <w:szCs w:val="20"/>
        </w:rPr>
      </w:pPr>
    </w:p>
    <w:p w14:paraId="524025CD" w14:textId="4516166D" w:rsidR="00AC6D3F" w:rsidRPr="00AC6D3F" w:rsidRDefault="00AC6D3F" w:rsidP="00AC6D3F">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Pr>
          <w:rFonts w:ascii="Cambria" w:hAnsi="Cambria"/>
          <w:i/>
          <w:sz w:val="20"/>
        </w:rPr>
        <w:t xml:space="preserve">Royaume-Uni, </w:t>
      </w:r>
      <w:r w:rsidRPr="00AC6D3F">
        <w:rPr>
          <w:rFonts w:ascii="Cambria" w:hAnsi="Cambria"/>
          <w:i/>
          <w:sz w:val="20"/>
        </w:rPr>
        <w:t>le Brésil</w:t>
      </w:r>
      <w:r w:rsidR="000B7DA0">
        <w:rPr>
          <w:rFonts w:ascii="Cambria" w:hAnsi="Cambria"/>
          <w:i/>
          <w:sz w:val="20"/>
        </w:rPr>
        <w:t>,</w:t>
      </w:r>
      <w:r w:rsidRPr="000B7DA0">
        <w:rPr>
          <w:rFonts w:ascii="Cambria" w:hAnsi="Cambria"/>
          <w:i/>
          <w:sz w:val="20"/>
        </w:rPr>
        <w:t xml:space="preserve"> le Maroc</w:t>
      </w:r>
      <w:r w:rsidR="000B7DA0" w:rsidRPr="000B7DA0">
        <w:rPr>
          <w:rFonts w:ascii="Cambria" w:hAnsi="Cambria"/>
          <w:i/>
          <w:sz w:val="20"/>
        </w:rPr>
        <w:t xml:space="preserve"> </w:t>
      </w:r>
      <w:r w:rsidR="000B7DA0">
        <w:rPr>
          <w:rFonts w:ascii="Cambria" w:hAnsi="Cambria"/>
          <w:i/>
          <w:sz w:val="20"/>
          <w:u w:val="single"/>
        </w:rPr>
        <w:t>et l’Afrique du Sud</w:t>
      </w:r>
      <w:r w:rsidRPr="00AC6D3F">
        <w:rPr>
          <w:rFonts w:ascii="Cambria" w:hAnsi="Cambria"/>
          <w:i/>
          <w:sz w:val="20"/>
        </w:rPr>
        <w:t>)</w:t>
      </w:r>
    </w:p>
    <w:p w14:paraId="39C1F545" w14:textId="77777777" w:rsidR="006D6195" w:rsidRPr="00336692"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Pr>
          <w:rFonts w:ascii="Cambria" w:hAnsi="Cambria"/>
          <w:i/>
          <w:iCs/>
          <w:color w:val="000000" w:themeColor="text1"/>
          <w:sz w:val="20"/>
        </w:rPr>
        <w:t>Cetorhinus</w:t>
      </w:r>
      <w:proofErr w:type="spellEnd"/>
      <w:r>
        <w:rPr>
          <w:rFonts w:ascii="Cambria" w:hAnsi="Cambria"/>
          <w:i/>
          <w:iCs/>
          <w:color w:val="000000" w:themeColor="text1"/>
          <w:sz w:val="20"/>
        </w:rPr>
        <w:t xml:space="preserve"> </w:t>
      </w:r>
      <w:proofErr w:type="spellStart"/>
      <w:r>
        <w:rPr>
          <w:rFonts w:ascii="Cambria" w:hAnsi="Cambria"/>
          <w:i/>
          <w:iCs/>
          <w:color w:val="000000" w:themeColor="text1"/>
          <w:sz w:val="20"/>
        </w:rPr>
        <w:t>maximus</w:t>
      </w:r>
      <w:proofErr w:type="spellEnd"/>
      <w:r>
        <w:rPr>
          <w:rFonts w:ascii="Cambria" w:hAnsi="Cambria"/>
          <w:color w:val="000000" w:themeColor="text1"/>
          <w:sz w:val="20"/>
        </w:rPr>
        <w:t>) et le grand requin blanc (</w:t>
      </w:r>
      <w:r>
        <w:rPr>
          <w:rFonts w:ascii="Cambria" w:hAnsi="Cambria"/>
          <w:i/>
          <w:iCs/>
          <w:color w:val="000000" w:themeColor="text1"/>
          <w:sz w:val="20"/>
        </w:rPr>
        <w:t>Carcharodon carcharias</w:t>
      </w:r>
      <w:r>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5FA8B0BA" w14:textId="77777777"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La proposition vise à combler une lacune dans la couverture des Organisations régionales de gestion des pêches (ORGP), en soulignant que ce sont les deux seules espèces de requins réglementées par l’ICCAT qui figurent à l'annexe 1 de la Convention des Nations unies sur la conservation des espèces migratrices appartenant à la faune sauvage (CMS), mais qui ne sont actuellement pas soumises aux interdictions de rétention de l’ICCAT.  </w:t>
      </w:r>
    </w:p>
    <w:p w14:paraId="34081454"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336692" w:rsidRDefault="005F1C13" w:rsidP="006D6195">
      <w:pPr>
        <w:spacing w:after="0" w:line="240" w:lineRule="auto"/>
        <w:jc w:val="both"/>
        <w:rPr>
          <w:rFonts w:ascii="Cambria" w:eastAsia="Calibri" w:hAnsi="Cambria" w:cs="Calibri"/>
          <w:b/>
          <w:bCs/>
          <w:color w:val="000000" w:themeColor="text1"/>
          <w:sz w:val="20"/>
          <w:szCs w:val="20"/>
        </w:rPr>
      </w:pPr>
      <w:r>
        <w:rPr>
          <w:rFonts w:ascii="Cambria" w:hAnsi="Cambria"/>
          <w:color w:val="000000" w:themeColor="text1"/>
          <w:sz w:val="20"/>
        </w:rPr>
        <w:t>L'interdiction proposée de rétention à bord dans les pêcheries de l’ICCAT alignerait l’ICCAT sur la CMS et vise à renforcer la conservation de ces espèces, sachant que le requin pèlerin est considéré comme en danger et le grand requin blanc comme vulnérable par l'Union internationale pour la conservation de la nature (UICN) et que les deux espèces sont inscrites à l'annexe II de la Convention sur le commerce international des espèces de faune et de flore sauvages menacées d'extinction (CITES).</w:t>
      </w:r>
      <w:r>
        <w:rPr>
          <w:rFonts w:ascii="Cambria" w:hAnsi="Cambria"/>
          <w:b/>
          <w:color w:val="000000" w:themeColor="text1"/>
          <w:sz w:val="20"/>
        </w:rPr>
        <w:t>  </w:t>
      </w:r>
    </w:p>
    <w:p w14:paraId="384B9627" w14:textId="77777777" w:rsidR="0029028B" w:rsidRDefault="0029028B">
      <w:pPr>
        <w:rPr>
          <w:rFonts w:ascii="Cambria" w:hAnsi="Cambria"/>
          <w:b/>
          <w:color w:val="000000" w:themeColor="text1"/>
          <w:sz w:val="20"/>
        </w:rPr>
      </w:pPr>
      <w:r>
        <w:rPr>
          <w:rFonts w:ascii="Cambria" w:hAnsi="Cambria"/>
          <w:b/>
          <w:color w:val="000000" w:themeColor="text1"/>
          <w:sz w:val="20"/>
        </w:rPr>
        <w:br w:type="page"/>
      </w:r>
    </w:p>
    <w:p w14:paraId="29D47061" w14:textId="13AB93A3" w:rsidR="00AB0F66" w:rsidRDefault="00C47F31" w:rsidP="00AB0F66">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Projet de Recommandation de l’ICCAT concernant le requin pèlerin et le grand requin blanc capturés en association avec les pêcheries gérées par l’ICCAT </w:t>
      </w:r>
    </w:p>
    <w:p w14:paraId="3DACE0B6" w14:textId="6DDBF1B4" w:rsidR="00506D0F" w:rsidRDefault="00506D0F" w:rsidP="00AB0F66">
      <w:pPr>
        <w:spacing w:after="0" w:line="240" w:lineRule="auto"/>
        <w:jc w:val="center"/>
        <w:rPr>
          <w:rFonts w:ascii="Cambria" w:eastAsia="Calibri" w:hAnsi="Cambria" w:cs="Calibri"/>
          <w:b/>
          <w:bCs/>
          <w:color w:val="000000" w:themeColor="text1"/>
          <w:sz w:val="20"/>
          <w:szCs w:val="20"/>
        </w:rPr>
      </w:pPr>
    </w:p>
    <w:p w14:paraId="01F71406" w14:textId="4C8239D9" w:rsidR="00AC6D3F" w:rsidRPr="00AC6D3F" w:rsidRDefault="00AC6D3F" w:rsidP="00AC6D3F">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Pr>
          <w:rFonts w:ascii="Cambria" w:hAnsi="Cambria"/>
          <w:i/>
          <w:sz w:val="20"/>
        </w:rPr>
        <w:t xml:space="preserve">Royaume-Uni, </w:t>
      </w:r>
      <w:r w:rsidRPr="00AC6D3F">
        <w:rPr>
          <w:rFonts w:ascii="Cambria" w:hAnsi="Cambria"/>
          <w:i/>
          <w:sz w:val="20"/>
        </w:rPr>
        <w:t>le Brésil</w:t>
      </w:r>
      <w:r>
        <w:rPr>
          <w:rFonts w:ascii="Cambria" w:hAnsi="Cambria"/>
          <w:i/>
          <w:sz w:val="20"/>
        </w:rPr>
        <w:t xml:space="preserve"> </w:t>
      </w:r>
      <w:r w:rsidR="000B7DA0">
        <w:rPr>
          <w:rFonts w:ascii="Cambria" w:hAnsi="Cambria"/>
          <w:i/>
          <w:sz w:val="20"/>
        </w:rPr>
        <w:t>,</w:t>
      </w:r>
      <w:r w:rsidR="000B7DA0" w:rsidRPr="000B7DA0">
        <w:rPr>
          <w:rFonts w:ascii="Cambria" w:hAnsi="Cambria"/>
          <w:i/>
          <w:sz w:val="20"/>
        </w:rPr>
        <w:t xml:space="preserve"> le Maroc </w:t>
      </w:r>
      <w:r w:rsidR="000B7DA0">
        <w:rPr>
          <w:rFonts w:ascii="Cambria" w:hAnsi="Cambria"/>
          <w:i/>
          <w:sz w:val="20"/>
          <w:u w:val="single"/>
        </w:rPr>
        <w:t>et l’Afrique du Sud</w:t>
      </w:r>
      <w:r w:rsidRPr="00AC6D3F">
        <w:rPr>
          <w:rFonts w:ascii="Cambria" w:hAnsi="Cambria"/>
          <w:i/>
          <w:sz w:val="20"/>
        </w:rPr>
        <w:t>)</w:t>
      </w:r>
    </w:p>
    <w:p w14:paraId="04EA5E99" w14:textId="77777777" w:rsidR="00C47F31" w:rsidRPr="00336692" w:rsidRDefault="00C47F31" w:rsidP="00AB0F66">
      <w:pPr>
        <w:spacing w:after="0" w:line="240" w:lineRule="auto"/>
        <w:jc w:val="center"/>
        <w:rPr>
          <w:rFonts w:ascii="Cambria" w:eastAsia="Aptos" w:hAnsi="Cambria" w:cs="Aptos"/>
          <w:sz w:val="20"/>
          <w:szCs w:val="20"/>
        </w:rPr>
      </w:pPr>
    </w:p>
    <w:p w14:paraId="62158990" w14:textId="50284BB5" w:rsidR="125F9628" w:rsidRPr="00336692" w:rsidRDefault="4DF291B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NOTANT</w:t>
      </w:r>
      <w:r>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Default="002E75AE" w:rsidP="002E75AE">
      <w:pPr>
        <w:spacing w:after="0" w:line="240" w:lineRule="auto"/>
        <w:jc w:val="both"/>
        <w:rPr>
          <w:rFonts w:ascii="Cambria" w:eastAsia="Cambria" w:hAnsi="Cambria" w:cs="Cambria"/>
          <w:i/>
          <w:sz w:val="20"/>
          <w:szCs w:val="20"/>
        </w:rPr>
      </w:pPr>
    </w:p>
    <w:p w14:paraId="176A75AD" w14:textId="6A87F307" w:rsidR="00445693" w:rsidRPr="00336692" w:rsidRDefault="4661D84C" w:rsidP="002E75AE">
      <w:pPr>
        <w:tabs>
          <w:tab w:val="left" w:pos="426"/>
        </w:tabs>
        <w:spacing w:after="0" w:line="240" w:lineRule="auto"/>
        <w:ind w:firstLine="426"/>
        <w:jc w:val="both"/>
        <w:rPr>
          <w:rFonts w:ascii="Cambria" w:eastAsia="Cambria" w:hAnsi="Cambria" w:cs="Cambria"/>
          <w:sz w:val="20"/>
          <w:szCs w:val="20"/>
        </w:rPr>
      </w:pPr>
      <w:r>
        <w:rPr>
          <w:rFonts w:ascii="Cambria" w:hAnsi="Cambria"/>
          <w:i/>
          <w:iCs/>
          <w:sz w:val="20"/>
        </w:rPr>
        <w:t>CONSIDÉRANT</w:t>
      </w:r>
      <w:r>
        <w:rPr>
          <w:rFonts w:ascii="Cambria" w:hAnsi="Cambria"/>
          <w:sz w:val="20"/>
        </w:rPr>
        <w:t xml:space="preserve"> que le requin pèlerin (</w:t>
      </w:r>
      <w:proofErr w:type="spellStart"/>
      <w:r>
        <w:rPr>
          <w:rFonts w:ascii="Cambria" w:hAnsi="Cambria"/>
          <w:i/>
          <w:iCs/>
          <w:sz w:val="20"/>
        </w:rPr>
        <w:t>Cetorhinus</w:t>
      </w:r>
      <w:proofErr w:type="spellEnd"/>
      <w:r>
        <w:rPr>
          <w:rFonts w:ascii="Cambria" w:hAnsi="Cambria"/>
          <w:i/>
          <w:iCs/>
          <w:sz w:val="20"/>
        </w:rPr>
        <w:t xml:space="preserve"> </w:t>
      </w:r>
      <w:proofErr w:type="spellStart"/>
      <w:r>
        <w:rPr>
          <w:rFonts w:ascii="Cambria" w:hAnsi="Cambria"/>
          <w:i/>
          <w:iCs/>
          <w:sz w:val="20"/>
        </w:rPr>
        <w:t>maximus</w:t>
      </w:r>
      <w:proofErr w:type="spellEnd"/>
      <w:r>
        <w:rPr>
          <w:rFonts w:ascii="Cambria" w:hAnsi="Cambria"/>
          <w:sz w:val="20"/>
        </w:rPr>
        <w:t xml:space="preserve">) et le grand requin blanc </w:t>
      </w:r>
      <w:r>
        <w:rPr>
          <w:rFonts w:ascii="Cambria" w:hAnsi="Cambria"/>
          <w:i/>
          <w:iCs/>
          <w:sz w:val="20"/>
        </w:rPr>
        <w:t>(Carcharodon carcharias</w:t>
      </w:r>
      <w:r>
        <w:rPr>
          <w:rFonts w:ascii="Cambria" w:hAnsi="Cambria"/>
          <w:sz w:val="20"/>
        </w:rPr>
        <w:t>) sont capturés en association avec les pêcheries relevant de l'ICCAT</w:t>
      </w:r>
      <w:r w:rsidR="00900D07">
        <w:rPr>
          <w:rFonts w:ascii="Cambria" w:hAnsi="Cambria"/>
          <w:sz w:val="20"/>
        </w:rPr>
        <w:t> ;</w:t>
      </w:r>
    </w:p>
    <w:p w14:paraId="7DBB51AE" w14:textId="77777777" w:rsidR="002E75AE" w:rsidRDefault="002E75AE" w:rsidP="002E75AE">
      <w:pPr>
        <w:spacing w:after="0" w:line="240" w:lineRule="auto"/>
        <w:jc w:val="both"/>
        <w:rPr>
          <w:rFonts w:ascii="Cambria" w:eastAsia="Cambria" w:hAnsi="Cambria" w:cs="Cambria"/>
          <w:i/>
          <w:sz w:val="20"/>
          <w:szCs w:val="20"/>
        </w:rPr>
      </w:pPr>
    </w:p>
    <w:p w14:paraId="20BF44C8" w14:textId="2224ED96" w:rsidR="0F815F8B" w:rsidRPr="00336692" w:rsidRDefault="0F815F8B"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NOTANT </w:t>
      </w:r>
      <w:r>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336692"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CONSIDÉRANT</w:t>
      </w:r>
      <w:r>
        <w:rPr>
          <w:rFonts w:ascii="Cambria" w:hAnsi="Cambria"/>
          <w:sz w:val="20"/>
        </w:rPr>
        <w:t xml:space="preserve"> que le requin pèlerin et le grand requin blanc sont inscrits aux annexes I et II de la Convention sur la conservation des espèces migratrices appartenant à la faune sauvage (CMS) ;</w:t>
      </w:r>
      <w:r>
        <w:rPr>
          <w:rFonts w:ascii="Cambria" w:hAnsi="Cambria"/>
          <w:color w:val="000000" w:themeColor="text1"/>
          <w:sz w:val="20"/>
        </w:rPr>
        <w:t xml:space="preserve"> </w:t>
      </w:r>
    </w:p>
    <w:p w14:paraId="5CE5BED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3E98ABE" w14:textId="5C11EA9C" w:rsidR="001F599C" w:rsidRPr="00336692"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 xml:space="preserve">CONSIDÉRANT EN OUTRE </w:t>
      </w:r>
      <w:r>
        <w:rPr>
          <w:rFonts w:ascii="Cambria" w:hAnsi="Cambria"/>
          <w:sz w:val="20"/>
        </w:rPr>
        <w:t>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du requin pèlerin et du grand requin blanc</w:t>
      </w:r>
      <w:r w:rsidR="00900D07">
        <w:rPr>
          <w:rFonts w:ascii="Cambria" w:hAnsi="Cambria"/>
          <w:sz w:val="20"/>
        </w:rPr>
        <w:t> ;</w:t>
      </w:r>
    </w:p>
    <w:p w14:paraId="62D6A3EB" w14:textId="77777777" w:rsidR="002E75AE" w:rsidRDefault="002E75AE" w:rsidP="002E75AE">
      <w:pPr>
        <w:spacing w:after="0" w:line="240" w:lineRule="auto"/>
        <w:jc w:val="both"/>
        <w:rPr>
          <w:rFonts w:ascii="Cambria" w:eastAsia="Cambria" w:hAnsi="Cambria" w:cs="Cambria"/>
          <w:sz w:val="20"/>
          <w:szCs w:val="20"/>
        </w:rPr>
      </w:pPr>
    </w:p>
    <w:p w14:paraId="6950E8C4" w14:textId="74D6786B" w:rsidR="003E3991" w:rsidRPr="00336692" w:rsidRDefault="003E399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336692" w:rsidRDefault="0BFBCD00" w:rsidP="002E75AE">
      <w:pPr>
        <w:tabs>
          <w:tab w:val="left" w:pos="426"/>
        </w:tabs>
        <w:spacing w:after="0" w:line="240" w:lineRule="auto"/>
        <w:ind w:firstLine="426"/>
        <w:jc w:val="both"/>
        <w:rPr>
          <w:rFonts w:ascii="Cambria" w:hAnsi="Cambria"/>
          <w:sz w:val="20"/>
          <w:szCs w:val="20"/>
        </w:rPr>
      </w:pPr>
      <w:r>
        <w:rPr>
          <w:rFonts w:ascii="Cambria" w:hAnsi="Cambria"/>
          <w:i/>
          <w:iCs/>
          <w:sz w:val="20"/>
        </w:rPr>
        <w:t>NOTANT</w:t>
      </w:r>
      <w:r>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Default="002E75AE" w:rsidP="002E75AE">
      <w:pPr>
        <w:spacing w:after="0" w:line="240" w:lineRule="auto"/>
        <w:jc w:val="both"/>
        <w:rPr>
          <w:rFonts w:ascii="Cambria" w:eastAsia="Cambria" w:hAnsi="Cambria" w:cs="Cambria"/>
          <w:i/>
          <w:sz w:val="20"/>
          <w:szCs w:val="20"/>
        </w:rPr>
      </w:pPr>
    </w:p>
    <w:p w14:paraId="5CCBADB5" w14:textId="4BA521A0" w:rsidR="01DD3118" w:rsidRPr="00336692" w:rsidRDefault="0BFBCD00"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mobulidées (</w:t>
      </w:r>
      <w:r>
        <w:rPr>
          <w:rFonts w:ascii="Cambria" w:hAnsi="Cambria"/>
          <w:i/>
          <w:iCs/>
          <w:sz w:val="20"/>
        </w:rPr>
        <w:t xml:space="preserve">Recommandation de l’ICCAT remplaçant la Recommandation 23-14 sur les raies mobulidées (famille </w:t>
      </w:r>
      <w:proofErr w:type="spellStart"/>
      <w:r>
        <w:rPr>
          <w:rFonts w:ascii="Cambria" w:hAnsi="Cambria"/>
          <w:sz w:val="20"/>
        </w:rPr>
        <w:t>Mobulidae</w:t>
      </w:r>
      <w:proofErr w:type="spellEnd"/>
      <w:r>
        <w:rPr>
          <w:rFonts w:ascii="Cambria" w:hAnsi="Cambria"/>
          <w:i/>
          <w:iCs/>
          <w:sz w:val="20"/>
        </w:rPr>
        <w:t>) capturées en association avec les pêcheries de l’ICCAT</w:t>
      </w:r>
      <w:r>
        <w:rPr>
          <w:rFonts w:ascii="Cambria" w:hAnsi="Cambria"/>
          <w:sz w:val="20"/>
        </w:rPr>
        <w:t xml:space="preserve"> (Rec. 24-12)) et le requin-baleine (</w:t>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 devraient être envisagées »</w:t>
      </w:r>
      <w:r w:rsidR="0029028B">
        <w:rPr>
          <w:rFonts w:ascii="Cambria" w:hAnsi="Cambria"/>
          <w:sz w:val="20"/>
        </w:rPr>
        <w:t> ;</w:t>
      </w:r>
    </w:p>
    <w:p w14:paraId="2B5224F7" w14:textId="77777777" w:rsidR="0034484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3669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 xml:space="preserve">LA COMMISSION INTERNATIONALE POUR LA CONSERVATION </w:t>
      </w:r>
    </w:p>
    <w:p w14:paraId="2674574C" w14:textId="0EA0D5DC" w:rsidR="3CF73AD2"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DES THONIDÉS DE L’ATLANTIQUE (ICCAT) RECOMMANDE CE QUI SUIT</w:t>
      </w:r>
      <w:r w:rsidR="0029028B">
        <w:rPr>
          <w:rFonts w:ascii="Cambria" w:hAnsi="Cambria"/>
          <w:color w:val="000000" w:themeColor="text1"/>
          <w:sz w:val="20"/>
        </w:rPr>
        <w:t> :</w:t>
      </w:r>
    </w:p>
    <w:p w14:paraId="6462E29D" w14:textId="77777777" w:rsidR="002E75AE" w:rsidRPr="00336692" w:rsidRDefault="002E75AE" w:rsidP="002E75AE">
      <w:pPr>
        <w:spacing w:after="0" w:line="240" w:lineRule="auto"/>
        <w:jc w:val="center"/>
        <w:rPr>
          <w:rFonts w:ascii="Cambria" w:eastAsia="Cambria" w:hAnsi="Cambria" w:cs="Cambria"/>
          <w:sz w:val="20"/>
          <w:szCs w:val="20"/>
        </w:rPr>
      </w:pPr>
    </w:p>
    <w:p w14:paraId="583808E8" w14:textId="19472BDF" w:rsidR="227051B1" w:rsidRPr="002E75A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Parties contractantes et Parties, Entités ou Entités de pêche non contractantes coopérantes (ci-après dénommées « CPC ») devront interdire de retenir à bord, de transborder, de débarquer ou de stocker une partie ou la totalité de la carcasse des spécimens de requin pèlerin (</w:t>
      </w:r>
      <w:proofErr w:type="spellStart"/>
      <w:r>
        <w:rPr>
          <w:rFonts w:ascii="Cambria" w:hAnsi="Cambria"/>
          <w:i/>
          <w:sz w:val="20"/>
        </w:rPr>
        <w:t>Cetorhinus</w:t>
      </w:r>
      <w:proofErr w:type="spellEnd"/>
      <w:r>
        <w:rPr>
          <w:rFonts w:ascii="Cambria" w:hAnsi="Cambria"/>
          <w:i/>
          <w:sz w:val="20"/>
        </w:rPr>
        <w:t xml:space="preserve"> </w:t>
      </w:r>
      <w:proofErr w:type="spellStart"/>
      <w:r>
        <w:rPr>
          <w:rFonts w:ascii="Cambria" w:hAnsi="Cambria"/>
          <w:i/>
          <w:sz w:val="20"/>
        </w:rPr>
        <w:t>maximus</w:t>
      </w:r>
      <w:proofErr w:type="spellEnd"/>
      <w:r>
        <w:rPr>
          <w:rFonts w:ascii="Cambria" w:hAnsi="Cambria"/>
          <w:sz w:val="20"/>
        </w:rPr>
        <w:t>) et de grand requin blanc (</w:t>
      </w:r>
      <w:r>
        <w:rPr>
          <w:rFonts w:ascii="Cambria" w:hAnsi="Cambria"/>
          <w:i/>
          <w:sz w:val="20"/>
        </w:rPr>
        <w:t>Carcharodon carcharias</w:t>
      </w:r>
      <w:r>
        <w:rPr>
          <w:rFonts w:ascii="Cambria" w:hAnsi="Cambria"/>
          <w:sz w:val="20"/>
        </w:rPr>
        <w:t>)</w:t>
      </w:r>
      <w:r>
        <w:rPr>
          <w:rFonts w:ascii="Cambria" w:hAnsi="Cambria"/>
          <w:i/>
          <w:sz w:val="20"/>
        </w:rPr>
        <w:t xml:space="preserve"> </w:t>
      </w:r>
      <w:r>
        <w:rPr>
          <w:rFonts w:ascii="Cambria" w:hAnsi="Cambria"/>
          <w:sz w:val="20"/>
        </w:rPr>
        <w:t xml:space="preserve">capturés dans la zone de la Convention en association avec les pêcheries relevant de l'ICCAT. </w:t>
      </w:r>
    </w:p>
    <w:p w14:paraId="7D73D777" w14:textId="77777777" w:rsidR="002E75AE" w:rsidRPr="0033669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2E75AE" w:rsidRDefault="002E75AE" w:rsidP="002E75AE">
      <w:pPr>
        <w:pStyle w:val="ListParagraph"/>
        <w:ind w:left="426" w:hanging="426"/>
        <w:rPr>
          <w:rFonts w:ascii="Cambria" w:eastAsia="Cambria" w:hAnsi="Cambria" w:cs="Cambria"/>
          <w:sz w:val="20"/>
          <w:szCs w:val="20"/>
        </w:rPr>
      </w:pPr>
    </w:p>
    <w:p w14:paraId="165E60CE" w14:textId="207D989C" w:rsidR="00B423AA"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 xml:space="preserve">Conformément aux exigences de la </w:t>
      </w:r>
      <w:r>
        <w:rPr>
          <w:rFonts w:ascii="Cambria" w:hAnsi="Cambria"/>
          <w:i/>
          <w:sz w:val="20"/>
        </w:rPr>
        <w:t>Recommandation de l’ICCAT visant à établir des normes minimales pour les programmes d’observateurs scientifiques à bord de navires de pêche</w:t>
      </w:r>
      <w:r>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2E75AE" w:rsidRDefault="002E75AE" w:rsidP="002E75AE">
      <w:pPr>
        <w:pStyle w:val="ListParagraph"/>
        <w:rPr>
          <w:rFonts w:ascii="Cambria" w:eastAsia="Cambria" w:hAnsi="Cambria" w:cs="Cambria"/>
          <w:sz w:val="20"/>
          <w:szCs w:val="20"/>
        </w:rPr>
      </w:pPr>
    </w:p>
    <w:p w14:paraId="1B511C60" w14:textId="6BDE1238" w:rsidR="0020375A" w:rsidRPr="00336692"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5FB3E7B6"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AC6D3F">
      <w:rPr>
        <w:rFonts w:ascii="Cambria" w:hAnsi="Cambria"/>
        <w:b/>
        <w:sz w:val="20"/>
      </w:rPr>
      <w:t>_SPONS_</w:t>
    </w:r>
    <w:r w:rsidR="000B7DA0">
      <w:rPr>
        <w:rFonts w:ascii="Cambria" w:hAnsi="Cambria"/>
        <w:b/>
        <w:sz w:val="20"/>
      </w:rPr>
      <w:t>3</w:t>
    </w:r>
    <w:r>
      <w:rPr>
        <w:rFonts w:ascii="Cambria" w:hAnsi="Cambria"/>
        <w:b/>
        <w:sz w:val="20"/>
      </w:rPr>
      <w:t>/2025</w:t>
    </w:r>
  </w:p>
  <w:p w14:paraId="635ED5C4" w14:textId="65665ACA"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7564D8">
      <w:rPr>
        <w:rFonts w:ascii="Cambria" w:eastAsia="Calibri" w:hAnsi="Cambria" w:cs="Times New Roman"/>
        <w:b/>
        <w:noProof/>
        <w:sz w:val="16"/>
      </w:rPr>
      <w:t>20/11/2025 18:37</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B0D02"/>
    <w:rsid w:val="000B7DA0"/>
    <w:rsid w:val="000D62CB"/>
    <w:rsid w:val="000F5040"/>
    <w:rsid w:val="001046E7"/>
    <w:rsid w:val="00106593"/>
    <w:rsid w:val="00112714"/>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4579A"/>
    <w:rsid w:val="003739FF"/>
    <w:rsid w:val="00380505"/>
    <w:rsid w:val="00394E0E"/>
    <w:rsid w:val="003A72AE"/>
    <w:rsid w:val="003B0044"/>
    <w:rsid w:val="003B3659"/>
    <w:rsid w:val="003B5BCD"/>
    <w:rsid w:val="003C3F39"/>
    <w:rsid w:val="003E3991"/>
    <w:rsid w:val="004059AA"/>
    <w:rsid w:val="00424159"/>
    <w:rsid w:val="00442FD0"/>
    <w:rsid w:val="00445693"/>
    <w:rsid w:val="00446905"/>
    <w:rsid w:val="00460E97"/>
    <w:rsid w:val="0048221D"/>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2283"/>
    <w:rsid w:val="00653714"/>
    <w:rsid w:val="00664352"/>
    <w:rsid w:val="00693DC0"/>
    <w:rsid w:val="006C102F"/>
    <w:rsid w:val="006D5D2D"/>
    <w:rsid w:val="006D6195"/>
    <w:rsid w:val="006E389F"/>
    <w:rsid w:val="00710DF7"/>
    <w:rsid w:val="00712EE1"/>
    <w:rsid w:val="0071703E"/>
    <w:rsid w:val="00723297"/>
    <w:rsid w:val="00725600"/>
    <w:rsid w:val="007564D8"/>
    <w:rsid w:val="007652B9"/>
    <w:rsid w:val="00767E6A"/>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50E10"/>
    <w:rsid w:val="00A5478A"/>
    <w:rsid w:val="00A54F15"/>
    <w:rsid w:val="00A624EA"/>
    <w:rsid w:val="00A70533"/>
    <w:rsid w:val="00A81E0D"/>
    <w:rsid w:val="00A848D8"/>
    <w:rsid w:val="00A92950"/>
    <w:rsid w:val="00A95661"/>
    <w:rsid w:val="00A95AAE"/>
    <w:rsid w:val="00A964E2"/>
    <w:rsid w:val="00AB0F66"/>
    <w:rsid w:val="00AB577D"/>
    <w:rsid w:val="00AC6D3F"/>
    <w:rsid w:val="00AC795C"/>
    <w:rsid w:val="00AD2BB7"/>
    <w:rsid w:val="00AF14DE"/>
    <w:rsid w:val="00B11564"/>
    <w:rsid w:val="00B2417F"/>
    <w:rsid w:val="00B36796"/>
    <w:rsid w:val="00B423AA"/>
    <w:rsid w:val="00B50E29"/>
    <w:rsid w:val="00B512DD"/>
    <w:rsid w:val="00B83D62"/>
    <w:rsid w:val="00BB15FE"/>
    <w:rsid w:val="00BB53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DF7264"/>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2025-11-20T17:37:00Z</dcterms:created>
  <dcterms:modified xsi:type="dcterms:W3CDTF">2025-11-20T17:39:00Z</dcterms:modified>
</cp:coreProperties>
</file>