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AE8C" w14:textId="77777777" w:rsidR="00F96574" w:rsidRPr="00336692" w:rsidRDefault="00F96574" w:rsidP="00F96574">
      <w:pPr>
        <w:spacing w:after="0"/>
        <w:ind w:left="88"/>
        <w:jc w:val="center"/>
        <w:rPr>
          <w:rFonts w:ascii="Cambria" w:eastAsia="Cambria" w:hAnsi="Cambria" w:cs="Cambria"/>
          <w:b/>
          <w:spacing w:val="-2"/>
          <w:kern w:val="0"/>
          <w:sz w:val="20"/>
          <w:szCs w:val="20"/>
          <w14:ligatures w14:val="none"/>
        </w:rPr>
      </w:pPr>
      <w:r>
        <w:rPr>
          <w:rFonts w:ascii="Cambria" w:hAnsi="Cambria"/>
          <w:b/>
          <w:sz w:val="20"/>
        </w:rPr>
        <w:t>Page de garde accompagnant les nouvelles propositions</w:t>
      </w:r>
    </w:p>
    <w:p w14:paraId="3451F472" w14:textId="046453B2" w:rsidR="00F96574" w:rsidRPr="00336692" w:rsidRDefault="00F96574" w:rsidP="00F96574">
      <w:pPr>
        <w:tabs>
          <w:tab w:val="left" w:pos="7300"/>
        </w:tabs>
        <w:spacing w:after="0" w:line="240" w:lineRule="auto"/>
        <w:rPr>
          <w:rFonts w:ascii="Cambria" w:eastAsia="Times New Roman" w:hAnsi="Cambria" w:cs="Times New Roman"/>
          <w:b/>
          <w:bCs/>
          <w:kern w:val="0"/>
          <w:sz w:val="20"/>
          <w:szCs w:val="20"/>
          <w14:ligatures w14:val="none"/>
        </w:rPr>
      </w:pPr>
    </w:p>
    <w:p w14:paraId="471B8D1C" w14:textId="3B31CBA2" w:rsidR="00F96574" w:rsidRPr="00336692" w:rsidRDefault="00F96574" w:rsidP="00F96574">
      <w:pPr>
        <w:widowControl w:val="0"/>
        <w:spacing w:after="0" w:line="240" w:lineRule="auto"/>
        <w:jc w:val="center"/>
        <w:rPr>
          <w:rFonts w:ascii="Cambria" w:eastAsia="Cambria" w:hAnsi="Cambria" w:cs="Cambria"/>
          <w:i/>
          <w:kern w:val="0"/>
          <w:sz w:val="20"/>
          <w:szCs w:val="20"/>
          <w14:ligatures w14:val="none"/>
        </w:rPr>
      </w:pPr>
      <w:r>
        <w:rPr>
          <w:rFonts w:ascii="Cambria" w:hAnsi="Cambria"/>
          <w:i/>
          <w:sz w:val="20"/>
        </w:rPr>
        <w:t xml:space="preserve">(Document soumis par le </w:t>
      </w:r>
      <w:r w:rsidR="0034579A">
        <w:rPr>
          <w:rFonts w:ascii="Cambria" w:hAnsi="Cambria"/>
          <w:i/>
          <w:sz w:val="20"/>
        </w:rPr>
        <w:t xml:space="preserve">Royaume-Uni </w:t>
      </w:r>
      <w:r w:rsidR="0034579A" w:rsidRPr="0034579A">
        <w:rPr>
          <w:rFonts w:ascii="Cambria" w:hAnsi="Cambria"/>
          <w:i/>
          <w:sz w:val="20"/>
          <w:u w:val="single"/>
        </w:rPr>
        <w:t>et le Brésil</w:t>
      </w:r>
      <w:r>
        <w:rPr>
          <w:rFonts w:ascii="Cambria" w:hAnsi="Cambria"/>
          <w:i/>
          <w:sz w:val="20"/>
        </w:rPr>
        <w:t>)</w:t>
      </w:r>
    </w:p>
    <w:p w14:paraId="070140E5" w14:textId="77777777" w:rsidR="00F96574" w:rsidRPr="00652283" w:rsidRDefault="00F96574" w:rsidP="00F96574">
      <w:pPr>
        <w:pStyle w:val="Default"/>
        <w:rPr>
          <w:sz w:val="20"/>
          <w:szCs w:val="20"/>
        </w:rPr>
      </w:pPr>
    </w:p>
    <w:p w14:paraId="3C283878" w14:textId="77777777" w:rsidR="00F96574" w:rsidRPr="00652283" w:rsidRDefault="00F96574" w:rsidP="00893254">
      <w:pPr>
        <w:widowControl w:val="0"/>
        <w:autoSpaceDE w:val="0"/>
        <w:autoSpaceDN w:val="0"/>
        <w:spacing w:after="0" w:line="240" w:lineRule="auto"/>
        <w:jc w:val="both"/>
        <w:rPr>
          <w:rFonts w:ascii="Cambria" w:eastAsia="Cambria" w:hAnsi="Cambria" w:cs="Cambria"/>
          <w:b/>
          <w:bCs/>
          <w:kern w:val="0"/>
          <w:sz w:val="20"/>
          <w:szCs w:val="20"/>
          <w14:ligatures w14:val="none"/>
        </w:rPr>
      </w:pPr>
    </w:p>
    <w:p w14:paraId="7D789504" w14:textId="1F1219FC" w:rsidR="00893254" w:rsidRPr="00893254" w:rsidRDefault="00893254" w:rsidP="00893254">
      <w:pPr>
        <w:widowControl w:val="0"/>
        <w:autoSpaceDE w:val="0"/>
        <w:autoSpaceDN w:val="0"/>
        <w:spacing w:after="0" w:line="240" w:lineRule="auto"/>
        <w:jc w:val="both"/>
        <w:rPr>
          <w:rFonts w:ascii="Cambria" w:eastAsia="Cambria" w:hAnsi="Cambria" w:cs="Cambria"/>
          <w:color w:val="EE0000"/>
          <w:kern w:val="0"/>
          <w:sz w:val="20"/>
          <w:szCs w:val="20"/>
          <w14:ligatures w14:val="none"/>
        </w:rPr>
      </w:pPr>
      <w:r>
        <w:rPr>
          <w:rFonts w:ascii="Cambria" w:hAnsi="Cambria"/>
          <w:b/>
          <w:sz w:val="20"/>
        </w:rPr>
        <w:t>Titre de la proposition de projet de Recommandation/Résolution :</w:t>
      </w:r>
      <w:r>
        <w:rPr>
          <w:rFonts w:ascii="Cambria" w:hAnsi="Cambria"/>
          <w:sz w:val="20"/>
        </w:rPr>
        <w:t xml:space="preserve"> </w:t>
      </w:r>
      <w:r>
        <w:rPr>
          <w:rFonts w:ascii="Cambria" w:hAnsi="Cambria"/>
          <w:color w:val="EE0000"/>
          <w:sz w:val="20"/>
        </w:rPr>
        <w:t>Projet de Recommandation de l’ICCAT concernant le requin pèlerin et le grand requin blanc capturés en association avec les pêcheries gérées par l’ICCAT</w:t>
      </w:r>
    </w:p>
    <w:p w14:paraId="15F9A8AD" w14:textId="77777777" w:rsidR="00893254" w:rsidRPr="00652283" w:rsidRDefault="00893254" w:rsidP="00893254">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7959BD50" w14:textId="77777777" w:rsidR="00EA2058" w:rsidRDefault="00EA2058" w:rsidP="00EA2058">
      <w:pPr>
        <w:widowControl w:val="0"/>
        <w:autoSpaceDE w:val="0"/>
        <w:autoSpaceDN w:val="0"/>
        <w:spacing w:after="0" w:line="240" w:lineRule="auto"/>
        <w:jc w:val="both"/>
      </w:pPr>
      <w:r>
        <w:rPr>
          <w:rFonts w:ascii="Cambria" w:hAnsi="Cambria"/>
          <w:b/>
          <w:sz w:val="20"/>
        </w:rPr>
        <w:t>Titre de la ou des Recommandations ou Résolutions en vigueur traitant des mêmes questions ou de questions connexes :</w:t>
      </w:r>
      <w:r>
        <w:rPr>
          <w:rFonts w:ascii="Cambria" w:hAnsi="Cambria"/>
          <w:b/>
          <w:color w:val="000000" w:themeColor="text1"/>
          <w:sz w:val="20"/>
        </w:rPr>
        <w:t xml:space="preserve">  </w:t>
      </w:r>
      <w:r>
        <w:rPr>
          <w:rFonts w:ascii="Cambria" w:hAnsi="Cambria"/>
          <w:color w:val="EE0000"/>
          <w:sz w:val="20"/>
        </w:rPr>
        <w:t>N/A</w:t>
      </w:r>
    </w:p>
    <w:p w14:paraId="0A05991F" w14:textId="77777777" w:rsidR="002148D6" w:rsidRDefault="002148D6" w:rsidP="002148D6">
      <w:pPr>
        <w:widowControl w:val="0"/>
        <w:spacing w:after="0" w:line="240" w:lineRule="auto"/>
        <w:jc w:val="both"/>
        <w:rPr>
          <w:rFonts w:ascii="Cambria" w:eastAsia="Cambria" w:hAnsi="Cambria" w:cs="Cambria"/>
          <w:kern w:val="0"/>
          <w:sz w:val="20"/>
          <w:szCs w:val="20"/>
          <w14:ligatures w14:val="none"/>
        </w:rPr>
      </w:pPr>
    </w:p>
    <w:p w14:paraId="1F0DBCE5" w14:textId="5C045D85" w:rsidR="00893254" w:rsidRPr="00893254" w:rsidRDefault="002148D6" w:rsidP="002148D6">
      <w:pPr>
        <w:widowControl w:val="0"/>
        <w:tabs>
          <w:tab w:val="left" w:pos="426"/>
        </w:tabs>
        <w:spacing w:after="0" w:line="240" w:lineRule="auto"/>
        <w:jc w:val="both"/>
        <w:rPr>
          <w:rFonts w:ascii="Cambria" w:eastAsia="Cambria" w:hAnsi="Cambria" w:cs="Cambria"/>
          <w:kern w:val="0"/>
          <w:sz w:val="20"/>
          <w:szCs w:val="20"/>
          <w14:ligatures w14:val="none"/>
        </w:rPr>
      </w:pPr>
      <w:r>
        <w:rPr>
          <w:rFonts w:ascii="Cambria" w:hAnsi="Cambria"/>
          <w:sz w:val="20"/>
        </w:rPr>
        <w:t>1.</w:t>
      </w:r>
      <w:r>
        <w:rPr>
          <w:rFonts w:ascii="Cambria" w:hAnsi="Cambria"/>
          <w:sz w:val="20"/>
        </w:rPr>
        <w:tab/>
        <w:t xml:space="preserve">Cela crée-t-il de nouvelles </w:t>
      </w:r>
      <w:r>
        <w:rPr>
          <w:rFonts w:ascii="Cambria" w:hAnsi="Cambria"/>
          <w:b/>
          <w:sz w:val="20"/>
        </w:rPr>
        <w:t xml:space="preserve">obligations de déclaration </w:t>
      </w:r>
      <w:r>
        <w:rPr>
          <w:rFonts w:ascii="Cambria" w:hAnsi="Cambria"/>
          <w:sz w:val="20"/>
        </w:rPr>
        <w:t xml:space="preserve">pour les CPC ?     </w:t>
      </w:r>
      <w:r>
        <w:rPr>
          <w:rFonts w:ascii="Cambria" w:hAnsi="Cambria"/>
          <w:color w:val="000000" w:themeColor="text1"/>
          <w:sz w:val="20"/>
        </w:rPr>
        <w:t xml:space="preserve">Oui  </w:t>
      </w:r>
      <w:r>
        <w:rPr>
          <w:rFonts w:ascii="Segoe UI Symbol" w:hAnsi="Segoe UI Symbol"/>
          <w:color w:val="000000" w:themeColor="text1"/>
          <w:sz w:val="20"/>
        </w:rPr>
        <w:t>☐</w:t>
      </w:r>
      <w:r>
        <w:rPr>
          <w:rFonts w:ascii="Cambria" w:hAnsi="Cambria"/>
          <w:sz w:val="20"/>
        </w:rPr>
        <w:tab/>
      </w:r>
      <w:r>
        <w:rPr>
          <w:rFonts w:ascii="Cambria" w:hAnsi="Cambria"/>
          <w:color w:val="EE0000"/>
          <w:sz w:val="20"/>
        </w:rPr>
        <w:t xml:space="preserve">Non  </w:t>
      </w:r>
      <w:r>
        <w:rPr>
          <w:rFonts w:ascii="MS Gothic" w:hAnsi="MS Gothic"/>
          <w:color w:val="EE0000"/>
          <w:sz w:val="20"/>
        </w:rPr>
        <w:t>☒</w:t>
      </w:r>
    </w:p>
    <w:p w14:paraId="6D145A1B" w14:textId="77777777" w:rsidR="00893254" w:rsidRPr="00652283" w:rsidRDefault="00893254" w:rsidP="00893254">
      <w:pPr>
        <w:widowControl w:val="0"/>
        <w:autoSpaceDE w:val="0"/>
        <w:autoSpaceDN w:val="0"/>
        <w:spacing w:after="0" w:line="240" w:lineRule="auto"/>
        <w:rPr>
          <w:rFonts w:ascii="Cambria" w:eastAsia="Cambria" w:hAnsi="Cambria" w:cs="Cambria"/>
          <w:kern w:val="0"/>
          <w:sz w:val="20"/>
          <w:szCs w:val="20"/>
          <w14:ligatures w14:val="none"/>
        </w:rPr>
      </w:pPr>
    </w:p>
    <w:p w14:paraId="40D1B180" w14:textId="77777777" w:rsidR="00893254" w:rsidRPr="00652283" w:rsidRDefault="00893254" w:rsidP="00893254">
      <w:pPr>
        <w:widowControl w:val="0"/>
        <w:autoSpaceDE w:val="0"/>
        <w:autoSpaceDN w:val="0"/>
        <w:spacing w:after="0" w:line="240" w:lineRule="auto"/>
        <w:ind w:left="318"/>
        <w:rPr>
          <w:rFonts w:ascii="Cambria" w:eastAsia="Cambria" w:hAnsi="Cambria" w:cs="Cambria"/>
          <w:kern w:val="0"/>
          <w:sz w:val="20"/>
          <w:szCs w:val="20"/>
          <w14:ligatures w14:val="none"/>
        </w:rPr>
      </w:pPr>
    </w:p>
    <w:p w14:paraId="41A82DAF" w14:textId="79CB7B78" w:rsidR="00C029DE" w:rsidRDefault="002148D6" w:rsidP="002148D6">
      <w:pPr>
        <w:widowControl w:val="0"/>
        <w:tabs>
          <w:tab w:val="left" w:pos="426"/>
        </w:tabs>
        <w:spacing w:after="0" w:line="240" w:lineRule="auto"/>
        <w:jc w:val="both"/>
        <w:rPr>
          <w:rFonts w:ascii="Cambria" w:eastAsia="Cambria" w:hAnsi="Cambria" w:cs="Cambria"/>
          <w:color w:val="000000" w:themeColor="text1"/>
          <w:sz w:val="20"/>
          <w:szCs w:val="20"/>
        </w:rPr>
      </w:pPr>
      <w:r>
        <w:rPr>
          <w:rFonts w:ascii="Cambria" w:hAnsi="Cambria"/>
          <w:sz w:val="20"/>
        </w:rPr>
        <w:t>2.</w:t>
      </w:r>
      <w:r>
        <w:rPr>
          <w:rFonts w:ascii="Cambria" w:hAnsi="Cambria"/>
          <w:sz w:val="20"/>
        </w:rPr>
        <w:tab/>
        <w:t xml:space="preserve">Cela nécessite-t-il une contribution ou un </w:t>
      </w:r>
      <w:r>
        <w:rPr>
          <w:rFonts w:ascii="Cambria" w:hAnsi="Cambria"/>
          <w:b/>
          <w:bCs/>
          <w:sz w:val="20"/>
        </w:rPr>
        <w:t>travail supplémentaire de la part du SCRS</w:t>
      </w:r>
      <w:r>
        <w:rPr>
          <w:rFonts w:ascii="Cambria" w:hAnsi="Cambria"/>
          <w:sz w:val="20"/>
        </w:rPr>
        <w:t xml:space="preserve"> ? </w:t>
      </w:r>
      <w:r>
        <w:rPr>
          <w:rFonts w:ascii="Cambria" w:hAnsi="Cambria"/>
          <w:color w:val="000000" w:themeColor="text1"/>
          <w:sz w:val="20"/>
        </w:rPr>
        <w:t xml:space="preserve">Oui </w:t>
      </w:r>
      <w:r>
        <w:rPr>
          <w:rFonts w:ascii="Segoe UI Symbol" w:hAnsi="Segoe UI Symbol"/>
          <w:color w:val="000000" w:themeColor="text1"/>
          <w:sz w:val="20"/>
        </w:rPr>
        <w:t>☐</w:t>
      </w:r>
      <w:r w:rsidR="0029028B">
        <w:rPr>
          <w:rFonts w:ascii="Segoe UI Symbol" w:hAnsi="Segoe UI Symbol"/>
          <w:color w:val="000000" w:themeColor="text1"/>
          <w:sz w:val="20"/>
        </w:rPr>
        <w:t xml:space="preserve"> </w:t>
      </w:r>
      <w:r>
        <w:rPr>
          <w:rFonts w:ascii="Cambria" w:hAnsi="Cambria"/>
          <w:color w:val="EE0000"/>
          <w:sz w:val="20"/>
        </w:rPr>
        <w:t xml:space="preserve">Non </w:t>
      </w:r>
      <w:r>
        <w:rPr>
          <w:rFonts w:ascii="MS Gothic" w:hAnsi="MS Gothic"/>
          <w:color w:val="EE0000"/>
          <w:sz w:val="20"/>
        </w:rPr>
        <w:t>☒</w:t>
      </w:r>
    </w:p>
    <w:p w14:paraId="7718E07C" w14:textId="77777777" w:rsidR="00893254" w:rsidRPr="00652283" w:rsidRDefault="00893254" w:rsidP="00893254">
      <w:pPr>
        <w:widowControl w:val="0"/>
        <w:autoSpaceDE w:val="0"/>
        <w:autoSpaceDN w:val="0"/>
        <w:spacing w:after="0" w:line="240" w:lineRule="auto"/>
        <w:ind w:left="360"/>
        <w:rPr>
          <w:rFonts w:ascii="Cambria" w:eastAsia="Cambria" w:hAnsi="Cambria" w:cs="Cambria"/>
          <w:kern w:val="0"/>
          <w:sz w:val="20"/>
          <w:szCs w:val="20"/>
          <w14:ligatures w14:val="none"/>
        </w:rPr>
      </w:pPr>
    </w:p>
    <w:p w14:paraId="3FAD5C1B" w14:textId="57B835BB" w:rsidR="00C029DE" w:rsidRDefault="00893254" w:rsidP="00C029DE">
      <w:pPr>
        <w:widowControl w:val="0"/>
        <w:spacing w:after="0" w:line="240" w:lineRule="auto"/>
        <w:ind w:left="360" w:firstLine="66"/>
        <w:jc w:val="both"/>
        <w:rPr>
          <w:rFonts w:ascii="Cambria" w:eastAsia="Cambria" w:hAnsi="Cambria" w:cs="Cambria"/>
          <w:color w:val="000000" w:themeColor="text1"/>
          <w:sz w:val="20"/>
          <w:szCs w:val="20"/>
        </w:rPr>
      </w:pPr>
      <w:r>
        <w:rPr>
          <w:sz w:val="20"/>
        </w:rPr>
        <w:t xml:space="preserve">Ce travail est-il déjà inclus dans le plan de travail actuel du SCRS ? Oui </w:t>
      </w:r>
      <w:r>
        <w:rPr>
          <w:color w:val="000000" w:themeColor="text1"/>
          <w:sz w:val="20"/>
        </w:rPr>
        <w:t xml:space="preserve">☐  </w:t>
      </w:r>
      <w:r>
        <w:rPr>
          <w:rFonts w:ascii="Cambria" w:hAnsi="Cambria"/>
          <w:color w:val="EE0000"/>
          <w:sz w:val="20"/>
        </w:rPr>
        <w:t xml:space="preserve">Non  </w:t>
      </w:r>
      <w:r>
        <w:rPr>
          <w:rFonts w:ascii="MS Gothic" w:hAnsi="MS Gothic"/>
          <w:color w:val="EE0000"/>
          <w:sz w:val="20"/>
        </w:rPr>
        <w:t>☒</w:t>
      </w:r>
    </w:p>
    <w:p w14:paraId="25F7259A" w14:textId="78B33E9D" w:rsidR="00893254" w:rsidRPr="00652283" w:rsidRDefault="00893254" w:rsidP="00C029DE">
      <w:pPr>
        <w:widowControl w:val="0"/>
        <w:autoSpaceDE w:val="0"/>
        <w:autoSpaceDN w:val="0"/>
        <w:spacing w:after="0" w:line="240" w:lineRule="auto"/>
        <w:ind w:left="360" w:firstLine="66"/>
        <w:jc w:val="both"/>
        <w:rPr>
          <w:rFonts w:ascii="Cambria" w:eastAsia="Cambria" w:hAnsi="Cambria" w:cs="Cambria"/>
          <w:kern w:val="0"/>
          <w:sz w:val="20"/>
          <w:szCs w:val="20"/>
          <w14:ligatures w14:val="none"/>
        </w:rPr>
      </w:pPr>
    </w:p>
    <w:p w14:paraId="2FC53479" w14:textId="77777777" w:rsidR="0029028B" w:rsidRDefault="002148D6" w:rsidP="0029028B">
      <w:pPr>
        <w:widowControl w:val="0"/>
        <w:tabs>
          <w:tab w:val="left" w:pos="426"/>
        </w:tabs>
        <w:spacing w:after="0" w:line="240" w:lineRule="auto"/>
        <w:ind w:left="360" w:hanging="360"/>
        <w:jc w:val="both"/>
        <w:rPr>
          <w:rFonts w:ascii="Cambria" w:hAnsi="Cambria"/>
          <w:sz w:val="20"/>
        </w:rPr>
      </w:pPr>
      <w:r>
        <w:rPr>
          <w:rFonts w:ascii="Cambria" w:hAnsi="Cambria"/>
          <w:sz w:val="20"/>
        </w:rPr>
        <w:t>3.</w:t>
      </w:r>
      <w:r>
        <w:rPr>
          <w:rFonts w:ascii="Cambria" w:hAnsi="Cambria"/>
          <w:sz w:val="20"/>
        </w:rPr>
        <w:tab/>
        <w:t xml:space="preserve">Cela implique-t-il la création d'un </w:t>
      </w:r>
      <w:r>
        <w:rPr>
          <w:rFonts w:ascii="Cambria" w:hAnsi="Cambria"/>
          <w:b/>
          <w:sz w:val="20"/>
        </w:rPr>
        <w:t xml:space="preserve">nouveau groupe de travail ou d'un processus intersessions </w:t>
      </w:r>
      <w:r>
        <w:rPr>
          <w:rFonts w:ascii="Cambria" w:hAnsi="Cambria"/>
          <w:sz w:val="20"/>
        </w:rPr>
        <w:t xml:space="preserve">?   </w:t>
      </w:r>
    </w:p>
    <w:p w14:paraId="342E2F2C" w14:textId="0A8E0678" w:rsidR="00C029DE" w:rsidRDefault="0029028B" w:rsidP="0029028B">
      <w:pPr>
        <w:widowControl w:val="0"/>
        <w:tabs>
          <w:tab w:val="left" w:pos="426"/>
        </w:tabs>
        <w:spacing w:after="0" w:line="240" w:lineRule="auto"/>
        <w:ind w:left="360" w:hanging="360"/>
        <w:jc w:val="both"/>
        <w:rPr>
          <w:rFonts w:ascii="Cambria" w:eastAsia="Cambria" w:hAnsi="Cambria" w:cs="Cambria"/>
          <w:color w:val="000000" w:themeColor="text1"/>
          <w:sz w:val="20"/>
          <w:szCs w:val="20"/>
        </w:rPr>
      </w:pPr>
      <w:r>
        <w:rPr>
          <w:rFonts w:ascii="Cambria" w:hAnsi="Cambria"/>
          <w:sz w:val="20"/>
        </w:rPr>
        <w:tab/>
      </w:r>
      <w:r>
        <w:rPr>
          <w:rFonts w:ascii="Cambria" w:hAnsi="Cambria"/>
          <w:sz w:val="20"/>
        </w:rPr>
        <w:tab/>
      </w:r>
      <w:r w:rsidR="002148D6">
        <w:rPr>
          <w:rFonts w:ascii="Cambria" w:hAnsi="Cambria"/>
          <w:color w:val="000000" w:themeColor="text1"/>
          <w:sz w:val="20"/>
        </w:rPr>
        <w:t xml:space="preserve">Oui  </w:t>
      </w:r>
      <w:r w:rsidR="002148D6">
        <w:rPr>
          <w:rFonts w:ascii="Segoe UI Symbol" w:hAnsi="Segoe UI Symbol"/>
          <w:color w:val="000000" w:themeColor="text1"/>
          <w:sz w:val="20"/>
        </w:rPr>
        <w:t>☐</w:t>
      </w:r>
      <w:r w:rsidR="002148D6">
        <w:rPr>
          <w:rFonts w:ascii="Cambria" w:hAnsi="Cambria"/>
          <w:color w:val="000000" w:themeColor="text1"/>
          <w:sz w:val="20"/>
        </w:rPr>
        <w:t xml:space="preserve"> </w:t>
      </w:r>
      <w:r w:rsidR="002148D6">
        <w:rPr>
          <w:rFonts w:ascii="Cambria" w:hAnsi="Cambria"/>
          <w:sz w:val="20"/>
        </w:rPr>
        <w:t xml:space="preserve">      </w:t>
      </w:r>
      <w:r w:rsidR="002148D6">
        <w:rPr>
          <w:rFonts w:ascii="Cambria" w:hAnsi="Cambria"/>
          <w:color w:val="EE0000"/>
          <w:sz w:val="20"/>
        </w:rPr>
        <w:t xml:space="preserve">Non  </w:t>
      </w:r>
      <w:r w:rsidR="002148D6">
        <w:rPr>
          <w:rFonts w:ascii="MS Gothic" w:hAnsi="MS Gothic"/>
          <w:color w:val="EE0000"/>
          <w:sz w:val="20"/>
        </w:rPr>
        <w:t>☒</w:t>
      </w:r>
    </w:p>
    <w:p w14:paraId="6D5A32B2" w14:textId="6AD48AAA" w:rsidR="00893254" w:rsidRPr="00652283" w:rsidRDefault="00893254" w:rsidP="002148D6">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3857BB72" w14:textId="77777777" w:rsidR="00893254" w:rsidRPr="00652283" w:rsidRDefault="00893254" w:rsidP="00893254">
      <w:pPr>
        <w:widowControl w:val="0"/>
        <w:autoSpaceDE w:val="0"/>
        <w:autoSpaceDN w:val="0"/>
        <w:spacing w:after="0" w:line="240" w:lineRule="auto"/>
        <w:ind w:left="318"/>
        <w:rPr>
          <w:rFonts w:ascii="Cambria" w:eastAsia="Cambria" w:hAnsi="Cambria" w:cs="Cambria"/>
          <w:kern w:val="0"/>
          <w:sz w:val="20"/>
          <w:szCs w:val="20"/>
          <w14:ligatures w14:val="none"/>
        </w:rPr>
      </w:pPr>
    </w:p>
    <w:p w14:paraId="18BEC3BB" w14:textId="7496F1DC" w:rsidR="00893254" w:rsidRPr="00893254" w:rsidRDefault="002148D6" w:rsidP="0029028B">
      <w:pPr>
        <w:widowControl w:val="0"/>
        <w:tabs>
          <w:tab w:val="left" w:pos="426"/>
        </w:tabs>
        <w:spacing w:after="0" w:line="240" w:lineRule="auto"/>
        <w:ind w:left="360" w:hanging="360"/>
        <w:jc w:val="both"/>
        <w:rPr>
          <w:rFonts w:ascii="Cambria" w:eastAsia="Cambria" w:hAnsi="Cambria" w:cs="Cambria"/>
          <w:kern w:val="0"/>
          <w:sz w:val="20"/>
          <w:szCs w:val="20"/>
          <w14:ligatures w14:val="none"/>
        </w:rPr>
      </w:pPr>
      <w:r>
        <w:rPr>
          <w:rFonts w:ascii="Cambria" w:hAnsi="Cambria"/>
          <w:sz w:val="20"/>
        </w:rPr>
        <w:t>4.</w:t>
      </w:r>
      <w:r>
        <w:rPr>
          <w:rFonts w:ascii="Cambria" w:hAnsi="Cambria"/>
          <w:sz w:val="20"/>
        </w:rPr>
        <w:tab/>
        <w:t xml:space="preserve">Cela nécessite-t-il un nouveau </w:t>
      </w:r>
      <w:r>
        <w:rPr>
          <w:rFonts w:ascii="Cambria" w:hAnsi="Cambria"/>
          <w:b/>
          <w:sz w:val="20"/>
        </w:rPr>
        <w:t xml:space="preserve">programme ou des activités supplémentaires à gérer par le Secrétariat </w:t>
      </w:r>
      <w:r>
        <w:rPr>
          <w:rFonts w:ascii="Cambria" w:hAnsi="Cambria"/>
          <w:sz w:val="20"/>
        </w:rPr>
        <w:t xml:space="preserve">?  </w:t>
      </w:r>
    </w:p>
    <w:p w14:paraId="6967A310" w14:textId="77777777" w:rsidR="00893254" w:rsidRPr="00652283" w:rsidRDefault="00893254" w:rsidP="00893254">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24F35665" w14:textId="1A3D2258" w:rsidR="00C029DE" w:rsidRDefault="002148D6" w:rsidP="00C029DE">
      <w:pPr>
        <w:widowControl w:val="0"/>
        <w:spacing w:after="0" w:line="240" w:lineRule="auto"/>
        <w:ind w:left="360" w:firstLine="66"/>
        <w:jc w:val="both"/>
        <w:rPr>
          <w:rFonts w:ascii="Cambria" w:eastAsia="Cambria" w:hAnsi="Cambria" w:cs="Cambria"/>
          <w:color w:val="000000" w:themeColor="text1"/>
          <w:sz w:val="20"/>
          <w:szCs w:val="20"/>
        </w:rPr>
      </w:pPr>
      <w:r>
        <w:rPr>
          <w:rFonts w:ascii="Cambria" w:hAnsi="Cambria"/>
          <w:color w:val="000000" w:themeColor="text1"/>
          <w:sz w:val="20"/>
        </w:rPr>
        <w:t xml:space="preserve">Oui  </w:t>
      </w:r>
      <w:r>
        <w:rPr>
          <w:rFonts w:ascii="Segoe UI Symbol" w:hAnsi="Segoe UI Symbol"/>
          <w:color w:val="000000" w:themeColor="text1"/>
          <w:sz w:val="20"/>
        </w:rPr>
        <w:t>☐</w:t>
      </w:r>
      <w:r>
        <w:rPr>
          <w:rFonts w:ascii="Cambria" w:hAnsi="Cambria"/>
          <w:color w:val="000000" w:themeColor="text1"/>
          <w:sz w:val="20"/>
        </w:rPr>
        <w:t xml:space="preserve"> </w:t>
      </w:r>
      <w:r>
        <w:rPr>
          <w:rFonts w:ascii="Cambria" w:hAnsi="Cambria"/>
          <w:sz w:val="20"/>
        </w:rPr>
        <w:t xml:space="preserve">      </w:t>
      </w:r>
      <w:r>
        <w:rPr>
          <w:rFonts w:ascii="Cambria" w:hAnsi="Cambria"/>
          <w:color w:val="EE0000"/>
          <w:sz w:val="20"/>
        </w:rPr>
        <w:t xml:space="preserve">Non  </w:t>
      </w:r>
      <w:r>
        <w:rPr>
          <w:rFonts w:ascii="MS Gothic" w:hAnsi="MS Gothic"/>
          <w:color w:val="EE0000"/>
          <w:sz w:val="20"/>
        </w:rPr>
        <w:t>☒</w:t>
      </w:r>
    </w:p>
    <w:p w14:paraId="47E79D9D" w14:textId="26463849" w:rsidR="00893254" w:rsidRPr="00652283" w:rsidRDefault="00893254" w:rsidP="00893254">
      <w:pPr>
        <w:widowControl w:val="0"/>
        <w:autoSpaceDE w:val="0"/>
        <w:autoSpaceDN w:val="0"/>
        <w:spacing w:after="0" w:line="240" w:lineRule="auto"/>
        <w:ind w:left="426"/>
        <w:rPr>
          <w:rFonts w:ascii="Cambria" w:eastAsia="Cambria" w:hAnsi="Cambria" w:cs="Cambria"/>
          <w:kern w:val="0"/>
          <w:sz w:val="20"/>
          <w:szCs w:val="20"/>
          <w14:ligatures w14:val="none"/>
        </w:rPr>
      </w:pPr>
    </w:p>
    <w:p w14:paraId="75CA1823" w14:textId="77777777" w:rsidR="00893254" w:rsidRPr="00652283"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650CEE4C" w14:textId="2AFF862C" w:rsidR="00893254" w:rsidRPr="00893254" w:rsidRDefault="002148D6" w:rsidP="002148D6">
      <w:pPr>
        <w:widowControl w:val="0"/>
        <w:tabs>
          <w:tab w:val="left" w:pos="426"/>
        </w:tabs>
        <w:spacing w:after="0" w:line="240" w:lineRule="auto"/>
        <w:ind w:left="360" w:hanging="360"/>
        <w:jc w:val="both"/>
        <w:rPr>
          <w:rFonts w:ascii="Cambria" w:eastAsia="Cambria" w:hAnsi="Cambria" w:cs="Cambria"/>
          <w:spacing w:val="-2"/>
          <w:kern w:val="0"/>
          <w:sz w:val="20"/>
          <w:szCs w:val="20"/>
          <w14:ligatures w14:val="none"/>
        </w:rPr>
      </w:pPr>
      <w:r>
        <w:rPr>
          <w:rFonts w:ascii="Cambria" w:hAnsi="Cambria"/>
          <w:sz w:val="20"/>
        </w:rPr>
        <w:t>5.</w:t>
      </w:r>
      <w:r>
        <w:rPr>
          <w:rFonts w:ascii="Cambria" w:hAnsi="Cambria"/>
          <w:sz w:val="20"/>
        </w:rPr>
        <w:tab/>
        <w:t>Quel est le calendrier proposé pour la mise en œuvre, et existe-t-il des calendriers spécifiques différents pour certaines CPC, pêcheries, régions, etc. ?</w:t>
      </w:r>
    </w:p>
    <w:p w14:paraId="3C1ED5EA" w14:textId="77777777" w:rsidR="00893254" w:rsidRPr="00652283"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060158F7" w14:textId="77777777" w:rsidR="00893254" w:rsidRPr="00893254" w:rsidRDefault="00893254" w:rsidP="00893254">
      <w:pPr>
        <w:widowControl w:val="0"/>
        <w:autoSpaceDE w:val="0"/>
        <w:autoSpaceDN w:val="0"/>
        <w:spacing w:after="0" w:line="240" w:lineRule="auto"/>
        <w:ind w:firstLine="426"/>
        <w:rPr>
          <w:rFonts w:ascii="Cambria" w:eastAsia="Cambria" w:hAnsi="Cambria" w:cs="Cambria"/>
          <w:kern w:val="0"/>
          <w:sz w:val="20"/>
          <w:szCs w:val="20"/>
          <w14:ligatures w14:val="none"/>
        </w:rPr>
      </w:pPr>
      <w:r>
        <w:rPr>
          <w:rFonts w:ascii="Cambria" w:hAnsi="Cambria"/>
          <w:color w:val="EE0000"/>
          <w:sz w:val="20"/>
        </w:rPr>
        <w:t xml:space="preserve">Mise en œuvre uniforme pour toutes les CPC avec date d'entrée en vigueur par défaut. </w:t>
      </w:r>
    </w:p>
    <w:p w14:paraId="7CBE9EDE" w14:textId="77777777" w:rsidR="00893254" w:rsidRPr="00652283"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4EA1E6DA" w14:textId="77777777" w:rsidR="002148D6" w:rsidRPr="00652283" w:rsidRDefault="002148D6"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37E1B21F" w14:textId="047EA216" w:rsidR="00893254" w:rsidRPr="00893254" w:rsidRDefault="002148D6" w:rsidP="002148D6">
      <w:pPr>
        <w:widowControl w:val="0"/>
        <w:tabs>
          <w:tab w:val="left" w:pos="426"/>
        </w:tabs>
        <w:spacing w:after="0" w:line="240" w:lineRule="auto"/>
        <w:ind w:left="360" w:hanging="360"/>
        <w:jc w:val="both"/>
        <w:rPr>
          <w:rFonts w:ascii="Cambria" w:eastAsia="Cambria" w:hAnsi="Cambria" w:cs="Cambria"/>
          <w:spacing w:val="-2"/>
          <w:kern w:val="0"/>
          <w:sz w:val="20"/>
          <w:szCs w:val="20"/>
          <w14:ligatures w14:val="none"/>
        </w:rPr>
      </w:pPr>
      <w:r>
        <w:rPr>
          <w:rFonts w:ascii="Cambria" w:hAnsi="Cambria"/>
          <w:sz w:val="20"/>
        </w:rPr>
        <w:t>6.</w:t>
      </w:r>
      <w:r>
        <w:rPr>
          <w:rFonts w:ascii="Cambria" w:hAnsi="Cambria"/>
          <w:sz w:val="20"/>
        </w:rPr>
        <w:tab/>
        <w:t>Existe-t-il d'autres informations pertinentes concernant les implications de la proposition en termes de ressources et de charge de travail ?</w:t>
      </w:r>
    </w:p>
    <w:p w14:paraId="687B1252" w14:textId="77777777" w:rsidR="00893254" w:rsidRPr="00652283" w:rsidRDefault="00893254" w:rsidP="00893254">
      <w:pPr>
        <w:widowControl w:val="0"/>
        <w:autoSpaceDE w:val="0"/>
        <w:autoSpaceDN w:val="0"/>
        <w:spacing w:after="0" w:line="240" w:lineRule="auto"/>
        <w:jc w:val="both"/>
        <w:rPr>
          <w:rFonts w:ascii="Cambria" w:eastAsia="Cambria" w:hAnsi="Cambria" w:cs="Cambria"/>
          <w:spacing w:val="-2"/>
          <w:kern w:val="0"/>
          <w:sz w:val="20"/>
          <w:szCs w:val="20"/>
          <w14:ligatures w14:val="none"/>
        </w:rPr>
      </w:pPr>
    </w:p>
    <w:p w14:paraId="547AC36E" w14:textId="77777777" w:rsidR="00893254" w:rsidRPr="00893254" w:rsidRDefault="00893254" w:rsidP="00893254">
      <w:pPr>
        <w:widowControl w:val="0"/>
        <w:autoSpaceDE w:val="0"/>
        <w:autoSpaceDN w:val="0"/>
        <w:spacing w:after="0" w:line="240" w:lineRule="auto"/>
        <w:ind w:firstLine="426"/>
        <w:jc w:val="both"/>
        <w:rPr>
          <w:rFonts w:ascii="Cambria" w:eastAsia="Cambria" w:hAnsi="Cambria" w:cs="Cambria"/>
          <w:color w:val="EE0000"/>
          <w:spacing w:val="-2"/>
          <w:kern w:val="0"/>
          <w:sz w:val="20"/>
          <w:szCs w:val="20"/>
          <w14:ligatures w14:val="none"/>
        </w:rPr>
      </w:pPr>
      <w:r>
        <w:rPr>
          <w:rFonts w:ascii="Cambria" w:hAnsi="Cambria"/>
          <w:color w:val="EE0000"/>
          <w:sz w:val="20"/>
        </w:rPr>
        <w:t>Non</w:t>
      </w:r>
    </w:p>
    <w:p w14:paraId="04A84588" w14:textId="77777777" w:rsidR="00893254" w:rsidRPr="00652283" w:rsidRDefault="00893254" w:rsidP="00893254">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46801B78" w14:textId="77777777" w:rsidR="00893254" w:rsidRPr="00652283" w:rsidRDefault="00893254" w:rsidP="00893254">
      <w:pPr>
        <w:widowControl w:val="0"/>
        <w:autoSpaceDE w:val="0"/>
        <w:autoSpaceDN w:val="0"/>
        <w:spacing w:after="0" w:line="240" w:lineRule="auto"/>
        <w:rPr>
          <w:rFonts w:ascii="Cambria" w:eastAsia="Cambria" w:hAnsi="Cambria" w:cs="Cambria"/>
          <w:kern w:val="0"/>
          <w:sz w:val="20"/>
          <w:szCs w:val="20"/>
          <w14:ligatures w14:val="none"/>
        </w:rPr>
      </w:pPr>
    </w:p>
    <w:p w14:paraId="3BAA92C0" w14:textId="77777777" w:rsidR="00893254" w:rsidRPr="00652283" w:rsidRDefault="00893254" w:rsidP="00893254">
      <w:pPr>
        <w:widowControl w:val="0"/>
        <w:autoSpaceDE w:val="0"/>
        <w:autoSpaceDN w:val="0"/>
        <w:spacing w:after="0" w:line="240" w:lineRule="auto"/>
        <w:ind w:left="280"/>
        <w:rPr>
          <w:rFonts w:ascii="Cambria" w:eastAsia="Cambria" w:hAnsi="Cambria" w:cs="Cambria"/>
          <w:kern w:val="0"/>
          <w:sz w:val="20"/>
          <w:szCs w:val="20"/>
          <w14:ligatures w14:val="none"/>
        </w:rPr>
      </w:pPr>
    </w:p>
    <w:p w14:paraId="7418C0B0" w14:textId="77777777" w:rsidR="00D32C30" w:rsidRPr="00336692" w:rsidRDefault="00D32C30">
      <w:pPr>
        <w:rPr>
          <w:rFonts w:ascii="Cambria" w:eastAsia="Calibri" w:hAnsi="Cambria" w:cs="Calibri"/>
          <w:b/>
          <w:bCs/>
          <w:color w:val="000000" w:themeColor="text1"/>
          <w:sz w:val="20"/>
          <w:szCs w:val="20"/>
        </w:rPr>
      </w:pPr>
      <w:r>
        <w:br w:type="page"/>
      </w:r>
    </w:p>
    <w:p w14:paraId="79EC4392" w14:textId="482A1CEF" w:rsidR="00D32C30" w:rsidRDefault="00D32C30" w:rsidP="006D6195">
      <w:pPr>
        <w:spacing w:after="0" w:line="240" w:lineRule="auto"/>
        <w:jc w:val="right"/>
        <w:rPr>
          <w:rFonts w:ascii="Cambria" w:eastAsia="Calibri" w:hAnsi="Cambria" w:cs="Calibri"/>
          <w:b/>
          <w:bCs/>
          <w:color w:val="000000" w:themeColor="text1"/>
          <w:sz w:val="20"/>
          <w:szCs w:val="20"/>
        </w:rPr>
      </w:pPr>
      <w:r>
        <w:rPr>
          <w:rFonts w:ascii="Cambria" w:hAnsi="Cambria"/>
          <w:b/>
          <w:color w:val="000000" w:themeColor="text1"/>
          <w:sz w:val="20"/>
        </w:rPr>
        <w:lastRenderedPageBreak/>
        <w:t xml:space="preserve">Original : </w:t>
      </w:r>
      <w:r>
        <w:rPr>
          <w:rFonts w:ascii="Cambria" w:hAnsi="Cambria"/>
          <w:b/>
          <w:bCs/>
          <w:color w:val="000000" w:themeColor="text1"/>
          <w:sz w:val="20"/>
        </w:rPr>
        <w:t>anglais</w:t>
      </w:r>
    </w:p>
    <w:p w14:paraId="1AF316EA" w14:textId="77777777" w:rsidR="006D6195" w:rsidRPr="00652283" w:rsidRDefault="006D6195" w:rsidP="006D6195">
      <w:pPr>
        <w:spacing w:after="0" w:line="240" w:lineRule="auto"/>
        <w:jc w:val="center"/>
        <w:rPr>
          <w:rFonts w:ascii="Cambria" w:eastAsia="Calibri" w:hAnsi="Cambria" w:cs="Calibri"/>
          <w:b/>
          <w:bCs/>
          <w:color w:val="000000" w:themeColor="text1"/>
          <w:sz w:val="20"/>
          <w:szCs w:val="20"/>
        </w:rPr>
      </w:pPr>
    </w:p>
    <w:p w14:paraId="4942A447" w14:textId="77777777" w:rsidR="00C47F31" w:rsidRDefault="00C47F31" w:rsidP="006D6195">
      <w:pPr>
        <w:spacing w:after="0" w:line="240" w:lineRule="auto"/>
        <w:jc w:val="center"/>
        <w:rPr>
          <w:rFonts w:ascii="Cambria" w:eastAsia="Calibri" w:hAnsi="Cambria" w:cs="Calibri"/>
          <w:b/>
          <w:bCs/>
          <w:color w:val="000000" w:themeColor="text1"/>
          <w:sz w:val="20"/>
          <w:szCs w:val="20"/>
        </w:rPr>
      </w:pPr>
      <w:r>
        <w:rPr>
          <w:rFonts w:ascii="Cambria" w:hAnsi="Cambria"/>
          <w:b/>
          <w:color w:val="000000" w:themeColor="text1"/>
          <w:sz w:val="20"/>
        </w:rPr>
        <w:t xml:space="preserve">Note explicative concernant le Projet de Recommandation de l’ICCAT concernant le requin pèlerin et le grand requin blanc capturés en association avec les pêcheries gérées par l’ICCAT </w:t>
      </w:r>
    </w:p>
    <w:p w14:paraId="595FFF73" w14:textId="54AE9979" w:rsidR="0034484E" w:rsidRPr="00336692" w:rsidRDefault="0034484E" w:rsidP="006D6195">
      <w:pPr>
        <w:spacing w:after="0" w:line="240" w:lineRule="auto"/>
        <w:jc w:val="center"/>
        <w:rPr>
          <w:rFonts w:ascii="Cambria" w:eastAsia="Calibri" w:hAnsi="Cambria" w:cs="Calibri"/>
          <w:b/>
          <w:bCs/>
          <w:color w:val="000000" w:themeColor="text1"/>
          <w:sz w:val="20"/>
          <w:szCs w:val="20"/>
        </w:rPr>
      </w:pPr>
    </w:p>
    <w:p w14:paraId="6B2F2D9A" w14:textId="71A062E6" w:rsidR="005F1C13" w:rsidRDefault="005F1C13" w:rsidP="006D6195">
      <w:pPr>
        <w:spacing w:after="0" w:line="240" w:lineRule="auto"/>
        <w:jc w:val="center"/>
        <w:rPr>
          <w:rFonts w:ascii="Cambria" w:eastAsia="Calibri" w:hAnsi="Cambria" w:cs="Calibri"/>
          <w:i/>
          <w:iCs/>
          <w:color w:val="000000" w:themeColor="text1"/>
          <w:sz w:val="20"/>
          <w:szCs w:val="20"/>
        </w:rPr>
      </w:pPr>
      <w:r>
        <w:rPr>
          <w:rFonts w:ascii="Cambria" w:hAnsi="Cambria"/>
          <w:i/>
          <w:color w:val="000000" w:themeColor="text1"/>
          <w:sz w:val="20"/>
        </w:rPr>
        <w:t>(Document soumis par le Royaume-Uni</w:t>
      </w:r>
      <w:r w:rsidR="0034579A" w:rsidRPr="0034579A">
        <w:rPr>
          <w:rFonts w:ascii="Cambria" w:hAnsi="Cambria"/>
          <w:i/>
          <w:sz w:val="20"/>
          <w:u w:val="single"/>
        </w:rPr>
        <w:t xml:space="preserve"> </w:t>
      </w:r>
      <w:r w:rsidR="0034579A" w:rsidRPr="0034579A">
        <w:rPr>
          <w:rFonts w:ascii="Cambria" w:hAnsi="Cambria"/>
          <w:i/>
          <w:sz w:val="20"/>
          <w:u w:val="single"/>
        </w:rPr>
        <w:t>et le Brésil</w:t>
      </w:r>
      <w:r>
        <w:rPr>
          <w:rFonts w:ascii="Cambria" w:hAnsi="Cambria"/>
          <w:i/>
          <w:color w:val="000000" w:themeColor="text1"/>
          <w:sz w:val="20"/>
        </w:rPr>
        <w:t>)</w:t>
      </w:r>
    </w:p>
    <w:p w14:paraId="39C1F545" w14:textId="77777777" w:rsidR="006D6195" w:rsidRPr="00336692" w:rsidRDefault="006D6195" w:rsidP="006D6195">
      <w:pPr>
        <w:spacing w:after="0" w:line="240" w:lineRule="auto"/>
        <w:jc w:val="center"/>
        <w:rPr>
          <w:rFonts w:ascii="Cambria" w:eastAsia="Calibri" w:hAnsi="Cambria" w:cs="Calibri"/>
          <w:i/>
          <w:iCs/>
          <w:color w:val="000000" w:themeColor="text1"/>
          <w:sz w:val="20"/>
          <w:szCs w:val="20"/>
        </w:rPr>
      </w:pPr>
    </w:p>
    <w:p w14:paraId="0BF56176" w14:textId="780E92D3" w:rsidR="005F1C13" w:rsidRDefault="005F1C13" w:rsidP="006D6195">
      <w:pPr>
        <w:spacing w:after="0" w:line="240" w:lineRule="auto"/>
        <w:jc w:val="both"/>
        <w:rPr>
          <w:rFonts w:ascii="Cambria" w:eastAsia="Calibri" w:hAnsi="Cambria" w:cs="Calibri"/>
          <w:color w:val="000000" w:themeColor="text1"/>
          <w:sz w:val="20"/>
          <w:szCs w:val="20"/>
        </w:rPr>
      </w:pPr>
      <w:r>
        <w:rPr>
          <w:rFonts w:ascii="Cambria" w:hAnsi="Cambria"/>
          <w:color w:val="000000" w:themeColor="text1"/>
          <w:sz w:val="20"/>
        </w:rPr>
        <w:t>Le Sous-comité des écosystèmes et des prises accessoires a recommandé en 2025 que la Commission envisage des mesures de gestion de précaution en ce qui concerne le requin pèlerin (</w:t>
      </w:r>
      <w:proofErr w:type="spellStart"/>
      <w:r>
        <w:rPr>
          <w:rFonts w:ascii="Cambria" w:hAnsi="Cambria"/>
          <w:i/>
          <w:iCs/>
          <w:color w:val="000000" w:themeColor="text1"/>
          <w:sz w:val="20"/>
        </w:rPr>
        <w:t>Cetorhinus</w:t>
      </w:r>
      <w:proofErr w:type="spellEnd"/>
      <w:r>
        <w:rPr>
          <w:rFonts w:ascii="Cambria" w:hAnsi="Cambria"/>
          <w:i/>
          <w:iCs/>
          <w:color w:val="000000" w:themeColor="text1"/>
          <w:sz w:val="20"/>
        </w:rPr>
        <w:t xml:space="preserve"> </w:t>
      </w:r>
      <w:proofErr w:type="spellStart"/>
      <w:r>
        <w:rPr>
          <w:rFonts w:ascii="Cambria" w:hAnsi="Cambria"/>
          <w:i/>
          <w:iCs/>
          <w:color w:val="000000" w:themeColor="text1"/>
          <w:sz w:val="20"/>
        </w:rPr>
        <w:t>maximus</w:t>
      </w:r>
      <w:proofErr w:type="spellEnd"/>
      <w:r>
        <w:rPr>
          <w:rFonts w:ascii="Cambria" w:hAnsi="Cambria"/>
          <w:color w:val="000000" w:themeColor="text1"/>
          <w:sz w:val="20"/>
        </w:rPr>
        <w:t>) et le grand requin blanc (</w:t>
      </w:r>
      <w:r>
        <w:rPr>
          <w:rFonts w:ascii="Cambria" w:hAnsi="Cambria"/>
          <w:i/>
          <w:iCs/>
          <w:color w:val="000000" w:themeColor="text1"/>
          <w:sz w:val="20"/>
        </w:rPr>
        <w:t>Carcharodon carcharias</w:t>
      </w:r>
      <w:r>
        <w:rPr>
          <w:rFonts w:ascii="Cambria" w:hAnsi="Cambria"/>
          <w:color w:val="000000" w:themeColor="text1"/>
          <w:sz w:val="20"/>
        </w:rPr>
        <w:t>). Cette proposition de Recommandation introduirait une interdiction de retenir à bord les requins pèlerins et les grands requins blancs capturés en association avec les pêcheries de l’ICCAT, ainsi qu'une obligation de déclarer les interactions avec ces espèces conformément aux exigences de l’ICCAT en matière de déclaration des données.   </w:t>
      </w:r>
    </w:p>
    <w:p w14:paraId="12C95530" w14:textId="77777777" w:rsidR="00C47F31" w:rsidRPr="00336692" w:rsidRDefault="00C47F31" w:rsidP="006D6195">
      <w:pPr>
        <w:spacing w:after="0" w:line="240" w:lineRule="auto"/>
        <w:jc w:val="both"/>
        <w:rPr>
          <w:rFonts w:ascii="Cambria" w:eastAsia="Calibri" w:hAnsi="Cambria" w:cs="Calibri"/>
          <w:color w:val="000000" w:themeColor="text1"/>
          <w:sz w:val="20"/>
          <w:szCs w:val="20"/>
        </w:rPr>
      </w:pPr>
    </w:p>
    <w:p w14:paraId="5FA8B0BA" w14:textId="77777777" w:rsidR="005F1C13" w:rsidRDefault="005F1C13" w:rsidP="006D6195">
      <w:pPr>
        <w:spacing w:after="0" w:line="240" w:lineRule="auto"/>
        <w:jc w:val="both"/>
        <w:rPr>
          <w:rFonts w:ascii="Cambria" w:eastAsia="Calibri" w:hAnsi="Cambria" w:cs="Calibri"/>
          <w:color w:val="000000" w:themeColor="text1"/>
          <w:sz w:val="20"/>
          <w:szCs w:val="20"/>
        </w:rPr>
      </w:pPr>
      <w:r>
        <w:rPr>
          <w:rFonts w:ascii="Cambria" w:hAnsi="Cambria"/>
          <w:color w:val="000000" w:themeColor="text1"/>
          <w:sz w:val="20"/>
        </w:rPr>
        <w:t>La proposition vise à combler une lacune dans la couverture des Organisations régionales de gestion des pêches (ORGP), en soulignant que ce sont les deux seules espèces de requins réglementées par l’ICCAT qui figurent à l'annexe 1 de la Convention des Nations unies sur la conservation des espèces migratrices appartenant à la faune sauvage (CMS), mais qui ne sont actuellement pas soumises aux interdictions de rétention de l’ICCAT.  </w:t>
      </w:r>
    </w:p>
    <w:p w14:paraId="34081454" w14:textId="77777777" w:rsidR="00C47F31" w:rsidRPr="00336692" w:rsidRDefault="00C47F31" w:rsidP="006D6195">
      <w:pPr>
        <w:spacing w:after="0" w:line="240" w:lineRule="auto"/>
        <w:jc w:val="both"/>
        <w:rPr>
          <w:rFonts w:ascii="Cambria" w:eastAsia="Calibri" w:hAnsi="Cambria" w:cs="Calibri"/>
          <w:color w:val="000000" w:themeColor="text1"/>
          <w:sz w:val="20"/>
          <w:szCs w:val="20"/>
        </w:rPr>
      </w:pPr>
    </w:p>
    <w:p w14:paraId="6590A6A3" w14:textId="6B858455" w:rsidR="005F1C13" w:rsidRPr="00336692" w:rsidRDefault="005F1C13" w:rsidP="006D6195">
      <w:pPr>
        <w:spacing w:after="0" w:line="240" w:lineRule="auto"/>
        <w:jc w:val="both"/>
        <w:rPr>
          <w:rFonts w:ascii="Cambria" w:eastAsia="Calibri" w:hAnsi="Cambria" w:cs="Calibri"/>
          <w:b/>
          <w:bCs/>
          <w:color w:val="000000" w:themeColor="text1"/>
          <w:sz w:val="20"/>
          <w:szCs w:val="20"/>
        </w:rPr>
      </w:pPr>
      <w:r>
        <w:rPr>
          <w:rFonts w:ascii="Cambria" w:hAnsi="Cambria"/>
          <w:color w:val="000000" w:themeColor="text1"/>
          <w:sz w:val="20"/>
        </w:rPr>
        <w:t>L'interdiction proposée de rétention à bord dans les pêcheries de l’ICCAT alignerait l’ICCAT sur la CMS et vise à renforcer la conservation de ces espèces, sachant que le requin pèlerin est considéré comme en danger et le grand requin blanc comme vulnérable par l'Union internationale pour la conservation de la nature (UICN) et que les deux espèces sont inscrites à l'annexe II de la Convention sur le commerce international des espèces de faune et de flore sauvages menacées d'extinction (CITES).</w:t>
      </w:r>
      <w:r>
        <w:rPr>
          <w:rFonts w:ascii="Cambria" w:hAnsi="Cambria"/>
          <w:b/>
          <w:color w:val="000000" w:themeColor="text1"/>
          <w:sz w:val="20"/>
        </w:rPr>
        <w:t>  </w:t>
      </w:r>
    </w:p>
    <w:p w14:paraId="384B9627" w14:textId="77777777" w:rsidR="0029028B" w:rsidRDefault="0029028B">
      <w:pPr>
        <w:rPr>
          <w:rFonts w:ascii="Cambria" w:hAnsi="Cambria"/>
          <w:b/>
          <w:color w:val="000000" w:themeColor="text1"/>
          <w:sz w:val="20"/>
        </w:rPr>
      </w:pPr>
      <w:r>
        <w:rPr>
          <w:rFonts w:ascii="Cambria" w:hAnsi="Cambria"/>
          <w:b/>
          <w:color w:val="000000" w:themeColor="text1"/>
          <w:sz w:val="20"/>
        </w:rPr>
        <w:br w:type="page"/>
      </w:r>
    </w:p>
    <w:p w14:paraId="29D47061" w14:textId="13AB93A3" w:rsidR="00AB0F66" w:rsidRDefault="00C47F31" w:rsidP="00AB0F66">
      <w:pPr>
        <w:spacing w:after="0" w:line="240" w:lineRule="auto"/>
        <w:jc w:val="center"/>
        <w:rPr>
          <w:rFonts w:ascii="Cambria" w:eastAsia="Calibri" w:hAnsi="Cambria" w:cs="Calibri"/>
          <w:b/>
          <w:bCs/>
          <w:color w:val="000000" w:themeColor="text1"/>
          <w:sz w:val="20"/>
          <w:szCs w:val="20"/>
        </w:rPr>
      </w:pPr>
      <w:r>
        <w:rPr>
          <w:rFonts w:ascii="Cambria" w:hAnsi="Cambria"/>
          <w:b/>
          <w:color w:val="000000" w:themeColor="text1"/>
          <w:sz w:val="20"/>
        </w:rPr>
        <w:lastRenderedPageBreak/>
        <w:t xml:space="preserve">Projet de Recommandation de l’ICCAT concernant le requin pèlerin et le grand requin blanc capturés en association avec les pêcheries gérées par l’ICCAT </w:t>
      </w:r>
    </w:p>
    <w:p w14:paraId="3DACE0B6" w14:textId="6DDBF1B4" w:rsidR="00506D0F" w:rsidRDefault="00506D0F" w:rsidP="00AB0F66">
      <w:pPr>
        <w:spacing w:after="0" w:line="240" w:lineRule="auto"/>
        <w:jc w:val="center"/>
        <w:rPr>
          <w:rFonts w:ascii="Cambria" w:eastAsia="Calibri" w:hAnsi="Cambria" w:cs="Calibri"/>
          <w:b/>
          <w:bCs/>
          <w:color w:val="000000" w:themeColor="text1"/>
          <w:sz w:val="20"/>
          <w:szCs w:val="20"/>
        </w:rPr>
      </w:pPr>
    </w:p>
    <w:p w14:paraId="2E3BD60B" w14:textId="40511F94" w:rsidR="00C47F31" w:rsidRDefault="00C47F31" w:rsidP="00AB0F66">
      <w:pPr>
        <w:spacing w:after="0" w:line="240" w:lineRule="auto"/>
        <w:jc w:val="center"/>
        <w:rPr>
          <w:rFonts w:ascii="Cambria" w:eastAsia="Calibri" w:hAnsi="Cambria" w:cs="Calibri"/>
          <w:i/>
          <w:iCs/>
          <w:color w:val="000000" w:themeColor="text1"/>
          <w:sz w:val="20"/>
          <w:szCs w:val="20"/>
        </w:rPr>
      </w:pPr>
      <w:r>
        <w:rPr>
          <w:rFonts w:ascii="Cambria" w:hAnsi="Cambria"/>
          <w:i/>
          <w:color w:val="000000" w:themeColor="text1"/>
          <w:sz w:val="20"/>
        </w:rPr>
        <w:t>(Document soumis par le Royaume-Uni</w:t>
      </w:r>
      <w:r w:rsidR="0034579A" w:rsidRPr="0034579A">
        <w:rPr>
          <w:rFonts w:ascii="Cambria" w:hAnsi="Cambria"/>
          <w:i/>
          <w:sz w:val="20"/>
          <w:u w:val="single"/>
        </w:rPr>
        <w:t xml:space="preserve"> </w:t>
      </w:r>
      <w:r w:rsidR="0034579A" w:rsidRPr="0034579A">
        <w:rPr>
          <w:rFonts w:ascii="Cambria" w:hAnsi="Cambria"/>
          <w:i/>
          <w:sz w:val="20"/>
          <w:u w:val="single"/>
        </w:rPr>
        <w:t>et le Brésil</w:t>
      </w:r>
      <w:r>
        <w:rPr>
          <w:rFonts w:ascii="Cambria" w:hAnsi="Cambria"/>
          <w:i/>
          <w:color w:val="000000" w:themeColor="text1"/>
          <w:sz w:val="20"/>
        </w:rPr>
        <w:t>)</w:t>
      </w:r>
    </w:p>
    <w:p w14:paraId="04EA5E99" w14:textId="77777777" w:rsidR="00C47F31" w:rsidRPr="00336692" w:rsidRDefault="00C47F31" w:rsidP="00AB0F66">
      <w:pPr>
        <w:spacing w:after="0" w:line="240" w:lineRule="auto"/>
        <w:jc w:val="center"/>
        <w:rPr>
          <w:rFonts w:ascii="Cambria" w:eastAsia="Aptos" w:hAnsi="Cambria" w:cs="Aptos"/>
          <w:sz w:val="20"/>
          <w:szCs w:val="20"/>
        </w:rPr>
      </w:pPr>
    </w:p>
    <w:p w14:paraId="62158990" w14:textId="50284BB5" w:rsidR="125F9628" w:rsidRPr="00336692" w:rsidRDefault="4DF291B1" w:rsidP="002E75AE">
      <w:pPr>
        <w:tabs>
          <w:tab w:val="left" w:pos="426"/>
        </w:tabs>
        <w:spacing w:after="0" w:line="240" w:lineRule="auto"/>
        <w:ind w:firstLine="426"/>
        <w:jc w:val="both"/>
        <w:rPr>
          <w:rFonts w:ascii="Cambria" w:eastAsia="Cambria" w:hAnsi="Cambria" w:cs="Cambria"/>
          <w:sz w:val="20"/>
          <w:szCs w:val="20"/>
        </w:rPr>
      </w:pPr>
      <w:r>
        <w:rPr>
          <w:rFonts w:ascii="Cambria" w:hAnsi="Cambria"/>
          <w:i/>
          <w:sz w:val="20"/>
        </w:rPr>
        <w:t>NOTANT</w:t>
      </w:r>
      <w:r>
        <w:rPr>
          <w:rFonts w:ascii="Cambria" w:hAnsi="Cambria"/>
          <w:sz w:val="20"/>
        </w:rPr>
        <w:t xml:space="preserve"> que l'article 5 de l'Accord des Nations Unies sur les stocks de poissons (UNFSA) exige que les États du pavillon des navires de pêche capturant des espèces hautement migratoires minimisent les impacts sur les espèces capturées accidentellement, protègent la biodiversité marine et collectent des données pertinentes pour l'élaboration de mesures de conservation et de gestion appropriées fondées sur la science afin d'assurer la protection de ces espèces ;</w:t>
      </w:r>
    </w:p>
    <w:p w14:paraId="245D1615" w14:textId="77777777" w:rsidR="002E75AE" w:rsidRDefault="002E75AE" w:rsidP="002E75AE">
      <w:pPr>
        <w:spacing w:after="0" w:line="240" w:lineRule="auto"/>
        <w:jc w:val="both"/>
        <w:rPr>
          <w:rFonts w:ascii="Cambria" w:eastAsia="Cambria" w:hAnsi="Cambria" w:cs="Cambria"/>
          <w:i/>
          <w:sz w:val="20"/>
          <w:szCs w:val="20"/>
        </w:rPr>
      </w:pPr>
    </w:p>
    <w:p w14:paraId="176A75AD" w14:textId="6A87F307" w:rsidR="00445693" w:rsidRPr="00336692" w:rsidRDefault="4661D84C" w:rsidP="002E75AE">
      <w:pPr>
        <w:tabs>
          <w:tab w:val="left" w:pos="426"/>
        </w:tabs>
        <w:spacing w:after="0" w:line="240" w:lineRule="auto"/>
        <w:ind w:firstLine="426"/>
        <w:jc w:val="both"/>
        <w:rPr>
          <w:rFonts w:ascii="Cambria" w:eastAsia="Cambria" w:hAnsi="Cambria" w:cs="Cambria"/>
          <w:sz w:val="20"/>
          <w:szCs w:val="20"/>
        </w:rPr>
      </w:pPr>
      <w:r>
        <w:rPr>
          <w:rFonts w:ascii="Cambria" w:hAnsi="Cambria"/>
          <w:i/>
          <w:iCs/>
          <w:sz w:val="20"/>
        </w:rPr>
        <w:t>CONSIDÉRANT</w:t>
      </w:r>
      <w:r>
        <w:rPr>
          <w:rFonts w:ascii="Cambria" w:hAnsi="Cambria"/>
          <w:sz w:val="20"/>
        </w:rPr>
        <w:t xml:space="preserve"> que le requin pèlerin (</w:t>
      </w:r>
      <w:proofErr w:type="spellStart"/>
      <w:r>
        <w:rPr>
          <w:rFonts w:ascii="Cambria" w:hAnsi="Cambria"/>
          <w:i/>
          <w:iCs/>
          <w:sz w:val="20"/>
        </w:rPr>
        <w:t>Cetorhinus</w:t>
      </w:r>
      <w:proofErr w:type="spellEnd"/>
      <w:r>
        <w:rPr>
          <w:rFonts w:ascii="Cambria" w:hAnsi="Cambria"/>
          <w:i/>
          <w:iCs/>
          <w:sz w:val="20"/>
        </w:rPr>
        <w:t xml:space="preserve"> </w:t>
      </w:r>
      <w:proofErr w:type="spellStart"/>
      <w:r>
        <w:rPr>
          <w:rFonts w:ascii="Cambria" w:hAnsi="Cambria"/>
          <w:i/>
          <w:iCs/>
          <w:sz w:val="20"/>
        </w:rPr>
        <w:t>maximus</w:t>
      </w:r>
      <w:proofErr w:type="spellEnd"/>
      <w:r>
        <w:rPr>
          <w:rFonts w:ascii="Cambria" w:hAnsi="Cambria"/>
          <w:sz w:val="20"/>
        </w:rPr>
        <w:t xml:space="preserve">) et le grand requin blanc </w:t>
      </w:r>
      <w:r>
        <w:rPr>
          <w:rFonts w:ascii="Cambria" w:hAnsi="Cambria"/>
          <w:i/>
          <w:iCs/>
          <w:sz w:val="20"/>
        </w:rPr>
        <w:t>(Carcharodon carcharias</w:t>
      </w:r>
      <w:r>
        <w:rPr>
          <w:rFonts w:ascii="Cambria" w:hAnsi="Cambria"/>
          <w:sz w:val="20"/>
        </w:rPr>
        <w:t>) sont capturés en association avec les pêcheries relevant de l'ICCAT</w:t>
      </w:r>
      <w:r w:rsidR="00900D07">
        <w:rPr>
          <w:rFonts w:ascii="Cambria" w:hAnsi="Cambria"/>
          <w:sz w:val="20"/>
        </w:rPr>
        <w:t> ;</w:t>
      </w:r>
    </w:p>
    <w:p w14:paraId="7DBB51AE" w14:textId="77777777" w:rsidR="002E75AE" w:rsidRDefault="002E75AE" w:rsidP="002E75AE">
      <w:pPr>
        <w:spacing w:after="0" w:line="240" w:lineRule="auto"/>
        <w:jc w:val="both"/>
        <w:rPr>
          <w:rFonts w:ascii="Cambria" w:eastAsia="Cambria" w:hAnsi="Cambria" w:cs="Cambria"/>
          <w:i/>
          <w:sz w:val="20"/>
          <w:szCs w:val="20"/>
        </w:rPr>
      </w:pPr>
    </w:p>
    <w:p w14:paraId="20BF44C8" w14:textId="2224ED96" w:rsidR="0F815F8B" w:rsidRPr="00336692" w:rsidRDefault="0F815F8B" w:rsidP="002E75AE">
      <w:pPr>
        <w:tabs>
          <w:tab w:val="left" w:pos="426"/>
        </w:tabs>
        <w:spacing w:after="0" w:line="240" w:lineRule="auto"/>
        <w:ind w:firstLine="426"/>
        <w:jc w:val="both"/>
        <w:rPr>
          <w:rFonts w:ascii="Cambria" w:eastAsia="Cambria" w:hAnsi="Cambria" w:cs="Cambria"/>
          <w:sz w:val="20"/>
          <w:szCs w:val="20"/>
        </w:rPr>
      </w:pPr>
      <w:r>
        <w:rPr>
          <w:rFonts w:ascii="Cambria" w:hAnsi="Cambria"/>
          <w:i/>
          <w:sz w:val="20"/>
        </w:rPr>
        <w:t xml:space="preserve">NOTANT </w:t>
      </w:r>
      <w:r>
        <w:rPr>
          <w:rFonts w:ascii="Cambria" w:hAnsi="Cambria"/>
          <w:sz w:val="20"/>
        </w:rPr>
        <w:t>que le requin pèlerin et le grand requin blanc présentent des taux de croissance lents et une fécondité très faible, et que les taux de croissance de la population sont très bas, ce qui les rend extrêmement vulnérables à la surpêche ;</w:t>
      </w:r>
    </w:p>
    <w:p w14:paraId="35A18409" w14:textId="77777777" w:rsidR="002E75AE" w:rsidRDefault="002E75AE" w:rsidP="002E75AE">
      <w:pPr>
        <w:spacing w:after="0" w:line="240" w:lineRule="auto"/>
        <w:jc w:val="both"/>
        <w:rPr>
          <w:rFonts w:ascii="Cambria" w:eastAsia="Cambria" w:hAnsi="Cambria" w:cs="Cambria"/>
          <w:i/>
          <w:iCs/>
          <w:color w:val="000000" w:themeColor="text1"/>
          <w:sz w:val="20"/>
          <w:szCs w:val="20"/>
        </w:rPr>
      </w:pPr>
    </w:p>
    <w:p w14:paraId="7D64494D" w14:textId="16397746" w:rsidR="4661D84C" w:rsidRPr="00336692" w:rsidRDefault="4661D84C" w:rsidP="002E75AE">
      <w:pPr>
        <w:tabs>
          <w:tab w:val="left" w:pos="426"/>
        </w:tabs>
        <w:spacing w:after="0" w:line="240" w:lineRule="auto"/>
        <w:ind w:firstLine="426"/>
        <w:jc w:val="both"/>
        <w:rPr>
          <w:rFonts w:ascii="Cambria" w:eastAsia="Cambria" w:hAnsi="Cambria" w:cs="Cambria"/>
          <w:color w:val="000000" w:themeColor="text1"/>
          <w:sz w:val="20"/>
          <w:szCs w:val="20"/>
        </w:rPr>
      </w:pPr>
      <w:r>
        <w:rPr>
          <w:rFonts w:ascii="Cambria" w:hAnsi="Cambria"/>
          <w:i/>
          <w:iCs/>
          <w:sz w:val="20"/>
        </w:rPr>
        <w:t>CONSIDÉRANT</w:t>
      </w:r>
      <w:r>
        <w:rPr>
          <w:rFonts w:ascii="Cambria" w:hAnsi="Cambria"/>
          <w:sz w:val="20"/>
        </w:rPr>
        <w:t xml:space="preserve"> que le requin pèlerin et le grand requin blanc sont inscrits aux annexes I et II de la Convention sur la conservation des espèces migratrices appartenant à la faune sauvage (CMS) ;</w:t>
      </w:r>
      <w:r>
        <w:rPr>
          <w:rFonts w:ascii="Cambria" w:hAnsi="Cambria"/>
          <w:color w:val="000000" w:themeColor="text1"/>
          <w:sz w:val="20"/>
        </w:rPr>
        <w:t xml:space="preserve"> </w:t>
      </w:r>
    </w:p>
    <w:p w14:paraId="5CE5BED2" w14:textId="77777777" w:rsidR="002E75AE" w:rsidRDefault="002E75AE" w:rsidP="002E75AE">
      <w:pPr>
        <w:spacing w:after="0" w:line="240" w:lineRule="auto"/>
        <w:jc w:val="both"/>
        <w:rPr>
          <w:rFonts w:ascii="Cambria" w:eastAsia="Cambria" w:hAnsi="Cambria" w:cs="Cambria"/>
          <w:i/>
          <w:iCs/>
          <w:color w:val="000000" w:themeColor="text1"/>
          <w:sz w:val="20"/>
          <w:szCs w:val="20"/>
        </w:rPr>
      </w:pPr>
    </w:p>
    <w:p w14:paraId="53E98ABE" w14:textId="5C11EA9C" w:rsidR="001F599C" w:rsidRPr="00336692" w:rsidRDefault="001F599C" w:rsidP="002E75AE">
      <w:pPr>
        <w:tabs>
          <w:tab w:val="left" w:pos="426"/>
        </w:tabs>
        <w:spacing w:after="0" w:line="240" w:lineRule="auto"/>
        <w:ind w:firstLine="426"/>
        <w:jc w:val="both"/>
        <w:rPr>
          <w:rFonts w:ascii="Cambria" w:eastAsia="Cambria" w:hAnsi="Cambria" w:cs="Cambria"/>
          <w:color w:val="000000" w:themeColor="text1"/>
          <w:sz w:val="20"/>
          <w:szCs w:val="20"/>
        </w:rPr>
      </w:pPr>
      <w:r>
        <w:rPr>
          <w:rFonts w:ascii="Cambria" w:hAnsi="Cambria"/>
          <w:i/>
          <w:iCs/>
          <w:sz w:val="20"/>
        </w:rPr>
        <w:t xml:space="preserve">CONSIDÉRANT EN OUTRE </w:t>
      </w:r>
      <w:r>
        <w:rPr>
          <w:rFonts w:ascii="Cambria" w:hAnsi="Cambria"/>
          <w:sz w:val="20"/>
        </w:rPr>
        <w:t>que les Parties à la CMS « qui sont des États de l'aire de répartition d'une espèce migratrice inscrite à l'annexe I interdisent le prélèvement d'animaux appartenant à ces espèces » et que plusieurs flottilles opérant dans la zone de la Convention de l’ICCAT mettent déjà en œuvre des mesures de protection du requin pèlerin et du grand requin blanc</w:t>
      </w:r>
      <w:r w:rsidR="00900D07">
        <w:rPr>
          <w:rFonts w:ascii="Cambria" w:hAnsi="Cambria"/>
          <w:sz w:val="20"/>
        </w:rPr>
        <w:t> ;</w:t>
      </w:r>
    </w:p>
    <w:p w14:paraId="62D6A3EB" w14:textId="77777777" w:rsidR="002E75AE" w:rsidRDefault="002E75AE" w:rsidP="002E75AE">
      <w:pPr>
        <w:spacing w:after="0" w:line="240" w:lineRule="auto"/>
        <w:jc w:val="both"/>
        <w:rPr>
          <w:rFonts w:ascii="Cambria" w:eastAsia="Cambria" w:hAnsi="Cambria" w:cs="Cambria"/>
          <w:sz w:val="20"/>
          <w:szCs w:val="20"/>
        </w:rPr>
      </w:pPr>
    </w:p>
    <w:p w14:paraId="6950E8C4" w14:textId="74D6786B" w:rsidR="003E3991" w:rsidRPr="00336692" w:rsidRDefault="003E3991" w:rsidP="002E75AE">
      <w:pPr>
        <w:tabs>
          <w:tab w:val="left" w:pos="426"/>
        </w:tabs>
        <w:spacing w:after="0" w:line="240" w:lineRule="auto"/>
        <w:ind w:firstLine="426"/>
        <w:jc w:val="both"/>
        <w:rPr>
          <w:rFonts w:ascii="Cambria" w:eastAsia="Cambria" w:hAnsi="Cambria" w:cs="Cambria"/>
          <w:sz w:val="20"/>
          <w:szCs w:val="20"/>
        </w:rPr>
      </w:pPr>
      <w:r>
        <w:rPr>
          <w:rFonts w:ascii="Cambria" w:hAnsi="Cambria"/>
          <w:i/>
          <w:sz w:val="20"/>
        </w:rPr>
        <w:t xml:space="preserve">RECONNAISSANT </w:t>
      </w:r>
      <w:r>
        <w:rPr>
          <w:rFonts w:ascii="Cambria" w:hAnsi="Cambria"/>
          <w:sz w:val="20"/>
        </w:rPr>
        <w:t>que le SCRS a précédemment conseillé que « Des mesures de gestion de précaution devraient être envisagées pour les stocks ayant la plus grande vulnérabilité biologique et faisant l’objet de préoccupations de conservation et sur lesquels il existe très peu de données », ce qui pourrait raisonnablement s'appliquer au requin pèlerin et au grand requin blanc ;</w:t>
      </w:r>
    </w:p>
    <w:p w14:paraId="4FE7A382" w14:textId="77777777" w:rsidR="002E75AE" w:rsidRDefault="002E75AE" w:rsidP="002E75AE">
      <w:pPr>
        <w:spacing w:after="0" w:line="240" w:lineRule="auto"/>
        <w:jc w:val="both"/>
        <w:rPr>
          <w:rFonts w:ascii="Cambria" w:eastAsia="Cambria" w:hAnsi="Cambria" w:cs="Cambria"/>
          <w:i/>
          <w:iCs/>
          <w:color w:val="000000" w:themeColor="text1"/>
          <w:sz w:val="20"/>
          <w:szCs w:val="20"/>
        </w:rPr>
      </w:pPr>
    </w:p>
    <w:p w14:paraId="5EFD25C0" w14:textId="5F5B62BC" w:rsidR="0BFBCD00" w:rsidRPr="00336692" w:rsidRDefault="0BFBCD00" w:rsidP="002E75AE">
      <w:pPr>
        <w:tabs>
          <w:tab w:val="left" w:pos="426"/>
        </w:tabs>
        <w:spacing w:after="0" w:line="240" w:lineRule="auto"/>
        <w:ind w:firstLine="426"/>
        <w:jc w:val="both"/>
        <w:rPr>
          <w:rFonts w:ascii="Cambria" w:hAnsi="Cambria"/>
          <w:sz w:val="20"/>
          <w:szCs w:val="20"/>
        </w:rPr>
      </w:pPr>
      <w:r>
        <w:rPr>
          <w:rFonts w:ascii="Cambria" w:hAnsi="Cambria"/>
          <w:i/>
          <w:iCs/>
          <w:sz w:val="20"/>
        </w:rPr>
        <w:t>NOTANT</w:t>
      </w:r>
      <w:r>
        <w:rPr>
          <w:rFonts w:ascii="Cambria" w:hAnsi="Cambria"/>
          <w:sz w:val="20"/>
        </w:rPr>
        <w:t xml:space="preserve"> la solidité des preuves scientifiques présentées au Groupe d’espèces sur les requins et au Sous-comité des écosystèmes et des prises accessoires, qui démontrent que le requin pèlerin et le grand requin blanc présentent des caractéristiques biologiques, notamment une faible productivité et une croissance lente, qui les rendent vulnérables à la surpêche ;</w:t>
      </w:r>
    </w:p>
    <w:p w14:paraId="1F68BC70" w14:textId="77777777" w:rsidR="002E75AE" w:rsidRDefault="002E75AE" w:rsidP="002E75AE">
      <w:pPr>
        <w:spacing w:after="0" w:line="240" w:lineRule="auto"/>
        <w:jc w:val="both"/>
        <w:rPr>
          <w:rFonts w:ascii="Cambria" w:eastAsia="Cambria" w:hAnsi="Cambria" w:cs="Cambria"/>
          <w:i/>
          <w:sz w:val="20"/>
          <w:szCs w:val="20"/>
        </w:rPr>
      </w:pPr>
    </w:p>
    <w:p w14:paraId="5CCBADB5" w14:textId="4BA521A0" w:rsidR="01DD3118" w:rsidRPr="00336692" w:rsidRDefault="0BFBCD00" w:rsidP="002E75AE">
      <w:pPr>
        <w:tabs>
          <w:tab w:val="left" w:pos="426"/>
        </w:tabs>
        <w:spacing w:after="0" w:line="240" w:lineRule="auto"/>
        <w:ind w:firstLine="426"/>
        <w:jc w:val="both"/>
        <w:rPr>
          <w:rFonts w:ascii="Cambria" w:eastAsia="Cambria" w:hAnsi="Cambria" w:cs="Cambria"/>
          <w:sz w:val="20"/>
          <w:szCs w:val="20"/>
        </w:rPr>
      </w:pPr>
      <w:r>
        <w:rPr>
          <w:rFonts w:ascii="Cambria" w:hAnsi="Cambria"/>
          <w:i/>
          <w:sz w:val="20"/>
        </w:rPr>
        <w:t xml:space="preserve">RECONNAISSANT </w:t>
      </w:r>
      <w:r>
        <w:rPr>
          <w:rFonts w:ascii="Cambria" w:hAnsi="Cambria"/>
          <w:sz w:val="20"/>
        </w:rPr>
        <w:t xml:space="preserve">que le Sous-comité des écosystèmes et des prises accessoires « recommande de considérer le requin pèlerin et le grand requin blanc comme des espèces présentant la plus grande vulnérabilité biologique et que des mesures de gestion de précaution pour leur conservation devraient être envisagées par la Commission » et que le Groupe d’espèces sur les requins  « a recommandé de considérer le requin pèlerin et le grand requin blanc comme des espèces présentant la plus grande vulnérabilité biologique et que des mesures de gestion de précaution pour leur conservation devraient être envisagées par la Commission. En particulier, des mesures similaires à celles adoptées pour les raies </w:t>
      </w:r>
      <w:proofErr w:type="spellStart"/>
      <w:r>
        <w:rPr>
          <w:rFonts w:ascii="Cambria" w:hAnsi="Cambria"/>
          <w:sz w:val="20"/>
        </w:rPr>
        <w:t>mobulidées</w:t>
      </w:r>
      <w:proofErr w:type="spellEnd"/>
      <w:r>
        <w:rPr>
          <w:rFonts w:ascii="Cambria" w:hAnsi="Cambria"/>
          <w:sz w:val="20"/>
        </w:rPr>
        <w:t xml:space="preserve"> (</w:t>
      </w:r>
      <w:r>
        <w:rPr>
          <w:rFonts w:ascii="Cambria" w:hAnsi="Cambria"/>
          <w:i/>
          <w:iCs/>
          <w:sz w:val="20"/>
        </w:rPr>
        <w:t xml:space="preserve">Recommandation de l’ICCAT remplaçant la Recommandation 23-14 sur les raies </w:t>
      </w:r>
      <w:proofErr w:type="spellStart"/>
      <w:r>
        <w:rPr>
          <w:rFonts w:ascii="Cambria" w:hAnsi="Cambria"/>
          <w:i/>
          <w:iCs/>
          <w:sz w:val="20"/>
        </w:rPr>
        <w:t>mobulidées</w:t>
      </w:r>
      <w:proofErr w:type="spellEnd"/>
      <w:r>
        <w:rPr>
          <w:rFonts w:ascii="Cambria" w:hAnsi="Cambria"/>
          <w:i/>
          <w:iCs/>
          <w:sz w:val="20"/>
        </w:rPr>
        <w:t xml:space="preserve"> (famille </w:t>
      </w:r>
      <w:proofErr w:type="spellStart"/>
      <w:r>
        <w:rPr>
          <w:rFonts w:ascii="Cambria" w:hAnsi="Cambria"/>
          <w:sz w:val="20"/>
        </w:rPr>
        <w:t>Mobulidae</w:t>
      </w:r>
      <w:proofErr w:type="spellEnd"/>
      <w:r>
        <w:rPr>
          <w:rFonts w:ascii="Cambria" w:hAnsi="Cambria"/>
          <w:i/>
          <w:iCs/>
          <w:sz w:val="20"/>
        </w:rPr>
        <w:t>) capturées en association avec les pêcheries de l’ICCAT</w:t>
      </w:r>
      <w:r>
        <w:rPr>
          <w:rFonts w:ascii="Cambria" w:hAnsi="Cambria"/>
          <w:sz w:val="20"/>
        </w:rPr>
        <w:t xml:space="preserve"> (Rec. 24-12)) et le requin-baleine (</w:t>
      </w:r>
      <w:r>
        <w:rPr>
          <w:rFonts w:ascii="Cambria" w:hAnsi="Cambria"/>
          <w:i/>
          <w:iCs/>
          <w:sz w:val="20"/>
        </w:rPr>
        <w:t>Recommandation de l’ICCAT pour la conservation des requins-baleines (</w:t>
      </w:r>
      <w:r>
        <w:rPr>
          <w:rFonts w:ascii="Cambria" w:hAnsi="Cambria"/>
          <w:sz w:val="20"/>
        </w:rPr>
        <w:t>Rhincodon typus</w:t>
      </w:r>
      <w:r>
        <w:rPr>
          <w:rFonts w:ascii="Cambria" w:hAnsi="Cambria"/>
          <w:i/>
          <w:iCs/>
          <w:sz w:val="20"/>
        </w:rPr>
        <w:t>) capturés en association avec les pêcheries de l’ICCAT</w:t>
      </w:r>
      <w:r>
        <w:rPr>
          <w:rFonts w:ascii="Cambria" w:hAnsi="Cambria"/>
          <w:sz w:val="20"/>
        </w:rPr>
        <w:t xml:space="preserve"> (Rec. 23-12)) devraient être envisagées »</w:t>
      </w:r>
      <w:r w:rsidR="0029028B">
        <w:rPr>
          <w:rFonts w:ascii="Cambria" w:hAnsi="Cambria"/>
          <w:sz w:val="20"/>
        </w:rPr>
        <w:t> ;</w:t>
      </w:r>
    </w:p>
    <w:p w14:paraId="2B5224F7" w14:textId="77777777" w:rsidR="0034484E" w:rsidRDefault="0034484E" w:rsidP="002E75AE">
      <w:pPr>
        <w:spacing w:after="0" w:line="240" w:lineRule="auto"/>
        <w:jc w:val="both"/>
        <w:rPr>
          <w:rFonts w:ascii="Cambria" w:eastAsia="Cambria" w:hAnsi="Cambria" w:cs="Cambria"/>
          <w:color w:val="000000" w:themeColor="text1"/>
          <w:sz w:val="20"/>
          <w:szCs w:val="20"/>
        </w:rPr>
      </w:pPr>
    </w:p>
    <w:p w14:paraId="4F536756" w14:textId="77777777" w:rsidR="002E75AE" w:rsidRPr="00336692" w:rsidRDefault="002E75AE" w:rsidP="002E75AE">
      <w:pPr>
        <w:spacing w:after="0" w:line="240" w:lineRule="auto"/>
        <w:jc w:val="both"/>
        <w:rPr>
          <w:rFonts w:ascii="Cambria" w:eastAsia="Cambria" w:hAnsi="Cambria" w:cs="Cambria"/>
          <w:color w:val="000000" w:themeColor="text1"/>
          <w:sz w:val="20"/>
          <w:szCs w:val="20"/>
        </w:rPr>
      </w:pPr>
    </w:p>
    <w:p w14:paraId="1601FBE1" w14:textId="77777777" w:rsidR="002E75AE" w:rsidRDefault="33F1BC33" w:rsidP="002E75AE">
      <w:pPr>
        <w:spacing w:after="0" w:line="240" w:lineRule="auto"/>
        <w:jc w:val="center"/>
        <w:rPr>
          <w:rFonts w:ascii="Cambria" w:eastAsia="Cambria" w:hAnsi="Cambria" w:cs="Cambria"/>
          <w:color w:val="000000" w:themeColor="text1"/>
          <w:sz w:val="20"/>
          <w:szCs w:val="20"/>
        </w:rPr>
      </w:pPr>
      <w:r>
        <w:rPr>
          <w:rFonts w:ascii="Cambria" w:hAnsi="Cambria"/>
          <w:color w:val="000000" w:themeColor="text1"/>
          <w:sz w:val="20"/>
        </w:rPr>
        <w:t xml:space="preserve">LA COMMISSION INTERNATIONALE POUR LA CONSERVATION </w:t>
      </w:r>
    </w:p>
    <w:p w14:paraId="2674574C" w14:textId="0EA0D5DC" w:rsidR="3CF73AD2" w:rsidRDefault="33F1BC33" w:rsidP="002E75AE">
      <w:pPr>
        <w:spacing w:after="0" w:line="240" w:lineRule="auto"/>
        <w:jc w:val="center"/>
        <w:rPr>
          <w:rFonts w:ascii="Cambria" w:eastAsia="Cambria" w:hAnsi="Cambria" w:cs="Cambria"/>
          <w:color w:val="000000" w:themeColor="text1"/>
          <w:sz w:val="20"/>
          <w:szCs w:val="20"/>
        </w:rPr>
      </w:pPr>
      <w:r>
        <w:rPr>
          <w:rFonts w:ascii="Cambria" w:hAnsi="Cambria"/>
          <w:color w:val="000000" w:themeColor="text1"/>
          <w:sz w:val="20"/>
        </w:rPr>
        <w:t>DES THONIDÉS DE L’ATLANTIQUE (ICCAT) RECOMMANDE CE QUI SUIT</w:t>
      </w:r>
      <w:r w:rsidR="0029028B">
        <w:rPr>
          <w:rFonts w:ascii="Cambria" w:hAnsi="Cambria"/>
          <w:color w:val="000000" w:themeColor="text1"/>
          <w:sz w:val="20"/>
        </w:rPr>
        <w:t> :</w:t>
      </w:r>
    </w:p>
    <w:p w14:paraId="6462E29D" w14:textId="77777777" w:rsidR="002E75AE" w:rsidRPr="00336692" w:rsidRDefault="002E75AE" w:rsidP="002E75AE">
      <w:pPr>
        <w:spacing w:after="0" w:line="240" w:lineRule="auto"/>
        <w:jc w:val="center"/>
        <w:rPr>
          <w:rFonts w:ascii="Cambria" w:eastAsia="Cambria" w:hAnsi="Cambria" w:cs="Cambria"/>
          <w:sz w:val="20"/>
          <w:szCs w:val="20"/>
        </w:rPr>
      </w:pPr>
    </w:p>
    <w:p w14:paraId="583808E8" w14:textId="19472BDF" w:rsidR="227051B1" w:rsidRPr="002E75AE"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Pr>
          <w:rFonts w:ascii="Cambria" w:hAnsi="Cambria"/>
          <w:sz w:val="20"/>
        </w:rPr>
        <w:t>Les Parties contractantes et Parties, Entités ou Entités de pêche non contractantes coopérantes (ci-après dénommées « CPC ») devront interdire de retenir à bord, de transborder, de débarquer ou de stocker une partie ou la totalité de la carcasse des spécimens de requin pèlerin (</w:t>
      </w:r>
      <w:proofErr w:type="spellStart"/>
      <w:r>
        <w:rPr>
          <w:rFonts w:ascii="Cambria" w:hAnsi="Cambria"/>
          <w:i/>
          <w:sz w:val="20"/>
        </w:rPr>
        <w:t>Cetorhinus</w:t>
      </w:r>
      <w:proofErr w:type="spellEnd"/>
      <w:r>
        <w:rPr>
          <w:rFonts w:ascii="Cambria" w:hAnsi="Cambria"/>
          <w:i/>
          <w:sz w:val="20"/>
        </w:rPr>
        <w:t xml:space="preserve"> </w:t>
      </w:r>
      <w:proofErr w:type="spellStart"/>
      <w:r>
        <w:rPr>
          <w:rFonts w:ascii="Cambria" w:hAnsi="Cambria"/>
          <w:i/>
          <w:sz w:val="20"/>
        </w:rPr>
        <w:t>maximus</w:t>
      </w:r>
      <w:proofErr w:type="spellEnd"/>
      <w:r>
        <w:rPr>
          <w:rFonts w:ascii="Cambria" w:hAnsi="Cambria"/>
          <w:sz w:val="20"/>
        </w:rPr>
        <w:t>) et de grand requin blanc (</w:t>
      </w:r>
      <w:r>
        <w:rPr>
          <w:rFonts w:ascii="Cambria" w:hAnsi="Cambria"/>
          <w:i/>
          <w:sz w:val="20"/>
        </w:rPr>
        <w:t>Carcharodon carcharias</w:t>
      </w:r>
      <w:r>
        <w:rPr>
          <w:rFonts w:ascii="Cambria" w:hAnsi="Cambria"/>
          <w:sz w:val="20"/>
        </w:rPr>
        <w:t>)</w:t>
      </w:r>
      <w:r>
        <w:rPr>
          <w:rFonts w:ascii="Cambria" w:hAnsi="Cambria"/>
          <w:i/>
          <w:sz w:val="20"/>
        </w:rPr>
        <w:t xml:space="preserve"> </w:t>
      </w:r>
      <w:r>
        <w:rPr>
          <w:rFonts w:ascii="Cambria" w:hAnsi="Cambria"/>
          <w:sz w:val="20"/>
        </w:rPr>
        <w:t xml:space="preserve">capturés dans la zone de la Convention en association avec les pêcheries relevant de l'ICCAT. </w:t>
      </w:r>
    </w:p>
    <w:p w14:paraId="7D73D777" w14:textId="77777777" w:rsidR="002E75AE" w:rsidRPr="00336692" w:rsidRDefault="002E75AE" w:rsidP="002E75AE">
      <w:pPr>
        <w:pStyle w:val="ListParagraph"/>
        <w:spacing w:after="0" w:line="240" w:lineRule="auto"/>
        <w:ind w:left="426" w:hanging="426"/>
        <w:contextualSpacing w:val="0"/>
        <w:jc w:val="both"/>
        <w:rPr>
          <w:rFonts w:ascii="Cambria" w:eastAsia="Cambria" w:hAnsi="Cambria" w:cs="Cambria"/>
          <w:sz w:val="20"/>
          <w:szCs w:val="20"/>
        </w:rPr>
      </w:pPr>
    </w:p>
    <w:p w14:paraId="29B1B152" w14:textId="4FBFB08D" w:rsidR="227051B1"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Pr>
          <w:rFonts w:ascii="Cambria" w:hAnsi="Cambria"/>
          <w:sz w:val="20"/>
        </w:rPr>
        <w:t>Les CPC devront exiger aux navires battant leur pavillon de remettre rapidement à l’eau et indemnes, dans la mesure du possible, les spécimens de requin pèlerin et de grand requin blanc dès qu'ils sont aperçus dans le filet, sur l'hameçon ou sur le navire, d'une manière qui leur causera le moins de dommages possibles, tout en tenant compte de la sécurité de l'équipage et du navire.</w:t>
      </w:r>
    </w:p>
    <w:p w14:paraId="57AD2A28" w14:textId="77777777" w:rsidR="002E75AE" w:rsidRPr="002E75AE" w:rsidRDefault="002E75AE" w:rsidP="002E75AE">
      <w:pPr>
        <w:pStyle w:val="ListParagraph"/>
        <w:ind w:left="426" w:hanging="426"/>
        <w:rPr>
          <w:rFonts w:ascii="Cambria" w:eastAsia="Cambria" w:hAnsi="Cambria" w:cs="Cambria"/>
          <w:sz w:val="20"/>
          <w:szCs w:val="20"/>
        </w:rPr>
      </w:pPr>
    </w:p>
    <w:p w14:paraId="165E60CE" w14:textId="207D989C" w:rsidR="00B423AA" w:rsidRDefault="00AD2BB7"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Pr>
          <w:rFonts w:ascii="Cambria" w:hAnsi="Cambria"/>
          <w:sz w:val="20"/>
        </w:rPr>
        <w:t xml:space="preserve">Conformément aux exigences de la </w:t>
      </w:r>
      <w:r>
        <w:rPr>
          <w:rFonts w:ascii="Cambria" w:hAnsi="Cambria"/>
          <w:i/>
          <w:sz w:val="20"/>
        </w:rPr>
        <w:t>Recommandation de l’ICCAT visant à établir des normes minimales pour les programmes d’observateurs scientifiques à bord de navires de pêche</w:t>
      </w:r>
      <w:r>
        <w:rPr>
          <w:rFonts w:ascii="Cambria" w:hAnsi="Cambria"/>
          <w:sz w:val="20"/>
        </w:rPr>
        <w:t xml:space="preserve"> (Rec. 16-14), les CPC devront enregistrer, par le biais de leurs programmes d'observateurs nationaux, le nombre de rejets et de remises à l'eau de requin pèlerin et de grand requin blanc capturés dans les pêcheries de l'ICCAT et, si possible, une indication de leur état (mort ou vivant). Ces données devront être déclarées à l’ICCAT. </w:t>
      </w:r>
    </w:p>
    <w:p w14:paraId="420CBF68" w14:textId="77777777" w:rsidR="002E75AE" w:rsidRPr="00336692" w:rsidRDefault="002E75AE" w:rsidP="002E75AE">
      <w:pPr>
        <w:pStyle w:val="ListParagraph"/>
        <w:spacing w:after="0" w:line="240" w:lineRule="auto"/>
        <w:ind w:left="426"/>
        <w:contextualSpacing w:val="0"/>
        <w:jc w:val="both"/>
        <w:rPr>
          <w:rFonts w:ascii="Cambria" w:eastAsia="Cambria" w:hAnsi="Cambria" w:cs="Cambria"/>
          <w:sz w:val="20"/>
          <w:szCs w:val="20"/>
        </w:rPr>
      </w:pPr>
    </w:p>
    <w:p w14:paraId="32331FB2" w14:textId="1EECA586" w:rsidR="3835150F" w:rsidRDefault="3835150F"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Pr>
          <w:rFonts w:ascii="Cambria" w:hAnsi="Cambria"/>
          <w:sz w:val="20"/>
        </w:rPr>
        <w:t>La conservation de tout matériel biologique provenant du requin pèlerin ou du grand requin blanc par les observateurs scientifiques doit être conforme à la Recommandation 13-10 et aux autres exigences nationales applicables.</w:t>
      </w:r>
    </w:p>
    <w:p w14:paraId="39B128DA" w14:textId="77777777" w:rsidR="002E75AE" w:rsidRPr="00336692" w:rsidRDefault="002E75AE" w:rsidP="002E75AE">
      <w:pPr>
        <w:pStyle w:val="ListParagraph"/>
        <w:spacing w:after="0" w:line="240" w:lineRule="auto"/>
        <w:ind w:left="426"/>
        <w:contextualSpacing w:val="0"/>
        <w:jc w:val="both"/>
        <w:rPr>
          <w:rFonts w:ascii="Cambria" w:eastAsia="Cambria" w:hAnsi="Cambria" w:cs="Cambria"/>
          <w:sz w:val="20"/>
          <w:szCs w:val="20"/>
        </w:rPr>
      </w:pPr>
    </w:p>
    <w:p w14:paraId="416DE6D4" w14:textId="557B8E20" w:rsidR="0034484E" w:rsidRDefault="007F68C4"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Pr>
          <w:rFonts w:ascii="Cambria" w:hAnsi="Cambria"/>
          <w:sz w:val="20"/>
        </w:rPr>
        <w:t>Selon que de besoin, la Commission et ses CPC devraient, à titre individuel ou collectif, s’engager dans des efforts de renforcement des capacités et dans d’autres activités de coopération en vue d’appuyer la mise en œuvre efficace de la présente Recommandation, y compris en concluant des accords de coopération avec d’autres organismes internationaux pertinents. </w:t>
      </w:r>
    </w:p>
    <w:p w14:paraId="2C94DC84" w14:textId="77777777" w:rsidR="002E75AE" w:rsidRPr="002E75AE" w:rsidRDefault="002E75AE" w:rsidP="002E75AE">
      <w:pPr>
        <w:pStyle w:val="ListParagraph"/>
        <w:rPr>
          <w:rFonts w:ascii="Cambria" w:eastAsia="Cambria" w:hAnsi="Cambria" w:cs="Cambria"/>
          <w:sz w:val="20"/>
          <w:szCs w:val="20"/>
        </w:rPr>
      </w:pPr>
    </w:p>
    <w:p w14:paraId="1B511C60" w14:textId="6BDE1238" w:rsidR="0020375A" w:rsidRPr="00336692" w:rsidRDefault="00D46D7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Pr>
          <w:rStyle w:val="normaltextrun"/>
          <w:rFonts w:ascii="Cambria" w:hAnsi="Cambria"/>
          <w:sz w:val="20"/>
        </w:rPr>
        <w:t xml:space="preserve">En ce qui concerne le grand requin blanc, les paragraphes 1 à 3 ne devront pas s'appliquer aux navires de pêche opérant exclusivement au Nord de 55° N et à l'Est de 10° O, c'est-à-dire en dehors de l'aire de répartition géographique principale du grand requin blanc dans l'océan Atlantique. </w:t>
      </w:r>
    </w:p>
    <w:p w14:paraId="6858371B" w14:textId="0C7DC8A1" w:rsidR="007F68C4" w:rsidRPr="00336692" w:rsidRDefault="007F68C4" w:rsidP="002E75AE">
      <w:pPr>
        <w:spacing w:after="0" w:line="240" w:lineRule="auto"/>
        <w:jc w:val="both"/>
        <w:rPr>
          <w:rFonts w:ascii="Cambria" w:eastAsia="Cambria" w:hAnsi="Cambria" w:cs="Cambria"/>
          <w:sz w:val="20"/>
          <w:szCs w:val="20"/>
        </w:rPr>
      </w:pPr>
    </w:p>
    <w:sectPr w:rsidR="007F68C4" w:rsidRPr="00336692" w:rsidSect="006D6195">
      <w:headerReference w:type="default" r:id="rId7"/>
      <w:footerReference w:type="default" r:id="rId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9EF7" w14:textId="77777777" w:rsidR="00336692" w:rsidRDefault="00336692" w:rsidP="00336692">
      <w:pPr>
        <w:spacing w:after="0" w:line="240" w:lineRule="auto"/>
      </w:pPr>
      <w:r>
        <w:separator/>
      </w:r>
    </w:p>
  </w:endnote>
  <w:endnote w:type="continuationSeparator" w:id="0">
    <w:p w14:paraId="2975E72B" w14:textId="77777777" w:rsidR="00336692" w:rsidRDefault="00336692" w:rsidP="0033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256D" w14:textId="77777777" w:rsidR="006D6195" w:rsidRPr="00EE42D9" w:rsidRDefault="006D6195" w:rsidP="006D6195">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EE42D9">
      <w:rPr>
        <w:rFonts w:ascii="Cambria" w:eastAsia="Calibri" w:hAnsi="Cambria" w:cs="Calibri"/>
        <w:sz w:val="20"/>
      </w:rPr>
      <w:fldChar w:fldCharType="begin"/>
    </w:r>
    <w:r w:rsidRPr="00EE42D9">
      <w:rPr>
        <w:rFonts w:ascii="Cambria" w:eastAsia="Calibri" w:hAnsi="Cambria" w:cs="Calibri"/>
        <w:sz w:val="20"/>
      </w:rPr>
      <w:instrText xml:space="preserve"> PAGE </w:instrText>
    </w:r>
    <w:r w:rsidRPr="00EE42D9">
      <w:rPr>
        <w:rFonts w:ascii="Cambria" w:eastAsia="Calibri" w:hAnsi="Cambria" w:cs="Calibri"/>
        <w:sz w:val="20"/>
      </w:rPr>
      <w:fldChar w:fldCharType="separate"/>
    </w:r>
    <w:r>
      <w:rPr>
        <w:rFonts w:ascii="Cambria" w:eastAsia="Calibri" w:hAnsi="Cambria" w:cs="Calibri"/>
        <w:sz w:val="20"/>
      </w:rPr>
      <w:t>1</w:t>
    </w:r>
    <w:r w:rsidRPr="00EE42D9">
      <w:rPr>
        <w:rFonts w:ascii="Cambria" w:eastAsia="Calibri" w:hAnsi="Cambria" w:cs="Calibri"/>
        <w:sz w:val="20"/>
      </w:rPr>
      <w:fldChar w:fldCharType="end"/>
    </w:r>
    <w:r>
      <w:rPr>
        <w:rFonts w:ascii="Cambria" w:hAnsi="Cambria"/>
        <w:sz w:val="20"/>
      </w:rPr>
      <w:t xml:space="preserve"> / </w:t>
    </w:r>
    <w:r w:rsidRPr="00EE42D9">
      <w:rPr>
        <w:rFonts w:ascii="Cambria" w:eastAsia="Calibri" w:hAnsi="Cambria" w:cs="Calibri"/>
        <w:sz w:val="20"/>
      </w:rPr>
      <w:fldChar w:fldCharType="begin"/>
    </w:r>
    <w:r w:rsidRPr="00EE42D9">
      <w:rPr>
        <w:rFonts w:ascii="Cambria" w:eastAsia="Calibri" w:hAnsi="Cambria" w:cs="Calibri"/>
        <w:sz w:val="20"/>
      </w:rPr>
      <w:instrText xml:space="preserve"> NUMPAGES  </w:instrText>
    </w:r>
    <w:r w:rsidRPr="00EE42D9">
      <w:rPr>
        <w:rFonts w:ascii="Cambria" w:eastAsia="Calibri" w:hAnsi="Cambria" w:cs="Calibri"/>
        <w:sz w:val="20"/>
      </w:rPr>
      <w:fldChar w:fldCharType="separate"/>
    </w:r>
    <w:r>
      <w:rPr>
        <w:rFonts w:ascii="Cambria" w:eastAsia="Calibri" w:hAnsi="Cambria" w:cs="Calibri"/>
        <w:sz w:val="20"/>
      </w:rPr>
      <w:t>4</w:t>
    </w:r>
    <w:r w:rsidRPr="00EE42D9">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B0B6" w14:textId="77777777" w:rsidR="00336692" w:rsidRDefault="00336692" w:rsidP="00336692">
      <w:pPr>
        <w:spacing w:after="0" w:line="240" w:lineRule="auto"/>
      </w:pPr>
      <w:r>
        <w:separator/>
      </w:r>
    </w:p>
  </w:footnote>
  <w:footnote w:type="continuationSeparator" w:id="0">
    <w:p w14:paraId="6856BF8D" w14:textId="77777777" w:rsidR="00336692" w:rsidRDefault="00336692" w:rsidP="00336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7495" w14:textId="319CD357" w:rsidR="00336692" w:rsidRPr="00AA236C" w:rsidRDefault="00336692" w:rsidP="00336692">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w:t>
    </w: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4_812/2025</w:t>
    </w:r>
  </w:p>
  <w:p w14:paraId="635ED5C4" w14:textId="678AA7EB" w:rsidR="00336692" w:rsidRDefault="00336692" w:rsidP="006D6195">
    <w:pPr>
      <w:pStyle w:val="Header"/>
      <w:jc w:val="right"/>
    </w:pPr>
    <w:r w:rsidRPr="00AA236C">
      <w:rPr>
        <w:rFonts w:ascii="Cambria" w:eastAsia="Calibri" w:hAnsi="Cambria" w:cs="Times New Roman"/>
        <w:b/>
        <w:sz w:val="16"/>
      </w:rPr>
      <w:fldChar w:fldCharType="begin"/>
    </w:r>
    <w:r w:rsidRPr="00AA236C">
      <w:rPr>
        <w:rFonts w:ascii="Cambria" w:eastAsia="Calibri" w:hAnsi="Cambria" w:cs="Times New Roman"/>
        <w:b/>
        <w:sz w:val="16"/>
      </w:rPr>
      <w:instrText xml:space="preserve"> TIME \@ "dd/MM/yyyy H:mm" </w:instrText>
    </w:r>
    <w:r w:rsidRPr="00AA236C">
      <w:rPr>
        <w:rFonts w:ascii="Cambria" w:eastAsia="Calibri" w:hAnsi="Cambria" w:cs="Times New Roman"/>
        <w:b/>
        <w:sz w:val="16"/>
      </w:rPr>
      <w:fldChar w:fldCharType="separate"/>
    </w:r>
    <w:r w:rsidR="0034579A">
      <w:rPr>
        <w:rFonts w:ascii="Cambria" w:eastAsia="Calibri" w:hAnsi="Cambria" w:cs="Times New Roman"/>
        <w:b/>
        <w:noProof/>
        <w:sz w:val="16"/>
      </w:rPr>
      <w:t>19/11/2025 17:07</w:t>
    </w:r>
    <w:r w:rsidRPr="00AA236C">
      <w:rPr>
        <w:rFonts w:ascii="Cambria" w:eastAsia="Calibri" w:hAnsi="Cambria" w:cs="Times New Roman"/>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D0C4"/>
    <w:multiLevelType w:val="hybridMultilevel"/>
    <w:tmpl w:val="59A0E4BE"/>
    <w:lvl w:ilvl="0" w:tplc="EAC2CD02">
      <w:start w:val="1"/>
      <w:numFmt w:val="decimal"/>
      <w:lvlText w:val="%1."/>
      <w:lvlJc w:val="left"/>
      <w:pPr>
        <w:ind w:left="720" w:hanging="360"/>
      </w:pPr>
    </w:lvl>
    <w:lvl w:ilvl="1" w:tplc="7B76F3DE">
      <w:start w:val="1"/>
      <w:numFmt w:val="lowerLetter"/>
      <w:lvlText w:val="%2."/>
      <w:lvlJc w:val="left"/>
      <w:pPr>
        <w:ind w:left="1440" w:hanging="360"/>
      </w:pPr>
    </w:lvl>
    <w:lvl w:ilvl="2" w:tplc="2ADA5F36">
      <w:start w:val="1"/>
      <w:numFmt w:val="lowerRoman"/>
      <w:lvlText w:val="%3."/>
      <w:lvlJc w:val="right"/>
      <w:pPr>
        <w:ind w:left="2160" w:hanging="180"/>
      </w:pPr>
    </w:lvl>
    <w:lvl w:ilvl="3" w:tplc="06729F92">
      <w:start w:val="1"/>
      <w:numFmt w:val="decimal"/>
      <w:lvlText w:val="%4."/>
      <w:lvlJc w:val="left"/>
      <w:pPr>
        <w:ind w:left="2880" w:hanging="360"/>
      </w:pPr>
    </w:lvl>
    <w:lvl w:ilvl="4" w:tplc="4A4A902A">
      <w:start w:val="1"/>
      <w:numFmt w:val="lowerLetter"/>
      <w:lvlText w:val="%5."/>
      <w:lvlJc w:val="left"/>
      <w:pPr>
        <w:ind w:left="3600" w:hanging="360"/>
      </w:pPr>
    </w:lvl>
    <w:lvl w:ilvl="5" w:tplc="1C74CF32">
      <w:start w:val="1"/>
      <w:numFmt w:val="lowerRoman"/>
      <w:lvlText w:val="%6."/>
      <w:lvlJc w:val="right"/>
      <w:pPr>
        <w:ind w:left="4320" w:hanging="180"/>
      </w:pPr>
    </w:lvl>
    <w:lvl w:ilvl="6" w:tplc="3B9C2BC0">
      <w:start w:val="1"/>
      <w:numFmt w:val="decimal"/>
      <w:lvlText w:val="%7."/>
      <w:lvlJc w:val="left"/>
      <w:pPr>
        <w:ind w:left="5040" w:hanging="360"/>
      </w:pPr>
    </w:lvl>
    <w:lvl w:ilvl="7" w:tplc="CDB67DCE">
      <w:start w:val="1"/>
      <w:numFmt w:val="lowerLetter"/>
      <w:lvlText w:val="%8."/>
      <w:lvlJc w:val="left"/>
      <w:pPr>
        <w:ind w:left="5760" w:hanging="360"/>
      </w:pPr>
    </w:lvl>
    <w:lvl w:ilvl="8" w:tplc="BC22D4F4">
      <w:start w:val="1"/>
      <w:numFmt w:val="lowerRoman"/>
      <w:lvlText w:val="%9."/>
      <w:lvlJc w:val="right"/>
      <w:pPr>
        <w:ind w:left="6480" w:hanging="180"/>
      </w:pPr>
    </w:lvl>
  </w:abstractNum>
  <w:abstractNum w:abstractNumId="1" w15:restartNumberingAfterBreak="0">
    <w:nsid w:val="1590597F"/>
    <w:multiLevelType w:val="multilevel"/>
    <w:tmpl w:val="BF8E625A"/>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F62CD6"/>
    <w:multiLevelType w:val="multilevel"/>
    <w:tmpl w:val="B2E8042C"/>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EE4256"/>
    <w:multiLevelType w:val="hybridMultilevel"/>
    <w:tmpl w:val="CC52FAE2"/>
    <w:lvl w:ilvl="0" w:tplc="D8D02390">
      <w:start w:val="1"/>
      <w:numFmt w:val="lowerLetter"/>
      <w:lvlText w:val="%1)"/>
      <w:lvlJc w:val="left"/>
      <w:pPr>
        <w:ind w:left="1080" w:hanging="360"/>
      </w:pPr>
      <w:rPr>
        <w:rFonts w:ascii="Aptos" w:eastAsiaTheme="majorEastAsia" w:hAnsi="Apto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84F00A"/>
    <w:multiLevelType w:val="hybridMultilevel"/>
    <w:tmpl w:val="21A06084"/>
    <w:lvl w:ilvl="0" w:tplc="24F41C9E">
      <w:start w:val="1"/>
      <w:numFmt w:val="decimal"/>
      <w:lvlText w:val="%1."/>
      <w:lvlJc w:val="left"/>
      <w:pPr>
        <w:ind w:left="720" w:hanging="360"/>
      </w:pPr>
    </w:lvl>
    <w:lvl w:ilvl="1" w:tplc="2A3C82DA">
      <w:start w:val="1"/>
      <w:numFmt w:val="lowerLetter"/>
      <w:lvlText w:val="%2."/>
      <w:lvlJc w:val="left"/>
      <w:pPr>
        <w:ind w:left="1440" w:hanging="360"/>
      </w:pPr>
    </w:lvl>
    <w:lvl w:ilvl="2" w:tplc="82209010">
      <w:start w:val="1"/>
      <w:numFmt w:val="lowerRoman"/>
      <w:lvlText w:val="%3."/>
      <w:lvlJc w:val="right"/>
      <w:pPr>
        <w:ind w:left="2160" w:hanging="180"/>
      </w:pPr>
    </w:lvl>
    <w:lvl w:ilvl="3" w:tplc="4EE62B4C">
      <w:start w:val="1"/>
      <w:numFmt w:val="decimal"/>
      <w:lvlText w:val="%4."/>
      <w:lvlJc w:val="left"/>
      <w:pPr>
        <w:ind w:left="2880" w:hanging="360"/>
      </w:pPr>
    </w:lvl>
    <w:lvl w:ilvl="4" w:tplc="4AC6EADC">
      <w:start w:val="1"/>
      <w:numFmt w:val="lowerLetter"/>
      <w:lvlText w:val="%5."/>
      <w:lvlJc w:val="left"/>
      <w:pPr>
        <w:ind w:left="3600" w:hanging="360"/>
      </w:pPr>
    </w:lvl>
    <w:lvl w:ilvl="5" w:tplc="BEF415B0">
      <w:start w:val="1"/>
      <w:numFmt w:val="lowerRoman"/>
      <w:lvlText w:val="%6."/>
      <w:lvlJc w:val="right"/>
      <w:pPr>
        <w:ind w:left="4320" w:hanging="180"/>
      </w:pPr>
    </w:lvl>
    <w:lvl w:ilvl="6" w:tplc="4B2EA9B4">
      <w:start w:val="1"/>
      <w:numFmt w:val="decimal"/>
      <w:lvlText w:val="%7."/>
      <w:lvlJc w:val="left"/>
      <w:pPr>
        <w:ind w:left="5040" w:hanging="360"/>
      </w:pPr>
    </w:lvl>
    <w:lvl w:ilvl="7" w:tplc="FA1CB116">
      <w:start w:val="1"/>
      <w:numFmt w:val="lowerLetter"/>
      <w:lvlText w:val="%8."/>
      <w:lvlJc w:val="left"/>
      <w:pPr>
        <w:ind w:left="5760" w:hanging="360"/>
      </w:pPr>
    </w:lvl>
    <w:lvl w:ilvl="8" w:tplc="0C02F64E">
      <w:start w:val="1"/>
      <w:numFmt w:val="lowerRoman"/>
      <w:lvlText w:val="%9."/>
      <w:lvlJc w:val="right"/>
      <w:pPr>
        <w:ind w:left="6480" w:hanging="180"/>
      </w:pPr>
    </w:lvl>
  </w:abstractNum>
  <w:abstractNum w:abstractNumId="5" w15:restartNumberingAfterBreak="0">
    <w:nsid w:val="33CD1D28"/>
    <w:multiLevelType w:val="hybridMultilevel"/>
    <w:tmpl w:val="B88661BC"/>
    <w:lvl w:ilvl="0" w:tplc="E42C27FC">
      <w:start w:val="1"/>
      <w:numFmt w:val="decimal"/>
      <w:lvlText w:val="%1."/>
      <w:lvlJc w:val="left"/>
      <w:pPr>
        <w:ind w:left="720" w:hanging="360"/>
      </w:pPr>
    </w:lvl>
    <w:lvl w:ilvl="1" w:tplc="745AFC1C">
      <w:start w:val="1"/>
      <w:numFmt w:val="lowerLetter"/>
      <w:lvlText w:val="%2."/>
      <w:lvlJc w:val="left"/>
      <w:pPr>
        <w:ind w:left="1440" w:hanging="360"/>
      </w:pPr>
    </w:lvl>
    <w:lvl w:ilvl="2" w:tplc="4DF89BAA">
      <w:start w:val="1"/>
      <w:numFmt w:val="lowerRoman"/>
      <w:lvlText w:val="%3."/>
      <w:lvlJc w:val="right"/>
      <w:pPr>
        <w:ind w:left="2160" w:hanging="180"/>
      </w:pPr>
    </w:lvl>
    <w:lvl w:ilvl="3" w:tplc="35C2CB86">
      <w:start w:val="1"/>
      <w:numFmt w:val="decimal"/>
      <w:lvlText w:val="%4."/>
      <w:lvlJc w:val="left"/>
      <w:pPr>
        <w:ind w:left="2880" w:hanging="360"/>
      </w:pPr>
    </w:lvl>
    <w:lvl w:ilvl="4" w:tplc="77E29CA6">
      <w:start w:val="1"/>
      <w:numFmt w:val="lowerLetter"/>
      <w:lvlText w:val="%5."/>
      <w:lvlJc w:val="left"/>
      <w:pPr>
        <w:ind w:left="3600" w:hanging="360"/>
      </w:pPr>
    </w:lvl>
    <w:lvl w:ilvl="5" w:tplc="1278F6C6">
      <w:start w:val="1"/>
      <w:numFmt w:val="lowerRoman"/>
      <w:lvlText w:val="%6."/>
      <w:lvlJc w:val="right"/>
      <w:pPr>
        <w:ind w:left="4320" w:hanging="180"/>
      </w:pPr>
    </w:lvl>
    <w:lvl w:ilvl="6" w:tplc="BF48C4F6">
      <w:start w:val="1"/>
      <w:numFmt w:val="decimal"/>
      <w:lvlText w:val="%7."/>
      <w:lvlJc w:val="left"/>
      <w:pPr>
        <w:ind w:left="5040" w:hanging="360"/>
      </w:pPr>
    </w:lvl>
    <w:lvl w:ilvl="7" w:tplc="BCBE7BCA">
      <w:start w:val="1"/>
      <w:numFmt w:val="lowerLetter"/>
      <w:lvlText w:val="%8."/>
      <w:lvlJc w:val="left"/>
      <w:pPr>
        <w:ind w:left="5760" w:hanging="360"/>
      </w:pPr>
    </w:lvl>
    <w:lvl w:ilvl="8" w:tplc="98022C88">
      <w:start w:val="1"/>
      <w:numFmt w:val="lowerRoman"/>
      <w:lvlText w:val="%9."/>
      <w:lvlJc w:val="right"/>
      <w:pPr>
        <w:ind w:left="6480" w:hanging="180"/>
      </w:pPr>
    </w:lvl>
  </w:abstractNum>
  <w:abstractNum w:abstractNumId="6" w15:restartNumberingAfterBreak="0">
    <w:nsid w:val="61345F1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30F010D"/>
    <w:multiLevelType w:val="hybridMultilevel"/>
    <w:tmpl w:val="5BB80420"/>
    <w:lvl w:ilvl="0" w:tplc="9202D77A">
      <w:start w:val="1"/>
      <w:numFmt w:val="decimal"/>
      <w:lvlText w:val="%1."/>
      <w:lvlJc w:val="left"/>
      <w:pPr>
        <w:ind w:left="720" w:hanging="360"/>
      </w:pPr>
    </w:lvl>
    <w:lvl w:ilvl="1" w:tplc="E2B84FC6">
      <w:start w:val="1"/>
      <w:numFmt w:val="lowerLetter"/>
      <w:lvlText w:val="%2."/>
      <w:lvlJc w:val="left"/>
      <w:pPr>
        <w:ind w:left="1440" w:hanging="360"/>
      </w:pPr>
    </w:lvl>
    <w:lvl w:ilvl="2" w:tplc="B1F20810">
      <w:start w:val="1"/>
      <w:numFmt w:val="lowerRoman"/>
      <w:lvlText w:val="%3."/>
      <w:lvlJc w:val="right"/>
      <w:pPr>
        <w:ind w:left="2160" w:hanging="180"/>
      </w:pPr>
    </w:lvl>
    <w:lvl w:ilvl="3" w:tplc="BCC086EE">
      <w:start w:val="1"/>
      <w:numFmt w:val="decimal"/>
      <w:lvlText w:val="%4."/>
      <w:lvlJc w:val="left"/>
      <w:pPr>
        <w:ind w:left="2880" w:hanging="360"/>
      </w:pPr>
    </w:lvl>
    <w:lvl w:ilvl="4" w:tplc="CE1227F8">
      <w:start w:val="1"/>
      <w:numFmt w:val="lowerLetter"/>
      <w:lvlText w:val="%5."/>
      <w:lvlJc w:val="left"/>
      <w:pPr>
        <w:ind w:left="3600" w:hanging="360"/>
      </w:pPr>
    </w:lvl>
    <w:lvl w:ilvl="5" w:tplc="BB541E4A">
      <w:start w:val="1"/>
      <w:numFmt w:val="lowerRoman"/>
      <w:lvlText w:val="%6."/>
      <w:lvlJc w:val="right"/>
      <w:pPr>
        <w:ind w:left="4320" w:hanging="180"/>
      </w:pPr>
    </w:lvl>
    <w:lvl w:ilvl="6" w:tplc="48EC15DC">
      <w:start w:val="1"/>
      <w:numFmt w:val="decimal"/>
      <w:lvlText w:val="%7."/>
      <w:lvlJc w:val="left"/>
      <w:pPr>
        <w:ind w:left="5040" w:hanging="360"/>
      </w:pPr>
    </w:lvl>
    <w:lvl w:ilvl="7" w:tplc="F4D4FE7E">
      <w:start w:val="1"/>
      <w:numFmt w:val="lowerLetter"/>
      <w:lvlText w:val="%8."/>
      <w:lvlJc w:val="left"/>
      <w:pPr>
        <w:ind w:left="5760" w:hanging="360"/>
      </w:pPr>
    </w:lvl>
    <w:lvl w:ilvl="8" w:tplc="DA9A00DC">
      <w:start w:val="1"/>
      <w:numFmt w:val="lowerRoman"/>
      <w:lvlText w:val="%9."/>
      <w:lvlJc w:val="right"/>
      <w:pPr>
        <w:ind w:left="6480" w:hanging="180"/>
      </w:pPr>
    </w:lvl>
  </w:abstractNum>
  <w:abstractNum w:abstractNumId="8"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465855298">
    <w:abstractNumId w:val="5"/>
  </w:num>
  <w:num w:numId="2" w16cid:durableId="745423022">
    <w:abstractNumId w:val="4"/>
  </w:num>
  <w:num w:numId="3" w16cid:durableId="1662003189">
    <w:abstractNumId w:val="7"/>
  </w:num>
  <w:num w:numId="4" w16cid:durableId="23294362">
    <w:abstractNumId w:val="0"/>
  </w:num>
  <w:num w:numId="5" w16cid:durableId="1573660162">
    <w:abstractNumId w:val="6"/>
  </w:num>
  <w:num w:numId="6" w16cid:durableId="203447377">
    <w:abstractNumId w:val="3"/>
  </w:num>
  <w:num w:numId="7" w16cid:durableId="404108330">
    <w:abstractNumId w:val="1"/>
  </w:num>
  <w:num w:numId="8" w16cid:durableId="1541740704">
    <w:abstractNumId w:val="2"/>
  </w:num>
  <w:num w:numId="9" w16cid:durableId="371252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0F"/>
    <w:rsid w:val="00013E42"/>
    <w:rsid w:val="00024782"/>
    <w:rsid w:val="00042479"/>
    <w:rsid w:val="000435DB"/>
    <w:rsid w:val="000635B1"/>
    <w:rsid w:val="000640E3"/>
    <w:rsid w:val="000A0C58"/>
    <w:rsid w:val="000B0D02"/>
    <w:rsid w:val="000D62CB"/>
    <w:rsid w:val="000F5040"/>
    <w:rsid w:val="001046E7"/>
    <w:rsid w:val="00106593"/>
    <w:rsid w:val="00112714"/>
    <w:rsid w:val="0012000A"/>
    <w:rsid w:val="0013268C"/>
    <w:rsid w:val="0014254D"/>
    <w:rsid w:val="00144107"/>
    <w:rsid w:val="00144CCE"/>
    <w:rsid w:val="00153E8A"/>
    <w:rsid w:val="00156ED9"/>
    <w:rsid w:val="0015771F"/>
    <w:rsid w:val="001673FF"/>
    <w:rsid w:val="001B0E71"/>
    <w:rsid w:val="001C453B"/>
    <w:rsid w:val="001D3145"/>
    <w:rsid w:val="001E0DD7"/>
    <w:rsid w:val="001F599C"/>
    <w:rsid w:val="001F7C7B"/>
    <w:rsid w:val="0020375A"/>
    <w:rsid w:val="00207267"/>
    <w:rsid w:val="002148D6"/>
    <w:rsid w:val="00224DA5"/>
    <w:rsid w:val="0025020D"/>
    <w:rsid w:val="00250C2F"/>
    <w:rsid w:val="002670F9"/>
    <w:rsid w:val="00286C29"/>
    <w:rsid w:val="0029028B"/>
    <w:rsid w:val="00294C5B"/>
    <w:rsid w:val="002967F5"/>
    <w:rsid w:val="002B18A9"/>
    <w:rsid w:val="002D1BB6"/>
    <w:rsid w:val="002E75AE"/>
    <w:rsid w:val="00300A97"/>
    <w:rsid w:val="00300F00"/>
    <w:rsid w:val="00312BA8"/>
    <w:rsid w:val="0032412F"/>
    <w:rsid w:val="00331597"/>
    <w:rsid w:val="003336E9"/>
    <w:rsid w:val="00336692"/>
    <w:rsid w:val="0034484E"/>
    <w:rsid w:val="0034579A"/>
    <w:rsid w:val="003739FF"/>
    <w:rsid w:val="00380505"/>
    <w:rsid w:val="00394E0E"/>
    <w:rsid w:val="003A72AE"/>
    <w:rsid w:val="003B0044"/>
    <w:rsid w:val="003B3659"/>
    <w:rsid w:val="003B5BCD"/>
    <w:rsid w:val="003C3F39"/>
    <w:rsid w:val="003E3991"/>
    <w:rsid w:val="004059AA"/>
    <w:rsid w:val="00424159"/>
    <w:rsid w:val="00442FD0"/>
    <w:rsid w:val="00445693"/>
    <w:rsid w:val="00446905"/>
    <w:rsid w:val="00460E97"/>
    <w:rsid w:val="0048221D"/>
    <w:rsid w:val="004B0ABA"/>
    <w:rsid w:val="004B6DC0"/>
    <w:rsid w:val="004D3F96"/>
    <w:rsid w:val="004D6D89"/>
    <w:rsid w:val="004F5FAB"/>
    <w:rsid w:val="00502DBD"/>
    <w:rsid w:val="00506D0F"/>
    <w:rsid w:val="0051110F"/>
    <w:rsid w:val="00517DB5"/>
    <w:rsid w:val="005243F7"/>
    <w:rsid w:val="00551570"/>
    <w:rsid w:val="005771DF"/>
    <w:rsid w:val="00580775"/>
    <w:rsid w:val="00580BA0"/>
    <w:rsid w:val="0058211A"/>
    <w:rsid w:val="00595060"/>
    <w:rsid w:val="005B0A86"/>
    <w:rsid w:val="005B647E"/>
    <w:rsid w:val="005B69F7"/>
    <w:rsid w:val="005C74DF"/>
    <w:rsid w:val="005D5583"/>
    <w:rsid w:val="005E1200"/>
    <w:rsid w:val="005E3145"/>
    <w:rsid w:val="005F1C13"/>
    <w:rsid w:val="00613AEC"/>
    <w:rsid w:val="006203C2"/>
    <w:rsid w:val="006337F9"/>
    <w:rsid w:val="00652283"/>
    <w:rsid w:val="00653714"/>
    <w:rsid w:val="00664352"/>
    <w:rsid w:val="00693DC0"/>
    <w:rsid w:val="006C102F"/>
    <w:rsid w:val="006D6195"/>
    <w:rsid w:val="006E389F"/>
    <w:rsid w:val="00710DF7"/>
    <w:rsid w:val="00712EE1"/>
    <w:rsid w:val="0071703E"/>
    <w:rsid w:val="00723297"/>
    <w:rsid w:val="00725600"/>
    <w:rsid w:val="007652B9"/>
    <w:rsid w:val="00767E6A"/>
    <w:rsid w:val="0077428A"/>
    <w:rsid w:val="007A6EC3"/>
    <w:rsid w:val="007C43EE"/>
    <w:rsid w:val="007D5D78"/>
    <w:rsid w:val="007D74FB"/>
    <w:rsid w:val="007E7495"/>
    <w:rsid w:val="007F02CB"/>
    <w:rsid w:val="007F5903"/>
    <w:rsid w:val="007F68C4"/>
    <w:rsid w:val="008049B8"/>
    <w:rsid w:val="008416BA"/>
    <w:rsid w:val="0086489B"/>
    <w:rsid w:val="00893254"/>
    <w:rsid w:val="008B2A46"/>
    <w:rsid w:val="008B4E4D"/>
    <w:rsid w:val="008B797A"/>
    <w:rsid w:val="008C78CC"/>
    <w:rsid w:val="008C7BB4"/>
    <w:rsid w:val="008D676B"/>
    <w:rsid w:val="008E12C7"/>
    <w:rsid w:val="00900D07"/>
    <w:rsid w:val="009040D3"/>
    <w:rsid w:val="009064EE"/>
    <w:rsid w:val="00917BCE"/>
    <w:rsid w:val="00946878"/>
    <w:rsid w:val="00964434"/>
    <w:rsid w:val="00970C3A"/>
    <w:rsid w:val="00977640"/>
    <w:rsid w:val="009A0F5C"/>
    <w:rsid w:val="009A268C"/>
    <w:rsid w:val="009A5CFF"/>
    <w:rsid w:val="009A6C39"/>
    <w:rsid w:val="009B579A"/>
    <w:rsid w:val="009C4471"/>
    <w:rsid w:val="00A06660"/>
    <w:rsid w:val="00A074C9"/>
    <w:rsid w:val="00A50E10"/>
    <w:rsid w:val="00A5478A"/>
    <w:rsid w:val="00A54F15"/>
    <w:rsid w:val="00A624EA"/>
    <w:rsid w:val="00A70533"/>
    <w:rsid w:val="00A81E0D"/>
    <w:rsid w:val="00A848D8"/>
    <w:rsid w:val="00A92950"/>
    <w:rsid w:val="00A95661"/>
    <w:rsid w:val="00A95AAE"/>
    <w:rsid w:val="00A964E2"/>
    <w:rsid w:val="00AB0F66"/>
    <w:rsid w:val="00AB577D"/>
    <w:rsid w:val="00AC795C"/>
    <w:rsid w:val="00AD2BB7"/>
    <w:rsid w:val="00AF14DE"/>
    <w:rsid w:val="00B11564"/>
    <w:rsid w:val="00B2417F"/>
    <w:rsid w:val="00B36796"/>
    <w:rsid w:val="00B423AA"/>
    <w:rsid w:val="00B50E29"/>
    <w:rsid w:val="00B512DD"/>
    <w:rsid w:val="00B83D62"/>
    <w:rsid w:val="00BB15FE"/>
    <w:rsid w:val="00BB5386"/>
    <w:rsid w:val="00BC1568"/>
    <w:rsid w:val="00BC16E3"/>
    <w:rsid w:val="00BD062B"/>
    <w:rsid w:val="00BD166B"/>
    <w:rsid w:val="00BE3CB2"/>
    <w:rsid w:val="00BE4C66"/>
    <w:rsid w:val="00C029DE"/>
    <w:rsid w:val="00C20492"/>
    <w:rsid w:val="00C44349"/>
    <w:rsid w:val="00C4523A"/>
    <w:rsid w:val="00C47F31"/>
    <w:rsid w:val="00C6526F"/>
    <w:rsid w:val="00C75C08"/>
    <w:rsid w:val="00C813FF"/>
    <w:rsid w:val="00CE748B"/>
    <w:rsid w:val="00D03575"/>
    <w:rsid w:val="00D207EB"/>
    <w:rsid w:val="00D30AE4"/>
    <w:rsid w:val="00D32C30"/>
    <w:rsid w:val="00D3353A"/>
    <w:rsid w:val="00D4119A"/>
    <w:rsid w:val="00D420CB"/>
    <w:rsid w:val="00D46D71"/>
    <w:rsid w:val="00D5119F"/>
    <w:rsid w:val="00D51644"/>
    <w:rsid w:val="00D716F5"/>
    <w:rsid w:val="00D95564"/>
    <w:rsid w:val="00DA2D74"/>
    <w:rsid w:val="00DF1FFC"/>
    <w:rsid w:val="00E02DB4"/>
    <w:rsid w:val="00E12EF1"/>
    <w:rsid w:val="00E27318"/>
    <w:rsid w:val="00E32D5F"/>
    <w:rsid w:val="00E508C6"/>
    <w:rsid w:val="00E65965"/>
    <w:rsid w:val="00E673E3"/>
    <w:rsid w:val="00E70995"/>
    <w:rsid w:val="00E76359"/>
    <w:rsid w:val="00E773AC"/>
    <w:rsid w:val="00E90582"/>
    <w:rsid w:val="00E933CE"/>
    <w:rsid w:val="00EA2058"/>
    <w:rsid w:val="00EA2E5D"/>
    <w:rsid w:val="00EB7030"/>
    <w:rsid w:val="00EF1C00"/>
    <w:rsid w:val="00F128D9"/>
    <w:rsid w:val="00F15C1A"/>
    <w:rsid w:val="00F23913"/>
    <w:rsid w:val="00F27271"/>
    <w:rsid w:val="00F36219"/>
    <w:rsid w:val="00F66BA7"/>
    <w:rsid w:val="00F67BD2"/>
    <w:rsid w:val="00F858BF"/>
    <w:rsid w:val="00F954DF"/>
    <w:rsid w:val="00F96574"/>
    <w:rsid w:val="00FA6D19"/>
    <w:rsid w:val="00FB07E4"/>
    <w:rsid w:val="00FD20DA"/>
    <w:rsid w:val="00FD58EA"/>
    <w:rsid w:val="00FE0766"/>
    <w:rsid w:val="00FE51AD"/>
    <w:rsid w:val="00FE780F"/>
    <w:rsid w:val="00FF2106"/>
    <w:rsid w:val="00FF21F6"/>
    <w:rsid w:val="00FF7485"/>
    <w:rsid w:val="010E0623"/>
    <w:rsid w:val="017D6130"/>
    <w:rsid w:val="01DD3118"/>
    <w:rsid w:val="02E9A76A"/>
    <w:rsid w:val="031FB2ED"/>
    <w:rsid w:val="037E991E"/>
    <w:rsid w:val="042CA9C4"/>
    <w:rsid w:val="052FE692"/>
    <w:rsid w:val="05624707"/>
    <w:rsid w:val="05B2ABB8"/>
    <w:rsid w:val="05D231E8"/>
    <w:rsid w:val="065658B3"/>
    <w:rsid w:val="070D5B48"/>
    <w:rsid w:val="071F42BA"/>
    <w:rsid w:val="07622647"/>
    <w:rsid w:val="07A745D0"/>
    <w:rsid w:val="082022F1"/>
    <w:rsid w:val="0AC885B1"/>
    <w:rsid w:val="0B691DDA"/>
    <w:rsid w:val="0BB7AF8D"/>
    <w:rsid w:val="0BFBCD00"/>
    <w:rsid w:val="0C4D4F17"/>
    <w:rsid w:val="0C99C16F"/>
    <w:rsid w:val="0D4C4239"/>
    <w:rsid w:val="0D7B86B0"/>
    <w:rsid w:val="0EB29C7B"/>
    <w:rsid w:val="0F0E673A"/>
    <w:rsid w:val="0F815F8B"/>
    <w:rsid w:val="0F87CE3D"/>
    <w:rsid w:val="0F895F21"/>
    <w:rsid w:val="10D23B1F"/>
    <w:rsid w:val="110DE999"/>
    <w:rsid w:val="119A6B59"/>
    <w:rsid w:val="125F9628"/>
    <w:rsid w:val="12828533"/>
    <w:rsid w:val="129B122B"/>
    <w:rsid w:val="1300B01D"/>
    <w:rsid w:val="134A889A"/>
    <w:rsid w:val="134B076D"/>
    <w:rsid w:val="13A6B1C4"/>
    <w:rsid w:val="13C92EFB"/>
    <w:rsid w:val="1439C3FD"/>
    <w:rsid w:val="144C760D"/>
    <w:rsid w:val="14B94197"/>
    <w:rsid w:val="1575E700"/>
    <w:rsid w:val="15BB98FF"/>
    <w:rsid w:val="1604B1F6"/>
    <w:rsid w:val="189481DD"/>
    <w:rsid w:val="1A7FADC0"/>
    <w:rsid w:val="1B2B391B"/>
    <w:rsid w:val="1B42DCC9"/>
    <w:rsid w:val="1D5E38BF"/>
    <w:rsid w:val="1D8E0900"/>
    <w:rsid w:val="1DB7E34F"/>
    <w:rsid w:val="1DEF87B6"/>
    <w:rsid w:val="1E2868FD"/>
    <w:rsid w:val="1E47DCAD"/>
    <w:rsid w:val="1EB6AF9A"/>
    <w:rsid w:val="1FDF606D"/>
    <w:rsid w:val="2052F829"/>
    <w:rsid w:val="213CFCDB"/>
    <w:rsid w:val="21BFAF13"/>
    <w:rsid w:val="227051B1"/>
    <w:rsid w:val="2346231D"/>
    <w:rsid w:val="2509804F"/>
    <w:rsid w:val="25DEE632"/>
    <w:rsid w:val="26257216"/>
    <w:rsid w:val="276A5A78"/>
    <w:rsid w:val="276C26B7"/>
    <w:rsid w:val="2790567B"/>
    <w:rsid w:val="27FA4DDB"/>
    <w:rsid w:val="28020132"/>
    <w:rsid w:val="2885F7AA"/>
    <w:rsid w:val="29117F6A"/>
    <w:rsid w:val="291D4DA4"/>
    <w:rsid w:val="2991FBC8"/>
    <w:rsid w:val="29B57A61"/>
    <w:rsid w:val="29DAA66F"/>
    <w:rsid w:val="2A0DA01E"/>
    <w:rsid w:val="2B4BEB59"/>
    <w:rsid w:val="2C13499D"/>
    <w:rsid w:val="2D0775EB"/>
    <w:rsid w:val="2DD78AEE"/>
    <w:rsid w:val="2E42831C"/>
    <w:rsid w:val="2E851A8A"/>
    <w:rsid w:val="2E90BA88"/>
    <w:rsid w:val="302F5623"/>
    <w:rsid w:val="3033D524"/>
    <w:rsid w:val="3038556D"/>
    <w:rsid w:val="32B4C142"/>
    <w:rsid w:val="32EA1E88"/>
    <w:rsid w:val="33664F2F"/>
    <w:rsid w:val="33F1BC33"/>
    <w:rsid w:val="35379D68"/>
    <w:rsid w:val="3604A43F"/>
    <w:rsid w:val="3616F50D"/>
    <w:rsid w:val="361C429A"/>
    <w:rsid w:val="37EFF79C"/>
    <w:rsid w:val="3835150F"/>
    <w:rsid w:val="389BE94A"/>
    <w:rsid w:val="395E5FEC"/>
    <w:rsid w:val="397A47C7"/>
    <w:rsid w:val="39F4A85D"/>
    <w:rsid w:val="3ABF19DA"/>
    <w:rsid w:val="3B275120"/>
    <w:rsid w:val="3B50DEFB"/>
    <w:rsid w:val="3B94163F"/>
    <w:rsid w:val="3CF73AD2"/>
    <w:rsid w:val="3F0BFC1B"/>
    <w:rsid w:val="3F40C58B"/>
    <w:rsid w:val="3FD89B24"/>
    <w:rsid w:val="4018B7CB"/>
    <w:rsid w:val="401E58CC"/>
    <w:rsid w:val="409773FD"/>
    <w:rsid w:val="41337579"/>
    <w:rsid w:val="41DB257F"/>
    <w:rsid w:val="420F5BCC"/>
    <w:rsid w:val="42289FB6"/>
    <w:rsid w:val="42BECDAC"/>
    <w:rsid w:val="42CAA4D6"/>
    <w:rsid w:val="4472BB2C"/>
    <w:rsid w:val="45BEAE76"/>
    <w:rsid w:val="45C5B959"/>
    <w:rsid w:val="460C8B6D"/>
    <w:rsid w:val="4615514E"/>
    <w:rsid w:val="4661D84C"/>
    <w:rsid w:val="47BB9730"/>
    <w:rsid w:val="481C388B"/>
    <w:rsid w:val="4945175E"/>
    <w:rsid w:val="495C6B77"/>
    <w:rsid w:val="4B7A0697"/>
    <w:rsid w:val="4BCF7C3B"/>
    <w:rsid w:val="4C72EDBB"/>
    <w:rsid w:val="4CBCB75D"/>
    <w:rsid w:val="4D6B1FB0"/>
    <w:rsid w:val="4DF291B1"/>
    <w:rsid w:val="4F1056C7"/>
    <w:rsid w:val="4F37492B"/>
    <w:rsid w:val="50F6B45D"/>
    <w:rsid w:val="5134DECD"/>
    <w:rsid w:val="51800423"/>
    <w:rsid w:val="51A9503A"/>
    <w:rsid w:val="51FFBE3C"/>
    <w:rsid w:val="52218762"/>
    <w:rsid w:val="524FF6E9"/>
    <w:rsid w:val="5317B06B"/>
    <w:rsid w:val="53228522"/>
    <w:rsid w:val="544CFA50"/>
    <w:rsid w:val="550DA77D"/>
    <w:rsid w:val="56305AF3"/>
    <w:rsid w:val="5656F70B"/>
    <w:rsid w:val="56632176"/>
    <w:rsid w:val="56982962"/>
    <w:rsid w:val="56B888E7"/>
    <w:rsid w:val="56DB862D"/>
    <w:rsid w:val="56E40FAE"/>
    <w:rsid w:val="570535E2"/>
    <w:rsid w:val="57A510EF"/>
    <w:rsid w:val="57AB2183"/>
    <w:rsid w:val="57FC3708"/>
    <w:rsid w:val="585238BC"/>
    <w:rsid w:val="58936430"/>
    <w:rsid w:val="5943519E"/>
    <w:rsid w:val="595FD487"/>
    <w:rsid w:val="5A72B746"/>
    <w:rsid w:val="5AC68F51"/>
    <w:rsid w:val="5B24D93E"/>
    <w:rsid w:val="5C6AF82F"/>
    <w:rsid w:val="5CDB57CA"/>
    <w:rsid w:val="5EC5C69E"/>
    <w:rsid w:val="5EF16080"/>
    <w:rsid w:val="6050AEB2"/>
    <w:rsid w:val="607E7B07"/>
    <w:rsid w:val="6227F807"/>
    <w:rsid w:val="630FEFDC"/>
    <w:rsid w:val="6454F6AE"/>
    <w:rsid w:val="64E9C42B"/>
    <w:rsid w:val="65958E68"/>
    <w:rsid w:val="65C83496"/>
    <w:rsid w:val="6623B6B8"/>
    <w:rsid w:val="66A1C8E4"/>
    <w:rsid w:val="66FEC20A"/>
    <w:rsid w:val="67B9657D"/>
    <w:rsid w:val="68907AD0"/>
    <w:rsid w:val="68948B29"/>
    <w:rsid w:val="6895C556"/>
    <w:rsid w:val="69D5DE7E"/>
    <w:rsid w:val="6A88D5C6"/>
    <w:rsid w:val="6AFC963E"/>
    <w:rsid w:val="6B2F0668"/>
    <w:rsid w:val="6B7EAE09"/>
    <w:rsid w:val="6BB669B7"/>
    <w:rsid w:val="6C53BF57"/>
    <w:rsid w:val="6C742492"/>
    <w:rsid w:val="6D1A340E"/>
    <w:rsid w:val="6D383FFF"/>
    <w:rsid w:val="6EDFEF3B"/>
    <w:rsid w:val="6FC46304"/>
    <w:rsid w:val="703EF559"/>
    <w:rsid w:val="72058AE3"/>
    <w:rsid w:val="727B8BA2"/>
    <w:rsid w:val="727DFD46"/>
    <w:rsid w:val="737EC8C4"/>
    <w:rsid w:val="73B3B96A"/>
    <w:rsid w:val="73CD093B"/>
    <w:rsid w:val="74FEDA42"/>
    <w:rsid w:val="751F1DC9"/>
    <w:rsid w:val="75511787"/>
    <w:rsid w:val="7598C2DE"/>
    <w:rsid w:val="75E7CA02"/>
    <w:rsid w:val="76297EF8"/>
    <w:rsid w:val="76A09BBC"/>
    <w:rsid w:val="778059AF"/>
    <w:rsid w:val="78046D22"/>
    <w:rsid w:val="788EE51B"/>
    <w:rsid w:val="78FEFDBB"/>
    <w:rsid w:val="7A3C8791"/>
    <w:rsid w:val="7AA2873F"/>
    <w:rsid w:val="7BAD8946"/>
    <w:rsid w:val="7C483E0A"/>
    <w:rsid w:val="7EBE4B05"/>
    <w:rsid w:val="7FD8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EF71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D0F"/>
    <w:rPr>
      <w:rFonts w:eastAsiaTheme="majorEastAsia" w:cstheme="majorBidi"/>
      <w:color w:val="272727" w:themeColor="text1" w:themeTint="D8"/>
    </w:rPr>
  </w:style>
  <w:style w:type="paragraph" w:styleId="Title">
    <w:name w:val="Title"/>
    <w:basedOn w:val="Normal"/>
    <w:next w:val="Normal"/>
    <w:link w:val="TitleChar"/>
    <w:uiPriority w:val="10"/>
    <w:qFormat/>
    <w:rsid w:val="00506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D0F"/>
    <w:pPr>
      <w:spacing w:before="160"/>
      <w:jc w:val="center"/>
    </w:pPr>
    <w:rPr>
      <w:i/>
      <w:iCs/>
      <w:color w:val="404040" w:themeColor="text1" w:themeTint="BF"/>
    </w:rPr>
  </w:style>
  <w:style w:type="character" w:customStyle="1" w:styleId="QuoteChar">
    <w:name w:val="Quote Char"/>
    <w:basedOn w:val="DefaultParagraphFont"/>
    <w:link w:val="Quote"/>
    <w:uiPriority w:val="29"/>
    <w:rsid w:val="00506D0F"/>
    <w:rPr>
      <w:i/>
      <w:iCs/>
      <w:color w:val="404040" w:themeColor="text1" w:themeTint="BF"/>
    </w:rPr>
  </w:style>
  <w:style w:type="paragraph" w:styleId="ListParagraph">
    <w:name w:val="List Paragraph"/>
    <w:basedOn w:val="Normal"/>
    <w:uiPriority w:val="34"/>
    <w:qFormat/>
    <w:rsid w:val="00506D0F"/>
    <w:pPr>
      <w:ind w:left="720"/>
      <w:contextualSpacing/>
    </w:pPr>
  </w:style>
  <w:style w:type="character" w:styleId="IntenseEmphasis">
    <w:name w:val="Intense Emphasis"/>
    <w:basedOn w:val="DefaultParagraphFont"/>
    <w:uiPriority w:val="21"/>
    <w:qFormat/>
    <w:rsid w:val="00506D0F"/>
    <w:rPr>
      <w:i/>
      <w:iCs/>
      <w:color w:val="0F4761" w:themeColor="accent1" w:themeShade="BF"/>
    </w:rPr>
  </w:style>
  <w:style w:type="paragraph" w:styleId="IntenseQuote">
    <w:name w:val="Intense Quote"/>
    <w:basedOn w:val="Normal"/>
    <w:next w:val="Normal"/>
    <w:link w:val="IntenseQuoteChar"/>
    <w:uiPriority w:val="30"/>
    <w:qFormat/>
    <w:rsid w:val="00506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D0F"/>
    <w:rPr>
      <w:i/>
      <w:iCs/>
      <w:color w:val="0F4761" w:themeColor="accent1" w:themeShade="BF"/>
    </w:rPr>
  </w:style>
  <w:style w:type="character" w:styleId="IntenseReference">
    <w:name w:val="Intense Reference"/>
    <w:basedOn w:val="DefaultParagraphFont"/>
    <w:uiPriority w:val="32"/>
    <w:qFormat/>
    <w:rsid w:val="00506D0F"/>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5040"/>
    <w:rPr>
      <w:b/>
      <w:bCs/>
    </w:rPr>
  </w:style>
  <w:style w:type="character" w:customStyle="1" w:styleId="CommentSubjectChar">
    <w:name w:val="Comment Subject Char"/>
    <w:basedOn w:val="CommentTextChar"/>
    <w:link w:val="CommentSubject"/>
    <w:uiPriority w:val="99"/>
    <w:semiHidden/>
    <w:rsid w:val="000F5040"/>
    <w:rPr>
      <w:b/>
      <w:bCs/>
      <w:sz w:val="20"/>
      <w:szCs w:val="20"/>
    </w:rPr>
  </w:style>
  <w:style w:type="paragraph" w:styleId="Revision">
    <w:name w:val="Revision"/>
    <w:hidden/>
    <w:uiPriority w:val="99"/>
    <w:semiHidden/>
    <w:rsid w:val="0071703E"/>
    <w:pPr>
      <w:spacing w:after="0" w:line="240" w:lineRule="auto"/>
    </w:pPr>
  </w:style>
  <w:style w:type="character" w:styleId="Hyperlink">
    <w:name w:val="Hyperlink"/>
    <w:basedOn w:val="DefaultParagraphFont"/>
    <w:uiPriority w:val="99"/>
    <w:unhideWhenUsed/>
    <w:rsid w:val="0071703E"/>
    <w:rPr>
      <w:color w:val="467886" w:themeColor="hyperlink"/>
      <w:u w:val="single"/>
    </w:rPr>
  </w:style>
  <w:style w:type="character" w:styleId="UnresolvedMention">
    <w:name w:val="Unresolved Mention"/>
    <w:basedOn w:val="DefaultParagraphFont"/>
    <w:uiPriority w:val="99"/>
    <w:semiHidden/>
    <w:unhideWhenUsed/>
    <w:rsid w:val="0071703E"/>
    <w:rPr>
      <w:color w:val="605E5C"/>
      <w:shd w:val="clear" w:color="auto" w:fill="E1DFDD"/>
    </w:rPr>
  </w:style>
  <w:style w:type="character" w:styleId="Mention">
    <w:name w:val="Mention"/>
    <w:basedOn w:val="DefaultParagraphFont"/>
    <w:uiPriority w:val="99"/>
    <w:unhideWhenUsed/>
    <w:rsid w:val="0071703E"/>
    <w:rPr>
      <w:color w:val="2B579A"/>
      <w:shd w:val="clear" w:color="auto" w:fill="E1DFDD"/>
    </w:rPr>
  </w:style>
  <w:style w:type="paragraph" w:customStyle="1" w:styleId="paragraph">
    <w:name w:val="paragraph"/>
    <w:basedOn w:val="Normal"/>
    <w:rsid w:val="0020375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0375A"/>
  </w:style>
  <w:style w:type="character" w:customStyle="1" w:styleId="eop">
    <w:name w:val="eop"/>
    <w:basedOn w:val="DefaultParagraphFont"/>
    <w:rsid w:val="0020375A"/>
  </w:style>
  <w:style w:type="paragraph" w:customStyle="1" w:styleId="Default">
    <w:name w:val="Default"/>
    <w:rsid w:val="00F96574"/>
    <w:pPr>
      <w:autoSpaceDE w:val="0"/>
      <w:autoSpaceDN w:val="0"/>
      <w:adjustRightInd w:val="0"/>
      <w:spacing w:after="0" w:line="240" w:lineRule="auto"/>
    </w:pPr>
    <w:rPr>
      <w:rFonts w:ascii="Cambria" w:hAnsi="Cambria" w:cs="Cambria"/>
      <w:color w:val="000000"/>
      <w:kern w:val="0"/>
    </w:rPr>
  </w:style>
  <w:style w:type="paragraph" w:styleId="Header">
    <w:name w:val="header"/>
    <w:basedOn w:val="Normal"/>
    <w:link w:val="HeaderChar"/>
    <w:uiPriority w:val="99"/>
    <w:unhideWhenUsed/>
    <w:rsid w:val="0033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692"/>
  </w:style>
  <w:style w:type="paragraph" w:styleId="Footer">
    <w:name w:val="footer"/>
    <w:basedOn w:val="Normal"/>
    <w:link w:val="FooterChar"/>
    <w:uiPriority w:val="99"/>
    <w:unhideWhenUsed/>
    <w:rsid w:val="0033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243713">
      <w:bodyDiv w:val="1"/>
      <w:marLeft w:val="0"/>
      <w:marRight w:val="0"/>
      <w:marTop w:val="0"/>
      <w:marBottom w:val="0"/>
      <w:divBdr>
        <w:top w:val="none" w:sz="0" w:space="0" w:color="auto"/>
        <w:left w:val="none" w:sz="0" w:space="0" w:color="auto"/>
        <w:bottom w:val="none" w:sz="0" w:space="0" w:color="auto"/>
        <w:right w:val="none" w:sz="0" w:space="0" w:color="auto"/>
      </w:divBdr>
      <w:divsChild>
        <w:div w:id="735126384">
          <w:marLeft w:val="0"/>
          <w:marRight w:val="0"/>
          <w:marTop w:val="0"/>
          <w:marBottom w:val="0"/>
          <w:divBdr>
            <w:top w:val="none" w:sz="0" w:space="0" w:color="auto"/>
            <w:left w:val="none" w:sz="0" w:space="0" w:color="auto"/>
            <w:bottom w:val="none" w:sz="0" w:space="0" w:color="auto"/>
            <w:right w:val="none" w:sz="0" w:space="0" w:color="auto"/>
          </w:divBdr>
          <w:divsChild>
            <w:div w:id="5933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2025-11-10T15:21:00Z</dcterms:created>
  <dcterms:modified xsi:type="dcterms:W3CDTF">2025-11-19T16:07:00Z</dcterms:modified>
</cp:coreProperties>
</file>