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6A319D" w:rsidRDefault="00F96574" w:rsidP="00F96574">
      <w:pPr>
        <w:spacing w:after="0"/>
        <w:ind w:left="88"/>
        <w:jc w:val="center"/>
        <w:rPr>
          <w:rFonts w:ascii="Cambria" w:eastAsia="Cambria" w:hAnsi="Cambria" w:cs="Cambria"/>
          <w:b/>
          <w:spacing w:val="-2"/>
          <w:kern w:val="0"/>
          <w:sz w:val="20"/>
          <w:szCs w:val="20"/>
          <w14:ligatures w14:val="none"/>
        </w:rPr>
      </w:pPr>
      <w:r w:rsidRPr="006A319D">
        <w:rPr>
          <w:rFonts w:ascii="Cambria" w:hAnsi="Cambria"/>
          <w:b/>
          <w:sz w:val="20"/>
        </w:rPr>
        <w:t>Page de garde accompagnant les nouvelles propositions</w:t>
      </w:r>
    </w:p>
    <w:p w14:paraId="3451F472" w14:textId="046453B2" w:rsidR="00F96574" w:rsidRPr="006A319D"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73E9ECD4" w:rsidR="00F96574" w:rsidRPr="006A319D" w:rsidRDefault="00F96574" w:rsidP="00F96574">
      <w:pPr>
        <w:widowControl w:val="0"/>
        <w:spacing w:after="0" w:line="240" w:lineRule="auto"/>
        <w:jc w:val="center"/>
        <w:rPr>
          <w:rFonts w:ascii="Cambria" w:eastAsia="Cambria" w:hAnsi="Cambria" w:cs="Cambria"/>
          <w:i/>
          <w:kern w:val="0"/>
          <w:sz w:val="20"/>
          <w:szCs w:val="20"/>
          <w14:ligatures w14:val="none"/>
        </w:rPr>
      </w:pPr>
      <w:r w:rsidRPr="006A319D">
        <w:rPr>
          <w:rFonts w:ascii="Cambria" w:hAnsi="Cambria"/>
          <w:i/>
          <w:sz w:val="20"/>
        </w:rPr>
        <w:t xml:space="preserve">(Document soumis par le </w:t>
      </w:r>
      <w:r w:rsidR="00AC6D3F" w:rsidRPr="006A319D">
        <w:rPr>
          <w:rFonts w:ascii="Cambria" w:hAnsi="Cambria"/>
          <w:i/>
          <w:sz w:val="20"/>
        </w:rPr>
        <w:t xml:space="preserve">Royaume-Uni, </w:t>
      </w:r>
      <w:r w:rsidR="0034579A" w:rsidRPr="006A319D">
        <w:rPr>
          <w:rFonts w:ascii="Cambria" w:hAnsi="Cambria"/>
          <w:i/>
          <w:sz w:val="20"/>
        </w:rPr>
        <w:t>le Brésil</w:t>
      </w:r>
      <w:r w:rsidR="000B7DA0" w:rsidRPr="006A319D">
        <w:rPr>
          <w:rFonts w:ascii="Cambria" w:hAnsi="Cambria"/>
          <w:i/>
          <w:sz w:val="20"/>
        </w:rPr>
        <w:t>,</w:t>
      </w:r>
      <w:r w:rsidR="00AC6D3F" w:rsidRPr="006A319D">
        <w:rPr>
          <w:rFonts w:ascii="Cambria" w:hAnsi="Cambria"/>
          <w:i/>
          <w:sz w:val="20"/>
        </w:rPr>
        <w:t xml:space="preserve"> le Maroc</w:t>
      </w:r>
      <w:r w:rsidR="00A3320B" w:rsidRPr="006A319D">
        <w:rPr>
          <w:rFonts w:ascii="Cambria" w:hAnsi="Cambria"/>
          <w:i/>
          <w:sz w:val="20"/>
        </w:rPr>
        <w:t xml:space="preserve">, </w:t>
      </w:r>
      <w:r w:rsidR="000B7DA0" w:rsidRPr="006A319D">
        <w:rPr>
          <w:rFonts w:ascii="Cambria" w:hAnsi="Cambria"/>
          <w:i/>
          <w:sz w:val="20"/>
        </w:rPr>
        <w:t>l’Afrique du Sud</w:t>
      </w:r>
      <w:r w:rsidR="00A3320B" w:rsidRPr="006A319D">
        <w:rPr>
          <w:rFonts w:ascii="Cambria" w:hAnsi="Cambria"/>
          <w:i/>
          <w:sz w:val="20"/>
        </w:rPr>
        <w:t xml:space="preserve"> et le Canada</w:t>
      </w:r>
      <w:r w:rsidRPr="006A319D">
        <w:rPr>
          <w:rFonts w:ascii="Cambria" w:hAnsi="Cambria"/>
          <w:i/>
          <w:sz w:val="20"/>
        </w:rPr>
        <w:t>)</w:t>
      </w:r>
    </w:p>
    <w:p w14:paraId="070140E5" w14:textId="77777777" w:rsidR="00F96574" w:rsidRPr="006A319D" w:rsidRDefault="00F96574" w:rsidP="00F96574">
      <w:pPr>
        <w:pStyle w:val="Default"/>
        <w:rPr>
          <w:sz w:val="20"/>
          <w:szCs w:val="20"/>
        </w:rPr>
      </w:pPr>
    </w:p>
    <w:p w14:paraId="3C283878" w14:textId="77777777" w:rsidR="00F96574" w:rsidRPr="006A319D"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6A319D"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6A319D">
        <w:rPr>
          <w:rFonts w:ascii="Cambria" w:hAnsi="Cambria"/>
          <w:b/>
          <w:sz w:val="20"/>
        </w:rPr>
        <w:t>Titre de la proposition de projet de Recommandation/Résolution :</w:t>
      </w:r>
      <w:r w:rsidRPr="006A319D">
        <w:rPr>
          <w:rFonts w:ascii="Cambria" w:hAnsi="Cambria"/>
          <w:sz w:val="20"/>
        </w:rPr>
        <w:t xml:space="preserve"> </w:t>
      </w:r>
      <w:r w:rsidRPr="006A319D">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A319D"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6A319D" w:rsidRDefault="00EA2058" w:rsidP="00EA2058">
      <w:pPr>
        <w:widowControl w:val="0"/>
        <w:autoSpaceDE w:val="0"/>
        <w:autoSpaceDN w:val="0"/>
        <w:spacing w:after="0" w:line="240" w:lineRule="auto"/>
        <w:jc w:val="both"/>
        <w:rPr>
          <w:rFonts w:ascii="Cambria" w:hAnsi="Cambria"/>
        </w:rPr>
      </w:pPr>
      <w:r w:rsidRPr="006A319D">
        <w:rPr>
          <w:rFonts w:ascii="Cambria" w:hAnsi="Cambria"/>
          <w:b/>
          <w:sz w:val="20"/>
        </w:rPr>
        <w:t>Titre de la ou des Recommandations ou Résolutions en vigueur traitant des mêmes questions ou de questions connexes :</w:t>
      </w:r>
      <w:r w:rsidRPr="006A319D">
        <w:rPr>
          <w:rFonts w:ascii="Cambria" w:hAnsi="Cambria"/>
          <w:b/>
          <w:color w:val="000000" w:themeColor="text1"/>
          <w:sz w:val="20"/>
        </w:rPr>
        <w:t xml:space="preserve">  </w:t>
      </w:r>
      <w:r w:rsidRPr="006A319D">
        <w:rPr>
          <w:rFonts w:ascii="Cambria" w:hAnsi="Cambria"/>
          <w:color w:val="EE0000"/>
          <w:sz w:val="20"/>
        </w:rPr>
        <w:t>N/A</w:t>
      </w:r>
    </w:p>
    <w:p w14:paraId="0A05991F" w14:textId="77777777" w:rsidR="002148D6" w:rsidRPr="006A319D"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6A319D"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sidRPr="006A319D">
        <w:rPr>
          <w:rFonts w:ascii="Cambria" w:hAnsi="Cambria"/>
          <w:sz w:val="20"/>
        </w:rPr>
        <w:t>1.</w:t>
      </w:r>
      <w:r w:rsidRPr="006A319D">
        <w:rPr>
          <w:rFonts w:ascii="Cambria" w:hAnsi="Cambria"/>
          <w:sz w:val="20"/>
        </w:rPr>
        <w:tab/>
        <w:t xml:space="preserve">Cela crée-t-il de nouvelles </w:t>
      </w:r>
      <w:r w:rsidRPr="006A319D">
        <w:rPr>
          <w:rFonts w:ascii="Cambria" w:hAnsi="Cambria"/>
          <w:b/>
          <w:sz w:val="20"/>
        </w:rPr>
        <w:t xml:space="preserve">obligations de déclaration </w:t>
      </w:r>
      <w:r w:rsidRPr="006A319D">
        <w:rPr>
          <w:rFonts w:ascii="Cambria" w:hAnsi="Cambria"/>
          <w:sz w:val="20"/>
        </w:rPr>
        <w:t xml:space="preserve">pour les CPC ?     </w:t>
      </w:r>
      <w:r w:rsidRPr="006A319D">
        <w:rPr>
          <w:rFonts w:ascii="Cambria" w:hAnsi="Cambria"/>
          <w:color w:val="000000" w:themeColor="text1"/>
          <w:sz w:val="20"/>
        </w:rPr>
        <w:t xml:space="preserve">Oui  </w:t>
      </w:r>
      <w:r w:rsidRPr="006A319D">
        <w:rPr>
          <w:rFonts w:ascii="Segoe UI Symbol" w:hAnsi="Segoe UI Symbol" w:cs="Segoe UI Symbol"/>
          <w:color w:val="000000" w:themeColor="text1"/>
          <w:sz w:val="20"/>
        </w:rPr>
        <w:t>☐</w:t>
      </w:r>
      <w:r w:rsidRPr="006A319D">
        <w:rPr>
          <w:rFonts w:ascii="Cambria" w:hAnsi="Cambria"/>
          <w:sz w:val="20"/>
        </w:rPr>
        <w:tab/>
      </w:r>
      <w:r w:rsidRPr="006A319D">
        <w:rPr>
          <w:rFonts w:ascii="Cambria" w:hAnsi="Cambria"/>
          <w:color w:val="EE0000"/>
          <w:sz w:val="20"/>
        </w:rPr>
        <w:t xml:space="preserve">Non  </w:t>
      </w:r>
      <w:r w:rsidRPr="006A319D">
        <w:rPr>
          <w:rFonts w:ascii="Segoe UI Symbol" w:hAnsi="Segoe UI Symbol" w:cs="Segoe UI Symbol"/>
          <w:color w:val="EE0000"/>
          <w:sz w:val="20"/>
        </w:rPr>
        <w:t>☒</w:t>
      </w:r>
    </w:p>
    <w:p w14:paraId="6D145A1B" w14:textId="77777777" w:rsidR="00893254" w:rsidRPr="006A319D"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A319D"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Pr="006A319D"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sidRPr="006A319D">
        <w:rPr>
          <w:rFonts w:ascii="Cambria" w:hAnsi="Cambria"/>
          <w:sz w:val="20"/>
        </w:rPr>
        <w:t>2.</w:t>
      </w:r>
      <w:r w:rsidRPr="006A319D">
        <w:rPr>
          <w:rFonts w:ascii="Cambria" w:hAnsi="Cambria"/>
          <w:sz w:val="20"/>
        </w:rPr>
        <w:tab/>
        <w:t xml:space="preserve">Cela nécessite-t-il une contribution ou un </w:t>
      </w:r>
      <w:r w:rsidRPr="006A319D">
        <w:rPr>
          <w:rFonts w:ascii="Cambria" w:hAnsi="Cambria"/>
          <w:b/>
          <w:bCs/>
          <w:sz w:val="20"/>
        </w:rPr>
        <w:t>travail supplémentaire de la part du SCRS</w:t>
      </w:r>
      <w:r w:rsidRPr="006A319D">
        <w:rPr>
          <w:rFonts w:ascii="Cambria" w:hAnsi="Cambria"/>
          <w:sz w:val="20"/>
        </w:rPr>
        <w:t xml:space="preserve"> ? </w:t>
      </w:r>
      <w:r w:rsidRPr="006A319D">
        <w:rPr>
          <w:rFonts w:ascii="Cambria" w:hAnsi="Cambria"/>
          <w:color w:val="000000" w:themeColor="text1"/>
          <w:sz w:val="20"/>
        </w:rPr>
        <w:t xml:space="preserve">Oui </w:t>
      </w:r>
      <w:r w:rsidRPr="006A319D">
        <w:rPr>
          <w:rFonts w:ascii="Segoe UI Symbol" w:hAnsi="Segoe UI Symbol" w:cs="Segoe UI Symbol"/>
          <w:color w:val="000000" w:themeColor="text1"/>
          <w:sz w:val="20"/>
        </w:rPr>
        <w:t>☐</w:t>
      </w:r>
      <w:r w:rsidR="0029028B" w:rsidRPr="006A319D">
        <w:rPr>
          <w:rFonts w:ascii="Cambria" w:hAnsi="Cambria"/>
          <w:color w:val="000000" w:themeColor="text1"/>
          <w:sz w:val="20"/>
        </w:rPr>
        <w:t xml:space="preserve"> </w:t>
      </w:r>
      <w:r w:rsidRPr="006A319D">
        <w:rPr>
          <w:rFonts w:ascii="Cambria" w:hAnsi="Cambria"/>
          <w:color w:val="EE0000"/>
          <w:sz w:val="20"/>
        </w:rPr>
        <w:t xml:space="preserve">Non </w:t>
      </w:r>
      <w:r w:rsidRPr="006A319D">
        <w:rPr>
          <w:rFonts w:ascii="Segoe UI Symbol" w:hAnsi="Segoe UI Symbol" w:cs="Segoe UI Symbol"/>
          <w:color w:val="EE0000"/>
          <w:sz w:val="20"/>
        </w:rPr>
        <w:t>☒</w:t>
      </w:r>
    </w:p>
    <w:p w14:paraId="7718E07C" w14:textId="77777777" w:rsidR="00893254" w:rsidRPr="006A319D"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Pr="006A319D"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sidRPr="006A319D">
        <w:rPr>
          <w:rFonts w:ascii="Cambria" w:hAnsi="Cambria"/>
          <w:sz w:val="20"/>
        </w:rPr>
        <w:t xml:space="preserve">Ce travail est-il déjà inclus dans le plan de travail actuel du SCRS ? Oui </w:t>
      </w:r>
      <w:r w:rsidRPr="006A319D">
        <w:rPr>
          <w:rFonts w:ascii="Segoe UI Symbol" w:hAnsi="Segoe UI Symbol" w:cs="Segoe UI Symbol"/>
          <w:color w:val="000000" w:themeColor="text1"/>
          <w:sz w:val="20"/>
        </w:rPr>
        <w:t>☐</w:t>
      </w:r>
      <w:r w:rsidRPr="006A319D">
        <w:rPr>
          <w:rFonts w:ascii="Cambria" w:hAnsi="Cambria"/>
          <w:color w:val="000000" w:themeColor="text1"/>
          <w:sz w:val="20"/>
        </w:rPr>
        <w:t xml:space="preserve">  </w:t>
      </w:r>
      <w:r w:rsidRPr="006A319D">
        <w:rPr>
          <w:rFonts w:ascii="Cambria" w:hAnsi="Cambria"/>
          <w:color w:val="EE0000"/>
          <w:sz w:val="20"/>
        </w:rPr>
        <w:t xml:space="preserve">Non  </w:t>
      </w:r>
      <w:r w:rsidRPr="006A319D">
        <w:rPr>
          <w:rFonts w:ascii="Segoe UI Symbol" w:hAnsi="Segoe UI Symbol" w:cs="Segoe UI Symbol"/>
          <w:color w:val="EE0000"/>
          <w:sz w:val="20"/>
        </w:rPr>
        <w:t>☒</w:t>
      </w:r>
    </w:p>
    <w:p w14:paraId="25F7259A" w14:textId="78B33E9D" w:rsidR="00893254" w:rsidRPr="006A319D"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Pr="006A319D" w:rsidRDefault="002148D6" w:rsidP="0029028B">
      <w:pPr>
        <w:widowControl w:val="0"/>
        <w:tabs>
          <w:tab w:val="left" w:pos="426"/>
        </w:tabs>
        <w:spacing w:after="0" w:line="240" w:lineRule="auto"/>
        <w:ind w:left="360" w:hanging="360"/>
        <w:jc w:val="both"/>
        <w:rPr>
          <w:rFonts w:ascii="Cambria" w:hAnsi="Cambria"/>
          <w:sz w:val="20"/>
        </w:rPr>
      </w:pPr>
      <w:r w:rsidRPr="006A319D">
        <w:rPr>
          <w:rFonts w:ascii="Cambria" w:hAnsi="Cambria"/>
          <w:sz w:val="20"/>
        </w:rPr>
        <w:t>3.</w:t>
      </w:r>
      <w:r w:rsidRPr="006A319D">
        <w:rPr>
          <w:rFonts w:ascii="Cambria" w:hAnsi="Cambria"/>
          <w:sz w:val="20"/>
        </w:rPr>
        <w:tab/>
        <w:t xml:space="preserve">Cela implique-t-il la création d'un </w:t>
      </w:r>
      <w:r w:rsidRPr="006A319D">
        <w:rPr>
          <w:rFonts w:ascii="Cambria" w:hAnsi="Cambria"/>
          <w:b/>
          <w:sz w:val="20"/>
        </w:rPr>
        <w:t xml:space="preserve">nouveau groupe de travail ou d'un processus intersessions </w:t>
      </w:r>
      <w:r w:rsidRPr="006A319D">
        <w:rPr>
          <w:rFonts w:ascii="Cambria" w:hAnsi="Cambria"/>
          <w:sz w:val="20"/>
        </w:rPr>
        <w:t xml:space="preserve">?   </w:t>
      </w:r>
    </w:p>
    <w:p w14:paraId="342E2F2C" w14:textId="0A8E0678" w:rsidR="00C029DE" w:rsidRPr="006A319D"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sidRPr="006A319D">
        <w:rPr>
          <w:rFonts w:ascii="Cambria" w:hAnsi="Cambria"/>
          <w:sz w:val="20"/>
        </w:rPr>
        <w:tab/>
      </w:r>
      <w:r w:rsidRPr="006A319D">
        <w:rPr>
          <w:rFonts w:ascii="Cambria" w:hAnsi="Cambria"/>
          <w:sz w:val="20"/>
        </w:rPr>
        <w:tab/>
      </w:r>
      <w:r w:rsidR="002148D6" w:rsidRPr="006A319D">
        <w:rPr>
          <w:rFonts w:ascii="Cambria" w:hAnsi="Cambria"/>
          <w:color w:val="000000" w:themeColor="text1"/>
          <w:sz w:val="20"/>
        </w:rPr>
        <w:t xml:space="preserve">Oui  </w:t>
      </w:r>
      <w:r w:rsidR="002148D6" w:rsidRPr="006A319D">
        <w:rPr>
          <w:rFonts w:ascii="Segoe UI Symbol" w:hAnsi="Segoe UI Symbol" w:cs="Segoe UI Symbol"/>
          <w:color w:val="000000" w:themeColor="text1"/>
          <w:sz w:val="20"/>
        </w:rPr>
        <w:t>☐</w:t>
      </w:r>
      <w:r w:rsidR="002148D6" w:rsidRPr="006A319D">
        <w:rPr>
          <w:rFonts w:ascii="Cambria" w:hAnsi="Cambria"/>
          <w:color w:val="000000" w:themeColor="text1"/>
          <w:sz w:val="20"/>
        </w:rPr>
        <w:t xml:space="preserve"> </w:t>
      </w:r>
      <w:r w:rsidR="002148D6" w:rsidRPr="006A319D">
        <w:rPr>
          <w:rFonts w:ascii="Cambria" w:hAnsi="Cambria"/>
          <w:sz w:val="20"/>
        </w:rPr>
        <w:t xml:space="preserve">      </w:t>
      </w:r>
      <w:r w:rsidR="002148D6" w:rsidRPr="006A319D">
        <w:rPr>
          <w:rFonts w:ascii="Cambria" w:hAnsi="Cambria"/>
          <w:color w:val="EE0000"/>
          <w:sz w:val="20"/>
        </w:rPr>
        <w:t xml:space="preserve">Non  </w:t>
      </w:r>
      <w:r w:rsidR="002148D6" w:rsidRPr="006A319D">
        <w:rPr>
          <w:rFonts w:ascii="Segoe UI Symbol" w:hAnsi="Segoe UI Symbol" w:cs="Segoe UI Symbol"/>
          <w:color w:val="EE0000"/>
          <w:sz w:val="20"/>
        </w:rPr>
        <w:t>☒</w:t>
      </w:r>
    </w:p>
    <w:p w14:paraId="6D5A32B2" w14:textId="6AD48AAA" w:rsidR="00893254" w:rsidRPr="006A319D"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A319D"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6A319D"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sidRPr="006A319D">
        <w:rPr>
          <w:rFonts w:ascii="Cambria" w:hAnsi="Cambria"/>
          <w:sz w:val="20"/>
        </w:rPr>
        <w:t>4.</w:t>
      </w:r>
      <w:r w:rsidRPr="006A319D">
        <w:rPr>
          <w:rFonts w:ascii="Cambria" w:hAnsi="Cambria"/>
          <w:sz w:val="20"/>
        </w:rPr>
        <w:tab/>
        <w:t xml:space="preserve">Cela nécessite-t-il un nouveau </w:t>
      </w:r>
      <w:r w:rsidRPr="006A319D">
        <w:rPr>
          <w:rFonts w:ascii="Cambria" w:hAnsi="Cambria"/>
          <w:b/>
          <w:sz w:val="20"/>
        </w:rPr>
        <w:t xml:space="preserve">programme ou des activités supplémentaires à gérer par le Secrétariat </w:t>
      </w:r>
      <w:r w:rsidRPr="006A319D">
        <w:rPr>
          <w:rFonts w:ascii="Cambria" w:hAnsi="Cambria"/>
          <w:sz w:val="20"/>
        </w:rPr>
        <w:t xml:space="preserve">?  </w:t>
      </w:r>
    </w:p>
    <w:p w14:paraId="6967A310" w14:textId="77777777" w:rsidR="00893254" w:rsidRPr="006A319D"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Pr="006A319D"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sidRPr="006A319D">
        <w:rPr>
          <w:rFonts w:ascii="Cambria" w:hAnsi="Cambria"/>
          <w:color w:val="000000" w:themeColor="text1"/>
          <w:sz w:val="20"/>
        </w:rPr>
        <w:t xml:space="preserve">Oui  </w:t>
      </w:r>
      <w:r w:rsidRPr="006A319D">
        <w:rPr>
          <w:rFonts w:ascii="Segoe UI Symbol" w:hAnsi="Segoe UI Symbol" w:cs="Segoe UI Symbol"/>
          <w:color w:val="000000" w:themeColor="text1"/>
          <w:sz w:val="20"/>
        </w:rPr>
        <w:t>☐</w:t>
      </w:r>
      <w:r w:rsidRPr="006A319D">
        <w:rPr>
          <w:rFonts w:ascii="Cambria" w:hAnsi="Cambria"/>
          <w:color w:val="000000" w:themeColor="text1"/>
          <w:sz w:val="20"/>
        </w:rPr>
        <w:t xml:space="preserve"> </w:t>
      </w:r>
      <w:r w:rsidRPr="006A319D">
        <w:rPr>
          <w:rFonts w:ascii="Cambria" w:hAnsi="Cambria"/>
          <w:sz w:val="20"/>
        </w:rPr>
        <w:t xml:space="preserve">      </w:t>
      </w:r>
      <w:r w:rsidRPr="006A319D">
        <w:rPr>
          <w:rFonts w:ascii="Cambria" w:hAnsi="Cambria"/>
          <w:color w:val="EE0000"/>
          <w:sz w:val="20"/>
        </w:rPr>
        <w:t xml:space="preserve">Non  </w:t>
      </w:r>
      <w:r w:rsidRPr="006A319D">
        <w:rPr>
          <w:rFonts w:ascii="Segoe UI Symbol" w:hAnsi="Segoe UI Symbol" w:cs="Segoe UI Symbol"/>
          <w:color w:val="EE0000"/>
          <w:sz w:val="20"/>
        </w:rPr>
        <w:t>☒</w:t>
      </w:r>
    </w:p>
    <w:p w14:paraId="47E79D9D" w14:textId="26463849" w:rsidR="00893254" w:rsidRPr="006A319D"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A319D"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6A319D"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6A319D">
        <w:rPr>
          <w:rFonts w:ascii="Cambria" w:hAnsi="Cambria"/>
          <w:sz w:val="20"/>
        </w:rPr>
        <w:t>5.</w:t>
      </w:r>
      <w:r w:rsidRPr="006A319D">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A319D"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6A319D"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6A319D">
        <w:rPr>
          <w:rFonts w:ascii="Cambria" w:hAnsi="Cambria"/>
          <w:color w:val="EE0000"/>
          <w:sz w:val="20"/>
        </w:rPr>
        <w:t xml:space="preserve">Mise en œuvre uniforme pour toutes les CPC avec date d'entrée en vigueur par défaut. </w:t>
      </w:r>
    </w:p>
    <w:p w14:paraId="7CBE9EDE" w14:textId="77777777" w:rsidR="00893254" w:rsidRPr="006A319D"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A319D"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6A319D"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sidRPr="006A319D">
        <w:rPr>
          <w:rFonts w:ascii="Cambria" w:hAnsi="Cambria"/>
          <w:sz w:val="20"/>
        </w:rPr>
        <w:t>6.</w:t>
      </w:r>
      <w:r w:rsidRPr="006A319D">
        <w:rPr>
          <w:rFonts w:ascii="Cambria" w:hAnsi="Cambria"/>
          <w:sz w:val="20"/>
        </w:rPr>
        <w:tab/>
        <w:t>Existe-t-il d'autres informations pertinentes concernant les implications de la proposition en termes de ressources et de charge de travail ?</w:t>
      </w:r>
    </w:p>
    <w:p w14:paraId="687B1252" w14:textId="77777777" w:rsidR="00893254" w:rsidRPr="006A319D"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6A319D"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6A319D">
        <w:rPr>
          <w:rFonts w:ascii="Cambria" w:hAnsi="Cambria"/>
          <w:color w:val="EE0000"/>
          <w:sz w:val="20"/>
        </w:rPr>
        <w:t>Non</w:t>
      </w:r>
    </w:p>
    <w:p w14:paraId="04A84588" w14:textId="77777777" w:rsidR="00893254" w:rsidRPr="006A319D"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A319D"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A319D"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6A319D" w:rsidRDefault="00D32C30">
      <w:pPr>
        <w:rPr>
          <w:rFonts w:ascii="Cambria" w:eastAsia="Calibri" w:hAnsi="Cambria" w:cs="Calibri"/>
          <w:b/>
          <w:bCs/>
          <w:color w:val="000000" w:themeColor="text1"/>
          <w:sz w:val="20"/>
          <w:szCs w:val="20"/>
        </w:rPr>
      </w:pPr>
      <w:r w:rsidRPr="006A319D">
        <w:br w:type="page"/>
      </w:r>
    </w:p>
    <w:p w14:paraId="79EC4392" w14:textId="482A1CEF" w:rsidR="00D32C30" w:rsidRPr="006A319D" w:rsidRDefault="00D32C30" w:rsidP="006D6195">
      <w:pPr>
        <w:spacing w:after="0" w:line="240" w:lineRule="auto"/>
        <w:jc w:val="right"/>
        <w:rPr>
          <w:rFonts w:ascii="Cambria" w:eastAsia="Calibri" w:hAnsi="Cambria" w:cs="Calibri"/>
          <w:b/>
          <w:bCs/>
          <w:color w:val="000000" w:themeColor="text1"/>
          <w:sz w:val="20"/>
          <w:szCs w:val="20"/>
        </w:rPr>
      </w:pPr>
      <w:r w:rsidRPr="006A319D">
        <w:rPr>
          <w:rFonts w:ascii="Cambria" w:hAnsi="Cambria"/>
          <w:b/>
          <w:color w:val="000000" w:themeColor="text1"/>
          <w:sz w:val="20"/>
        </w:rPr>
        <w:lastRenderedPageBreak/>
        <w:t xml:space="preserve">Original : </w:t>
      </w:r>
      <w:r w:rsidRPr="006A319D">
        <w:rPr>
          <w:rFonts w:ascii="Cambria" w:hAnsi="Cambria"/>
          <w:b/>
          <w:bCs/>
          <w:color w:val="000000" w:themeColor="text1"/>
          <w:sz w:val="20"/>
        </w:rPr>
        <w:t>anglais</w:t>
      </w:r>
    </w:p>
    <w:p w14:paraId="1AF316EA" w14:textId="77777777" w:rsidR="006D6195" w:rsidRPr="006A319D" w:rsidRDefault="006D6195" w:rsidP="006D6195">
      <w:pPr>
        <w:spacing w:after="0" w:line="240" w:lineRule="auto"/>
        <w:jc w:val="center"/>
        <w:rPr>
          <w:rFonts w:ascii="Cambria" w:eastAsia="Calibri" w:hAnsi="Cambria" w:cs="Calibri"/>
          <w:b/>
          <w:bCs/>
          <w:color w:val="000000" w:themeColor="text1"/>
          <w:sz w:val="20"/>
          <w:szCs w:val="20"/>
        </w:rPr>
      </w:pPr>
    </w:p>
    <w:p w14:paraId="4942A447" w14:textId="1C592DB6" w:rsidR="00C47F31" w:rsidRPr="006A319D" w:rsidRDefault="00C47F31" w:rsidP="006D6195">
      <w:pPr>
        <w:spacing w:after="0" w:line="240" w:lineRule="auto"/>
        <w:jc w:val="center"/>
        <w:rPr>
          <w:rFonts w:ascii="Cambria" w:eastAsia="Calibri" w:hAnsi="Cambria" w:cs="Calibri"/>
          <w:b/>
          <w:bCs/>
          <w:color w:val="000000" w:themeColor="text1"/>
          <w:sz w:val="20"/>
          <w:szCs w:val="20"/>
        </w:rPr>
      </w:pPr>
      <w:r w:rsidRPr="006A319D">
        <w:rPr>
          <w:rFonts w:ascii="Cambria" w:hAnsi="Cambria"/>
          <w:b/>
          <w:color w:val="000000" w:themeColor="text1"/>
          <w:sz w:val="20"/>
        </w:rPr>
        <w:t xml:space="preserve">Note </w:t>
      </w:r>
      <w:r w:rsidR="00094748" w:rsidRPr="006A319D">
        <w:rPr>
          <w:rFonts w:ascii="Cambria" w:hAnsi="Cambria"/>
          <w:b/>
          <w:color w:val="000000" w:themeColor="text1"/>
          <w:sz w:val="20"/>
        </w:rPr>
        <w:t xml:space="preserve">explicative </w:t>
      </w:r>
      <w:r w:rsidRPr="006A319D">
        <w:rPr>
          <w:rFonts w:ascii="Cambria" w:hAnsi="Cambria"/>
          <w:b/>
          <w:color w:val="000000" w:themeColor="text1"/>
          <w:sz w:val="20"/>
        </w:rPr>
        <w:t xml:space="preserve">concernant le Projet de Recommandation de l’ICCAT concernant le requin pèlerin et le grand requin blanc capturés en association avec les pêcheries gérées par l’ICCAT </w:t>
      </w:r>
    </w:p>
    <w:p w14:paraId="595FFF73" w14:textId="54AE9979" w:rsidR="0034484E" w:rsidRPr="006A319D" w:rsidRDefault="0034484E" w:rsidP="006D6195">
      <w:pPr>
        <w:spacing w:after="0" w:line="240" w:lineRule="auto"/>
        <w:jc w:val="center"/>
        <w:rPr>
          <w:rFonts w:ascii="Cambria" w:eastAsia="Calibri" w:hAnsi="Cambria" w:cs="Calibri"/>
          <w:b/>
          <w:bCs/>
          <w:color w:val="000000" w:themeColor="text1"/>
          <w:sz w:val="20"/>
          <w:szCs w:val="20"/>
        </w:rPr>
      </w:pPr>
    </w:p>
    <w:p w14:paraId="71EFFFDF" w14:textId="77777777" w:rsidR="00A3320B" w:rsidRPr="006A319D" w:rsidRDefault="00A3320B" w:rsidP="00A3320B">
      <w:pPr>
        <w:widowControl w:val="0"/>
        <w:spacing w:after="0" w:line="240" w:lineRule="auto"/>
        <w:jc w:val="center"/>
        <w:rPr>
          <w:rFonts w:ascii="Cambria" w:eastAsia="Cambria" w:hAnsi="Cambria" w:cs="Cambria"/>
          <w:i/>
          <w:kern w:val="0"/>
          <w:sz w:val="20"/>
          <w:szCs w:val="20"/>
          <w14:ligatures w14:val="none"/>
        </w:rPr>
      </w:pPr>
      <w:r w:rsidRPr="006A319D">
        <w:rPr>
          <w:rFonts w:ascii="Cambria" w:hAnsi="Cambria"/>
          <w:i/>
          <w:sz w:val="20"/>
        </w:rPr>
        <w:t>(Document soumis par le Royaume-Uni, le Brésil, le Maroc, l’Afrique du Sud et le Canada)</w:t>
      </w:r>
    </w:p>
    <w:p w14:paraId="39C1F545" w14:textId="77777777" w:rsidR="006D6195" w:rsidRPr="006A319D"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Pr="006A319D" w:rsidRDefault="005F1C13" w:rsidP="006D6195">
      <w:pPr>
        <w:spacing w:after="0" w:line="240" w:lineRule="auto"/>
        <w:jc w:val="both"/>
        <w:rPr>
          <w:rFonts w:ascii="Cambria" w:eastAsia="Calibri" w:hAnsi="Cambria" w:cs="Calibri"/>
          <w:color w:val="000000" w:themeColor="text1"/>
          <w:sz w:val="20"/>
          <w:szCs w:val="20"/>
        </w:rPr>
      </w:pPr>
      <w:r w:rsidRPr="006A319D">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r w:rsidRPr="006A319D">
        <w:rPr>
          <w:rFonts w:ascii="Cambria" w:hAnsi="Cambria"/>
          <w:i/>
          <w:iCs/>
          <w:color w:val="000000" w:themeColor="text1"/>
          <w:sz w:val="20"/>
        </w:rPr>
        <w:t>Cetorhinus maximus</w:t>
      </w:r>
      <w:r w:rsidRPr="006A319D">
        <w:rPr>
          <w:rFonts w:ascii="Cambria" w:hAnsi="Cambria"/>
          <w:color w:val="000000" w:themeColor="text1"/>
          <w:sz w:val="20"/>
        </w:rPr>
        <w:t>) et le grand requin blanc (</w:t>
      </w:r>
      <w:r w:rsidRPr="006A319D">
        <w:rPr>
          <w:rFonts w:ascii="Cambria" w:hAnsi="Cambria"/>
          <w:i/>
          <w:iCs/>
          <w:color w:val="000000" w:themeColor="text1"/>
          <w:sz w:val="20"/>
        </w:rPr>
        <w:t>Carcharodon carcharias</w:t>
      </w:r>
      <w:r w:rsidRPr="006A319D">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6A319D" w:rsidRDefault="00C47F31" w:rsidP="006D6195">
      <w:pPr>
        <w:spacing w:after="0" w:line="240" w:lineRule="auto"/>
        <w:jc w:val="both"/>
        <w:rPr>
          <w:rFonts w:ascii="Cambria" w:eastAsia="Calibri" w:hAnsi="Cambria" w:cs="Calibri"/>
          <w:color w:val="000000" w:themeColor="text1"/>
          <w:sz w:val="20"/>
          <w:szCs w:val="20"/>
        </w:rPr>
      </w:pPr>
    </w:p>
    <w:p w14:paraId="384B9627" w14:textId="515E8BC2" w:rsidR="0029028B" w:rsidRPr="006A319D" w:rsidRDefault="0029028B">
      <w:pPr>
        <w:rPr>
          <w:rFonts w:ascii="Cambria" w:hAnsi="Cambria"/>
          <w:b/>
          <w:color w:val="000000" w:themeColor="text1"/>
          <w:sz w:val="20"/>
        </w:rPr>
      </w:pPr>
      <w:r w:rsidRPr="006A319D">
        <w:rPr>
          <w:rFonts w:ascii="Cambria" w:hAnsi="Cambria"/>
          <w:b/>
          <w:color w:val="000000" w:themeColor="text1"/>
          <w:sz w:val="20"/>
        </w:rPr>
        <w:br w:type="page"/>
      </w:r>
    </w:p>
    <w:p w14:paraId="29D47061" w14:textId="13AB93A3" w:rsidR="00AB0F66" w:rsidRPr="006A319D" w:rsidRDefault="00C47F31" w:rsidP="00AB0F66">
      <w:pPr>
        <w:spacing w:after="0" w:line="240" w:lineRule="auto"/>
        <w:jc w:val="center"/>
        <w:rPr>
          <w:rFonts w:ascii="Cambria" w:eastAsia="Calibri" w:hAnsi="Cambria" w:cs="Calibri"/>
          <w:b/>
          <w:bCs/>
          <w:color w:val="000000" w:themeColor="text1"/>
          <w:sz w:val="20"/>
          <w:szCs w:val="20"/>
        </w:rPr>
      </w:pPr>
      <w:r w:rsidRPr="006A319D">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Pr="006A319D" w:rsidRDefault="00506D0F" w:rsidP="00AB0F66">
      <w:pPr>
        <w:spacing w:after="0" w:line="240" w:lineRule="auto"/>
        <w:jc w:val="center"/>
        <w:rPr>
          <w:rFonts w:ascii="Cambria" w:eastAsia="Calibri" w:hAnsi="Cambria" w:cs="Calibri"/>
          <w:b/>
          <w:bCs/>
          <w:color w:val="000000" w:themeColor="text1"/>
          <w:sz w:val="20"/>
          <w:szCs w:val="20"/>
        </w:rPr>
      </w:pPr>
    </w:p>
    <w:p w14:paraId="1F380BBE" w14:textId="77777777" w:rsidR="00A3320B" w:rsidRPr="006A319D" w:rsidRDefault="00A3320B" w:rsidP="00A3320B">
      <w:pPr>
        <w:widowControl w:val="0"/>
        <w:spacing w:after="0" w:line="240" w:lineRule="auto"/>
        <w:jc w:val="center"/>
        <w:rPr>
          <w:rFonts w:ascii="Cambria" w:eastAsia="Cambria" w:hAnsi="Cambria" w:cs="Cambria"/>
          <w:i/>
          <w:kern w:val="0"/>
          <w:sz w:val="20"/>
          <w:szCs w:val="20"/>
          <w14:ligatures w14:val="none"/>
        </w:rPr>
      </w:pPr>
      <w:r w:rsidRPr="006A319D">
        <w:rPr>
          <w:rFonts w:ascii="Cambria" w:hAnsi="Cambria"/>
          <w:i/>
          <w:sz w:val="20"/>
        </w:rPr>
        <w:t>(Document soumis par le Royaume-Uni, le Brésil, le Maroc, l’Afrique du Sud et le Canada)</w:t>
      </w:r>
    </w:p>
    <w:p w14:paraId="04EA5E99" w14:textId="77777777" w:rsidR="00C47F31" w:rsidRPr="006A319D" w:rsidRDefault="00C47F31" w:rsidP="00AB0F66">
      <w:pPr>
        <w:spacing w:after="0" w:line="240" w:lineRule="auto"/>
        <w:jc w:val="center"/>
        <w:rPr>
          <w:rFonts w:ascii="Cambria" w:eastAsia="Aptos" w:hAnsi="Cambria" w:cs="Aptos"/>
          <w:sz w:val="20"/>
          <w:szCs w:val="20"/>
        </w:rPr>
      </w:pPr>
    </w:p>
    <w:p w14:paraId="62158990" w14:textId="50284BB5" w:rsidR="125F9628" w:rsidRPr="006A319D" w:rsidRDefault="4DF291B1" w:rsidP="002E75AE">
      <w:pPr>
        <w:tabs>
          <w:tab w:val="left" w:pos="426"/>
        </w:tabs>
        <w:spacing w:after="0" w:line="240" w:lineRule="auto"/>
        <w:ind w:firstLine="426"/>
        <w:jc w:val="both"/>
        <w:rPr>
          <w:rFonts w:ascii="Cambria" w:eastAsia="Cambria" w:hAnsi="Cambria" w:cs="Cambria"/>
          <w:sz w:val="20"/>
          <w:szCs w:val="20"/>
        </w:rPr>
      </w:pPr>
      <w:r w:rsidRPr="006A319D">
        <w:rPr>
          <w:rFonts w:ascii="Cambria" w:hAnsi="Cambria"/>
          <w:i/>
          <w:sz w:val="20"/>
        </w:rPr>
        <w:t>NOTANT</w:t>
      </w:r>
      <w:r w:rsidRPr="006A319D">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Pr="006A319D" w:rsidRDefault="002E75AE" w:rsidP="002E75AE">
      <w:pPr>
        <w:spacing w:after="0" w:line="240" w:lineRule="auto"/>
        <w:jc w:val="both"/>
        <w:rPr>
          <w:rFonts w:ascii="Cambria" w:eastAsia="Cambria" w:hAnsi="Cambria" w:cs="Cambria"/>
          <w:i/>
          <w:sz w:val="20"/>
          <w:szCs w:val="20"/>
        </w:rPr>
      </w:pPr>
    </w:p>
    <w:p w14:paraId="176A75AD" w14:textId="6A87F307" w:rsidR="00445693" w:rsidRPr="006A319D" w:rsidRDefault="4661D84C" w:rsidP="002E75AE">
      <w:pPr>
        <w:tabs>
          <w:tab w:val="left" w:pos="426"/>
        </w:tabs>
        <w:spacing w:after="0" w:line="240" w:lineRule="auto"/>
        <w:ind w:firstLine="426"/>
        <w:jc w:val="both"/>
        <w:rPr>
          <w:rFonts w:ascii="Cambria" w:eastAsia="Cambria" w:hAnsi="Cambria" w:cs="Cambria"/>
          <w:sz w:val="20"/>
          <w:szCs w:val="20"/>
        </w:rPr>
      </w:pPr>
      <w:r w:rsidRPr="006A319D">
        <w:rPr>
          <w:rFonts w:ascii="Cambria" w:hAnsi="Cambria"/>
          <w:i/>
          <w:iCs/>
          <w:sz w:val="20"/>
        </w:rPr>
        <w:t>CONSIDÉRANT</w:t>
      </w:r>
      <w:r w:rsidRPr="006A319D">
        <w:rPr>
          <w:rFonts w:ascii="Cambria" w:hAnsi="Cambria"/>
          <w:sz w:val="20"/>
        </w:rPr>
        <w:t xml:space="preserve"> que le requin pèlerin (</w:t>
      </w:r>
      <w:r w:rsidRPr="006A319D">
        <w:rPr>
          <w:rFonts w:ascii="Cambria" w:hAnsi="Cambria"/>
          <w:i/>
          <w:iCs/>
          <w:sz w:val="20"/>
        </w:rPr>
        <w:t>Cetorhinus maximus</w:t>
      </w:r>
      <w:r w:rsidRPr="006A319D">
        <w:rPr>
          <w:rFonts w:ascii="Cambria" w:hAnsi="Cambria"/>
          <w:sz w:val="20"/>
        </w:rPr>
        <w:t xml:space="preserve">) et le grand requin blanc </w:t>
      </w:r>
      <w:r w:rsidRPr="006A319D">
        <w:rPr>
          <w:rFonts w:ascii="Cambria" w:hAnsi="Cambria"/>
          <w:i/>
          <w:iCs/>
          <w:sz w:val="20"/>
        </w:rPr>
        <w:t>(Carcharodon carcharias</w:t>
      </w:r>
      <w:r w:rsidRPr="006A319D">
        <w:rPr>
          <w:rFonts w:ascii="Cambria" w:hAnsi="Cambria"/>
          <w:sz w:val="20"/>
        </w:rPr>
        <w:t>) sont capturés en association avec les pêcheries relevant de l'ICCAT</w:t>
      </w:r>
      <w:r w:rsidR="00900D07" w:rsidRPr="006A319D">
        <w:rPr>
          <w:rFonts w:ascii="Cambria" w:hAnsi="Cambria"/>
          <w:sz w:val="20"/>
        </w:rPr>
        <w:t> ;</w:t>
      </w:r>
    </w:p>
    <w:p w14:paraId="7DBB51AE" w14:textId="77777777" w:rsidR="002E75AE" w:rsidRPr="006A319D" w:rsidRDefault="002E75AE" w:rsidP="002E75AE">
      <w:pPr>
        <w:spacing w:after="0" w:line="240" w:lineRule="auto"/>
        <w:jc w:val="both"/>
        <w:rPr>
          <w:rFonts w:ascii="Cambria" w:eastAsia="Cambria" w:hAnsi="Cambria" w:cs="Cambria"/>
          <w:i/>
          <w:sz w:val="20"/>
          <w:szCs w:val="20"/>
        </w:rPr>
      </w:pPr>
    </w:p>
    <w:p w14:paraId="20BF44C8" w14:textId="2224ED96" w:rsidR="0F815F8B" w:rsidRPr="006A319D" w:rsidRDefault="0F815F8B" w:rsidP="002E75AE">
      <w:pPr>
        <w:tabs>
          <w:tab w:val="left" w:pos="426"/>
        </w:tabs>
        <w:spacing w:after="0" w:line="240" w:lineRule="auto"/>
        <w:ind w:firstLine="426"/>
        <w:jc w:val="both"/>
        <w:rPr>
          <w:rFonts w:ascii="Cambria" w:eastAsia="Cambria" w:hAnsi="Cambria" w:cs="Cambria"/>
          <w:sz w:val="20"/>
          <w:szCs w:val="20"/>
        </w:rPr>
      </w:pPr>
      <w:r w:rsidRPr="006A319D">
        <w:rPr>
          <w:rFonts w:ascii="Cambria" w:hAnsi="Cambria"/>
          <w:i/>
          <w:sz w:val="20"/>
        </w:rPr>
        <w:t xml:space="preserve">NOTANT </w:t>
      </w:r>
      <w:r w:rsidRPr="006A319D">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Pr="006A319D" w:rsidRDefault="002E75AE" w:rsidP="002E75AE">
      <w:pPr>
        <w:spacing w:after="0" w:line="240" w:lineRule="auto"/>
        <w:jc w:val="both"/>
        <w:rPr>
          <w:rFonts w:ascii="Cambria" w:eastAsia="Cambria" w:hAnsi="Cambria" w:cs="Cambria"/>
          <w:i/>
          <w:iCs/>
          <w:color w:val="000000" w:themeColor="text1"/>
          <w:sz w:val="20"/>
          <w:szCs w:val="20"/>
        </w:rPr>
      </w:pPr>
    </w:p>
    <w:p w14:paraId="6950E8C4" w14:textId="74D6786B" w:rsidR="003E3991" w:rsidRPr="006A319D" w:rsidRDefault="003E3991" w:rsidP="002E75AE">
      <w:pPr>
        <w:tabs>
          <w:tab w:val="left" w:pos="426"/>
        </w:tabs>
        <w:spacing w:after="0" w:line="240" w:lineRule="auto"/>
        <w:ind w:firstLine="426"/>
        <w:jc w:val="both"/>
        <w:rPr>
          <w:rFonts w:ascii="Cambria" w:eastAsia="Cambria" w:hAnsi="Cambria" w:cs="Cambria"/>
          <w:sz w:val="20"/>
          <w:szCs w:val="20"/>
        </w:rPr>
      </w:pPr>
      <w:r w:rsidRPr="006A319D">
        <w:rPr>
          <w:rFonts w:ascii="Cambria" w:hAnsi="Cambria"/>
          <w:i/>
          <w:sz w:val="20"/>
        </w:rPr>
        <w:t xml:space="preserve">RECONNAISSANT </w:t>
      </w:r>
      <w:r w:rsidRPr="006A319D">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Pr="006A319D"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6A319D" w:rsidRDefault="0BFBCD00" w:rsidP="002E75AE">
      <w:pPr>
        <w:tabs>
          <w:tab w:val="left" w:pos="426"/>
        </w:tabs>
        <w:spacing w:after="0" w:line="240" w:lineRule="auto"/>
        <w:ind w:firstLine="426"/>
        <w:jc w:val="both"/>
        <w:rPr>
          <w:rFonts w:ascii="Cambria" w:hAnsi="Cambria"/>
          <w:sz w:val="20"/>
          <w:szCs w:val="20"/>
        </w:rPr>
      </w:pPr>
      <w:r w:rsidRPr="006A319D">
        <w:rPr>
          <w:rFonts w:ascii="Cambria" w:hAnsi="Cambria"/>
          <w:i/>
          <w:iCs/>
          <w:sz w:val="20"/>
        </w:rPr>
        <w:t>NOTANT</w:t>
      </w:r>
      <w:r w:rsidRPr="006A319D">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Pr="006A319D" w:rsidRDefault="002E75AE" w:rsidP="002E75AE">
      <w:pPr>
        <w:spacing w:after="0" w:line="240" w:lineRule="auto"/>
        <w:jc w:val="both"/>
        <w:rPr>
          <w:rFonts w:ascii="Cambria" w:eastAsia="Cambria" w:hAnsi="Cambria" w:cs="Cambria"/>
          <w:i/>
          <w:sz w:val="20"/>
          <w:szCs w:val="20"/>
        </w:rPr>
      </w:pPr>
    </w:p>
    <w:p w14:paraId="5CCBADB5" w14:textId="4BA521A0" w:rsidR="01DD3118" w:rsidRPr="006A319D" w:rsidRDefault="0BFBCD00" w:rsidP="002E75AE">
      <w:pPr>
        <w:tabs>
          <w:tab w:val="left" w:pos="426"/>
        </w:tabs>
        <w:spacing w:after="0" w:line="240" w:lineRule="auto"/>
        <w:ind w:firstLine="426"/>
        <w:jc w:val="both"/>
        <w:rPr>
          <w:rFonts w:ascii="Cambria" w:eastAsia="Cambria" w:hAnsi="Cambria" w:cs="Cambria"/>
          <w:sz w:val="20"/>
          <w:szCs w:val="20"/>
        </w:rPr>
      </w:pPr>
      <w:r w:rsidRPr="006A319D">
        <w:rPr>
          <w:rFonts w:ascii="Cambria" w:hAnsi="Cambria"/>
          <w:i/>
          <w:sz w:val="20"/>
        </w:rPr>
        <w:t xml:space="preserve">RECONNAISSANT </w:t>
      </w:r>
      <w:r w:rsidRPr="006A319D">
        <w:rPr>
          <w:rFonts w:ascii="Cambria" w:hAnsi="Cambria"/>
          <w:sz w:val="20"/>
        </w:rPr>
        <w:t>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mobulidées (</w:t>
      </w:r>
      <w:r w:rsidRPr="006A319D">
        <w:rPr>
          <w:rFonts w:ascii="Cambria" w:hAnsi="Cambria"/>
          <w:i/>
          <w:iCs/>
          <w:sz w:val="20"/>
        </w:rPr>
        <w:t xml:space="preserve">Recommandation de l’ICCAT remplaçant la Recommandation 23-14 sur les raies mobulidées (famille </w:t>
      </w:r>
      <w:r w:rsidRPr="006A319D">
        <w:rPr>
          <w:rFonts w:ascii="Cambria" w:hAnsi="Cambria"/>
          <w:sz w:val="20"/>
        </w:rPr>
        <w:t>Mobulidae</w:t>
      </w:r>
      <w:r w:rsidRPr="006A319D">
        <w:rPr>
          <w:rFonts w:ascii="Cambria" w:hAnsi="Cambria"/>
          <w:i/>
          <w:iCs/>
          <w:sz w:val="20"/>
        </w:rPr>
        <w:t>) capturées en association avec les pêcheries de l’ICCAT</w:t>
      </w:r>
      <w:r w:rsidRPr="006A319D">
        <w:rPr>
          <w:rFonts w:ascii="Cambria" w:hAnsi="Cambria"/>
          <w:sz w:val="20"/>
        </w:rPr>
        <w:t xml:space="preserve"> (Rec. 24-12)) et le requin-baleine (</w:t>
      </w:r>
      <w:r w:rsidRPr="006A319D">
        <w:rPr>
          <w:rFonts w:ascii="Cambria" w:hAnsi="Cambria"/>
          <w:i/>
          <w:iCs/>
          <w:sz w:val="20"/>
        </w:rPr>
        <w:t>Recommandation de l’ICCAT pour la conservation des requins-baleines (</w:t>
      </w:r>
      <w:r w:rsidRPr="006A319D">
        <w:rPr>
          <w:rFonts w:ascii="Cambria" w:hAnsi="Cambria"/>
          <w:sz w:val="20"/>
        </w:rPr>
        <w:t>Rhincodon typus</w:t>
      </w:r>
      <w:r w:rsidRPr="006A319D">
        <w:rPr>
          <w:rFonts w:ascii="Cambria" w:hAnsi="Cambria"/>
          <w:i/>
          <w:iCs/>
          <w:sz w:val="20"/>
        </w:rPr>
        <w:t>) capturés en association avec les pêcheries de l’ICCAT</w:t>
      </w:r>
      <w:r w:rsidRPr="006A319D">
        <w:rPr>
          <w:rFonts w:ascii="Cambria" w:hAnsi="Cambria"/>
          <w:sz w:val="20"/>
        </w:rPr>
        <w:t xml:space="preserve"> (Rec. 23-12)) devraient être envisagées »</w:t>
      </w:r>
      <w:r w:rsidR="0029028B" w:rsidRPr="006A319D">
        <w:rPr>
          <w:rFonts w:ascii="Cambria" w:hAnsi="Cambria"/>
          <w:sz w:val="20"/>
        </w:rPr>
        <w:t> ;</w:t>
      </w:r>
    </w:p>
    <w:p w14:paraId="2B5224F7" w14:textId="77777777" w:rsidR="0034484E" w:rsidRPr="006A319D"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6A319D"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6A319D" w:rsidRDefault="33F1BC33" w:rsidP="002E75AE">
      <w:pPr>
        <w:spacing w:after="0" w:line="240" w:lineRule="auto"/>
        <w:jc w:val="center"/>
        <w:rPr>
          <w:rFonts w:ascii="Cambria" w:eastAsia="Cambria" w:hAnsi="Cambria" w:cs="Cambria"/>
          <w:color w:val="000000" w:themeColor="text1"/>
          <w:sz w:val="20"/>
          <w:szCs w:val="20"/>
        </w:rPr>
      </w:pPr>
      <w:r w:rsidRPr="006A319D">
        <w:rPr>
          <w:rFonts w:ascii="Cambria" w:hAnsi="Cambria"/>
          <w:color w:val="000000" w:themeColor="text1"/>
          <w:sz w:val="20"/>
        </w:rPr>
        <w:t xml:space="preserve">LA COMMISSION INTERNATIONALE POUR LA CONSERVATION </w:t>
      </w:r>
    </w:p>
    <w:p w14:paraId="2674574C" w14:textId="0EA0D5DC" w:rsidR="3CF73AD2" w:rsidRPr="006A319D" w:rsidRDefault="33F1BC33" w:rsidP="00D16C64">
      <w:pPr>
        <w:spacing w:after="0" w:line="240" w:lineRule="auto"/>
        <w:jc w:val="center"/>
        <w:rPr>
          <w:rFonts w:ascii="Cambria" w:eastAsia="Cambria" w:hAnsi="Cambria" w:cs="Cambria"/>
          <w:color w:val="000000" w:themeColor="text1"/>
          <w:sz w:val="20"/>
          <w:szCs w:val="20"/>
        </w:rPr>
      </w:pPr>
      <w:r w:rsidRPr="006A319D">
        <w:rPr>
          <w:rFonts w:ascii="Cambria" w:hAnsi="Cambria"/>
          <w:color w:val="000000" w:themeColor="text1"/>
          <w:sz w:val="20"/>
        </w:rPr>
        <w:t>DES THONIDÉS DE L’ATLANTIQUE (ICCAT) RECOMMANDE CE QUI SUIT</w:t>
      </w:r>
      <w:r w:rsidR="0029028B" w:rsidRPr="006A319D">
        <w:rPr>
          <w:rFonts w:ascii="Cambria" w:hAnsi="Cambria"/>
          <w:color w:val="000000" w:themeColor="text1"/>
          <w:sz w:val="20"/>
        </w:rPr>
        <w:t> :</w:t>
      </w:r>
    </w:p>
    <w:p w14:paraId="6462E29D" w14:textId="77777777" w:rsidR="002E75AE" w:rsidRPr="006A319D" w:rsidRDefault="002E75AE" w:rsidP="00D16C64">
      <w:pPr>
        <w:spacing w:after="0" w:line="240" w:lineRule="auto"/>
        <w:jc w:val="center"/>
        <w:rPr>
          <w:rFonts w:ascii="Cambria" w:eastAsia="Cambria" w:hAnsi="Cambria" w:cs="Cambria"/>
          <w:sz w:val="20"/>
          <w:szCs w:val="20"/>
        </w:rPr>
      </w:pPr>
    </w:p>
    <w:p w14:paraId="69BF567A" w14:textId="2114CC6C" w:rsidR="004D658D" w:rsidRPr="00A65C63" w:rsidRDefault="004D658D" w:rsidP="00D16C64">
      <w:pPr>
        <w:pStyle w:val="ListParagraph"/>
        <w:numPr>
          <w:ilvl w:val="0"/>
          <w:numId w:val="1"/>
        </w:numPr>
        <w:spacing w:after="0" w:line="240" w:lineRule="auto"/>
        <w:ind w:left="426" w:hanging="426"/>
        <w:contextualSpacing w:val="0"/>
        <w:jc w:val="both"/>
        <w:rPr>
          <w:rFonts w:ascii="Cambria" w:eastAsia="Cambria" w:hAnsi="Cambria" w:cs="Cambria"/>
          <w:sz w:val="20"/>
          <w:szCs w:val="20"/>
          <w:highlight w:val="lightGray"/>
        </w:rPr>
      </w:pPr>
      <w:r w:rsidRPr="00A65C63">
        <w:rPr>
          <w:rFonts w:ascii="Cambria" w:hAnsi="Cambria"/>
          <w:sz w:val="20"/>
          <w:szCs w:val="20"/>
          <w:highlight w:val="lightGray"/>
        </w:rPr>
        <w:t xml:space="preserve">Les Parties contractantes et Parties, Entités ou Entités de pêche non contractantes coopérantes (ci-après dénommées « CPC ») devront interdire </w:t>
      </w:r>
      <w:r w:rsidRPr="00A65C63">
        <w:rPr>
          <w:rFonts w:ascii="Cambria" w:hAnsi="Cambria"/>
          <w:sz w:val="20"/>
          <w:szCs w:val="20"/>
          <w:highlight w:val="lightGray"/>
          <w:u w:val="single"/>
        </w:rPr>
        <w:t>a</w:t>
      </w:r>
      <w:r w:rsidRPr="00A65C63">
        <w:rPr>
          <w:rFonts w:ascii="Cambria" w:hAnsi="Cambria"/>
          <w:sz w:val="20"/>
          <w:szCs w:val="20"/>
          <w:highlight w:val="lightGray"/>
        </w:rPr>
        <w:t>ux navires battant leur pavillon d</w:t>
      </w:r>
      <w:r w:rsidRPr="00A65C63">
        <w:rPr>
          <w:rFonts w:ascii="Cambria" w:hAnsi="Cambria"/>
          <w:sz w:val="20"/>
          <w:szCs w:val="20"/>
          <w:highlight w:val="lightGray"/>
          <w:u w:val="single"/>
        </w:rPr>
        <w:t>e</w:t>
      </w:r>
      <w:r w:rsidRPr="00A65C63">
        <w:rPr>
          <w:rFonts w:ascii="Cambria" w:hAnsi="Cambria"/>
          <w:sz w:val="20"/>
          <w:szCs w:val="20"/>
          <w:highlight w:val="lightGray"/>
        </w:rPr>
        <w:t xml:space="preserve"> retenir à bord, de transborder, </w:t>
      </w:r>
      <w:r w:rsidRPr="00A65C63">
        <w:rPr>
          <w:rFonts w:ascii="Cambria" w:hAnsi="Cambria"/>
          <w:sz w:val="20"/>
          <w:szCs w:val="20"/>
          <w:highlight w:val="lightGray"/>
          <w:u w:val="single"/>
        </w:rPr>
        <w:t xml:space="preserve">ou </w:t>
      </w:r>
      <w:r w:rsidRPr="00A65C63">
        <w:rPr>
          <w:rFonts w:ascii="Cambria" w:hAnsi="Cambria"/>
          <w:sz w:val="20"/>
          <w:szCs w:val="20"/>
          <w:highlight w:val="lightGray"/>
        </w:rPr>
        <w:t>de débarque</w:t>
      </w:r>
      <w:r w:rsidRPr="00A65C63">
        <w:rPr>
          <w:rFonts w:ascii="Cambria" w:hAnsi="Cambria"/>
          <w:sz w:val="20"/>
          <w:szCs w:val="20"/>
          <w:highlight w:val="lightGray"/>
          <w:u w:val="single"/>
        </w:rPr>
        <w:t>r</w:t>
      </w:r>
      <w:r w:rsidR="00A65C63" w:rsidRPr="00A65C63">
        <w:rPr>
          <w:rFonts w:ascii="Cambria" w:hAnsi="Cambria"/>
          <w:sz w:val="20"/>
          <w:szCs w:val="20"/>
          <w:highlight w:val="lightGray"/>
          <w:u w:val="single"/>
        </w:rPr>
        <w:t xml:space="preserve"> </w:t>
      </w:r>
      <w:r w:rsidRPr="00A65C63">
        <w:rPr>
          <w:rFonts w:ascii="Cambria" w:hAnsi="Cambria"/>
          <w:sz w:val="20"/>
          <w:szCs w:val="20"/>
          <w:highlight w:val="lightGray"/>
          <w:u w:val="single"/>
        </w:rPr>
        <w:t>un</w:t>
      </w:r>
      <w:r w:rsidRPr="00A65C63">
        <w:rPr>
          <w:rFonts w:ascii="Cambria" w:hAnsi="Cambria"/>
          <w:sz w:val="20"/>
          <w:szCs w:val="20"/>
          <w:highlight w:val="lightGray"/>
        </w:rPr>
        <w:t>e partie ou la totalité de la carcasse des requins pèlerins (</w:t>
      </w:r>
      <w:r w:rsidRPr="00A65C63">
        <w:rPr>
          <w:rFonts w:ascii="Cambria" w:hAnsi="Cambria"/>
          <w:i/>
          <w:iCs/>
          <w:sz w:val="20"/>
          <w:szCs w:val="20"/>
          <w:highlight w:val="lightGray"/>
        </w:rPr>
        <w:t>Cetorhinus maximus</w:t>
      </w:r>
      <w:r w:rsidRPr="00A65C63">
        <w:rPr>
          <w:rFonts w:ascii="Cambria" w:hAnsi="Cambria"/>
          <w:sz w:val="20"/>
          <w:szCs w:val="20"/>
          <w:highlight w:val="lightGray"/>
        </w:rPr>
        <w:t>) et des grands requins blancs (</w:t>
      </w:r>
      <w:r w:rsidRPr="00A65C63">
        <w:rPr>
          <w:rFonts w:ascii="Cambria" w:hAnsi="Cambria"/>
          <w:i/>
          <w:iCs/>
          <w:sz w:val="20"/>
          <w:szCs w:val="20"/>
          <w:highlight w:val="lightGray"/>
        </w:rPr>
        <w:t>Carcharodon carcharias</w:t>
      </w:r>
      <w:r w:rsidRPr="00A65C63">
        <w:rPr>
          <w:rFonts w:ascii="Cambria" w:hAnsi="Cambria"/>
          <w:sz w:val="20"/>
          <w:szCs w:val="20"/>
          <w:highlight w:val="lightGray"/>
        </w:rPr>
        <w:t xml:space="preserve">) capturés dans la zone de la Convention en association avec les pêcheries relevant de l'ICCAT. </w:t>
      </w:r>
    </w:p>
    <w:p w14:paraId="7D73D777" w14:textId="77777777" w:rsidR="002E75AE" w:rsidRPr="006A319D" w:rsidRDefault="002E75AE" w:rsidP="00D16C64">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Pr="006A319D" w:rsidRDefault="227051B1" w:rsidP="00D16C64">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6A319D">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6A319D" w:rsidRDefault="002E75AE" w:rsidP="002E75AE">
      <w:pPr>
        <w:pStyle w:val="ListParagraph"/>
        <w:ind w:left="426" w:hanging="426"/>
        <w:rPr>
          <w:rFonts w:ascii="Cambria" w:eastAsia="Cambria" w:hAnsi="Cambria" w:cs="Cambria"/>
          <w:sz w:val="20"/>
          <w:szCs w:val="20"/>
        </w:rPr>
      </w:pPr>
    </w:p>
    <w:p w14:paraId="165E60CE" w14:textId="207D989C" w:rsidR="00B423AA" w:rsidRPr="006A319D"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6A319D">
        <w:rPr>
          <w:rFonts w:ascii="Cambria" w:hAnsi="Cambria"/>
          <w:sz w:val="20"/>
        </w:rPr>
        <w:t xml:space="preserve">Conformément aux exigences de la </w:t>
      </w:r>
      <w:r w:rsidRPr="006A319D">
        <w:rPr>
          <w:rFonts w:ascii="Cambria" w:hAnsi="Cambria"/>
          <w:i/>
          <w:sz w:val="20"/>
        </w:rPr>
        <w:t>Recommandation de l’ICCAT visant à établir des normes minimales pour les programmes d’observateurs scientifiques à bord de navires de pêche</w:t>
      </w:r>
      <w:r w:rsidRPr="006A319D">
        <w:rPr>
          <w:rFonts w:ascii="Cambria" w:hAnsi="Cambria"/>
          <w:sz w:val="20"/>
        </w:rPr>
        <w:t xml:space="preserve"> (Rec. 16-14), les CPC devront enregistrer, par le biais de leurs programmes d'observateurs nationaux, le nombre de rejets et </w:t>
      </w:r>
      <w:r w:rsidRPr="006A319D">
        <w:rPr>
          <w:rFonts w:ascii="Cambria" w:hAnsi="Cambria"/>
          <w:sz w:val="20"/>
        </w:rPr>
        <w:lastRenderedPageBreak/>
        <w:t xml:space="preserve">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6A319D"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6A319D"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6A319D">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6A319D"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6A319D"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6A319D">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6A319D" w:rsidRDefault="002E75AE" w:rsidP="002E75AE">
      <w:pPr>
        <w:pStyle w:val="ListParagraph"/>
        <w:rPr>
          <w:rFonts w:ascii="Cambria" w:eastAsia="Cambria" w:hAnsi="Cambria" w:cs="Cambria"/>
          <w:sz w:val="20"/>
          <w:szCs w:val="20"/>
        </w:rPr>
      </w:pPr>
    </w:p>
    <w:p w14:paraId="1B511C60" w14:textId="6BDE1238" w:rsidR="0020375A" w:rsidRPr="006A319D" w:rsidRDefault="00D46D71" w:rsidP="002E75AE">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rPr>
      </w:pPr>
      <w:r w:rsidRPr="006A319D">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351C4AB9" w14:textId="77777777" w:rsidR="001B73FC" w:rsidRPr="006A319D" w:rsidRDefault="001B73FC" w:rsidP="001B73FC">
      <w:pPr>
        <w:pStyle w:val="ListParagraph"/>
        <w:rPr>
          <w:rFonts w:ascii="Cambria" w:eastAsia="Cambria" w:hAnsi="Cambria" w:cs="Cambria"/>
          <w:sz w:val="20"/>
          <w:szCs w:val="20"/>
        </w:rPr>
      </w:pPr>
    </w:p>
    <w:p w14:paraId="489C857A" w14:textId="307C36B8" w:rsidR="00E70DF0" w:rsidRPr="00E70DF0" w:rsidRDefault="00AB1BA8" w:rsidP="00E70DF0">
      <w:pPr>
        <w:pStyle w:val="ListParagraph"/>
        <w:numPr>
          <w:ilvl w:val="0"/>
          <w:numId w:val="1"/>
        </w:numPr>
        <w:spacing w:after="0" w:line="240" w:lineRule="auto"/>
        <w:ind w:left="426" w:hanging="426"/>
        <w:contextualSpacing w:val="0"/>
        <w:jc w:val="both"/>
        <w:rPr>
          <w:rFonts w:ascii="Cambria" w:hAnsi="Cambria"/>
          <w:sz w:val="20"/>
          <w:szCs w:val="20"/>
          <w:u w:val="single"/>
        </w:rPr>
      </w:pPr>
      <w:r w:rsidRPr="00E70DF0">
        <w:rPr>
          <w:rFonts w:ascii="Cambria" w:hAnsi="Cambria"/>
          <w:sz w:val="20"/>
          <w:szCs w:val="20"/>
          <w:u w:val="single"/>
        </w:rPr>
        <w:t>Nonobstant les dispositions du paragraphe 6, l</w:t>
      </w:r>
      <w:r w:rsidR="001B73FC" w:rsidRPr="00E70DF0">
        <w:rPr>
          <w:rFonts w:ascii="Cambria" w:hAnsi="Cambria"/>
          <w:sz w:val="20"/>
          <w:szCs w:val="20"/>
          <w:u w:val="single"/>
        </w:rPr>
        <w:t>e</w:t>
      </w:r>
      <w:r w:rsidR="001B73FC" w:rsidRPr="00E70DF0">
        <w:rPr>
          <w:rFonts w:ascii="Cambria" w:hAnsi="Cambria"/>
          <w:sz w:val="20"/>
          <w:szCs w:val="20"/>
        </w:rPr>
        <w:t xml:space="preserve"> </w:t>
      </w:r>
      <w:r w:rsidR="001B73FC" w:rsidRPr="00E70DF0">
        <w:rPr>
          <w:rStyle w:val="normaltextrun"/>
          <w:rFonts w:ascii="Cambria" w:hAnsi="Cambria"/>
          <w:sz w:val="20"/>
          <w:szCs w:val="20"/>
        </w:rPr>
        <w:t>SCRS</w:t>
      </w:r>
      <w:r w:rsidR="001B73FC" w:rsidRPr="00E70DF0">
        <w:rPr>
          <w:rFonts w:ascii="Cambria" w:hAnsi="Cambria"/>
          <w:sz w:val="20"/>
          <w:szCs w:val="20"/>
        </w:rPr>
        <w:t xml:space="preserve"> </w:t>
      </w:r>
      <w:r w:rsidR="001B73FC" w:rsidRPr="00E70DF0">
        <w:rPr>
          <w:rFonts w:ascii="Cambria" w:hAnsi="Cambria"/>
          <w:sz w:val="20"/>
          <w:szCs w:val="20"/>
          <w:u w:val="single"/>
        </w:rPr>
        <w:t>devra</w:t>
      </w:r>
      <w:r w:rsidR="00096E88" w:rsidRPr="00E70DF0">
        <w:rPr>
          <w:rFonts w:ascii="Cambria" w:hAnsi="Cambria"/>
          <w:sz w:val="20"/>
          <w:szCs w:val="20"/>
          <w:u w:val="single"/>
        </w:rPr>
        <w:t>,</w:t>
      </w:r>
      <w:r w:rsidR="001B73FC" w:rsidRPr="00E70DF0">
        <w:rPr>
          <w:rFonts w:ascii="Cambria" w:hAnsi="Cambria"/>
          <w:sz w:val="20"/>
          <w:szCs w:val="20"/>
          <w:u w:val="single"/>
        </w:rPr>
        <w:t xml:space="preserve"> </w:t>
      </w:r>
      <w:r w:rsidR="00096E88" w:rsidRPr="00E70DF0">
        <w:rPr>
          <w:rFonts w:ascii="Cambria" w:hAnsi="Cambria"/>
          <w:sz w:val="20"/>
          <w:szCs w:val="20"/>
          <w:u w:val="single"/>
        </w:rPr>
        <w:t xml:space="preserve">en 2026 et </w:t>
      </w:r>
      <w:r w:rsidR="00096E88" w:rsidRPr="00CB5927">
        <w:rPr>
          <w:rFonts w:ascii="Cambria" w:hAnsi="Cambria"/>
          <w:sz w:val="20"/>
          <w:szCs w:val="20"/>
        </w:rPr>
        <w:t>périodiquement</w:t>
      </w:r>
      <w:r w:rsidR="00096E88" w:rsidRPr="00E70DF0">
        <w:rPr>
          <w:rFonts w:ascii="Cambria" w:hAnsi="Cambria"/>
          <w:sz w:val="20"/>
          <w:szCs w:val="20"/>
          <w:u w:val="single"/>
        </w:rPr>
        <w:t xml:space="preserve"> par la suite,</w:t>
      </w:r>
      <w:r w:rsidR="00096E88" w:rsidRPr="00E70DF0">
        <w:rPr>
          <w:rFonts w:ascii="Cambria" w:hAnsi="Cambria"/>
          <w:sz w:val="20"/>
          <w:szCs w:val="20"/>
        </w:rPr>
        <w:t xml:space="preserve"> formuler un avis sur </w:t>
      </w:r>
      <w:r w:rsidR="001B73FC" w:rsidRPr="00E70DF0">
        <w:rPr>
          <w:rFonts w:ascii="Cambria" w:hAnsi="Cambria"/>
          <w:sz w:val="20"/>
          <w:szCs w:val="20"/>
        </w:rPr>
        <w:t xml:space="preserve">l’aire de répartition géographique du requin pèlerin et du requin blanc. Les CPC dont les navires opèrent exclusivement en dehors de l’aire </w:t>
      </w:r>
      <w:r w:rsidR="00B41963" w:rsidRPr="00E70DF0">
        <w:rPr>
          <w:rFonts w:ascii="Cambria" w:hAnsi="Cambria"/>
          <w:sz w:val="20"/>
          <w:szCs w:val="20"/>
        </w:rPr>
        <w:t xml:space="preserve">de répartition </w:t>
      </w:r>
      <w:r w:rsidR="001B73FC" w:rsidRPr="00E70DF0">
        <w:rPr>
          <w:rFonts w:ascii="Cambria" w:hAnsi="Cambria"/>
          <w:sz w:val="20"/>
          <w:szCs w:val="20"/>
        </w:rPr>
        <w:t xml:space="preserve">géographique </w:t>
      </w:r>
      <w:r w:rsidR="00F40076">
        <w:rPr>
          <w:rFonts w:ascii="Cambria" w:hAnsi="Cambria"/>
          <w:sz w:val="20"/>
          <w:szCs w:val="20"/>
          <w:u w:val="single"/>
        </w:rPr>
        <w:t>faisant l’objet de l’</w:t>
      </w:r>
      <w:r w:rsidR="00A01E24" w:rsidRPr="00E70DF0">
        <w:rPr>
          <w:rFonts w:ascii="Cambria" w:hAnsi="Cambria"/>
          <w:sz w:val="20"/>
          <w:szCs w:val="20"/>
          <w:u w:val="single"/>
        </w:rPr>
        <w:t>avis</w:t>
      </w:r>
      <w:r w:rsidR="001B73FC" w:rsidRPr="00E70DF0">
        <w:rPr>
          <w:rFonts w:ascii="Cambria" w:hAnsi="Cambria"/>
          <w:sz w:val="20"/>
          <w:szCs w:val="20"/>
        </w:rPr>
        <w:t xml:space="preserve"> devront ensuite, sur décision de la Commission fondée sur l'avis du SCRS, être exemptées des mesures visées aux paragraphes 1,</w:t>
      </w:r>
      <w:r w:rsidR="00865E5C" w:rsidRPr="00E70DF0">
        <w:rPr>
          <w:rFonts w:ascii="Cambria" w:hAnsi="Cambria"/>
          <w:sz w:val="20"/>
          <w:szCs w:val="20"/>
        </w:rPr>
        <w:t xml:space="preserve"> </w:t>
      </w:r>
      <w:r w:rsidR="001B73FC" w:rsidRPr="00E70DF0">
        <w:rPr>
          <w:rFonts w:ascii="Cambria" w:hAnsi="Cambria"/>
          <w:sz w:val="20"/>
          <w:szCs w:val="20"/>
        </w:rPr>
        <w:t xml:space="preserve">2 et 3. L'analyse de l’exemption devrait être spécifique à chaque espèce, en tenant compte de l’aire de répartition </w:t>
      </w:r>
      <w:r w:rsidR="00D03551" w:rsidRPr="00E70DF0">
        <w:rPr>
          <w:rFonts w:ascii="Cambria" w:hAnsi="Cambria"/>
          <w:sz w:val="20"/>
          <w:szCs w:val="20"/>
        </w:rPr>
        <w:t xml:space="preserve">géographique </w:t>
      </w:r>
      <w:r w:rsidR="001B73FC" w:rsidRPr="00E70DF0">
        <w:rPr>
          <w:rFonts w:ascii="Cambria" w:hAnsi="Cambria"/>
          <w:sz w:val="20"/>
          <w:szCs w:val="20"/>
        </w:rPr>
        <w:t>des deux espèces.</w:t>
      </w:r>
      <w:r w:rsidR="00E70DF0" w:rsidRPr="00E70DF0">
        <w:rPr>
          <w:rFonts w:ascii="Cambria" w:hAnsi="Cambria"/>
          <w:sz w:val="20"/>
          <w:szCs w:val="20"/>
        </w:rPr>
        <w:t xml:space="preserve"> </w:t>
      </w:r>
      <w:r w:rsidR="00E70DF0" w:rsidRPr="00E70DF0">
        <w:rPr>
          <w:rFonts w:ascii="Cambria" w:hAnsi="Cambria"/>
          <w:sz w:val="20"/>
          <w:szCs w:val="20"/>
          <w:u w:val="single"/>
        </w:rPr>
        <w:t xml:space="preserve">Si le SCRS estime que cette </w:t>
      </w:r>
      <w:r w:rsidR="00E70DF0">
        <w:rPr>
          <w:rFonts w:ascii="Cambria" w:hAnsi="Cambria"/>
          <w:sz w:val="20"/>
          <w:szCs w:val="20"/>
          <w:u w:val="single"/>
        </w:rPr>
        <w:t>aire</w:t>
      </w:r>
      <w:r w:rsidR="00E70DF0" w:rsidRPr="00E70DF0">
        <w:rPr>
          <w:rFonts w:ascii="Cambria" w:hAnsi="Cambria"/>
          <w:sz w:val="20"/>
          <w:szCs w:val="20"/>
          <w:u w:val="single"/>
        </w:rPr>
        <w:t xml:space="preserve"> </w:t>
      </w:r>
      <w:r w:rsidR="00E71759">
        <w:rPr>
          <w:rFonts w:ascii="Cambria" w:hAnsi="Cambria"/>
          <w:sz w:val="20"/>
          <w:szCs w:val="20"/>
          <w:u w:val="single"/>
        </w:rPr>
        <w:t xml:space="preserve">de répartition </w:t>
      </w:r>
      <w:r w:rsidR="00E70DF0" w:rsidRPr="00E70DF0">
        <w:rPr>
          <w:rFonts w:ascii="Cambria" w:hAnsi="Cambria"/>
          <w:sz w:val="20"/>
          <w:szCs w:val="20"/>
          <w:u w:val="single"/>
        </w:rPr>
        <w:t xml:space="preserve">géographique n'est pas </w:t>
      </w:r>
      <w:r w:rsidR="002A460B">
        <w:rPr>
          <w:rFonts w:ascii="Cambria" w:hAnsi="Cambria"/>
          <w:sz w:val="20"/>
          <w:szCs w:val="20"/>
          <w:u w:val="single"/>
        </w:rPr>
        <w:t>correcte</w:t>
      </w:r>
      <w:r w:rsidR="00E70DF0" w:rsidRPr="00E70DF0">
        <w:rPr>
          <w:rFonts w:ascii="Cambria" w:hAnsi="Cambria"/>
          <w:sz w:val="20"/>
          <w:szCs w:val="20"/>
          <w:u w:val="single"/>
        </w:rPr>
        <w:t>, l'exemption ne s'appliquera pas.</w:t>
      </w:r>
    </w:p>
    <w:p w14:paraId="6CF3A4E1" w14:textId="37B970B0" w:rsidR="001B73FC" w:rsidRPr="006A319D" w:rsidRDefault="001B73FC" w:rsidP="00E70DF0">
      <w:pPr>
        <w:pStyle w:val="ListParagraph"/>
        <w:spacing w:after="0" w:line="240" w:lineRule="auto"/>
        <w:ind w:left="426"/>
        <w:contextualSpacing w:val="0"/>
        <w:jc w:val="both"/>
        <w:rPr>
          <w:rFonts w:ascii="Cambria" w:eastAsia="Yu Gothic Light" w:hAnsi="Cambria" w:cs="Segoe UI"/>
          <w:sz w:val="20"/>
          <w:szCs w:val="20"/>
        </w:rPr>
      </w:pPr>
    </w:p>
    <w:p w14:paraId="5A093C6E" w14:textId="77777777" w:rsidR="001B73FC" w:rsidRPr="006A319D" w:rsidRDefault="001B73FC" w:rsidP="001B73FC">
      <w:pPr>
        <w:jc w:val="both"/>
        <w:rPr>
          <w:sz w:val="20"/>
          <w:szCs w:val="20"/>
        </w:rPr>
      </w:pPr>
    </w:p>
    <w:p w14:paraId="79FE8AB5" w14:textId="77777777" w:rsidR="001B73FC" w:rsidRPr="006A319D" w:rsidRDefault="001B73FC" w:rsidP="001B73FC">
      <w:pPr>
        <w:pStyle w:val="ListParagraph"/>
        <w:spacing w:after="0" w:line="240" w:lineRule="auto"/>
        <w:ind w:left="426"/>
        <w:contextualSpacing w:val="0"/>
        <w:jc w:val="both"/>
        <w:rPr>
          <w:rFonts w:ascii="Cambria" w:eastAsia="Cambria" w:hAnsi="Cambria" w:cs="Cambria"/>
          <w:sz w:val="20"/>
          <w:szCs w:val="20"/>
        </w:rPr>
      </w:pPr>
    </w:p>
    <w:p w14:paraId="6858371B" w14:textId="0C7DC8A1" w:rsidR="007F68C4" w:rsidRPr="006A319D" w:rsidRDefault="007F68C4" w:rsidP="002E75AE">
      <w:pPr>
        <w:spacing w:after="0" w:line="240" w:lineRule="auto"/>
        <w:jc w:val="both"/>
        <w:rPr>
          <w:rFonts w:ascii="Cambria" w:eastAsia="Cambria" w:hAnsi="Cambria" w:cs="Cambria"/>
          <w:sz w:val="20"/>
          <w:szCs w:val="20"/>
        </w:rPr>
      </w:pPr>
    </w:p>
    <w:sectPr w:rsidR="007F68C4" w:rsidRPr="006A319D"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AC3C" w14:textId="77777777" w:rsidR="00591853" w:rsidRDefault="00591853" w:rsidP="00336692">
      <w:pPr>
        <w:spacing w:after="0" w:line="240" w:lineRule="auto"/>
      </w:pPr>
      <w:r>
        <w:separator/>
      </w:r>
    </w:p>
  </w:endnote>
  <w:endnote w:type="continuationSeparator" w:id="0">
    <w:p w14:paraId="775EB398" w14:textId="77777777" w:rsidR="00591853" w:rsidRDefault="00591853"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433F" w14:textId="77777777" w:rsidR="00591853" w:rsidRDefault="00591853" w:rsidP="00336692">
      <w:pPr>
        <w:spacing w:after="0" w:line="240" w:lineRule="auto"/>
      </w:pPr>
      <w:r>
        <w:separator/>
      </w:r>
    </w:p>
  </w:footnote>
  <w:footnote w:type="continuationSeparator" w:id="0">
    <w:p w14:paraId="4FD7B61D" w14:textId="77777777" w:rsidR="00591853" w:rsidRDefault="00591853"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79E3764F"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6A319D">
      <w:rPr>
        <w:rFonts w:ascii="Cambria" w:hAnsi="Cambria"/>
        <w:b/>
        <w:sz w:val="20"/>
      </w:rPr>
      <w:t>B</w:t>
    </w:r>
    <w:r>
      <w:rPr>
        <w:rFonts w:ascii="Cambria" w:hAnsi="Cambria"/>
        <w:b/>
        <w:sz w:val="20"/>
      </w:rPr>
      <w:t>/2025</w:t>
    </w:r>
  </w:p>
  <w:p w14:paraId="635ED5C4" w14:textId="62D4C111"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1D2C70">
      <w:rPr>
        <w:rFonts w:ascii="Cambria" w:eastAsia="Calibri" w:hAnsi="Cambria" w:cs="Times New Roman"/>
        <w:b/>
        <w:noProof/>
        <w:sz w:val="16"/>
      </w:rPr>
      <w:t>23/11/2025 14:58</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94748"/>
    <w:rsid w:val="00096E88"/>
    <w:rsid w:val="000A0C58"/>
    <w:rsid w:val="000B0D02"/>
    <w:rsid w:val="000B7DA0"/>
    <w:rsid w:val="000D62CB"/>
    <w:rsid w:val="000F5040"/>
    <w:rsid w:val="001046E7"/>
    <w:rsid w:val="00106593"/>
    <w:rsid w:val="00112714"/>
    <w:rsid w:val="0012000A"/>
    <w:rsid w:val="0013268C"/>
    <w:rsid w:val="0014254D"/>
    <w:rsid w:val="00144107"/>
    <w:rsid w:val="00144CCE"/>
    <w:rsid w:val="00153E8A"/>
    <w:rsid w:val="00156ED9"/>
    <w:rsid w:val="0015771F"/>
    <w:rsid w:val="00163F0C"/>
    <w:rsid w:val="001673FF"/>
    <w:rsid w:val="001A196E"/>
    <w:rsid w:val="001B0E71"/>
    <w:rsid w:val="001B73FC"/>
    <w:rsid w:val="001C453B"/>
    <w:rsid w:val="001D2C70"/>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A460B"/>
    <w:rsid w:val="002B18A9"/>
    <w:rsid w:val="002D1BB6"/>
    <w:rsid w:val="002E75AE"/>
    <w:rsid w:val="00300A97"/>
    <w:rsid w:val="00300F00"/>
    <w:rsid w:val="00312BA8"/>
    <w:rsid w:val="0032412F"/>
    <w:rsid w:val="00331597"/>
    <w:rsid w:val="003336E9"/>
    <w:rsid w:val="00336692"/>
    <w:rsid w:val="0034484E"/>
    <w:rsid w:val="0034579A"/>
    <w:rsid w:val="0035168C"/>
    <w:rsid w:val="003739FF"/>
    <w:rsid w:val="00380505"/>
    <w:rsid w:val="00394E0E"/>
    <w:rsid w:val="003A72AE"/>
    <w:rsid w:val="003B0044"/>
    <w:rsid w:val="003B3659"/>
    <w:rsid w:val="003B5BCD"/>
    <w:rsid w:val="003C3F39"/>
    <w:rsid w:val="003E3991"/>
    <w:rsid w:val="003E6B6F"/>
    <w:rsid w:val="004059AA"/>
    <w:rsid w:val="00406448"/>
    <w:rsid w:val="00424159"/>
    <w:rsid w:val="00442FD0"/>
    <w:rsid w:val="00445693"/>
    <w:rsid w:val="00446905"/>
    <w:rsid w:val="00460E97"/>
    <w:rsid w:val="0048221D"/>
    <w:rsid w:val="004B0ABA"/>
    <w:rsid w:val="004B6DC0"/>
    <w:rsid w:val="004D3F96"/>
    <w:rsid w:val="004D658D"/>
    <w:rsid w:val="004D6D89"/>
    <w:rsid w:val="004E0E2C"/>
    <w:rsid w:val="004F5FAB"/>
    <w:rsid w:val="00502DBD"/>
    <w:rsid w:val="00506D0F"/>
    <w:rsid w:val="0051110F"/>
    <w:rsid w:val="00517DB5"/>
    <w:rsid w:val="005243F7"/>
    <w:rsid w:val="00551570"/>
    <w:rsid w:val="005771DF"/>
    <w:rsid w:val="00580775"/>
    <w:rsid w:val="00580BA0"/>
    <w:rsid w:val="0058211A"/>
    <w:rsid w:val="00591853"/>
    <w:rsid w:val="00595060"/>
    <w:rsid w:val="005B0A86"/>
    <w:rsid w:val="005B647E"/>
    <w:rsid w:val="005B69F7"/>
    <w:rsid w:val="005C74DF"/>
    <w:rsid w:val="005D5583"/>
    <w:rsid w:val="005E1200"/>
    <w:rsid w:val="005E3145"/>
    <w:rsid w:val="005F1C13"/>
    <w:rsid w:val="006041AC"/>
    <w:rsid w:val="00613AEC"/>
    <w:rsid w:val="00617787"/>
    <w:rsid w:val="006203C2"/>
    <w:rsid w:val="006337F9"/>
    <w:rsid w:val="00652283"/>
    <w:rsid w:val="00653714"/>
    <w:rsid w:val="00664352"/>
    <w:rsid w:val="00693DC0"/>
    <w:rsid w:val="006A319D"/>
    <w:rsid w:val="006C102F"/>
    <w:rsid w:val="006D5D2D"/>
    <w:rsid w:val="006D6195"/>
    <w:rsid w:val="006E389F"/>
    <w:rsid w:val="00710DF7"/>
    <w:rsid w:val="00712EE1"/>
    <w:rsid w:val="0071703E"/>
    <w:rsid w:val="00723297"/>
    <w:rsid w:val="00725600"/>
    <w:rsid w:val="007564D8"/>
    <w:rsid w:val="007652B9"/>
    <w:rsid w:val="00767E6A"/>
    <w:rsid w:val="0077428A"/>
    <w:rsid w:val="007A6EC3"/>
    <w:rsid w:val="007C43EE"/>
    <w:rsid w:val="007D5D78"/>
    <w:rsid w:val="007D74FB"/>
    <w:rsid w:val="007E7495"/>
    <w:rsid w:val="007F02CB"/>
    <w:rsid w:val="007F527B"/>
    <w:rsid w:val="007F5903"/>
    <w:rsid w:val="007F68C4"/>
    <w:rsid w:val="008049B8"/>
    <w:rsid w:val="008416BA"/>
    <w:rsid w:val="0084539B"/>
    <w:rsid w:val="0086489B"/>
    <w:rsid w:val="00865E5C"/>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1E24"/>
    <w:rsid w:val="00A06660"/>
    <w:rsid w:val="00A074C9"/>
    <w:rsid w:val="00A3320B"/>
    <w:rsid w:val="00A50E10"/>
    <w:rsid w:val="00A5478A"/>
    <w:rsid w:val="00A54F15"/>
    <w:rsid w:val="00A624EA"/>
    <w:rsid w:val="00A65C63"/>
    <w:rsid w:val="00A70533"/>
    <w:rsid w:val="00A81E0D"/>
    <w:rsid w:val="00A848D8"/>
    <w:rsid w:val="00A92950"/>
    <w:rsid w:val="00A95661"/>
    <w:rsid w:val="00A95AAE"/>
    <w:rsid w:val="00A964E2"/>
    <w:rsid w:val="00AB0F66"/>
    <w:rsid w:val="00AB1BA8"/>
    <w:rsid w:val="00AB577D"/>
    <w:rsid w:val="00AC6D3F"/>
    <w:rsid w:val="00AC795C"/>
    <w:rsid w:val="00AD1B91"/>
    <w:rsid w:val="00AD2BB7"/>
    <w:rsid w:val="00AF14DE"/>
    <w:rsid w:val="00B11564"/>
    <w:rsid w:val="00B2417F"/>
    <w:rsid w:val="00B36796"/>
    <w:rsid w:val="00B41963"/>
    <w:rsid w:val="00B423AA"/>
    <w:rsid w:val="00B50E29"/>
    <w:rsid w:val="00B512DD"/>
    <w:rsid w:val="00B6370E"/>
    <w:rsid w:val="00B83D62"/>
    <w:rsid w:val="00B90DC7"/>
    <w:rsid w:val="00BB15FE"/>
    <w:rsid w:val="00BB5386"/>
    <w:rsid w:val="00BC1486"/>
    <w:rsid w:val="00BC1568"/>
    <w:rsid w:val="00BC16E3"/>
    <w:rsid w:val="00BD062B"/>
    <w:rsid w:val="00BD166B"/>
    <w:rsid w:val="00BD6C07"/>
    <w:rsid w:val="00BE3CB2"/>
    <w:rsid w:val="00BE4C66"/>
    <w:rsid w:val="00C029DE"/>
    <w:rsid w:val="00C20492"/>
    <w:rsid w:val="00C44349"/>
    <w:rsid w:val="00C4523A"/>
    <w:rsid w:val="00C46FD0"/>
    <w:rsid w:val="00C47F31"/>
    <w:rsid w:val="00C5670A"/>
    <w:rsid w:val="00C6526F"/>
    <w:rsid w:val="00C75C08"/>
    <w:rsid w:val="00C813FF"/>
    <w:rsid w:val="00CB5927"/>
    <w:rsid w:val="00CE748B"/>
    <w:rsid w:val="00D03551"/>
    <w:rsid w:val="00D03575"/>
    <w:rsid w:val="00D16C64"/>
    <w:rsid w:val="00D207EB"/>
    <w:rsid w:val="00D30AE4"/>
    <w:rsid w:val="00D32C30"/>
    <w:rsid w:val="00D3353A"/>
    <w:rsid w:val="00D4119A"/>
    <w:rsid w:val="00D420CB"/>
    <w:rsid w:val="00D45977"/>
    <w:rsid w:val="00D46D71"/>
    <w:rsid w:val="00D5119F"/>
    <w:rsid w:val="00D51644"/>
    <w:rsid w:val="00D716F5"/>
    <w:rsid w:val="00D95564"/>
    <w:rsid w:val="00DA2D74"/>
    <w:rsid w:val="00DF1FFC"/>
    <w:rsid w:val="00DF7264"/>
    <w:rsid w:val="00E02DB4"/>
    <w:rsid w:val="00E046D7"/>
    <w:rsid w:val="00E12EF1"/>
    <w:rsid w:val="00E27318"/>
    <w:rsid w:val="00E32D5F"/>
    <w:rsid w:val="00E508C6"/>
    <w:rsid w:val="00E65965"/>
    <w:rsid w:val="00E673E3"/>
    <w:rsid w:val="00E70995"/>
    <w:rsid w:val="00E70DF0"/>
    <w:rsid w:val="00E71759"/>
    <w:rsid w:val="00E76359"/>
    <w:rsid w:val="00E773AC"/>
    <w:rsid w:val="00E90582"/>
    <w:rsid w:val="00E933CE"/>
    <w:rsid w:val="00EA2058"/>
    <w:rsid w:val="00EA2E5D"/>
    <w:rsid w:val="00EB7030"/>
    <w:rsid w:val="00EF1C00"/>
    <w:rsid w:val="00F128D9"/>
    <w:rsid w:val="00F15C1A"/>
    <w:rsid w:val="00F23913"/>
    <w:rsid w:val="00F27271"/>
    <w:rsid w:val="00F36219"/>
    <w:rsid w:val="00F40076"/>
    <w:rsid w:val="00F66BA7"/>
    <w:rsid w:val="00F67BD2"/>
    <w:rsid w:val="00F858BF"/>
    <w:rsid w:val="00F954DF"/>
    <w:rsid w:val="00F96574"/>
    <w:rsid w:val="00FA6D19"/>
    <w:rsid w:val="00FB07E4"/>
    <w:rsid w:val="00FD20DA"/>
    <w:rsid w:val="00FD4ABF"/>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71EE"/>
  <w15:chartTrackingRefBased/>
  <w15:docId w15:val="{5098070D-1C59-4B9F-9572-D43F0FD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Christine Peyre</cp:lastModifiedBy>
  <cp:revision>15</cp:revision>
  <dcterms:created xsi:type="dcterms:W3CDTF">2025-11-23T13:58:00Z</dcterms:created>
  <dcterms:modified xsi:type="dcterms:W3CDTF">2025-11-23T14:19:00Z</dcterms:modified>
</cp:coreProperties>
</file>