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6BBF" w14:textId="77777777" w:rsidR="00C9211E" w:rsidRPr="00644DD7" w:rsidRDefault="00644DD7" w:rsidP="00644DD7">
      <w:pPr>
        <w:pStyle w:val="Standard"/>
        <w:widowControl/>
        <w:shd w:val="clear" w:color="auto" w:fill="FFFFFF"/>
        <w:spacing w:after="0" w:line="240" w:lineRule="auto"/>
        <w:jc w:val="right"/>
        <w:rPr>
          <w:rFonts w:ascii="Cambria" w:eastAsia="Times New Roman" w:hAnsi="Cambria" w:cs="Times New Roman"/>
          <w:b/>
          <w:color w:val="000000"/>
          <w:sz w:val="20"/>
          <w:szCs w:val="20"/>
        </w:rPr>
      </w:pPr>
      <w:r>
        <w:rPr>
          <w:rFonts w:ascii="Cambria" w:hAnsi="Cambria"/>
          <w:b/>
          <w:color w:val="000000"/>
          <w:sz w:val="20"/>
          <w:szCs w:val="20"/>
        </w:rPr>
        <w:t>Original : espagnol</w:t>
      </w:r>
    </w:p>
    <w:p w14:paraId="062F55B5" w14:textId="77777777" w:rsidR="00644DD7" w:rsidRDefault="00644DD7" w:rsidP="00644DD7">
      <w:pPr>
        <w:pStyle w:val="Standard"/>
        <w:widowControl/>
        <w:shd w:val="clear" w:color="auto" w:fill="FFFFFF"/>
        <w:spacing w:after="0" w:line="240" w:lineRule="auto"/>
        <w:rPr>
          <w:rFonts w:ascii="Cambria" w:eastAsia="Times New Roman" w:hAnsi="Cambria" w:cs="Times New Roman"/>
          <w:b/>
          <w:color w:val="000000"/>
          <w:sz w:val="20"/>
          <w:szCs w:val="20"/>
        </w:rPr>
      </w:pPr>
    </w:p>
    <w:p w14:paraId="60F7AFA8" w14:textId="77777777" w:rsidR="00644DD7" w:rsidRDefault="00644DD7" w:rsidP="00644DD7">
      <w:pPr>
        <w:pStyle w:val="Standard"/>
        <w:widowControl/>
        <w:shd w:val="clear" w:color="auto" w:fill="FFFFFF"/>
        <w:spacing w:after="0" w:line="240" w:lineRule="auto"/>
        <w:jc w:val="center"/>
        <w:rPr>
          <w:rFonts w:ascii="Cambria" w:eastAsia="Cambria, Cambria" w:hAnsi="Cambria" w:cs="Cambria, Cambria"/>
          <w:b/>
          <w:bCs/>
          <w:color w:val="000000"/>
          <w:sz w:val="20"/>
          <w:szCs w:val="20"/>
        </w:rPr>
      </w:pPr>
      <w:r>
        <w:rPr>
          <w:rFonts w:ascii="Cambria" w:hAnsi="Cambria"/>
          <w:b/>
          <w:color w:val="000000"/>
          <w:sz w:val="20"/>
          <w:szCs w:val="20"/>
        </w:rPr>
        <w:t>Déclaration de la République bolivarienne du Venezuela concernant les préoccupations quant aux limites de débarquements de makaire bleu et de makaire blanc/makaire épée</w:t>
      </w:r>
    </w:p>
    <w:p w14:paraId="191AB4FF" w14:textId="77777777" w:rsidR="00644DD7" w:rsidRDefault="00644DD7" w:rsidP="00644DD7">
      <w:pPr>
        <w:pStyle w:val="Standard"/>
        <w:widowControl/>
        <w:shd w:val="clear" w:color="auto" w:fill="FFFFFF"/>
        <w:spacing w:after="0" w:line="240" w:lineRule="auto"/>
        <w:rPr>
          <w:rFonts w:ascii="Cambria" w:eastAsia="Times New Roman" w:hAnsi="Cambria" w:cs="Times New Roman"/>
          <w:b/>
          <w:color w:val="000000"/>
          <w:sz w:val="20"/>
          <w:szCs w:val="20"/>
        </w:rPr>
      </w:pPr>
    </w:p>
    <w:p w14:paraId="309E62DE" w14:textId="77777777" w:rsidR="00C9211E" w:rsidRPr="00644DD7" w:rsidRDefault="00644DD7" w:rsidP="00644DD7">
      <w:pPr>
        <w:pStyle w:val="Standard"/>
        <w:widowControl/>
        <w:shd w:val="clear" w:color="auto" w:fill="FFFFFF"/>
        <w:spacing w:after="0" w:line="240" w:lineRule="auto"/>
        <w:rPr>
          <w:rFonts w:ascii="Cambria" w:eastAsia="Times New Roman" w:hAnsi="Cambria" w:cs="Times New Roman"/>
          <w:b/>
          <w:color w:val="000000"/>
          <w:sz w:val="20"/>
          <w:szCs w:val="20"/>
        </w:rPr>
      </w:pPr>
      <w:r>
        <w:rPr>
          <w:rFonts w:ascii="Cambria" w:hAnsi="Cambria"/>
          <w:b/>
          <w:color w:val="000000"/>
          <w:sz w:val="20"/>
          <w:szCs w:val="20"/>
        </w:rPr>
        <w:t>Ministère du pouvoir populaire pour la pêche et l'aquaculture</w:t>
      </w:r>
    </w:p>
    <w:p w14:paraId="4743BC62" w14:textId="77777777" w:rsidR="00644DD7" w:rsidRDefault="00644DD7" w:rsidP="00644DD7">
      <w:pPr>
        <w:pStyle w:val="Standard"/>
        <w:widowControl/>
        <w:shd w:val="clear" w:color="auto" w:fill="FFFFFF"/>
        <w:spacing w:after="0" w:line="240" w:lineRule="auto"/>
        <w:rPr>
          <w:rFonts w:ascii="Cambria" w:eastAsia="Times New Roman" w:hAnsi="Cambria" w:cs="Times New Roman"/>
          <w:b/>
          <w:color w:val="000000"/>
          <w:sz w:val="20"/>
          <w:szCs w:val="20"/>
        </w:rPr>
      </w:pPr>
      <w:r>
        <w:rPr>
          <w:rFonts w:ascii="Cambria" w:hAnsi="Cambria"/>
          <w:b/>
          <w:color w:val="000000"/>
          <w:sz w:val="20"/>
          <w:szCs w:val="20"/>
        </w:rPr>
        <w:t>République bolivarienne du Venezuela</w:t>
      </w:r>
    </w:p>
    <w:p w14:paraId="0C9EDE5C" w14:textId="77777777" w:rsidR="00644DD7" w:rsidRPr="00644DD7" w:rsidRDefault="00644DD7" w:rsidP="00644DD7">
      <w:pPr>
        <w:pStyle w:val="Standard"/>
        <w:widowControl/>
        <w:shd w:val="clear" w:color="auto" w:fill="FFFFFF"/>
        <w:spacing w:after="0" w:line="240" w:lineRule="auto"/>
        <w:jc w:val="center"/>
        <w:rPr>
          <w:rFonts w:ascii="Cambria" w:hAnsi="Cambria"/>
          <w:sz w:val="20"/>
          <w:szCs w:val="20"/>
        </w:rPr>
      </w:pPr>
    </w:p>
    <w:p w14:paraId="45C53255" w14:textId="77777777" w:rsidR="00C73222" w:rsidRDefault="00B84C01" w:rsidP="00644DD7">
      <w:pPr>
        <w:pStyle w:val="Standard"/>
        <w:widowControl/>
        <w:shd w:val="clear" w:color="auto" w:fill="FFFFFF"/>
        <w:spacing w:after="0" w:line="240" w:lineRule="auto"/>
        <w:jc w:val="both"/>
        <w:rPr>
          <w:rFonts w:ascii="Cambria" w:eastAsia="Times New Roman" w:hAnsi="Cambria" w:cs="Arial"/>
          <w:color w:val="000000"/>
          <w:sz w:val="20"/>
          <w:szCs w:val="20"/>
        </w:rPr>
      </w:pPr>
      <w:r>
        <w:rPr>
          <w:rFonts w:ascii="Cambria" w:hAnsi="Cambria"/>
          <w:sz w:val="20"/>
          <w:szCs w:val="20"/>
        </w:rPr>
        <w:t>La République bolivarienne du Venezuela présente ses salutations aux délégués et aux représentants de Parties contractantes à l'</w:t>
      </w:r>
      <w:proofErr w:type="spellStart"/>
      <w:r>
        <w:rPr>
          <w:rFonts w:ascii="Cambria" w:hAnsi="Cambria"/>
          <w:sz w:val="20"/>
          <w:szCs w:val="20"/>
        </w:rPr>
        <w:t>ICCAT</w:t>
      </w:r>
      <w:proofErr w:type="spellEnd"/>
      <w:r>
        <w:rPr>
          <w:rFonts w:ascii="Cambria" w:hAnsi="Cambria"/>
          <w:sz w:val="20"/>
          <w:szCs w:val="20"/>
        </w:rPr>
        <w:t xml:space="preserve"> ainsi qu’au Secrétariat, en les remerciant par avance de l’extraordinaire gestion réalisée cette année et </w:t>
      </w:r>
      <w:r>
        <w:rPr>
          <w:rFonts w:ascii="Cambria" w:hAnsi="Cambria"/>
          <w:color w:val="000000"/>
          <w:sz w:val="20"/>
          <w:szCs w:val="20"/>
        </w:rPr>
        <w:t>de leur dévouement pour la préparation de cette réunion.</w:t>
      </w:r>
    </w:p>
    <w:p w14:paraId="3928C896" w14:textId="77777777" w:rsidR="00644DD7" w:rsidRPr="00644DD7" w:rsidRDefault="00644DD7" w:rsidP="00644DD7">
      <w:pPr>
        <w:pStyle w:val="Standard"/>
        <w:widowControl/>
        <w:shd w:val="clear" w:color="auto" w:fill="FFFFFF"/>
        <w:spacing w:after="0" w:line="240" w:lineRule="auto"/>
        <w:jc w:val="both"/>
        <w:rPr>
          <w:rFonts w:ascii="Cambria" w:hAnsi="Cambria" w:cs="Arial"/>
          <w:sz w:val="20"/>
          <w:szCs w:val="20"/>
        </w:rPr>
      </w:pPr>
    </w:p>
    <w:p w14:paraId="6CA3F6EF" w14:textId="730F3D47" w:rsidR="00C73222" w:rsidRDefault="00B84C01" w:rsidP="00644DD7">
      <w:pPr>
        <w:pStyle w:val="Standard"/>
        <w:widowControl/>
        <w:shd w:val="clear" w:color="auto" w:fill="FFFFFF"/>
        <w:spacing w:after="0" w:line="240" w:lineRule="auto"/>
        <w:jc w:val="both"/>
        <w:rPr>
          <w:rFonts w:ascii="Cambria" w:eastAsia="Times New Roman" w:hAnsi="Cambria" w:cs="Arial"/>
          <w:color w:val="000000"/>
          <w:sz w:val="20"/>
          <w:szCs w:val="20"/>
        </w:rPr>
      </w:pPr>
      <w:r>
        <w:rPr>
          <w:rFonts w:ascii="Cambria" w:hAnsi="Cambria"/>
          <w:color w:val="000000"/>
          <w:sz w:val="20"/>
          <w:szCs w:val="20"/>
        </w:rPr>
        <w:t xml:space="preserve">Nous nous adressons à vous avec une préoccupation fondamentale quant au traitement accordé aux excédents de captures de makaire blanc, notamment à l’application du paragraphe 3b de la Recommandation 19-05 qui stipule que tout dépassement des limites de débarquements au cours d’une année donnée sera déduit des limites respectives pendant, ou avant, l’année d’ajustement, assorti d’une réduction supplémentaire d’au moins 125% de l’excédent de captures si les limites de débarquement prescrites sont dépassées au cours de deux années consécutives. Alors que nous reconnaissons et soutenons les objectifs de conservation de la Commission, il est impératif que les mesures adoptées soient équitables et réalistes, et n’imposent pas </w:t>
      </w:r>
      <w:r w:rsidR="005A422B">
        <w:rPr>
          <w:rFonts w:ascii="Cambria" w:hAnsi="Cambria"/>
          <w:color w:val="000000"/>
          <w:sz w:val="20"/>
          <w:szCs w:val="20"/>
        </w:rPr>
        <w:t>de</w:t>
      </w:r>
      <w:r>
        <w:rPr>
          <w:rFonts w:ascii="Cambria" w:hAnsi="Cambria"/>
          <w:color w:val="000000"/>
          <w:sz w:val="20"/>
          <w:szCs w:val="20"/>
        </w:rPr>
        <w:t xml:space="preserve"> charge disproportionnée aux pays en développement dont les économies et la sécurité alimentaire dépendent directement de la pêche.</w:t>
      </w:r>
    </w:p>
    <w:p w14:paraId="694523DC" w14:textId="77777777" w:rsidR="00644DD7" w:rsidRPr="00644DD7" w:rsidRDefault="00644DD7" w:rsidP="00644DD7">
      <w:pPr>
        <w:pStyle w:val="Standard"/>
        <w:widowControl/>
        <w:shd w:val="clear" w:color="auto" w:fill="FFFFFF"/>
        <w:spacing w:after="0" w:line="240" w:lineRule="auto"/>
        <w:jc w:val="both"/>
        <w:rPr>
          <w:rFonts w:ascii="Cambria" w:hAnsi="Cambria" w:cs="Arial"/>
          <w:sz w:val="20"/>
          <w:szCs w:val="20"/>
        </w:rPr>
      </w:pPr>
    </w:p>
    <w:p w14:paraId="1C7DA4A3" w14:textId="77777777" w:rsidR="002C3225" w:rsidRDefault="00B84C01" w:rsidP="00644DD7">
      <w:pPr>
        <w:pStyle w:val="Standard"/>
        <w:widowControl/>
        <w:shd w:val="clear" w:color="auto" w:fill="FFFFFF"/>
        <w:spacing w:after="0" w:line="240" w:lineRule="auto"/>
        <w:jc w:val="both"/>
        <w:rPr>
          <w:rFonts w:ascii="Cambria" w:eastAsia="Times New Roman" w:hAnsi="Cambria" w:cs="Arial"/>
          <w:color w:val="000000"/>
          <w:sz w:val="20"/>
          <w:szCs w:val="20"/>
        </w:rPr>
      </w:pPr>
      <w:r>
        <w:rPr>
          <w:rFonts w:ascii="Cambria" w:hAnsi="Cambria"/>
          <w:color w:val="000000"/>
          <w:sz w:val="20"/>
          <w:szCs w:val="20"/>
        </w:rPr>
        <w:t xml:space="preserve">Ces deux dernières années, nos flottilles ont dépassé les limites de capture de makaire blanc et de makaire bleu. Loin d’être un acte délibéré, cette situation est la conséquence inévitable de la répartition des stocks dans nos eaux nationales où le makaire blanc et le makaire bleu cohabitent avec d’autres espèces cibles et sont capturées de manière accidentelle. </w:t>
      </w:r>
      <w:r>
        <w:rPr>
          <w:rFonts w:ascii="Cambria" w:hAnsi="Cambria"/>
          <w:sz w:val="20"/>
          <w:szCs w:val="20"/>
        </w:rPr>
        <w:t>Il convient, toutefois, de noter que face aux scénarios associés à l’excédent de captures</w:t>
      </w:r>
      <w:r>
        <w:rPr>
          <w:rFonts w:ascii="Cambria" w:hAnsi="Cambria"/>
          <w:color w:val="000000"/>
          <w:sz w:val="20"/>
          <w:szCs w:val="20"/>
        </w:rPr>
        <w:t>, l’application des rejets en République bolivarienne du Venezuela fait l’objet d’une norme juridique qui exhorte à les utiliser à des fins sociales, dans le cadre de programmes destinés à la protection des secteurs vulnérables.</w:t>
      </w:r>
    </w:p>
    <w:p w14:paraId="1B21C268" w14:textId="77777777" w:rsidR="00644DD7" w:rsidRPr="00644DD7" w:rsidRDefault="00644DD7" w:rsidP="00644DD7">
      <w:pPr>
        <w:pStyle w:val="Standard"/>
        <w:widowControl/>
        <w:shd w:val="clear" w:color="auto" w:fill="FFFFFF"/>
        <w:spacing w:after="0" w:line="240" w:lineRule="auto"/>
        <w:jc w:val="both"/>
        <w:rPr>
          <w:rFonts w:ascii="Cambria" w:eastAsia="Times New Roman" w:hAnsi="Cambria" w:cs="Arial"/>
          <w:color w:val="000000"/>
          <w:sz w:val="20"/>
          <w:szCs w:val="20"/>
        </w:rPr>
      </w:pPr>
    </w:p>
    <w:p w14:paraId="792BC44E" w14:textId="77777777" w:rsidR="0030487B" w:rsidRDefault="002C3225" w:rsidP="00644DD7">
      <w:pPr>
        <w:pStyle w:val="Standard"/>
        <w:widowControl/>
        <w:shd w:val="clear" w:color="auto" w:fill="FFFFFF"/>
        <w:spacing w:after="0" w:line="240" w:lineRule="auto"/>
        <w:jc w:val="both"/>
        <w:rPr>
          <w:rFonts w:ascii="Cambria" w:eastAsia="Times New Roman" w:hAnsi="Cambria" w:cs="Arial"/>
          <w:color w:val="000000"/>
          <w:sz w:val="20"/>
          <w:szCs w:val="20"/>
        </w:rPr>
      </w:pPr>
      <w:r>
        <w:rPr>
          <w:rFonts w:ascii="Cambria" w:hAnsi="Cambria"/>
          <w:color w:val="000000"/>
          <w:sz w:val="20"/>
          <w:szCs w:val="20"/>
        </w:rPr>
        <w:t>Les dispositions actuelles de la Recommandation 19-05 n’offrent pas de mécanisme réaliste permettant d’atténuer les effets ou de récompenser les efforts consentis pour limiter les captures annuelles. L’application d’une déduction cumulative et perpétuelle des limites de débarquement ajustées rend impossible d’exécuter tout plan de rétablissement viable dans un délai raisonnable, ce qui est préjudiciable et génère une incertitude dans la planification de nos opérations de pêche et met également directement en péril la sécurité alimentaire qui mérite toute notre attention.</w:t>
      </w:r>
    </w:p>
    <w:p w14:paraId="1F16CAD7" w14:textId="77777777" w:rsidR="00644DD7" w:rsidRPr="00644DD7" w:rsidRDefault="00644DD7" w:rsidP="00644DD7">
      <w:pPr>
        <w:pStyle w:val="Standard"/>
        <w:widowControl/>
        <w:shd w:val="clear" w:color="auto" w:fill="FFFFFF"/>
        <w:spacing w:after="0" w:line="240" w:lineRule="auto"/>
        <w:jc w:val="both"/>
        <w:rPr>
          <w:rFonts w:ascii="Cambria" w:eastAsia="Times New Roman" w:hAnsi="Cambria" w:cs="Arial"/>
          <w:color w:val="000000"/>
          <w:sz w:val="20"/>
          <w:szCs w:val="20"/>
        </w:rPr>
      </w:pPr>
    </w:p>
    <w:p w14:paraId="4870602A" w14:textId="5ED85D29" w:rsidR="00075180" w:rsidRPr="00644DD7" w:rsidRDefault="00B84C01" w:rsidP="00644DD7">
      <w:pPr>
        <w:pStyle w:val="Standard"/>
        <w:widowControl/>
        <w:shd w:val="clear" w:color="auto" w:fill="FFFFFF"/>
        <w:spacing w:after="0" w:line="240" w:lineRule="auto"/>
        <w:jc w:val="both"/>
        <w:rPr>
          <w:rFonts w:ascii="Cambria" w:eastAsia="Times New Roman" w:hAnsi="Cambria" w:cs="Arial"/>
          <w:color w:val="000000"/>
          <w:sz w:val="20"/>
          <w:szCs w:val="20"/>
        </w:rPr>
      </w:pPr>
      <w:r>
        <w:rPr>
          <w:rFonts w:ascii="Cambria" w:hAnsi="Cambria"/>
          <w:color w:val="000000"/>
          <w:sz w:val="20"/>
          <w:szCs w:val="20"/>
        </w:rPr>
        <w:t xml:space="preserve">En conclusion, la République bolivarienne du Venezuela encourage la Commission à réévaluer les dispositions de la Recommandation 19-05 et la méthodologie de sanctions, en appelant à la collaboration et au dialogue pour trouver une solution qui préserve les stocks de ces espèces </w:t>
      </w:r>
      <w:r w:rsidR="00BD0A3A">
        <w:rPr>
          <w:rFonts w:ascii="Cambria" w:hAnsi="Cambria"/>
          <w:color w:val="000000"/>
          <w:sz w:val="20"/>
          <w:szCs w:val="20"/>
        </w:rPr>
        <w:t xml:space="preserve">tout comme </w:t>
      </w:r>
      <w:r>
        <w:rPr>
          <w:rFonts w:ascii="Cambria" w:hAnsi="Cambria"/>
          <w:color w:val="000000"/>
          <w:sz w:val="20"/>
          <w:szCs w:val="20"/>
        </w:rPr>
        <w:t>l’intégrité socio-économique de nos nations, tout en réitérant notre profond engagement à diriger et concentrer nos efforts en vue d’améliorer les mesures de gestion et de continuer à soumettre des données qui ont permis d’élaborer des séries de données robustes d’informations cruciales pour l’évaluation des stocks.</w:t>
      </w:r>
    </w:p>
    <w:sectPr w:rsidR="00075180" w:rsidRPr="00644DD7" w:rsidSect="00644DD7">
      <w:headerReference w:type="default" r:id="rId6"/>
      <w:footerReference w:type="default" r:id="rId7"/>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48A8" w14:textId="77777777" w:rsidR="00EC1B2E" w:rsidRDefault="00EC1B2E">
      <w:pPr>
        <w:spacing w:after="0" w:line="240" w:lineRule="auto"/>
      </w:pPr>
      <w:r>
        <w:separator/>
      </w:r>
    </w:p>
  </w:endnote>
  <w:endnote w:type="continuationSeparator" w:id="0">
    <w:p w14:paraId="77E8E635" w14:textId="77777777" w:rsidR="00EC1B2E" w:rsidRDefault="00EC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F316" w14:textId="3B9D8900" w:rsidR="00B84C01" w:rsidRPr="00644DD7" w:rsidRDefault="008347E5" w:rsidP="00644DD7">
    <w:pPr>
      <w:tabs>
        <w:tab w:val="center" w:pos="4535"/>
        <w:tab w:val="center" w:pos="4680"/>
        <w:tab w:val="left" w:pos="6150"/>
        <w:tab w:val="right" w:pos="9360"/>
      </w:tabs>
      <w:jc w:val="center"/>
      <w:rPr>
        <w:rFonts w:ascii="Cambria" w:eastAsia="Calibri" w:hAnsi="Cambria" w:cs="Calibri"/>
        <w:sz w:val="20"/>
        <w:szCs w:val="22"/>
      </w:rPr>
    </w:pPr>
    <w:r>
      <w:rPr>
        <w:noProof/>
      </w:rPr>
      <w:drawing>
        <wp:anchor distT="114300" distB="114300" distL="114300" distR="114300" simplePos="0" relativeHeight="251657728" behindDoc="0" locked="0" layoutInCell="1" allowOverlap="1" wp14:anchorId="21D74DF6" wp14:editId="31F914BE">
          <wp:simplePos x="0" y="0"/>
          <wp:positionH relativeFrom="column">
            <wp:posOffset>-74295</wp:posOffset>
          </wp:positionH>
          <wp:positionV relativeFrom="paragraph">
            <wp:posOffset>8904605</wp:posOffset>
          </wp:positionV>
          <wp:extent cx="7820025" cy="134429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34429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Cambria" w:hAnsi="Cambria"/>
        <w:sz w:val="20"/>
      </w:rPr>
      <w:t xml:space="preserve"> / </w:t>
    </w:r>
    <w:r w:rsidR="00644DD7" w:rsidRPr="0067469F">
      <w:rPr>
        <w:rFonts w:ascii="Cambria" w:eastAsia="Calibri" w:hAnsi="Cambria" w:cs="Calibri"/>
        <w:sz w:val="20"/>
      </w:rPr>
      <w:fldChar w:fldCharType="begin"/>
    </w:r>
    <w:r w:rsidR="00644DD7" w:rsidRPr="0067469F">
      <w:rPr>
        <w:rFonts w:ascii="Cambria" w:eastAsia="Calibri" w:hAnsi="Cambria" w:cs="Calibri"/>
        <w:sz w:val="20"/>
      </w:rPr>
      <w:instrText xml:space="preserve"> NUMPAGES </w:instrText>
    </w:r>
    <w:r w:rsidR="00644DD7" w:rsidRPr="0067469F">
      <w:rPr>
        <w:rFonts w:ascii="Cambria" w:eastAsia="Calibri" w:hAnsi="Cambria" w:cs="Calibri"/>
        <w:sz w:val="20"/>
      </w:rPr>
      <w:fldChar w:fldCharType="separate"/>
    </w:r>
    <w:r w:rsidR="00644DD7">
      <w:rPr>
        <w:rFonts w:ascii="Cambria" w:eastAsia="Calibri" w:hAnsi="Cambria" w:cs="Calibri"/>
        <w:sz w:val="20"/>
      </w:rPr>
      <w:t>3</w:t>
    </w:r>
    <w:r w:rsidR="00644DD7" w:rsidRPr="0067469F">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9548" w14:textId="77777777" w:rsidR="00EC1B2E" w:rsidRDefault="00EC1B2E">
      <w:pPr>
        <w:spacing w:after="0" w:line="240" w:lineRule="auto"/>
      </w:pPr>
      <w:r>
        <w:rPr>
          <w:color w:val="000000"/>
        </w:rPr>
        <w:separator/>
      </w:r>
    </w:p>
  </w:footnote>
  <w:footnote w:type="continuationSeparator" w:id="0">
    <w:p w14:paraId="537E5761" w14:textId="77777777" w:rsidR="00EC1B2E" w:rsidRDefault="00EC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8F92" w14:textId="77777777" w:rsidR="00644DD7" w:rsidRPr="00644DD7" w:rsidRDefault="00644DD7" w:rsidP="00644DD7">
    <w:pPr>
      <w:tabs>
        <w:tab w:val="center" w:pos="4680"/>
        <w:tab w:val="left" w:pos="6520"/>
        <w:tab w:val="right" w:pos="9360"/>
        <w:tab w:val="right" w:pos="14240"/>
      </w:tabs>
      <w:suppressAutoHyphens w:val="0"/>
      <w:autoSpaceDN/>
      <w:spacing w:after="0" w:line="240" w:lineRule="auto"/>
      <w:jc w:val="right"/>
      <w:textAlignment w:val="auto"/>
      <w:rPr>
        <w:rFonts w:ascii="Cambria" w:eastAsia="Calibri" w:hAnsi="Cambria" w:cs="Times New Roman"/>
        <w:b/>
        <w:bCs/>
        <w:kern w:val="0"/>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PA4_810/2025</w:t>
    </w:r>
  </w:p>
  <w:bookmarkEnd w:id="0"/>
  <w:bookmarkEnd w:id="1"/>
  <w:bookmarkEnd w:id="2"/>
  <w:bookmarkEnd w:id="3"/>
  <w:bookmarkEnd w:id="4"/>
  <w:bookmarkEnd w:id="5"/>
  <w:p w14:paraId="64D99AFF" w14:textId="0E64A8F3" w:rsidR="00644DD7" w:rsidRPr="00644DD7" w:rsidRDefault="00134709" w:rsidP="00644DD7">
    <w:pPr>
      <w:tabs>
        <w:tab w:val="left" w:pos="7320"/>
      </w:tabs>
      <w:suppressAutoHyphens w:val="0"/>
      <w:autoSpaceDN/>
      <w:spacing w:after="0" w:line="240" w:lineRule="exact"/>
      <w:jc w:val="right"/>
      <w:textAlignment w:val="auto"/>
      <w:rPr>
        <w:rFonts w:ascii="Cambria" w:eastAsia="Times New Roman" w:hAnsi="Cambria" w:cs="Times New Roman"/>
        <w:b/>
        <w:bCs/>
        <w:kern w:val="0"/>
        <w:sz w:val="16"/>
        <w:szCs w:val="16"/>
      </w:rPr>
    </w:pPr>
    <w:r>
      <w:rPr>
        <w:rFonts w:ascii="Cambria" w:eastAsia="Times New Roman" w:hAnsi="Cambria" w:cs="Times New Roman"/>
        <w:b/>
        <w:sz w:val="16"/>
        <w:lang w:val="es-ES" w:eastAsia="en-US" w:bidi="ar-SA"/>
      </w:rPr>
      <w:fldChar w:fldCharType="begin"/>
    </w:r>
    <w:r>
      <w:rPr>
        <w:rFonts w:ascii="Cambria" w:eastAsia="Times New Roman" w:hAnsi="Cambria" w:cs="Times New Roman"/>
        <w:b/>
        <w:sz w:val="16"/>
        <w:lang w:val="es-ES" w:eastAsia="en-US" w:bidi="ar-SA"/>
      </w:rPr>
      <w:instrText xml:space="preserve"> TIME  \@ "dd/MM/yyyy H:mm" </w:instrText>
    </w:r>
    <w:r>
      <w:rPr>
        <w:rFonts w:ascii="Cambria" w:eastAsia="Times New Roman" w:hAnsi="Cambria" w:cs="Times New Roman"/>
        <w:b/>
        <w:sz w:val="16"/>
        <w:lang w:val="es-ES" w:eastAsia="en-US" w:bidi="ar-SA"/>
      </w:rPr>
      <w:fldChar w:fldCharType="separate"/>
    </w:r>
    <w:r>
      <w:rPr>
        <w:rFonts w:ascii="Cambria" w:eastAsia="Times New Roman" w:hAnsi="Cambria" w:cs="Times New Roman"/>
        <w:b/>
        <w:noProof/>
        <w:sz w:val="16"/>
        <w:lang w:val="es-ES" w:eastAsia="en-US" w:bidi="ar-SA"/>
      </w:rPr>
      <w:t>14/11/2025 16:29</w:t>
    </w:r>
    <w:r>
      <w:rPr>
        <w:rFonts w:ascii="Cambria" w:eastAsia="Times New Roman" w:hAnsi="Cambria" w:cs="Times New Roman"/>
        <w:b/>
        <w:sz w:val="16"/>
        <w:lang w:val="es-ES" w:eastAsia="en-US"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22"/>
    <w:rsid w:val="00006B1A"/>
    <w:rsid w:val="0004569F"/>
    <w:rsid w:val="00060783"/>
    <w:rsid w:val="000622FF"/>
    <w:rsid w:val="00075180"/>
    <w:rsid w:val="00101F6F"/>
    <w:rsid w:val="0010201C"/>
    <w:rsid w:val="00134709"/>
    <w:rsid w:val="00153067"/>
    <w:rsid w:val="001E14E4"/>
    <w:rsid w:val="00267302"/>
    <w:rsid w:val="002C3225"/>
    <w:rsid w:val="0030487B"/>
    <w:rsid w:val="003864F2"/>
    <w:rsid w:val="003F5107"/>
    <w:rsid w:val="004915CB"/>
    <w:rsid w:val="004B4C29"/>
    <w:rsid w:val="005A422B"/>
    <w:rsid w:val="00644DD7"/>
    <w:rsid w:val="006B26C9"/>
    <w:rsid w:val="006B402B"/>
    <w:rsid w:val="007B7CA4"/>
    <w:rsid w:val="008347E5"/>
    <w:rsid w:val="008921C3"/>
    <w:rsid w:val="009A22AB"/>
    <w:rsid w:val="00AA7B84"/>
    <w:rsid w:val="00B477C6"/>
    <w:rsid w:val="00B84C01"/>
    <w:rsid w:val="00BD0A3A"/>
    <w:rsid w:val="00C16396"/>
    <w:rsid w:val="00C73222"/>
    <w:rsid w:val="00C9211E"/>
    <w:rsid w:val="00C97355"/>
    <w:rsid w:val="00D32555"/>
    <w:rsid w:val="00D64028"/>
    <w:rsid w:val="00DD094C"/>
    <w:rsid w:val="00DF7AA1"/>
    <w:rsid w:val="00E6718D"/>
    <w:rsid w:val="00E731E9"/>
    <w:rsid w:val="00E81F29"/>
    <w:rsid w:val="00EC1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4631A"/>
  <w15:docId w15:val="{F1E3C9A1-D8DD-41DD-8C54-51A15671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160" w:line="276" w:lineRule="auto"/>
      <w:textAlignment w:val="baseline"/>
    </w:pPr>
    <w:rPr>
      <w:kern w:val="3"/>
      <w:sz w:val="24"/>
      <w:szCs w:val="24"/>
      <w:lang w:eastAsia="zh-CN" w:bidi="hi-IN"/>
    </w:rPr>
  </w:style>
  <w:style w:type="paragraph" w:styleId="Titre1">
    <w:name w:val="heading 1"/>
    <w:basedOn w:val="Normal"/>
    <w:next w:val="Textbody"/>
    <w:pPr>
      <w:keepNext/>
      <w:keepLines/>
      <w:spacing w:before="480" w:after="120" w:line="240" w:lineRule="auto"/>
      <w:outlineLvl w:val="0"/>
    </w:pPr>
    <w:rPr>
      <w:b/>
      <w:sz w:val="48"/>
      <w:szCs w:val="48"/>
    </w:rPr>
  </w:style>
  <w:style w:type="paragraph" w:styleId="Titre2">
    <w:name w:val="heading 2"/>
    <w:basedOn w:val="Normal"/>
    <w:next w:val="Textbody"/>
    <w:pPr>
      <w:keepNext/>
      <w:keepLines/>
      <w:spacing w:before="360" w:after="80" w:line="240" w:lineRule="auto"/>
      <w:outlineLvl w:val="1"/>
    </w:pPr>
    <w:rPr>
      <w:b/>
      <w:sz w:val="36"/>
      <w:szCs w:val="36"/>
    </w:rPr>
  </w:style>
  <w:style w:type="paragraph" w:styleId="Titre3">
    <w:name w:val="heading 3"/>
    <w:basedOn w:val="Normal"/>
    <w:next w:val="Textbody"/>
    <w:pPr>
      <w:keepNext/>
      <w:keepLines/>
      <w:spacing w:before="280" w:after="80" w:line="240" w:lineRule="auto"/>
      <w:outlineLvl w:val="2"/>
    </w:pPr>
    <w:rPr>
      <w:b/>
      <w:sz w:val="28"/>
      <w:szCs w:val="28"/>
    </w:rPr>
  </w:style>
  <w:style w:type="paragraph" w:styleId="Titre4">
    <w:name w:val="heading 4"/>
    <w:basedOn w:val="Normal"/>
    <w:next w:val="Textbody"/>
    <w:pPr>
      <w:keepNext/>
      <w:keepLines/>
      <w:spacing w:before="240" w:after="40" w:line="240" w:lineRule="auto"/>
      <w:outlineLvl w:val="3"/>
    </w:pPr>
    <w:rPr>
      <w:b/>
    </w:rPr>
  </w:style>
  <w:style w:type="paragraph" w:styleId="Titre5">
    <w:name w:val="heading 5"/>
    <w:basedOn w:val="Normal"/>
    <w:next w:val="Textbody"/>
    <w:pPr>
      <w:keepNext/>
      <w:keepLines/>
      <w:spacing w:before="220" w:after="40" w:line="240" w:lineRule="auto"/>
      <w:outlineLvl w:val="4"/>
    </w:pPr>
    <w:rPr>
      <w:b/>
      <w:sz w:val="22"/>
      <w:szCs w:val="22"/>
    </w:rPr>
  </w:style>
  <w:style w:type="paragraph" w:styleId="Titre6">
    <w:name w:val="heading 6"/>
    <w:basedOn w:val="Normal"/>
    <w:next w:val="Textbody"/>
    <w:pPr>
      <w:keepNext/>
      <w:keepLines/>
      <w:spacing w:before="200" w:after="40" w:line="240" w:lineRule="auto"/>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suppressAutoHyphens/>
      <w:autoSpaceDN w:val="0"/>
      <w:spacing w:after="160" w:line="276" w:lineRule="auto"/>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itre">
    <w:name w:val="Title"/>
    <w:basedOn w:val="Normal"/>
    <w:next w:val="Sous-titre"/>
    <w:pPr>
      <w:keepNext/>
      <w:keepLines/>
      <w:spacing w:before="480" w:after="120" w:line="240" w:lineRule="auto"/>
    </w:pPr>
    <w:rPr>
      <w:b/>
      <w:bCs/>
      <w:sz w:val="72"/>
      <w:szCs w:val="72"/>
    </w:rPr>
  </w:style>
  <w:style w:type="paragraph" w:styleId="Sous-titre">
    <w:name w:val="Subtitle"/>
    <w:basedOn w:val="Normal"/>
    <w:next w:val="Textbody"/>
    <w:pPr>
      <w:keepNext/>
      <w:keepLines/>
      <w:spacing w:before="360" w:after="80" w:line="240" w:lineRule="auto"/>
    </w:pPr>
    <w:rPr>
      <w:rFonts w:ascii="Georgia" w:eastAsia="Georgia" w:hAnsi="Georgia" w:cs="Georgia"/>
      <w:i/>
      <w:iCs/>
      <w:color w:val="666666"/>
      <w:sz w:val="48"/>
      <w:szCs w:val="48"/>
    </w:rPr>
  </w:style>
  <w:style w:type="paragraph" w:styleId="NormalWeb">
    <w:name w:val="Normal (Web)"/>
    <w:basedOn w:val="Normal"/>
    <w:pPr>
      <w:spacing w:before="100" w:after="100" w:line="240" w:lineRule="auto"/>
      <w:outlineLvl w:val="0"/>
    </w:pPr>
    <w:rPr>
      <w:rFonts w:ascii="Times New Roman" w:eastAsia="Times New Roman" w:hAnsi="Times New Roman"/>
      <w:lang w:eastAsia="es-VE" w:bidi="ar-SA"/>
    </w:rPr>
  </w:style>
  <w:style w:type="paragraph" w:styleId="En-tte">
    <w:name w:val="header"/>
    <w:basedOn w:val="Normal"/>
    <w:pPr>
      <w:tabs>
        <w:tab w:val="center" w:pos="4680"/>
        <w:tab w:val="right" w:pos="9360"/>
      </w:tabs>
      <w:outlineLvl w:val="0"/>
    </w:pPr>
    <w:rPr>
      <w:lang w:eastAsia="en-US" w:bidi="ar-SA"/>
    </w:rPr>
  </w:style>
  <w:style w:type="paragraph" w:styleId="Pieddepage">
    <w:name w:val="footer"/>
    <w:basedOn w:val="Standard"/>
    <w:pPr>
      <w:suppressLineNumbers/>
      <w:tabs>
        <w:tab w:val="center" w:pos="4986"/>
        <w:tab w:val="right" w:pos="9972"/>
      </w:tabs>
    </w:pPr>
  </w:style>
  <w:style w:type="paragraph" w:styleId="Commentaire">
    <w:name w:val="annotation text"/>
    <w:basedOn w:val="Normal"/>
    <w:pPr>
      <w:outlineLvl w:val="0"/>
    </w:pPr>
    <w:rPr>
      <w:sz w:val="20"/>
      <w:szCs w:val="20"/>
      <w:lang w:eastAsia="en-US" w:bidi="ar-SA"/>
    </w:rPr>
  </w:style>
  <w:style w:type="paragraph" w:styleId="Objetducommentaire">
    <w:name w:val="annotation subject"/>
    <w:basedOn w:val="Commentaire"/>
    <w:rPr>
      <w:b/>
      <w:bCs/>
    </w:rPr>
  </w:style>
  <w:style w:type="paragraph" w:styleId="Textedebulles">
    <w:name w:val="Balloon Text"/>
    <w:basedOn w:val="Normal"/>
    <w:pPr>
      <w:spacing w:after="0" w:line="240" w:lineRule="auto"/>
      <w:outlineLvl w:val="0"/>
    </w:pPr>
    <w:rPr>
      <w:rFonts w:ascii="Segoe UI" w:hAnsi="Segoe UI" w:cs="Segoe UI"/>
      <w:sz w:val="18"/>
      <w:szCs w:val="18"/>
      <w:lang w:eastAsia="en-US" w:bidi="ar-SA"/>
    </w:rPr>
  </w:style>
  <w:style w:type="paragraph" w:customStyle="1" w:styleId="HeaderandFooter">
    <w:name w:val="Header and Footer"/>
    <w:basedOn w:val="Standard"/>
    <w:pPr>
      <w:suppressLineNumbers/>
      <w:tabs>
        <w:tab w:val="center" w:pos="4986"/>
        <w:tab w:val="right" w:pos="9972"/>
      </w:tabs>
    </w:pPr>
  </w:style>
  <w:style w:type="character" w:customStyle="1" w:styleId="selected">
    <w:name w:val="selected"/>
    <w:rPr>
      <w:w w:val="100"/>
      <w:position w:val="0"/>
      <w:vertAlign w:val="baseline"/>
      <w:em w:val="none"/>
    </w:rPr>
  </w:style>
  <w:style w:type="character" w:customStyle="1" w:styleId="EncabezadoCar">
    <w:name w:val="Encabezado Car"/>
    <w:rPr>
      <w:w w:val="100"/>
      <w:kern w:val="3"/>
      <w:position w:val="0"/>
      <w:sz w:val="24"/>
      <w:szCs w:val="24"/>
      <w:vertAlign w:val="baseline"/>
      <w:em w:val="none"/>
      <w:lang w:eastAsia="en-US"/>
    </w:rPr>
  </w:style>
  <w:style w:type="character" w:customStyle="1" w:styleId="PiedepginaCar">
    <w:name w:val="Pie de página Car"/>
    <w:rPr>
      <w:w w:val="100"/>
      <w:kern w:val="3"/>
      <w:position w:val="0"/>
      <w:sz w:val="24"/>
      <w:szCs w:val="24"/>
      <w:vertAlign w:val="baseline"/>
      <w:em w:val="none"/>
      <w:lang w:eastAsia="en-US"/>
    </w:rPr>
  </w:style>
  <w:style w:type="character" w:styleId="Marquedecommentaire">
    <w:name w:val="annotation reference"/>
    <w:rPr>
      <w:w w:val="100"/>
      <w:position w:val="0"/>
      <w:sz w:val="16"/>
      <w:szCs w:val="16"/>
      <w:vertAlign w:val="baseline"/>
      <w:em w:val="none"/>
    </w:rPr>
  </w:style>
  <w:style w:type="character" w:customStyle="1" w:styleId="TextocomentarioCar">
    <w:name w:val="Texto comentario Car"/>
    <w:rPr>
      <w:w w:val="100"/>
      <w:kern w:val="3"/>
      <w:position w:val="0"/>
      <w:vertAlign w:val="baseline"/>
      <w:em w:val="none"/>
      <w:lang w:eastAsia="en-US"/>
    </w:rPr>
  </w:style>
  <w:style w:type="character" w:customStyle="1" w:styleId="AsuntodelcomentarioCar">
    <w:name w:val="Asunto del comentario Car"/>
    <w:rPr>
      <w:b/>
      <w:bCs/>
      <w:w w:val="100"/>
      <w:kern w:val="3"/>
      <w:position w:val="0"/>
      <w:vertAlign w:val="baseline"/>
      <w:em w:val="none"/>
      <w:lang w:eastAsia="en-US"/>
    </w:rPr>
  </w:style>
  <w:style w:type="character" w:customStyle="1" w:styleId="TextodegloboCar">
    <w:name w:val="Texto de globo Car"/>
    <w:rPr>
      <w:rFonts w:ascii="Segoe UI" w:hAnsi="Segoe UI" w:cs="Segoe UI"/>
      <w:w w:val="100"/>
      <w:kern w:val="3"/>
      <w:position w:val="0"/>
      <w:sz w:val="18"/>
      <w:szCs w:val="18"/>
      <w:vertAlign w:val="baseline"/>
      <w:em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2815</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Giandolfi Fantini</dc:creator>
  <cp:keywords/>
  <cp:lastModifiedBy>christel navarret</cp:lastModifiedBy>
  <cp:revision>7</cp:revision>
  <dcterms:created xsi:type="dcterms:W3CDTF">2025-11-14T14:27:00Z</dcterms:created>
  <dcterms:modified xsi:type="dcterms:W3CDTF">2025-11-14T15:32:00Z</dcterms:modified>
</cp:coreProperties>
</file>